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795655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821055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123190</wp:posOffset>
            </wp:positionV>
            <wp:extent cx="1186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36830</wp:posOffset>
            </wp:positionV>
            <wp:extent cx="1186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335" w:lineRule="exact"/>
        <w:rPr>
          <w:sz w:val="24"/>
          <w:szCs w:val="24"/>
          <w:color w:val="auto"/>
        </w:rPr>
      </w:pPr>
    </w:p>
    <w:p>
      <w:pPr>
        <w:ind w:left="660" w:hanging="336"/>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1460" w:hanging="339"/>
        <w:spacing w:after="0"/>
        <w:tabs>
          <w:tab w:leader="none" w:pos="1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40"/>
          </w:cols>
          <w:pgMar w:left="320" w:top="1440" w:right="439" w:bottom="1440" w:gutter="0" w:footer="0" w:header="0"/>
        </w:sectPr>
      </w:pPr>
    </w:p>
    <w:p>
      <w:pPr>
        <w:spacing w:after="0" w:line="17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127635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456" w:lineRule="exact"/>
        <w:rPr>
          <w:sz w:val="24"/>
          <w:szCs w:val="24"/>
          <w:color w:val="auto"/>
        </w:rPr>
      </w:pPr>
    </w:p>
    <w:p>
      <w:pPr>
        <w:sectPr>
          <w:pgSz w:w="11900" w:h="16838" w:orient="portrait"/>
          <w:cols w:equalWidth="0" w:num="2">
            <w:col w:w="6660" w:space="40"/>
            <w:col w:w="4440"/>
          </w:cols>
          <w:pgMar w:left="320" w:top="1440" w:right="439" w:bottom="1440" w:gutter="0" w:footer="0" w:header="0"/>
          <w:type w:val="continuous"/>
        </w:sectPr>
      </w:pPr>
    </w:p>
    <w:p>
      <w:pPr>
        <w:spacing w:after="0" w:line="113" w:lineRule="exact"/>
        <w:rPr>
          <w:sz w:val="24"/>
          <w:szCs w:val="24"/>
          <w:color w:val="auto"/>
        </w:rPr>
      </w:pPr>
    </w:p>
    <w:tbl>
      <w:tblPr>
        <w:tblLayout w:type="fixed"/>
        <w:tblInd w:w="10" w:type="dxa"/>
        <w:tblCellMar>
          <w:top w:w="0" w:type="dxa"/>
          <w:left w:w="0" w:type="dxa"/>
          <w:bottom w:w="0" w:type="dxa"/>
          <w:right w:w="0" w:type="dxa"/>
        </w:tblCellMar>
      </w:tblPr>
      <w:tr>
        <w:trPr>
          <w:trHeight w:val="393"/>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32"/>
                <w:szCs w:val="32"/>
                <w:b w:val="1"/>
                <w:bCs w:val="1"/>
                <w:color w:val="auto"/>
                <w:w w:val="98"/>
              </w:rPr>
              <w:t>ZoomInfo Technologies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vMerge w:val="restart"/>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87-3037521</w:t>
            </w:r>
          </w:p>
        </w:tc>
        <w:tc>
          <w:tcPr>
            <w:tcW w:w="0" w:type="dxa"/>
            <w:vAlign w:val="bottom"/>
          </w:tcPr>
          <w:p>
            <w:pPr>
              <w:spacing w:after="0"/>
              <w:rPr>
                <w:sz w:val="1"/>
                <w:szCs w:val="1"/>
                <w:color w:val="auto"/>
              </w:rPr>
            </w:pPr>
          </w:p>
        </w:tc>
      </w:tr>
      <w:tr>
        <w:trPr>
          <w:trHeight w:val="327"/>
        </w:trPr>
        <w:tc>
          <w:tcPr>
            <w:tcW w:w="3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6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86"/>
        </w:trPr>
        <w:tc>
          <w:tcPr>
            <w:tcW w:w="326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26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805 Broadway Street, Suite 900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8"/>
              </w:rPr>
              <w:t>Vancouver, Washington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rPr>
              <w:t>98660</w:t>
            </w:r>
          </w:p>
        </w:tc>
        <w:tc>
          <w:tcPr>
            <w:tcW w:w="0" w:type="dxa"/>
            <w:vAlign w:val="bottom"/>
          </w:tcPr>
          <w:p>
            <w:pPr>
              <w:spacing w:after="0"/>
              <w:rPr>
                <w:sz w:val="1"/>
                <w:szCs w:val="1"/>
                <w:color w:val="auto"/>
              </w:rPr>
            </w:pPr>
          </w:p>
        </w:tc>
      </w:tr>
      <w:tr>
        <w:trPr>
          <w:trHeight w:val="225"/>
        </w:trPr>
        <w:tc>
          <w:tcPr>
            <w:tcW w:w="32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3140" w:type="dxa"/>
            <w:vAlign w:val="bottom"/>
            <w:gridSpan w:val="4"/>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(800) 914-1220</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36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3260" w:type="dxa"/>
            <w:vAlign w:val="bottom"/>
          </w:tcPr>
          <w:p>
            <w:pPr>
              <w:spacing w:after="0"/>
              <w:rPr>
                <w:sz w:val="24"/>
                <w:szCs w:val="24"/>
                <w:color w:val="auto"/>
              </w:rPr>
            </w:pPr>
          </w:p>
        </w:tc>
        <w:tc>
          <w:tcPr>
            <w:tcW w:w="7680" w:type="dxa"/>
            <w:vAlign w:val="bottom"/>
            <w:gridSpan w:val="8"/>
          </w:tcPr>
          <w:p>
            <w:pPr>
              <w:jc w:val="center"/>
              <w:ind w:right="2889"/>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25"/>
        </w:trPr>
        <w:tc>
          <w:tcPr>
            <w:tcW w:w="3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40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right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00" w:type="dxa"/>
            <w:vAlign w:val="bottom"/>
          </w:tcPr>
          <w:p>
            <w:pPr>
              <w:spacing w:after="0"/>
              <w:rPr>
                <w:sz w:val="15"/>
                <w:szCs w:val="15"/>
                <w:color w:val="auto"/>
              </w:rPr>
            </w:pPr>
          </w:p>
        </w:tc>
        <w:tc>
          <w:tcPr>
            <w:tcW w:w="3340" w:type="dxa"/>
            <w:vAlign w:val="bottom"/>
            <w:tcBorders>
              <w:right w:val="single" w:sz="8" w:color="auto"/>
            </w:tcBorders>
          </w:tcPr>
          <w:p>
            <w:pPr>
              <w:jc w:val="center"/>
              <w:ind w:right="56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8"/>
        </w:trPr>
        <w:tc>
          <w:tcPr>
            <w:tcW w:w="326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0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right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ZI</w:t>
            </w:r>
          </w:p>
        </w:tc>
        <w:tc>
          <w:tcPr>
            <w:tcW w:w="300" w:type="dxa"/>
            <w:vAlign w:val="bottom"/>
          </w:tcPr>
          <w:p>
            <w:pPr>
              <w:spacing w:after="0"/>
              <w:rPr>
                <w:sz w:val="15"/>
                <w:szCs w:val="15"/>
                <w:color w:val="auto"/>
              </w:rPr>
            </w:pPr>
          </w:p>
        </w:tc>
        <w:tc>
          <w:tcPr>
            <w:tcW w:w="3340" w:type="dxa"/>
            <w:vAlign w:val="bottom"/>
            <w:tcBorders>
              <w:right w:val="single" w:sz="8" w:color="auto"/>
            </w:tcBorders>
          </w:tcPr>
          <w:p>
            <w:pPr>
              <w:jc w:val="center"/>
              <w:ind w:right="56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8"/>
        </w:trPr>
        <w:tc>
          <w:tcPr>
            <w:tcW w:w="326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34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2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6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1" w:lineRule="exact"/>
        <w:rPr>
          <w:sz w:val="24"/>
          <w:szCs w:val="24"/>
          <w:color w:val="auto"/>
        </w:rPr>
      </w:pPr>
    </w:p>
    <w:p>
      <w:pPr>
        <w:ind w:right="36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5" w:lineRule="exact"/>
        <w:rPr>
          <w:sz w:val="24"/>
          <w:szCs w:val="24"/>
          <w:color w:val="auto"/>
        </w:rPr>
      </w:pPr>
    </w:p>
    <w:p>
      <w:pPr>
        <w:ind w:left="320"/>
        <w:spacing w:after="0" w:line="161"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108585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7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October 31, 2024, there were 343,368,755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337185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88900</wp:posOffset>
            </wp:positionV>
            <wp:extent cx="6932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6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
        </w:trPr>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2"/>
        </w:trPr>
        <w:tc>
          <w:tcPr>
            <w:tcW w:w="10440" w:type="dxa"/>
            <w:vAlign w:val="bottom"/>
            <w:gridSpan w:val="24"/>
          </w:tcPr>
          <w:p>
            <w:pPr>
              <w:spacing w:after="0" w:line="192"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60" w:type="dxa"/>
            <w:vAlign w:val="bottom"/>
          </w:tcPr>
          <w:p>
            <w:pPr>
              <w:spacing w:after="0"/>
              <w:rPr>
                <w:sz w:val="16"/>
                <w:szCs w:val="16"/>
                <w:color w:val="auto"/>
              </w:rPr>
            </w:pPr>
          </w:p>
        </w:tc>
        <w:tc>
          <w:tcPr>
            <w:tcW w:w="420" w:type="dxa"/>
            <w:vAlign w:val="bottom"/>
            <w:gridSpan w:val="2"/>
          </w:tcPr>
          <w:p>
            <w:pPr>
              <w:jc w:val="center"/>
              <w:ind w:right="340"/>
              <w:spacing w:after="0" w:line="192" w:lineRule="exact"/>
              <w:rPr>
                <w:sz w:val="20"/>
                <w:szCs w:val="20"/>
                <w:color w:val="auto"/>
              </w:rPr>
            </w:pPr>
            <w:r>
              <w:rPr>
                <w:rFonts w:ascii="Times New Roman" w:cs="Times New Roman" w:eastAsia="Times New Roman" w:hAnsi="Times New Roman"/>
                <w:sz w:val="18"/>
                <w:szCs w:val="18"/>
                <w:color w:val="0000FF"/>
                <w:w w:val="79"/>
              </w:rPr>
              <w:t>ii</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9"/>
          </w:tcPr>
          <w:p>
            <w:pPr>
              <w:jc w:val="center"/>
              <w:ind w:right="3400"/>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5"/>
        </w:trPr>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880" w:type="dxa"/>
            <w:vAlign w:val="bottom"/>
            <w:tcBorders>
              <w:top w:val="single" w:sz="8" w:color="0000FF"/>
            </w:tcBorders>
            <w:gridSpan w:val="8"/>
          </w:tcPr>
          <w:p>
            <w:pPr>
              <w:spacing w:after="0"/>
              <w:rPr>
                <w:sz w:val="21"/>
                <w:szCs w:val="21"/>
                <w:color w:val="auto"/>
              </w:rPr>
            </w:pPr>
          </w:p>
        </w:tc>
        <w:tc>
          <w:tcPr>
            <w:tcW w:w="3400" w:type="dxa"/>
            <w:vAlign w:val="bottom"/>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1</w:t>
            </w:r>
          </w:p>
        </w:tc>
        <w:tc>
          <w:tcPr>
            <w:tcW w:w="34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520" w:type="dxa"/>
            <w:vAlign w:val="bottom"/>
            <w:gridSpan w:val="13"/>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2</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3</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4</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5</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1460" w:type="dxa"/>
            <w:vAlign w:val="bottom"/>
            <w:gridSpan w:val="7"/>
          </w:tcPr>
          <w:p>
            <w:pPr>
              <w:spacing w:after="0"/>
              <w:rPr>
                <w:sz w:val="21"/>
                <w:szCs w:val="21"/>
                <w:color w:val="auto"/>
              </w:rPr>
            </w:pPr>
          </w:p>
        </w:tc>
        <w:tc>
          <w:tcPr>
            <w:tcW w:w="5520" w:type="dxa"/>
            <w:vAlign w:val="bottom"/>
            <w:gridSpan w:val="4"/>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7</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9</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Item 2. Management's Discussion and Analysis of Financial Condition and Results of Operations</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42</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45"/>
        </w:trPr>
        <w:tc>
          <w:tcPr>
            <w:tcW w:w="48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62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64</w:t>
            </w:r>
          </w:p>
        </w:tc>
        <w:tc>
          <w:tcPr>
            <w:tcW w:w="340" w:type="dxa"/>
            <w:vAlign w:val="bottom"/>
          </w:tcPr>
          <w:p>
            <w:pPr>
              <w:spacing w:after="0"/>
              <w:rPr>
                <w:sz w:val="21"/>
                <w:szCs w:val="2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 - OTHER INFORMATION</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r>
      <w:tr>
        <w:trPr>
          <w:trHeight w:val="245"/>
        </w:trPr>
        <w:tc>
          <w:tcPr>
            <w:tcW w:w="2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66</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45"/>
        </w:trPr>
        <w:tc>
          <w:tcPr>
            <w:tcW w:w="4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62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66</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r>
      <w:tr>
        <w:trPr>
          <w:trHeight w:val="245"/>
        </w:trPr>
        <w:tc>
          <w:tcPr>
            <w:tcW w:w="2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67</w:t>
            </w:r>
          </w:p>
        </w:tc>
        <w:tc>
          <w:tcPr>
            <w:tcW w:w="340" w:type="dxa"/>
            <w:vAlign w:val="bottom"/>
          </w:tcPr>
          <w:p>
            <w:pPr>
              <w:spacing w:after="0"/>
              <w:rPr>
                <w:sz w:val="21"/>
                <w:szCs w:val="21"/>
                <w:color w:val="auto"/>
              </w:rPr>
            </w:pPr>
          </w:p>
        </w:tc>
      </w:tr>
      <w:tr>
        <w:trPr>
          <w:trHeight w:val="245"/>
        </w:trPr>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Item 5. Other Information</w:t>
            </w:r>
          </w:p>
        </w:tc>
        <w:tc>
          <w:tcPr>
            <w:tcW w:w="440" w:type="dxa"/>
            <w:vAlign w:val="bottom"/>
            <w:tcBorders>
              <w:top w:val="single" w:sz="8" w:color="0000FF"/>
            </w:tcBorders>
            <w:gridSpan w:val="2"/>
          </w:tcPr>
          <w:p>
            <w:pPr>
              <w:spacing w:after="0"/>
              <w:rPr>
                <w:sz w:val="21"/>
                <w:szCs w:val="21"/>
                <w:color w:val="auto"/>
              </w:rPr>
            </w:pPr>
          </w:p>
        </w:tc>
        <w:tc>
          <w:tcPr>
            <w:tcW w:w="8160" w:type="dxa"/>
            <w:vAlign w:val="bottom"/>
            <w:gridSpan w:val="1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67</w:t>
            </w:r>
          </w:p>
        </w:tc>
        <w:tc>
          <w:tcPr>
            <w:tcW w:w="340" w:type="dxa"/>
            <w:vAlign w:val="bottom"/>
          </w:tcPr>
          <w:p>
            <w:pPr>
              <w:spacing w:after="0"/>
              <w:rPr>
                <w:sz w:val="21"/>
                <w:szCs w:val="21"/>
                <w:color w:val="auto"/>
              </w:rPr>
            </w:pPr>
          </w:p>
        </w:tc>
      </w:tr>
      <w:tr>
        <w:trPr>
          <w:trHeight w:val="245"/>
        </w:trPr>
        <w:tc>
          <w:tcPr>
            <w:tcW w:w="1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9300" w:type="dxa"/>
            <w:vAlign w:val="bottom"/>
            <w:gridSpan w:val="20"/>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68</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-3507740</wp:posOffset>
            </wp:positionV>
            <wp:extent cx="27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2023 as filed with the Securities and Exchange Commission (“SEC”) on February 15, 2024 (“2023 Form 10-K”), and in other reports we file from time to time with the SEC: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renew existing subscriptions, expand existing subscriptions, and collect revenue from our customers, which could harm our revenue growth and profitability;</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with significant resources may shift their existing business models to become more competitive with us;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competition from other companies and technologies that allow companies to gather and aggregate sales, marketing, recruiting, and other data, and competing products and services could provide greater appeal to customers;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rapidly evolving, which make it difficult to forecast demand for our services;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changes in search engine algorithms and dynamics or other traffic-generating arrangements;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executive officers and other key employees, and the loss of or inability to attract, integrate and retain these and other highly skilled employees could harm our business;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for any of a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artificial intelligence (“AI”) capability introduces risks, which, if realized,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could use our products and services in a manner that is unlawful or contrary to our values or applicable law;</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or disruptions that affect our customers’ ability to access our services could damage our reputation and brands and lead to reduced demand for our products and services, lower revenues, and increased costs.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Credit and Financial Factors</w:t>
      </w:r>
    </w:p>
    <w:p>
      <w:pPr>
        <w:spacing w:after="0" w:line="168" w:lineRule="exact"/>
        <w:rPr>
          <w:sz w:val="20"/>
          <w:szCs w:val="20"/>
          <w:color w:val="auto"/>
        </w:rPr>
      </w:pPr>
    </w:p>
    <w:p>
      <w:pPr>
        <w:ind w:left="640" w:hanging="316"/>
        <w:spacing w:after="0" w:line="257"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upturns in new sales and renewals are not immediately reflected in full within our results of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adversely affect our financial position and our ability to raise additional capital and prevent us from fulfilling our obligations;</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affect our results of operations and financial condition;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tax developments applicable to multinational businesses may have a material impact to our business, cash flows, or financial results. The Organization for Economic Co-operation and Development has proposed significant changes to the international tax law framework in the form of the Pillar Two model rules which seek to implement a global minimum tax. The potential effects of Pillar Two may vary depending on the specific provisions and rules implemented by each country that adopts Pillar Two;</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effective tax rate and additional tax liabilities may impact our financial results;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Factors</w:t>
      </w:r>
    </w:p>
    <w:p>
      <w:pPr>
        <w:spacing w:after="0" w:line="168"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catastrophic events, including global pandemics, continued hostilities such as those between Russia and Ukraine, Israel and Hamas, Israel and Iran, and other conflicts in the Middle East, have and may disrupt our business and adversely impact our business and future results of operations and financial condition.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 and Ownership of Our Common Stock</w:t>
      </w:r>
    </w:p>
    <w:p>
      <w:pPr>
        <w:spacing w:after="0" w:line="168" w:lineRule="exact"/>
        <w:rPr>
          <w:sz w:val="20"/>
          <w:szCs w:val="20"/>
          <w:color w:val="auto"/>
        </w:rPr>
      </w:pPr>
    </w:p>
    <w:p>
      <w:pPr>
        <w:ind w:left="640" w:hanging="316"/>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tax receivable agreements may restrict our ability to make certain payments, increase the costs to consummate certain transactions, and limit our ability to realize the value of certain tax attributes; and</w:t>
      </w: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have special rights and interests that may conflict with ours or yours in the future.</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Disclosure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intends to use the investor relations portion of its website as a distribution channel of material company information. Financial and other important information regarding the Company is routinely posted on and accessible at https://ir.zoominfo.com. Accordingly, you should monitor that investor relations portion of our website in addition to following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8"/>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6"/>
        </w:trPr>
        <w:tc>
          <w:tcPr>
            <w:tcW w:w="93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9"/>
        </w:trPr>
        <w:tc>
          <w:tcPr>
            <w:tcW w:w="56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5980" w:type="dxa"/>
            <w:vAlign w:val="bottom"/>
            <w:gridSpan w:val="5"/>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45"/>
        </w:trPr>
        <w:tc>
          <w:tcPr>
            <w:tcW w:w="560" w:type="dxa"/>
            <w:vAlign w:val="bottom"/>
          </w:tcPr>
          <w:p>
            <w:pPr>
              <w:spacing w:after="0"/>
              <w:rPr>
                <w:sz w:val="21"/>
                <w:szCs w:val="21"/>
                <w:color w:val="auto"/>
              </w:rPr>
            </w:pPr>
          </w:p>
        </w:tc>
        <w:tc>
          <w:tcPr>
            <w:tcW w:w="4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8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i w:val="1"/>
          <w:iCs w:val="1"/>
          <w:color w:val="auto"/>
        </w:rPr>
        <w:t>(in millions, except share data)</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20"/>
                <w:szCs w:val="20"/>
                <w:color w:val="auto"/>
              </w:rPr>
            </w:pPr>
          </w:p>
        </w:tc>
        <w:tc>
          <w:tcPr>
            <w:tcW w:w="1420" w:type="dxa"/>
            <w:vAlign w:val="bottom"/>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3"/>
        </w:trPr>
        <w:tc>
          <w:tcPr>
            <w:tcW w:w="7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current</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32"/>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receivable</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32"/>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r>
      <w:tr>
        <w:trPr>
          <w:trHeight w:val="79"/>
        </w:trPr>
        <w:tc>
          <w:tcPr>
            <w:tcW w:w="7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3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3,707.1</w:t>
            </w:r>
          </w:p>
        </w:tc>
      </w:tr>
      <w:tr>
        <w:trPr>
          <w:trHeight w:val="24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costs and other assets, net of current portion</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32"/>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6,394.9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6,868.3</w:t>
            </w:r>
          </w:p>
        </w:tc>
      </w:tr>
      <w:tr>
        <w:trPr>
          <w:trHeight w:val="51"/>
        </w:trPr>
        <w:tc>
          <w:tcPr>
            <w:tcW w:w="74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29"/>
        </w:trPr>
        <w:tc>
          <w:tcPr>
            <w:tcW w:w="74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r>
      <w:tr>
        <w:trPr>
          <w:trHeight w:val="24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Unearned revenue, current portion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tax receivable agreements liability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32"/>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w:t>
            </w:r>
          </w:p>
        </w:tc>
      </w:tr>
      <w:tr>
        <w:trPr>
          <w:trHeight w:val="33"/>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Unearned revenue, net of current portion</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receivable agreements liability, net of current portion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2,786.6</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1,226.4</w:t>
            </w:r>
          </w:p>
        </w:tc>
      </w:tr>
      <w:tr>
        <w:trPr>
          <w:trHeight w:val="248"/>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2"/>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2"/>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4,749.0</w:t>
            </w:r>
          </w:p>
        </w:tc>
      </w:tr>
      <w:tr>
        <w:trPr>
          <w:trHeight w:val="80"/>
        </w:trPr>
        <w:tc>
          <w:tcPr>
            <w:tcW w:w="7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3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53"/>
        </w:trPr>
        <w:tc>
          <w:tcPr>
            <w:tcW w:w="7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3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8"/>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par value $0.01; 3,300,000,000 shares authorized as of September 30, 2024 and December 31,</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 342,905,049 and 384,830,529 issued and outstanding as of September 30, 2024 and December 31, 2023,</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8"/>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11430</wp:posOffset>
            </wp:positionV>
            <wp:extent cx="6882130" cy="27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277495"/>
                    </a:xfrm>
                    <a:prstGeom prst="rect">
                      <a:avLst/>
                    </a:prstGeom>
                    <a:noFill/>
                  </pic:spPr>
                </pic:pic>
              </a:graphicData>
            </a:graphic>
          </wp:anchor>
        </w:drawing>
      </w:r>
    </w:p>
    <w:p>
      <w:pPr>
        <w:sectPr>
          <w:pgSz w:w="11900" w:h="16838" w:orient="portrait"/>
          <w:cols w:equalWidth="0" w:num="1">
            <w:col w:w="11040"/>
          </w:cols>
          <w:pgMar w:left="320" w:top="121" w:right="539" w:bottom="928" w:gutter="0" w:footer="0" w:header="0"/>
        </w:sectPr>
      </w:pPr>
    </w:p>
    <w:p>
      <w:pPr>
        <w:spacing w:after="0" w:line="31" w:lineRule="exact"/>
        <w:rPr>
          <w:sz w:val="20"/>
          <w:szCs w:val="20"/>
          <w:color w:val="auto"/>
        </w:rPr>
      </w:pPr>
    </w:p>
    <w:p>
      <w:pPr>
        <w:ind w:left="320" w:right="400"/>
        <w:spacing w:after="0" w:line="272" w:lineRule="auto"/>
        <w:rPr>
          <w:sz w:val="20"/>
          <w:szCs w:val="20"/>
          <w:color w:val="auto"/>
        </w:rPr>
      </w:pPr>
      <w:r>
        <w:rPr>
          <w:rFonts w:ascii="Times New Roman" w:cs="Times New Roman" w:eastAsia="Times New Roman" w:hAnsi="Times New Roman"/>
          <w:sz w:val="16"/>
          <w:szCs w:val="16"/>
          <w:color w:val="auto"/>
        </w:rPr>
        <w:t>Preferred stock, par value $0.01; 200,000,000 shares authorized as of September 30, 2024 and December 31, 2023; zero issued and outstanding as of September 30, 2024 and December 31, 2023</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26670</wp:posOffset>
            </wp:positionV>
            <wp:extent cx="6882130"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2130" cy="151765"/>
                    </a:xfrm>
                    <a:prstGeom prst="rect">
                      <a:avLst/>
                    </a:prstGeom>
                    <a:noFill/>
                  </pic:spPr>
                </pic:pic>
              </a:graphicData>
            </a:graphic>
          </wp:anchor>
        </w:drawing>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1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45"/>
        </w:trPr>
        <w:tc>
          <w:tcPr>
            <w:tcW w:w="11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95"/>
              </w:rPr>
              <w:t>1,351.3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w:t>
            </w:r>
          </w:p>
        </w:tc>
      </w:tr>
      <w:tr>
        <w:trPr>
          <w:trHeight w:val="239"/>
        </w:trPr>
        <w:tc>
          <w:tcPr>
            <w:tcW w:w="11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15.9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38"/>
        </w:trPr>
        <w:tc>
          <w:tcPr>
            <w:tcW w:w="11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297.8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r>
    </w:tbl>
    <w:p>
      <w:pPr>
        <w:spacing w:after="0" w:line="1" w:lineRule="exact"/>
        <w:rPr>
          <w:sz w:val="20"/>
          <w:szCs w:val="20"/>
          <w:color w:val="auto"/>
        </w:rPr>
      </w:pPr>
    </w:p>
    <w:p>
      <w:pPr>
        <w:sectPr>
          <w:pgSz w:w="11900" w:h="16838" w:orient="portrait"/>
          <w:cols w:equalWidth="0" w:num="2">
            <w:col w:w="8040" w:space="720"/>
            <w:col w:w="2280"/>
          </w:cols>
          <w:pgMar w:left="320" w:top="121" w:right="539" w:bottom="928" w:gutter="0" w:footer="0" w:header="0"/>
          <w:type w:val="continuous"/>
        </w:sectPr>
      </w:pPr>
    </w:p>
    <w:tbl>
      <w:tblPr>
        <w:tblLayout w:type="fixed"/>
        <w:tblInd w:w="200" w:type="dxa"/>
        <w:tblCellMar>
          <w:top w:w="0" w:type="dxa"/>
          <w:left w:w="0" w:type="dxa"/>
          <w:bottom w:w="0" w:type="dxa"/>
          <w:right w:w="0" w:type="dxa"/>
        </w:tblCellMar>
      </w:tblPr>
      <w:tr>
        <w:trPr>
          <w:trHeight w:val="243"/>
        </w:trPr>
        <w:tc>
          <w:tcPr>
            <w:tcW w:w="7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58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2,119.3</w:t>
            </w:r>
          </w:p>
        </w:tc>
      </w:tr>
      <w:tr>
        <w:trPr>
          <w:trHeight w:val="232"/>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6,394.9</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6,868.3</w:t>
            </w:r>
          </w:p>
        </w:tc>
      </w:tr>
      <w:tr>
        <w:trPr>
          <w:trHeight w:val="27"/>
        </w:trPr>
        <w:tc>
          <w:tcPr>
            <w:tcW w:w="7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040"/>
          </w:cols>
          <w:pgMar w:left="320" w:top="121" w:right="539" w:bottom="928" w:gutter="0" w:footer="0" w:header="0"/>
          <w:type w:val="continuous"/>
        </w:sect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21" w:right="539" w:bottom="928" w:gutter="0" w:footer="0" w:header="0"/>
          <w:type w:val="continuous"/>
        </w:sectPr>
      </w:pPr>
    </w:p>
    <w:bookmarkStart w:id="7" w:name="page8"/>
    <w:bookmarkEnd w:id="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60" w:type="dxa"/>
            <w:vAlign w:val="bottom"/>
            <w:gridSpan w:val="11"/>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3000" w:type="dxa"/>
            <w:vAlign w:val="bottom"/>
            <w:gridSpan w:val="6"/>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w:t>
            </w: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6"/>
        </w:trPr>
        <w:tc>
          <w:tcPr>
            <w:tcW w:w="1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1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303.6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905.2</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20" w:type="dxa"/>
            <w:vAlign w:val="bottom"/>
          </w:tcPr>
          <w:p>
            <w:pPr>
              <w:spacing w:after="0"/>
              <w:rPr>
                <w:sz w:val="20"/>
                <w:szCs w:val="20"/>
                <w:color w:val="auto"/>
              </w:rPr>
            </w:pPr>
          </w:p>
        </w:tc>
      </w:tr>
      <w:tr>
        <w:trPr>
          <w:trHeight w:val="240"/>
        </w:trPr>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120" w:type="dxa"/>
            <w:vAlign w:val="bottom"/>
          </w:tcPr>
          <w:p>
            <w:pPr>
              <w:spacing w:after="0"/>
              <w:rPr>
                <w:sz w:val="23"/>
                <w:szCs w:val="23"/>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23"/>
                <w:szCs w:val="23"/>
                <w:color w:val="auto"/>
              </w:rPr>
            </w:pPr>
          </w:p>
        </w:tc>
      </w:tr>
      <w:tr>
        <w:trPr>
          <w:trHeight w:val="239"/>
        </w:trPr>
        <w:tc>
          <w:tcPr>
            <w:tcW w:w="120" w:type="dxa"/>
            <w:vAlign w:val="bottom"/>
          </w:tcPr>
          <w:p>
            <w:pPr>
              <w:spacing w:after="0"/>
              <w:rPr>
                <w:sz w:val="20"/>
                <w:szCs w:val="20"/>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20"/>
                <w:szCs w:val="20"/>
                <w:color w:val="auto"/>
              </w:rPr>
            </w:pPr>
          </w:p>
        </w:tc>
      </w:tr>
      <w:tr>
        <w:trPr>
          <w:trHeight w:val="26"/>
        </w:trPr>
        <w:tc>
          <w:tcPr>
            <w:tcW w:w="1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1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20" w:type="dxa"/>
            <w:vAlign w:val="bottom"/>
          </w:tcPr>
          <w:p>
            <w:pPr>
              <w:spacing w:after="0"/>
              <w:rPr>
                <w:sz w:val="20"/>
                <w:szCs w:val="20"/>
                <w:color w:val="auto"/>
              </w:rPr>
            </w:pPr>
          </w:p>
        </w:tc>
      </w:tr>
      <w:tr>
        <w:trPr>
          <w:trHeight w:val="240"/>
        </w:trPr>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120" w:type="dxa"/>
            <w:vAlign w:val="bottom"/>
          </w:tcPr>
          <w:p>
            <w:pPr>
              <w:spacing w:after="0"/>
              <w:rPr>
                <w:sz w:val="23"/>
                <w:szCs w:val="23"/>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tcPr>
          <w:p>
            <w:pPr>
              <w:spacing w:after="0"/>
              <w:rPr>
                <w:sz w:val="23"/>
                <w:szCs w:val="23"/>
                <w:color w:val="auto"/>
              </w:rPr>
            </w:pPr>
          </w:p>
        </w:tc>
      </w:tr>
      <w:tr>
        <w:trPr>
          <w:trHeight w:val="240"/>
        </w:trPr>
        <w:tc>
          <w:tcPr>
            <w:tcW w:w="120" w:type="dxa"/>
            <w:vAlign w:val="bottom"/>
          </w:tcPr>
          <w:p>
            <w:pPr>
              <w:spacing w:after="0"/>
              <w:rPr>
                <w:sz w:val="20"/>
                <w:szCs w:val="20"/>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1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212.8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702.1</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0" w:type="dxa"/>
            <w:vAlign w:val="bottom"/>
          </w:tcPr>
          <w:p>
            <w:pPr>
              <w:spacing w:after="0"/>
              <w:rPr>
                <w:sz w:val="22"/>
                <w:szCs w:val="22"/>
                <w:color w:val="auto"/>
              </w:rPr>
            </w:pPr>
          </w:p>
        </w:tc>
      </w:tr>
      <w:tr>
        <w:trPr>
          <w:trHeight w:val="233"/>
        </w:trPr>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1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r>
      <w:tr>
        <w:trPr>
          <w:trHeight w:val="26"/>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120" w:type="dxa"/>
            <w:vAlign w:val="bottom"/>
          </w:tcPr>
          <w:p>
            <w:pPr>
              <w:spacing w:after="0"/>
              <w:rPr>
                <w:sz w:val="23"/>
                <w:szCs w:val="23"/>
                <w:color w:val="auto"/>
              </w:rPr>
            </w:pPr>
          </w:p>
        </w:tc>
        <w:tc>
          <w:tcPr>
            <w:tcW w:w="4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23"/>
                <w:szCs w:val="23"/>
                <w:color w:val="auto"/>
              </w:rPr>
            </w:pPr>
          </w:p>
        </w:tc>
      </w:tr>
      <w:tr>
        <w:trPr>
          <w:trHeight w:val="233"/>
        </w:trPr>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120" w:type="dxa"/>
            <w:vAlign w:val="bottom"/>
          </w:tcPr>
          <w:p>
            <w:pPr>
              <w:spacing w:after="0"/>
              <w:rPr>
                <w:sz w:val="23"/>
                <w:szCs w:val="23"/>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23"/>
                <w:szCs w:val="23"/>
                <w:color w:val="auto"/>
              </w:rPr>
            </w:pPr>
          </w:p>
        </w:tc>
      </w:tr>
      <w:tr>
        <w:trPr>
          <w:trHeight w:val="258"/>
        </w:trPr>
        <w:tc>
          <w:tcPr>
            <w:tcW w:w="120" w:type="dxa"/>
            <w:vAlign w:val="bottom"/>
          </w:tcPr>
          <w:p>
            <w:pPr>
              <w:spacing w:after="0"/>
              <w:rPr>
                <w:sz w:val="22"/>
                <w:szCs w:val="22"/>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12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0"/>
                <w:szCs w:val="20"/>
                <w:color w:val="auto"/>
              </w:rPr>
            </w:pPr>
          </w:p>
        </w:tc>
        <w:tc>
          <w:tcPr>
            <w:tcW w:w="136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20"/>
                <w:szCs w:val="20"/>
                <w:color w:val="auto"/>
              </w:rPr>
            </w:pPr>
          </w:p>
        </w:tc>
        <w:tc>
          <w:tcPr>
            <w:tcW w:w="4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1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 w:type="dxa"/>
            <w:vAlign w:val="bottom"/>
          </w:tcPr>
          <w:p>
            <w:pPr>
              <w:spacing w:after="0"/>
              <w:rPr>
                <w:sz w:val="21"/>
                <w:szCs w:val="21"/>
                <w:color w:val="auto"/>
              </w:rPr>
            </w:pPr>
          </w:p>
        </w:tc>
      </w:tr>
      <w:tr>
        <w:trPr>
          <w:trHeight w:val="423"/>
        </w:trPr>
        <w:tc>
          <w:tcPr>
            <w:tcW w:w="4220" w:type="dxa"/>
            <w:vAlign w:val="bottom"/>
            <w:gridSpan w:val="2"/>
          </w:tcPr>
          <w:p>
            <w:pPr>
              <w:jc w:val="right"/>
              <w:ind w:right="3093"/>
              <w:spacing w:after="0"/>
              <w:rPr>
                <w:sz w:val="20"/>
                <w:szCs w:val="20"/>
                <w:color w:val="auto"/>
              </w:rPr>
            </w:pPr>
            <w:r>
              <w:rPr>
                <w:rFonts w:ascii="Times New Roman" w:cs="Times New Roman" w:eastAsia="Times New Roman" w:hAnsi="Times New Roman"/>
                <w:sz w:val="16"/>
                <w:szCs w:val="16"/>
                <w:color w:val="auto"/>
                <w:w w:val="98"/>
              </w:rPr>
              <w:t>_____________</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4540" w:type="dxa"/>
            <w:vAlign w:val="bottom"/>
            <w:gridSpan w:val="3"/>
          </w:tcPr>
          <w:p>
            <w:pPr>
              <w:jc w:val="right"/>
              <w:ind w:right="181"/>
              <w:spacing w:after="0"/>
              <w:rPr>
                <w:sz w:val="20"/>
                <w:szCs w:val="20"/>
                <w:color w:val="auto"/>
              </w:rPr>
            </w:pPr>
            <w:r>
              <w:rPr>
                <w:rFonts w:ascii="Times New Roman" w:cs="Times New Roman" w:eastAsia="Times New Roman" w:hAnsi="Times New Roman"/>
                <w:sz w:val="16"/>
                <w:szCs w:val="16"/>
                <w:color w:val="auto"/>
              </w:rPr>
              <w:t>Amounts include equity-based compensation expense, as follows: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9"/>
        </w:trPr>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r>
      <w:tr>
        <w:trPr>
          <w:trHeight w:val="232"/>
        </w:trPr>
        <w:tc>
          <w:tcPr>
            <w:tcW w:w="1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38"/>
        </w:trPr>
        <w:tc>
          <w:tcPr>
            <w:tcW w:w="120" w:type="dxa"/>
            <w:vAlign w:val="bottom"/>
            <w:tcBorders>
              <w:right w:val="single" w:sz="8" w:color="CCEEFF"/>
            </w:tcBorders>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50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 w:type="dxa"/>
            <w:vAlign w:val="bottom"/>
          </w:tcPr>
          <w:p>
            <w:pPr>
              <w:spacing w:after="0"/>
              <w:rPr>
                <w:sz w:val="19"/>
                <w:szCs w:val="19"/>
                <w:color w:val="auto"/>
              </w:rPr>
            </w:pPr>
          </w:p>
        </w:tc>
      </w:tr>
      <w:tr>
        <w:trPr>
          <w:trHeight w:val="248"/>
        </w:trPr>
        <w:tc>
          <w:tcPr>
            <w:tcW w:w="120" w:type="dxa"/>
            <w:vAlign w:val="bottom"/>
            <w:tcBorders>
              <w:right w:val="single" w:sz="8" w:color="CCEEFF"/>
            </w:tcBorders>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shd w:val="clear" w:color="auto" w:fill="CCEEFF"/>
          </w:tcPr>
          <w:p>
            <w:pPr>
              <w:spacing w:after="0"/>
              <w:rPr>
                <w:sz w:val="21"/>
                <w:szCs w:val="21"/>
                <w:color w:val="auto"/>
              </w:rPr>
            </w:pPr>
          </w:p>
        </w:tc>
      </w:tr>
      <w:tr>
        <w:trPr>
          <w:trHeight w:val="232"/>
        </w:trPr>
        <w:tc>
          <w:tcPr>
            <w:tcW w:w="1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0" w:type="dxa"/>
            <w:vAlign w:val="bottom"/>
            <w:tcBorders>
              <w:bottom w:val="single" w:sz="8" w:color="auto"/>
            </w:tcBorders>
          </w:tcPr>
          <w:p>
            <w:pPr>
              <w:spacing w:after="0"/>
              <w:rPr>
                <w:sz w:val="20"/>
                <w:szCs w:val="20"/>
                <w:color w:val="auto"/>
              </w:rPr>
            </w:pPr>
          </w:p>
        </w:tc>
      </w:tr>
      <w:tr>
        <w:trPr>
          <w:trHeight w:val="258"/>
        </w:trPr>
        <w:tc>
          <w:tcPr>
            <w:tcW w:w="120" w:type="dxa"/>
            <w:vAlign w:val="bottom"/>
            <w:tcBorders>
              <w:right w:val="single" w:sz="8" w:color="CCEEFF"/>
            </w:tcBorders>
          </w:tcPr>
          <w:p>
            <w:pPr>
              <w:spacing w:after="0"/>
              <w:rPr>
                <w:sz w:val="22"/>
                <w:szCs w:val="22"/>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50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0" w:type="dxa"/>
            <w:vAlign w:val="bottom"/>
            <w:shd w:val="clear" w:color="auto" w:fill="CCEEFF"/>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20" w:type="dxa"/>
            <w:vAlign w:val="bottom"/>
          </w:tcPr>
          <w:p>
            <w:pPr>
              <w:spacing w:after="0"/>
              <w:rPr>
                <w:sz w:val="20"/>
                <w:szCs w:val="20"/>
                <w:color w:val="auto"/>
              </w:rPr>
            </w:pPr>
          </w:p>
        </w:tc>
        <w:tc>
          <w:tcPr>
            <w:tcW w:w="33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00" w:type="dxa"/>
            <w:vAlign w:val="bottom"/>
            <w:gridSpan w:val="4"/>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
        </w:trPr>
        <w:tc>
          <w:tcPr>
            <w:tcW w:w="4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4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4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4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0"/>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settlement of cash flow hedges</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5"/>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w:t>
            </w:r>
          </w:p>
        </w:tc>
        <w:tc>
          <w:tcPr>
            <w:tcW w:w="10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1020" w:type="dxa"/>
            <w:vAlign w:val="bottom"/>
            <w:tcBorders>
              <w:top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20" w:type="dxa"/>
            <w:vAlign w:val="bottom"/>
            <w:tcBorders>
              <w:top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
        </w:trPr>
        <w:tc>
          <w:tcPr>
            <w:tcW w:w="4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226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420" w:type="dxa"/>
            <w:vAlign w:val="bottom"/>
            <w:gridSpan w:val="3"/>
          </w:tcPr>
          <w:p>
            <w:pPr>
              <w:jc w:val="center"/>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20" w:type="dxa"/>
            <w:vAlign w:val="bottom"/>
          </w:tcPr>
          <w:p>
            <w:pPr>
              <w:jc w:val="center"/>
              <w:ind w:right="32"/>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384,830,529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0" w:type="dxa"/>
            <w:vAlign w:val="bottom"/>
          </w:tcPr>
          <w:p>
            <w:pPr>
              <w:spacing w:after="0"/>
              <w:rPr>
                <w:sz w:val="1"/>
                <w:szCs w:val="1"/>
                <w:color w:val="auto"/>
              </w:rPr>
            </w:pPr>
          </w:p>
        </w:tc>
      </w:tr>
      <w:tr>
        <w:trPr>
          <w:trHeight w:val="23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376,156,650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366,772,027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(24,478,696)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5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342,905,049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1,668.4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260" w:type="dxa"/>
            <w:vAlign w:val="bottom"/>
            <w:gridSpan w:val="4"/>
            <w:vMerge w:val="restart"/>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420" w:type="dxa"/>
            <w:vAlign w:val="bottom"/>
            <w:gridSpan w:val="3"/>
          </w:tcPr>
          <w:p>
            <w:pPr>
              <w:jc w:val="center"/>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20" w:type="dxa"/>
            <w:vAlign w:val="bottom"/>
          </w:tcPr>
          <w:p>
            <w:pPr>
              <w:jc w:val="center"/>
              <w:ind w:right="32"/>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5"/>
        </w:trPr>
        <w:tc>
          <w:tcPr>
            <w:tcW w:w="3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404,083,262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403,514,079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401,302,563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2,347.0</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5"/>
        </w:trPr>
        <w:tc>
          <w:tcPr>
            <w:tcW w:w="3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393,306,475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p>
        </w:tc>
        <w:tc>
          <w:tcPr>
            <w:tcW w:w="3240" w:type="dxa"/>
            <w:vAlign w:val="bottom"/>
            <w:gridSpan w:val="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
        </w:trPr>
        <w:tc>
          <w:tcPr>
            <w:tcW w:w="8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86"/>
        </w:trPr>
        <w:tc>
          <w:tcPr>
            <w:tcW w:w="8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6"/>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6"/>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impairments and lease abandonment charges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3"/>
        </w:trPr>
        <w:tc>
          <w:tcPr>
            <w:tcW w:w="8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5"/>
        </w:trPr>
        <w:tc>
          <w:tcPr>
            <w:tcW w:w="8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73"/>
        </w:trPr>
        <w:tc>
          <w:tcPr>
            <w:tcW w:w="80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 initial direct costs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8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
        </w:trPr>
        <w:tc>
          <w:tcPr>
            <w:tcW w:w="8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86"/>
        </w:trPr>
        <w:tc>
          <w:tcPr>
            <w:tcW w:w="80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issuance and modification costs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6"/>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ESPP</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receivable agreement payments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5"/>
        </w:trPr>
        <w:tc>
          <w:tcPr>
            <w:tcW w:w="8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0"/>
        </w:trPr>
        <w:tc>
          <w:tcPr>
            <w:tcW w:w="8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 (continued)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p>
        </w:tc>
        <w:tc>
          <w:tcPr>
            <w:tcW w:w="3240" w:type="dxa"/>
            <w:vAlign w:val="bottom"/>
            <w:gridSpan w:val="5"/>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
        </w:trPr>
        <w:tc>
          <w:tcPr>
            <w:tcW w:w="8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5"/>
        </w:trPr>
        <w:tc>
          <w:tcPr>
            <w:tcW w:w="8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8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8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5"/>
        </w:trPr>
        <w:tc>
          <w:tcPr>
            <w:tcW w:w="8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5"/>
        </w:trPr>
        <w:tc>
          <w:tcPr>
            <w:tcW w:w="80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taxes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9"/>
        </w:trPr>
        <w:tc>
          <w:tcPr>
            <w:tcW w:w="8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 and other current liabilities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included in capitalized software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3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ZoomInfo Technologies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millions, except share/unit data and per share/unit amounts, unless otherwise noted)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1</w:t>
            </w:r>
          </w:p>
        </w:tc>
        <w:tc>
          <w:tcPr>
            <w:tcW w:w="80" w:type="dxa"/>
            <w:vAlign w:val="bottom"/>
          </w:tcPr>
          <w:p>
            <w:pPr>
              <w:spacing w:after="0"/>
              <w:rPr>
                <w:sz w:val="17"/>
                <w:szCs w:val="17"/>
                <w:color w:val="auto"/>
              </w:rPr>
            </w:pP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Business, Basis of Presentation, and Summary of Significant Accounting Policies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21"/>
                <w:szCs w:val="21"/>
                <w:color w:val="auto"/>
              </w:rPr>
            </w:pP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21"/>
                <w:szCs w:val="21"/>
                <w:color w:val="auto"/>
              </w:rPr>
            </w:pP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Cash, Cash Equivalents, and Short-term Investments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4</w:t>
            </w:r>
          </w:p>
        </w:tc>
        <w:tc>
          <w:tcPr>
            <w:tcW w:w="80" w:type="dxa"/>
            <w:vAlign w:val="bottom"/>
          </w:tcPr>
          <w:p>
            <w:pPr>
              <w:spacing w:after="0"/>
              <w:rPr>
                <w:sz w:val="21"/>
                <w:szCs w:val="21"/>
                <w:color w:val="auto"/>
              </w:rPr>
            </w:pP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Property and Equipment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5</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Goodwill and Acquired Intangible Assets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6</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Financing Arrangements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7</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Derivatives and Hedging Activities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21"/>
                <w:szCs w:val="21"/>
                <w:color w:val="auto"/>
              </w:rPr>
            </w:pP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Fair Value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tcPr>
          <w:p>
            <w:pPr>
              <w:spacing w:after="0"/>
              <w:rPr>
                <w:sz w:val="21"/>
                <w:szCs w:val="21"/>
                <w:color w:val="auto"/>
              </w:rPr>
            </w:pP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10</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Earnings Per Share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11</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Leases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12</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Equity-based Compensation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80" w:type="dxa"/>
            <w:vAlign w:val="bottom"/>
            <w:tcBorders>
              <w:left w:val="single" w:sz="8" w:color="0000FF"/>
            </w:tcBorders>
            <w:gridSpan w:val="7"/>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13</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Tax Receivable Agreements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14</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Income Taxes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15</w:t>
            </w:r>
          </w:p>
        </w:tc>
        <w:tc>
          <w:tcPr>
            <w:tcW w:w="830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Subsequent Events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(the “Company”, “we”, “us”, “our”, and “ZoomInfo”)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2023 Form 10-K.</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2024 are not necessarily indicative of the operating results that may be expected for the full fiscal year ending December 31, 2024 or any future period.</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contain all adjustments necessary for a fair statement of financial position as of September 30, 2024, and results of operations for the three and nine months ended September 30, 2024 and 2023, and cash flows for the nine months ended September 30, 2024 and 2023.</w:t>
      </w:r>
    </w:p>
    <w:p>
      <w:pPr>
        <w:spacing w:after="0" w:line="1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Effective the second quarter of 2024, the Company removed the presentation of </w:t>
      </w:r>
      <w:r>
        <w:rPr>
          <w:rFonts w:ascii="Times New Roman" w:cs="Times New Roman" w:eastAsia="Times New Roman" w:hAnsi="Times New Roman"/>
          <w:sz w:val="18"/>
          <w:szCs w:val="18"/>
          <w:i w:val="1"/>
          <w:iCs w:val="1"/>
          <w:color w:val="auto"/>
        </w:rPr>
        <w:t>Restructuring and transaction-related expenses</w:t>
      </w:r>
      <w:r>
        <w:rPr>
          <w:rFonts w:ascii="Times New Roman" w:cs="Times New Roman" w:eastAsia="Times New Roman" w:hAnsi="Times New Roman"/>
          <w:sz w:val="18"/>
          <w:szCs w:val="18"/>
          <w:color w:val="auto"/>
        </w:rPr>
        <w:t xml:space="preserve"> from the Consolidated Statements of Operations. These expenses will be allocated to the remaining financial statement line items. For comparability, the prior period amounts have been recast to reflect the current period presentation with no impact to net income or comprehensive income previously reported.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 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collectibility of accounts receivable. The Company performs ongoing credit evaluations of its customers and maintains allowances for possible losses. No single customer accounted for 10% or more of our revenue for the three and nine months ended September 30, 2024 and 2023, or accounted for more than 10% of accounts receivable as of September 30, 2024 and December 31,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Accounts receivable represents billed transaction price from revenue contracts, reflecting adjustments for variable consideration, and is presented net of allowance for expected credit losses. It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September 30, 2024, the allowance for expected credit losses was $14.7 million. The Company reassesses the adequacy of the allowance each reporting period.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Deferred sales commissions are amortized on a straight-line basis over the estimated period of benefit from the customer relationship which we have determined to be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September 30, 2024 were $27.4 million, of which the current portion of $24.7 million was included in </w:t>
      </w:r>
      <w:r>
        <w:rPr>
          <w:rFonts w:ascii="Times New Roman" w:cs="Times New Roman" w:eastAsia="Times New Roman" w:hAnsi="Times New Roman"/>
          <w:sz w:val="18"/>
          <w:szCs w:val="18"/>
          <w:i w:val="1"/>
          <w:iCs w:val="1"/>
          <w:color w:val="auto"/>
        </w:rPr>
        <w:t>Accrued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on our Consolidated Balance Sheets, and the long-term portion of $2.7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2023 were $37.7 million, of which the current portion of $34.4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$3.3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$9.2 million and $28.5 million were recorded for the three and nine months ended September 30, 2024. Advertising expenses of $8.8 million and $24.7 million were recorded for the three and nine months ended September 30, 2023.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three and nine month periods ended September 30, 2024 and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Abandonment of Long-lived Assets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fair value of the asset. The estimated future cash flows associated with the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During the three and nine months ended September 30, 2024, we recorded impairment charges of $8.7 million and $53.3 million, respectively, to reduce the carrying values of our existing right-of-use assets associated with our Ra’anana, Waltham, Vancouver, and Grand Rapids offices. During the three and nine month periods ended September 30, 2023, we recorded impairment charges of $4.6 million and $5.2 million, respectively, to reduce the carrying value of the right-of-use assets associated with certain of our office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lease right-of-use asset has been abandoned, the estimated useful life of the asset is updated to reflect the cease use date, and the remaining carrying value of the asset is amortized ratably over the period between the commitment date and the cease use date. During the three and nine months ended September 30, 2024, we recorded lease abandonment charges of zero and $4.1 million, respectively, related to the accelerated amortization of right-of-use assets. No lease abandonment charges were recorded for the three and nine month periods ended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which includes property and equipment, net and operating lease right-of-use assets, net. As of September 30, 2024, long-lived assets held in the United States and Israel were $183.3 million and $19.9 million, respectively, representing approximately 98% of the consolidated total. As of December 31, 2023, long-lived assets held in the United States and Israel were $120.2 million and $20.2 million, respectively, representing approximately 96% of the consolidated total.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right-of-use assets and lease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FASB’s ASC 815—Derivatives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two Tax Receivable Agreements (“TRA” or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 </w:t>
      </w:r>
      <w:r>
        <w:rPr>
          <w:rFonts w:ascii="Times New Roman" w:cs="Times New Roman" w:eastAsia="Times New Roman" w:hAnsi="Times New Roman"/>
          <w:sz w:val="18"/>
          <w:szCs w:val="18"/>
          <w:color w:val="auto"/>
        </w:rPr>
        <w:t>respectively. Subsequent changes to the measurement of the TRA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recognized on our Consolidated Statements of Operations as a component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Refer to Note 13 - Tax Receivable Agreements for further details on the TRA liability.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periodically grants incentive awards to employees and non-employees, which generally vest over periods of up to four years. Incentive awards may be in the form of various equity-based awards such as restricted stock and restricted stock units, and common stock options.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March 2023, the Board authorized a program to repurchase the Company’s common stock (the “Share Repurchase Program”). The total authorizations in 2023 and 2024 were $600.0 million and $500.0 million, respectively, of which $157.2 million remained available and authorized for repurchases as of September 30,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repurchased and subsequently retired 24,478,696 shares of common stock at an average price of $9.89, for an aggregate $242.1 million. During the nine months ended September 30, 2024, the Company repurchased and subsequently retired 44,901,742 shares of common stock at an average price of $12.08, for an aggregate $542.6 million.</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accelerated share repurchase agreement (the “ASR Transaction”) with a financial institution. The Company settled the ASR Transaction in September 2024 resulting in a total repurchase and subsequent retirement of 12,431,216 shares of the Company’s common stock for $125.0 million at an average price of $10.06 per share, recorded as a reduction of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The total number of shares delivered was determined at the settlement date based on the volume weighed average price, less an agreed upon discount. The ASR Transaction was completed under the Company’s previously announced Share Repurchase Program.</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repurchased and subsequently retired 8,800,000 shares of common stock at an average price of $18.19, for an aggregate $160.1 million. During the nine months ended September 30, 2023, the Company repurchased and subsequently retired 12,705,412 shares of common stock at an average price of $19.44, for an aggregate $247.0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Inflation Reduction Act of 2022, enacted into law on August 16, 2022, imposed a nondeductible 1% excise tax on the net value of certain stock repurchases made after December 31, 2022. The Company calculates excise tax due based on the year-to-date amount repurchased in excess of the fair market value of shares issued and is included within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During the nine months ended September 30, 2024 and 2023, the Company recorded the associated excise taxes of $5.0 million and $2.0 million, respectively. Excise taxes associated with these share repurchases are presented within </w:t>
      </w:r>
      <w:r>
        <w:rPr>
          <w:rFonts w:ascii="Times New Roman" w:cs="Times New Roman" w:eastAsia="Times New Roman" w:hAnsi="Times New Roman"/>
          <w:sz w:val="18"/>
          <w:szCs w:val="18"/>
          <w:i w:val="1"/>
          <w:iCs w:val="1"/>
          <w:color w:val="auto"/>
        </w:rPr>
        <w:t>Repurchase of common stock</w:t>
      </w:r>
      <w:r>
        <w:rPr>
          <w:rFonts w:ascii="Times New Roman" w:cs="Times New Roman" w:eastAsia="Times New Roman" w:hAnsi="Times New Roman"/>
          <w:sz w:val="18"/>
          <w:szCs w:val="18"/>
          <w:color w:val="auto"/>
        </w:rPr>
        <w:t xml:space="preserve"> on our Consolidated Statements of Changes in Stockholders’ Equity, as a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The amendments in this ASU are intended to increase transparency through improvements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primarily related to the rate reconciliation and income taxes paid information. This standard is effective for annual periods beginning after December 15, 2024 (i.e., a January 1, 2025 effective date), with early adoption permitted. The Company is currently evaluating the disclosure impacts of ASU 2023-09 on its consolidated financial statements as well as the impacts to its financial reporting process and related internal controls.</w:t>
      </w:r>
    </w:p>
    <w:p>
      <w:pPr>
        <w:spacing w:after="0" w:line="12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amendments in this ASU incorporate into the FASB’s ASC certain SEC disclosure requirements that were referred to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are intended to improve reportable segment disclosure primarily through enhanced disclosures about significant segment expenses. This standard is effective for fiscal years beginning after December 15, 2023 (i.e., a January 1, 2024 effective date), and interim periods within fiscal years beginning after December 15, 2024 (i.e., the first quarter of 2025). The amendments in this ASU should be applied retrospectively to all prior periods presented in the financial statements. Early adoption is permitted. The Company adopted this standard beginning in 2024 and expects to provide incremental qualitative segment-related disclosures beginning with the Company’s Annual Report on Form 10-K for the fiscal year ended December 31, 2024. However, there was no impact to the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comprised the following service offerings: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2"/>
          <w:szCs w:val="22"/>
          <w:color w:val="auto"/>
          <w:vertAlign w:val="superscript"/>
        </w:rPr>
        <w:t>(1)</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Usage-based</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p>
        </w:tc>
        <w:tc>
          <w:tcPr>
            <w:tcW w:w="31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4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
        </w:trPr>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180" w:type="dxa"/>
            <w:vAlign w:val="bottom"/>
          </w:tcPr>
          <w:p>
            <w:pPr>
              <w:spacing w:after="0"/>
              <w:rPr>
                <w:sz w:val="20"/>
                <w:szCs w:val="20"/>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65"/>
        </w:trPr>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5"/>
        </w:trPr>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
        </w:trPr>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w:t>
            </w:r>
          </w:p>
        </w:tc>
      </w:tr>
      <w:tr>
        <w:trPr>
          <w:trHeight w:val="26"/>
        </w:trPr>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-722630</wp:posOffset>
            </wp:positionV>
            <wp:extent cx="7134860" cy="176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-377825</wp:posOffset>
            </wp:positionV>
            <wp:extent cx="7134860"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680"/>
            <w:col w:w="6580"/>
          </w:cols>
          <w:pgMar w:left="320" w:top="11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The nine months ended September 30, 2024 include a $15.3 million reduction associated with the change in accounting estimate.</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total revenue recognized in the three and nine months ended September 30, 2024, $59.2 million and $407.2 million, respectively, were included in the unearned revenue balance as of December 31, 2023. Of the total revenue recognized in the three and nine months ended September 30, 2023, $59.1 million and $375.8 million, respectively, were included in the unearned revenue balance as of December 31, 2022. Revenue recognized from performance obligations satisfied (or partially satisfied) in previous periods was not material.</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12% and 13% of our total revenues for the three months ended September 30, 2024 and 2023, respectively. Revenues derived from customers and partners located outside the United States, as determined based on the address provided by our customers and partners, accounted for approximately 12% and 13% of our total revenues for the nine months ended September 30, 2024 and 2023, respectively. Contracts denominated in currencies other than U.S. Dollar were not material for the three and nine months ended September 30, 2024 and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the Company had contract assets of $5.8 million and $5.9 million, respectively, which are recorded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our Consolidated Balance Sheets. As of September 30, 2024 and December 31, 2023, the Company had unearned revenue of $419.2 million and $441.9 million, respectively.</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03"/>
        </w:trPr>
        <w:tc>
          <w:tcPr>
            <w:tcW w:w="5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Recognized within</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76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5"/>
              </w:rPr>
              <w:t>Noncurrent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7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4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856.4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r>
      <w:tr>
        <w:trPr>
          <w:trHeight w:val="49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Short-term Investments</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1"/>
        </w:trPr>
        <w:tc>
          <w:tcPr>
            <w:tcW w:w="6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Cash and cash equivalents consisted of the following as of September 30, 2024: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3"/>
        </w:trPr>
        <w:tc>
          <w:tcPr>
            <w:tcW w:w="5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Unrealized Gains</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7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76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
        </w:trPr>
        <w:tc>
          <w:tcPr>
            <w:tcW w:w="55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76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0"/>
        </w:trPr>
        <w:tc>
          <w:tcPr>
            <w:tcW w:w="5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6"/>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government securities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8 -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 sale securities were immaterial at September 30, 2024 and December 31, 2023.</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September 30,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5"/>
          </w:tcPr>
          <w:p>
            <w:pPr>
              <w:jc w:val="right"/>
              <w:ind w:right="117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7"/>
              </w:rPr>
              <w:t>Amortized Cost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0" w:type="dxa"/>
            <w:vAlign w:val="bottom"/>
          </w:tcPr>
          <w:p>
            <w:pPr>
              <w:spacing w:after="0"/>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5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84"/>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3"/>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58"/>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Depreciation expense was $7.4 million and $4.9 million for the three months ended September 30, 2024 and 2023, respectively. Depreciation expense was $18.4 million and $14.5 million for the nine months ended September 30, 2024 and 2023, respectively. Depreciation expense for the three and nine months ended September 30, 2024 includes $1.1 million of accelerated depreciation associated with the Waltham Lease Restructuring (refer to Note 11 - Leases for further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other than goodwill, consisted of the following as of September 30, 2024 and December 31, 2023, respectively: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2"/>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1"/>
                <w:szCs w:val="21"/>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r>
      <w:tr>
        <w:trPr>
          <w:trHeight w:val="23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14.5</w:t>
            </w:r>
          </w:p>
        </w:tc>
      </w:tr>
      <w:tr>
        <w:trPr>
          <w:trHeight w:val="26"/>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7.8</w:t>
            </w:r>
          </w:p>
        </w:tc>
      </w:tr>
      <w:tr>
        <w:trPr>
          <w:trHeight w:val="25"/>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8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6"/>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8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1"/>
                <w:szCs w:val="21"/>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r>
      <w:tr>
        <w:trPr>
          <w:trHeight w:val="232"/>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14.5</w:t>
            </w:r>
          </w:p>
        </w:tc>
      </w:tr>
      <w:tr>
        <w:trPr>
          <w:trHeight w:val="25"/>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r>
      <w:tr>
        <w:trPr>
          <w:trHeight w:val="24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7.9</w:t>
            </w:r>
          </w:p>
        </w:tc>
      </w:tr>
      <w:tr>
        <w:trPr>
          <w:trHeight w:val="25"/>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9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9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was $15.0 million and $14.9 million for the three months ended September 30, 2024 and 2023, respectively. Amortization expense was $44.9 million and $46.0 million for the nine months ended September 30, 2024 and 2023,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Goodwill was $1,692.7 million as of September 30, 2024 and December 31, 2023.</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events or circumstances indicating that goodwill might be impaired as of September 30,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2024 and December 31, 2023, the carrying values of the Company’s borrowings were as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Elected Interest</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3"/>
        </w:trPr>
        <w:tc>
          <w:tcPr>
            <w:tcW w:w="24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0"/>
                <w:szCs w:val="20"/>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6"/>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8"/>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+ 1.75%</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4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+ 2.10%</w:t>
            </w:r>
          </w:p>
        </w:tc>
        <w:tc>
          <w:tcPr>
            <w:tcW w:w="6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2029</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33"/>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5"/>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8"/>
        </w:trPr>
        <w:tc>
          <w:tcPr>
            <w:tcW w:w="4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June 2024, we entered into an amendment to our existing First Lien Credit Agreement (the “Seventh Amendment”), pursuant to which the Company completed a repricing of its First Lien Term Loan Facility, which decreased the applicable rate for Base Rate loans from 1.25% to 0.75% and SOFR based loans from 2.25% to 1.75%. The Company recognized an immaterial loss in connection with the repricing during the nine months ended September 30, 2024 within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xml:space="preserve"> on the Consolidated Statements of Operations. Under the terms of the Seventh Amendment, the Company is obligated to make principal payments in the amount of 0.25% of the aggregate outstanding amount as of the latest amendment.</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we entered into an amendment to our existing First Lien Credit Agreement (the “Sixth Amendment”), pursuant to which the Company completed a repricing of its First Lien Term Loan Facility, which decreased the applicable rate for Base Rate loans from 1.75% to 1.25% and SOFR based loans from 2.85% to 2.25%, and included the removal of the 0.1% credit spread adjustment.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had a variable interest rate whereby the Company can elect to use a Base Rate or SOFR plus an applicable rate. Pursuant to the Fifth Amendment, the applicable rate decreased for Base Rate loans from 2.00% to 1.75% and from 3.10% to 2.85% for SOFR based loans.</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Company recognized an immaterial loss in connection with the repricing in the fiscal year ending December 31, 2023 within </w:t>
      </w:r>
      <w:r>
        <w:rPr>
          <w:rFonts w:ascii="Times New Roman" w:cs="Times New Roman" w:eastAsia="Times New Roman" w:hAnsi="Times New Roman"/>
          <w:sz w:val="18"/>
          <w:szCs w:val="18"/>
          <w:i w:val="1"/>
          <w:iCs w:val="1"/>
          <w:color w:val="auto"/>
        </w:rPr>
        <w:t>Loss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 and extinguishment </w:t>
      </w:r>
      <w:r>
        <w:rPr>
          <w:rFonts w:ascii="Times New Roman" w:cs="Times New Roman" w:eastAsia="Times New Roman" w:hAnsi="Times New Roman"/>
          <w:sz w:val="18"/>
          <w:szCs w:val="18"/>
          <w:color w:val="auto"/>
        </w:rPr>
        <w:t>on the Consolidated Statements of Operations.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debt was 7.24% and 7.83% as of September 30, 2024 and December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Fifth Amendment, the Company also extended the maturity date of $213.0 million of our $250.0 million existing commitments of the first lien revolving credit facility to February 28, 2028. Pursuant to the Sixth Amendment, $26.0 million of the non-extended commitments were extended to February 28, 2028. With respect to the $11.0 million commitments which were not extended, the maturity date is November 2, 2025. Debt issuance costs were incurred in connection with the repricing of the revolving credit facility. These debt issuance costs are amortized into interest expense over the expected life of the arrangement. Unamortized debt issuance costs are immaterial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debt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second quarter of 2024, the Company’s interest rate cap contract matured. As of September 30, 2024, the Company had the following outstanding interest rate derivatives that were designated as cash flow hedges of interest rate risk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3"/>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Interest Rate Derivatives (Level 2)</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Swap Rate</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6"/>
        </w:trPr>
        <w:tc>
          <w:tcPr>
            <w:tcW w:w="3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January 30, 2026</w:t>
            </w:r>
          </w:p>
        </w:tc>
      </w:tr>
      <w:tr>
        <w:trPr>
          <w:trHeight w:val="25"/>
        </w:trPr>
        <w:tc>
          <w:tcPr>
            <w:tcW w:w="37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interest rate swaps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when the underlying transaction has an impact on earnings. The Company expects to recognize approximately $17.0 million of net pre-tax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other comprehensive income as a reduction of interest expense in the next twelve months associated with its interest rate swap.</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(Loss) for amounts reclassified from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into earnings related to the Company’s derivative instruments designated as cash flow hedging instruments for each of the reporting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second quarter of 2024, the Company engaged in foreign currency forward contract activities. For the three and nine months ended September 30, 2024, we have settled forward currency contracts with a cumulative notional amount of $11.9 million and $20.5 million respectively. These transactions resulted in an immaterial gain due to favorable changes in the foreign currency. At September 30, 2024, our derivative financial instruments consisted of foreign currency forward contracts with a total notional value of $11.4 million with maturities extending to December 2024.</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foreign currency forward contracts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revenue or operating expenses depending on the nature of the underlying transaction, when the underlying transaction has an impact on earnings. Impacts on </w:t>
      </w: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are presented as operating cash flows on our Consolidated Statements of Cash Flows in the period contracts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September 30, 2024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5"/>
        </w:trPr>
        <w:tc>
          <w:tcPr>
            <w:tcW w:w="4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3"/>
                <w:szCs w:val="23"/>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159"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Prepaid expenses and other current assets</w:t>
      </w:r>
      <w:r>
        <w:rPr>
          <w:rFonts w:ascii="Times New Roman" w:cs="Times New Roman" w:eastAsia="Times New Roman" w:hAnsi="Times New Roman"/>
          <w:sz w:val="16"/>
          <w:szCs w:val="16"/>
          <w:color w:val="auto"/>
        </w:rPr>
        <w:t xml:space="preserve"> on our Consolidated Balance Sheets.</w:t>
      </w:r>
    </w:p>
    <w:p>
      <w:pPr>
        <w:spacing w:after="0" w:line="2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costs and other assets, net of current portion</w:t>
      </w:r>
      <w:r>
        <w:rPr>
          <w:rFonts w:ascii="Times New Roman" w:cs="Times New Roman" w:eastAsia="Times New Roman" w:hAnsi="Times New Roman"/>
          <w:sz w:val="16"/>
          <w:szCs w:val="16"/>
          <w:color w:val="auto"/>
        </w:rPr>
        <w:t xml:space="preserve"> on our Consolidated Balance Sheets.</w:t>
      </w:r>
    </w:p>
    <w:p>
      <w:pPr>
        <w:spacing w:after="0" w:line="5"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Accrued expenses and other current liabilities</w:t>
      </w:r>
      <w:r>
        <w:rPr>
          <w:rFonts w:ascii="Times New Roman" w:cs="Times New Roman" w:eastAsia="Times New Roman" w:hAnsi="Times New Roman"/>
          <w:sz w:val="16"/>
          <w:szCs w:val="16"/>
          <w:color w:val="auto"/>
        </w:rPr>
        <w:t xml:space="preserve"> on our Consolidated Balance Sheets.</w:t>
      </w:r>
    </w:p>
    <w:p>
      <w:pPr>
        <w:spacing w:after="0" w:line="14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(Loss) for amounts reclassified from </w:t>
      </w:r>
      <w:r>
        <w:rPr>
          <w:rFonts w:ascii="Times New Roman" w:cs="Times New Roman" w:eastAsia="Times New Roman" w:hAnsi="Times New Roman"/>
          <w:sz w:val="18"/>
          <w:szCs w:val="18"/>
          <w:i w:val="1"/>
          <w:iCs w:val="1"/>
          <w:color w:val="auto"/>
        </w:rPr>
        <w:t>Accumulated 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into earnings related to the Company’s derivative instruments designated as cash flow hedging instruments for each of the reporting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the U.S. government, certificates of deposits, and other governmental securities as Level 2 within the fair value hierarchy. The fair value of our first term lien debt and Senior Notes was $582.2 million and $599.6 million as of September 30, 2024, and $595.5 million and $588.3 million as of December 31, 2023, respectively, based on observable market prices in less active markets and categorized as Level 2 within the fair value measurement framework.</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our financial assets (liabilities) was determined using the following inputs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6"/>
        </w:trPr>
        <w:tc>
          <w:tcPr>
            <w:tcW w:w="6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5"/>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8"/>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6"/>
        </w:trPr>
        <w:tc>
          <w:tcPr>
            <w:tcW w:w="6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top w:val="single" w:sz="8" w:color="6D6D6D"/>
            </w:tcBorders>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top w:val="single" w:sz="8" w:color="6D6D6D"/>
            </w:tcBorders>
          </w:tcPr>
          <w:p>
            <w:pPr>
              <w:spacing w:after="0"/>
              <w:rPr>
                <w:sz w:val="20"/>
                <w:szCs w:val="20"/>
                <w:color w:val="auto"/>
              </w:rPr>
            </w:pP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2"/>
        </w:trPr>
        <w:tc>
          <w:tcPr>
            <w:tcW w:w="6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6D6D6D"/>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6D6D6D"/>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6D6D6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measurements levels during the nine months ended September 30, 2024.</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3 - Cash, Cash Equivalents, and Short-term Investments for further information regarding the fair value of our financial instruments. Refer to Note 7 - Derivatives and Hedging Activities for further information regarding the fair value of our derivative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2024, we had additional outstanding non-cancelable purchase obligations of $77.1 million over the corresponding amount disclosed in the audited financial statements in our 2023 Form 10-K, mainly related to third-party cloud hosting and software as a service arrangements. For information regarding financing-related obligations, refer to Note 6 - Financing Arrangements. For information regarding lease-related obligations, refer to Note 11 -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of Dogpatch Advisors, LLC in April 2022, the Company could be required to issue remaining equity awards up to $0.6 million. As of September 30, 2024, the Company has paid $1.9 million. Refer to Note 4 - Business Combinations in our 2023 Form 10-K for additional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Insent, the Company paid $2.0 million during the nine months ended September 30, 2024, of which $0.7 million represents deferred consideration. Refer to Note 4 - Business Combinations in our 2023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spacing w:after="0" w:line="132"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Additionally, 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In June 2024, the Illinois District Court preliminarily approved a settlement agreement between ZoomInfo and the plaintiffs in the Illinois class action that, if granted final approval, will resolve the Illinois class action, the California class action and similar, unfiled claims in the states of Indiana and Nevada (the “Class Actions”). Under the terms of settlement, ZoomInfo has agreed to pay approximately $29.5 million, equal to 3% of the statutory damages for each eligible class member in the affected states. The Company had 30 days after the preliminary approval to move the settlement amount into an escrow account, which occurred during the third quarter of 2024. Upon final approval, the settlement would release all claims by any class member against ZoomInfo based on the alleged use of such class member’s identity, persona, name, image, likeness, or personal information for any commercial purpose without consent, including any claims alleging a violation of any right of publicity law. The settlement is not an admission of fault or wrongdoing by ZoomInfo. However, it believes that a resolution of these claims at this time is in the best interest of the Company given the costs and risks inherent in litigation. The Company recorded a benefit associated with legal costs of $0.2 million during the three months ended September 30, 2024. During the nine months ended September 30, 2024, the Company incurred charges $30.0 million, which includes both the settlement amount and other legal costs, all of which has been paid as of September 30, 2024.</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pending in the United States District Court for the Northern District of Illinois (Eastern Division). The Company intends to vigorously defend against this lawsuit.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On November 17, 2023, the court dismissed the plaintiffs’ claims with prejudice, and the plaintiffs have since appealed the dismissal. The Company intends to continue to vigorously defend against this lawsuit.</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September 5, 2024, a putative class action lawsuit was filed against ZoomInfo Technologies LLC in the U.S. District Court for the Western District of Washington alleging ZoomInfo’s use of individuals’ names in public-facing web pages violates the Washington Personality Rights Act, and seeking statutory, compensatory and punitive damages, costs, and attorneys’ fees. The Company intends to vigorously defend against this lawsuit.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computation of basic and diluted net income per share of </w:t>
      </w:r>
      <w:r>
        <w:rPr>
          <w:rFonts w:ascii="Times New Roman" w:cs="Times New Roman" w:eastAsia="Times New Roman" w:hAnsi="Times New Roman"/>
          <w:sz w:val="18"/>
          <w:szCs w:val="18"/>
          <w:color w:val="242424"/>
        </w:rPr>
        <w:t>common stock</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33020</wp:posOffset>
            </wp:positionV>
            <wp:extent cx="206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354,940,772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396,852,350</w:t>
            </w:r>
          </w:p>
        </w:tc>
      </w:tr>
      <w:tr>
        <w:trPr>
          <w:trHeight w:val="25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2"/>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common stockholders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0"/>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354,940,772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396,852,350</w:t>
            </w: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0"/>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251,397</w:t>
            </w: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124,423</w:t>
            </w:r>
          </w:p>
        </w:tc>
      </w:tr>
      <w:tr>
        <w:trPr>
          <w:trHeight w:val="23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per share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355,131,093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397,228,170</w:t>
            </w:r>
          </w:p>
        </w:tc>
      </w:tr>
      <w:tr>
        <w:trPr>
          <w:trHeight w:val="25"/>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33020</wp:posOffset>
            </wp:positionV>
            <wp:extent cx="206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368,446,379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400,485,107</w:t>
            </w:r>
          </w:p>
        </w:tc>
      </w:tr>
      <w:tr>
        <w:trPr>
          <w:trHeight w:val="25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2"/>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common stockholders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6"/>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368,446,379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400,485,107</w:t>
            </w:r>
          </w:p>
        </w:tc>
      </w:tr>
      <w:tr>
        <w:trPr>
          <w:trHeight w:val="26"/>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345,694</w:t>
            </w:r>
          </w:p>
        </w:tc>
      </w:tr>
      <w:tr>
        <w:trPr>
          <w:trHeight w:val="26"/>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31,992</w:t>
            </w:r>
          </w:p>
        </w:tc>
      </w:tr>
      <w:tr>
        <w:trPr>
          <w:trHeight w:val="239"/>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158,627</w:t>
            </w:r>
          </w:p>
        </w:tc>
      </w:tr>
      <w:tr>
        <w:trPr>
          <w:trHeight w:val="26"/>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per share</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368,710,310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401,021,420</w:t>
            </w:r>
          </w:p>
        </w:tc>
      </w:tr>
      <w:tr>
        <w:trPr>
          <w:trHeight w:val="25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42424"/>
        </w:rPr>
        <w:t>In periods of loss, the number of shares used to calculate diluted net loss per share is the same as basic net loss per share. The following weighted-average potentially dilutive securities were evaluated under the treasury stock method for potentially dilutive effects and have been excluded from diluted net income per share in the periods presented due to their anti-dilutive effect: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40005</wp:posOffset>
            </wp:positionV>
            <wp:extent cx="206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63" w:lineRule="exact"/>
        <w:rPr>
          <w:sz w:val="20"/>
          <w:szCs w:val="20"/>
          <w:color w:val="auto"/>
        </w:rPr>
      </w:pPr>
    </w:p>
    <w:p>
      <w:pPr>
        <w:ind w:left="5240"/>
        <w:spacing w:after="0"/>
        <w:tabs>
          <w:tab w:leader="none" w:pos="69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40005</wp:posOffset>
            </wp:positionV>
            <wp:extent cx="206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63" w:lineRule="exact"/>
        <w:rPr>
          <w:sz w:val="20"/>
          <w:szCs w:val="20"/>
          <w:color w:val="auto"/>
        </w:rPr>
      </w:pPr>
    </w:p>
    <w:p>
      <w:pPr>
        <w:ind w:left="30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2" w:lineRule="exact"/>
        <w:rPr>
          <w:sz w:val="20"/>
          <w:szCs w:val="20"/>
          <w:color w:val="auto"/>
        </w:rPr>
      </w:pPr>
    </w:p>
    <w:p>
      <w:pPr>
        <w:sectPr>
          <w:pgSz w:w="11900" w:h="16838" w:orient="portrait"/>
          <w:cols w:equalWidth="0" w:num="2">
            <w:col w:w="7620" w:space="680"/>
            <w:col w:w="29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15,207,584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12,762,335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15,381,553</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13,359,864</w:t>
            </w:r>
          </w:p>
        </w:tc>
      </w:tr>
      <w:tr>
        <w:trPr>
          <w:trHeight w:val="24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248,956</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15,456,540</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12,768,879</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15,532,344</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13,359,864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two offices. The subleases have remaining lease terms of less than seven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on our Consolidated Statements of Operations, was immaterial for the three and nine months ended September 30, 2024 and 2023.</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are additional details related to operating leases recorded on our Consolidated Balance Sheets as of September 30,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5"/>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2"/>
        </w:trPr>
        <w:tc>
          <w:tcPr>
            <w:tcW w:w="7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5"/>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Rent expense was $12.1 million, inclusive of $6.0 million related to the Waltham Lease Restructuring, and $4.5 million for the three months ended September 30, 2024 and 2023, respectively. Rent expense was $28.8 million, inclusive of $6.0 million related to the Waltham Lease Restructuring and $4.1 million accelerated amortization of right-of-use assets, and $12.1 million for the nine months ended September 30, 2024 and 2023,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24"/>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4"/>
                <w:szCs w:val="24"/>
                <w:color w:val="auto"/>
              </w:rPr>
            </w:pPr>
          </w:p>
        </w:tc>
        <w:tc>
          <w:tcPr>
            <w:tcW w:w="29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operating</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530"/>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r>
      <w:tr>
        <w:trPr>
          <w:trHeight w:val="233"/>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7.5 %</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September 30, 2024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0"/>
                <w:szCs w:val="20"/>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5"/>
        </w:trPr>
        <w:tc>
          <w:tcPr>
            <w:tcW w:w="9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nine months ended September 30,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6"/>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6"/>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5"/>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8"/>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6"/>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3"/>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Included in the undiscounted future minimum lease payments for the years ended December 31, 2024, 2025, and 2026 are future tenant improvement allowance reimbursements related to our Ra’anana, Israel and Vancouver, Washington leases.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Expense associated with short-term leases and variable lease costs were immaterial for the three and nine months ended September 30, 2024 and 2023.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 related to short-term leases reasonably reflected our short-term lease commitments.</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Undiscounted lease payments under all leases executed and not yet commenced are anticipated to be $72.6 million, of which $10.5 million relate to leases expected to commence in the three months ended December 31, 2024 and $62.1 million relate to leases expected to commence in 2025. These payments are not included in the tabular disclosure of undiscounted future minimum lease payments under non-cancelable leases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Leasing Activity</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 xml:space="preserve">Relating to our office space in Waltham, Massachusetts, the third and fourth phases of the lease commenced in April 2024 which, collectively, resulted in additional lease liabilities arising from obtaining right-of-use assets of $8.5 million. We recognized impairment charges of $4.3 million to reduce the carrying value of the associated right-of-use assets. Additionally, we recognized impairment charges of $4.8 million to reduce the carrying value of the right-of-use asset associated with the second phase of the lease. These charges were presented within </w:t>
      </w: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xml:space="preserve"> during the three and six months ended June 30, 2024 on the Consolidated Statements of Operations and relate to certain spaces which were intended to sublease. During the second quarter of 2024, the Company committed to the cease-use of all phases except for the first and second phases. As a result, we incurred lease abandonment charges of $4.1 million for the vacated spaces. These charges were allocated among the respective cost line items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Subsequently, in July 2024, the Company executed an agreement to restructure its existing lease commitments (“Waltham Lease Restructuring”). Pursuant to the agreement, the Company made a payment of $59.1 million. In accordance with ASC 842, the Company remeasured its lease liabilities using the revised lease payments under the modified agreement, which included the $59.1 million, and reallocated the remaining minimum lease payments in the contract to the remaining lease components. This resulted in an increase in our operating lease right-of-use assets and, consequently, an increase in the future amortization of those assets. The reallocated portion of the minimum lease payments for the final phase, which has not yet commenced, of $13.1 million is recorded as a prepaid and presented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our Consolidated Balance Sheets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charges will be recognized in rent expense over the remaining lease terms which range from December 31, 2024 to December 31, 2025. The Company also recorded a gain of $1.5 million as a result of the modification, which is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during the three and nine months ended September 30, 2024. Additionally, the fifth phase of the lease commenced in the three months ended September 30, 2024, resulting in additional lease liabilities arising from obtaining right-of-use assets of $16.1 million.</w:t>
      </w:r>
    </w:p>
    <w:p>
      <w:pPr>
        <w:spacing w:after="0" w:line="14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Also in July 2024, the Company executed a new lease agreement for separate office space in Waltham, Massachusetts with the same landlord, with rent payments expected to commence in the fourth quarter of 2025. The lease will terminate on December 31, 2038. The lease is subject to fixed-rate rent escalations and provides for $7.6 million in tenant improvements and the option to extend the lease for two terms of five years each. The Company determined that it is the accounting owner of all tenant improvements. As the commencement of the lease is expected to occur in the future, the Company has not recorded an operating lease right-of-use asset or lease liability for this space as of September 30, 2024. Undiscounted lease payments are anticipated to be $62.1 million, and are not included in the tabular disclosure of undiscounted future minimum lease payments under non-cancelable leases above.</w:t>
      </w:r>
    </w:p>
    <w:p>
      <w:pPr>
        <w:spacing w:after="0" w:line="11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Relating to our new corporate headquarters in Vancouver, Washington, the sixth floor of the lease commenced in March 2024. The commencement of the floor resulted in additional lease liabilities arising from obtaining right-of-use assets of $27.5 million. The seventh, eighth, and ninth floors of the lease commenced in April, May, and June, respectively. The commencement of these floors resulted in additional lease liabilities arising from obtaining right-of-use assets of $59.2 million. The tenth floor and lobby of the lease commenced in September, resulting in additional lease liabilities arising from obtaining right-of-use assets of $15.4 million. As the commencement of the remaining space of this lease is expected to occur during the fourth quarter of 2024, the Company has not recorded operating lease right-of-use assets or lease liabilities for these floors as of September 30, 2024. During the three and nine months ended September 30, 2024, we recognized impairment charges of $8.7 million and $37.9 million, respectively, to reduce the carrying value of the right-of-use assets associated with certain spaces of the leased premises which were intended to sublease.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Relating to our office space in Ra’anana, Israel, which commenced during the third quarter of 2023, we recognized additional impairment charges of $5.9 million during the nine months ended September 30, 2024 related to certain spaces of the leased premises which were intended to sublease.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26, 2020, the Board adopted the Omnibus Plan. The Omnibus Plan provides for potential grants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Phantom Units.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spacing w:after="0" w:line="106"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During the second quarter of 2024, the Company issued PRSUs which will vest in annual tranches over a three-year service period. Total PRSUs earned for grants made in 2024 may vary between 0% and 150% of the PRSUs granted based on the attainment of company specific-performance targets during the related performance period and continued service. During the year ended December 31, 2023, the Company issued PRSUs, which were recommended by the Compensation Committee of the Board and approved by the full Board. The service vesting condition for one of the issued awards is one year. Each of the remaining PRSUs will vest in annual tranches over a three-year service period. Total PRSUs earned for grants made in 2023 may vary between 0% and 200% of the PRSUs granted based on the attainment of company-specific performance targets during the related performance period and continued service. All of the PRSUs earned will be settled through the issuance of an equivalent number of shares of the Company’s common stock based on the payout level achieved.</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Company issued market-based RSUs, which were approved by the Board. These awards will vest over the performance period which commenced on June 20, 2024, and will conclude on April 1, 2027. The vesting is based on the attainment of an average 30-day closing price of the applicable stock price threshold of the Company’s common stock at any time during the performance period and subject to continuous employment through the vesting dates.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Number of Eligible Market-Based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Satisfaction of Minimum Service</w:t>
            </w:r>
          </w:p>
        </w:tc>
        <w:tc>
          <w:tcPr>
            <w:tcW w:w="0" w:type="dxa"/>
            <w:vAlign w:val="bottom"/>
          </w:tcPr>
          <w:p>
            <w:pPr>
              <w:spacing w:after="0"/>
              <w:rPr>
                <w:sz w:val="1"/>
                <w:szCs w:val="1"/>
                <w:color w:val="auto"/>
              </w:rPr>
            </w:pPr>
          </w:p>
        </w:tc>
      </w:tr>
      <w:tr>
        <w:trPr>
          <w:trHeight w:val="233"/>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Tranche</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 Price Target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Requirement</w:t>
            </w:r>
          </w:p>
        </w:tc>
        <w:tc>
          <w:tcPr>
            <w:tcW w:w="0" w:type="dxa"/>
            <w:vAlign w:val="bottom"/>
          </w:tcPr>
          <w:p>
            <w:pPr>
              <w:spacing w:after="0"/>
              <w:rPr>
                <w:sz w:val="1"/>
                <w:szCs w:val="1"/>
                <w:color w:val="auto"/>
              </w:rPr>
            </w:pPr>
          </w:p>
        </w:tc>
      </w:tr>
      <w:tr>
        <w:trPr>
          <w:trHeight w:val="25"/>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$15.11</w:t>
            </w:r>
          </w:p>
        </w:tc>
        <w:tc>
          <w:tcPr>
            <w:tcW w:w="80" w:type="dxa"/>
            <w:vAlign w:val="bottom"/>
            <w:shd w:val="clear" w:color="auto" w:fill="CCEEFF"/>
          </w:tcPr>
          <w:p>
            <w:pPr>
              <w:spacing w:after="0"/>
              <w:rPr>
                <w:sz w:val="18"/>
                <w:szCs w:val="18"/>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110,295</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25"/>
        </w:trPr>
        <w:tc>
          <w:tcPr>
            <w:tcW w:w="27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w:t>
            </w:r>
          </w:p>
        </w:tc>
        <w:tc>
          <w:tcPr>
            <w:tcW w:w="0" w:type="dxa"/>
            <w:vAlign w:val="bottom"/>
          </w:tcPr>
          <w:p>
            <w:pPr>
              <w:spacing w:after="0"/>
              <w:rPr>
                <w:sz w:val="1"/>
                <w:szCs w:val="1"/>
                <w:color w:val="auto"/>
              </w:rPr>
            </w:pPr>
          </w:p>
        </w:tc>
      </w:tr>
      <w:tr>
        <w:trPr>
          <w:trHeight w:val="111"/>
        </w:trPr>
        <w:tc>
          <w:tcPr>
            <w:tcW w:w="27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17.61</w:t>
            </w:r>
          </w:p>
        </w:tc>
        <w:tc>
          <w:tcPr>
            <w:tcW w:w="80" w:type="dxa"/>
            <w:vAlign w:val="bottom"/>
          </w:tcPr>
          <w:p>
            <w:pPr>
              <w:spacing w:after="0"/>
              <w:rPr>
                <w:sz w:val="19"/>
                <w:szCs w:val="19"/>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25"/>
        </w:trPr>
        <w:tc>
          <w:tcPr>
            <w:tcW w:w="2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October 1, 2025</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20.11</w:t>
            </w:r>
          </w:p>
        </w:tc>
        <w:tc>
          <w:tcPr>
            <w:tcW w:w="80" w:type="dxa"/>
            <w:vAlign w:val="bottom"/>
            <w:shd w:val="clear" w:color="auto" w:fill="CCEEFF"/>
          </w:tcPr>
          <w:p>
            <w:pPr>
              <w:spacing w:after="0"/>
              <w:rPr>
                <w:sz w:val="19"/>
                <w:szCs w:val="19"/>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Service through and including July 1,</w:t>
            </w:r>
          </w:p>
        </w:tc>
        <w:tc>
          <w:tcPr>
            <w:tcW w:w="0" w:type="dxa"/>
            <w:vAlign w:val="bottom"/>
          </w:tcPr>
          <w:p>
            <w:pPr>
              <w:spacing w:after="0"/>
              <w:rPr>
                <w:sz w:val="1"/>
                <w:szCs w:val="1"/>
                <w:color w:val="auto"/>
              </w:rPr>
            </w:pPr>
          </w:p>
        </w:tc>
      </w:tr>
      <w:tr>
        <w:trPr>
          <w:trHeight w:val="125"/>
        </w:trPr>
        <w:tc>
          <w:tcPr>
            <w:tcW w:w="27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40" w:type="dxa"/>
            <w:vAlign w:val="bottom"/>
            <w:vMerge w:val="restart"/>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11"/>
        </w:trPr>
        <w:tc>
          <w:tcPr>
            <w:tcW w:w="27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7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22.61</w:t>
            </w:r>
          </w:p>
        </w:tc>
        <w:tc>
          <w:tcPr>
            <w:tcW w:w="80" w:type="dxa"/>
            <w:vAlign w:val="bottom"/>
          </w:tcPr>
          <w:p>
            <w:pPr>
              <w:spacing w:after="0"/>
              <w:rPr>
                <w:sz w:val="19"/>
                <w:szCs w:val="19"/>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 through and including April</w:t>
            </w:r>
          </w:p>
        </w:tc>
        <w:tc>
          <w:tcPr>
            <w:tcW w:w="0" w:type="dxa"/>
            <w:vAlign w:val="bottom"/>
          </w:tcPr>
          <w:p>
            <w:pPr>
              <w:spacing w:after="0"/>
              <w:rPr>
                <w:sz w:val="1"/>
                <w:szCs w:val="1"/>
                <w:color w:val="auto"/>
              </w:rPr>
            </w:pPr>
          </w:p>
        </w:tc>
      </w:tr>
      <w:tr>
        <w:trPr>
          <w:trHeight w:val="125"/>
        </w:trPr>
        <w:tc>
          <w:tcPr>
            <w:tcW w:w="2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1, 2027</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additional grants have other vesting periods approved by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71"/>
        </w:trPr>
        <w:tc>
          <w:tcPr>
            <w:tcW w:w="6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Restricted stock unit activity was as follows during the periods indicated: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03"/>
        </w:trPr>
        <w:tc>
          <w:tcPr>
            <w:tcW w:w="4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3"/>
        </w:trPr>
        <w:tc>
          <w:tcPr>
            <w:tcW w:w="4320" w:type="dxa"/>
            <w:vAlign w:val="bottom"/>
          </w:tcPr>
          <w:p>
            <w:pPr>
              <w:spacing w:after="0"/>
              <w:rPr>
                <w:sz w:val="20"/>
                <w:szCs w:val="20"/>
                <w:color w:val="auto"/>
              </w:rPr>
            </w:pPr>
          </w:p>
        </w:tc>
        <w:tc>
          <w:tcPr>
            <w:tcW w:w="452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r>
      <w:tr>
        <w:trPr>
          <w:trHeight w:val="25"/>
        </w:trPr>
        <w:tc>
          <w:tcPr>
            <w:tcW w:w="43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1"/>
        </w:trPr>
        <w:tc>
          <w:tcPr>
            <w:tcW w:w="4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Weighted Average Grant</w:t>
            </w:r>
          </w:p>
        </w:tc>
        <w:tc>
          <w:tcPr>
            <w:tcW w:w="2400" w:type="dxa"/>
            <w:vAlign w:val="bottom"/>
          </w:tcPr>
          <w:p>
            <w:pPr>
              <w:spacing w:after="0"/>
              <w:rPr>
                <w:sz w:val="18"/>
                <w:szCs w:val="18"/>
                <w:color w:val="auto"/>
              </w:rPr>
            </w:pPr>
          </w:p>
        </w:tc>
      </w:tr>
      <w:tr>
        <w:trPr>
          <w:trHeight w:val="233"/>
        </w:trPr>
        <w:tc>
          <w:tcPr>
            <w:tcW w:w="4320" w:type="dxa"/>
            <w:vAlign w:val="bottom"/>
          </w:tcPr>
          <w:p>
            <w:pPr>
              <w:spacing w:after="0"/>
              <w:rPr>
                <w:sz w:val="20"/>
                <w:szCs w:val="20"/>
                <w:color w:val="auto"/>
              </w:rPr>
            </w:pPr>
          </w:p>
        </w:tc>
        <w:tc>
          <w:tcPr>
            <w:tcW w:w="21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Date Fair Value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Restricted Stock Units</w:t>
            </w:r>
          </w:p>
        </w:tc>
      </w:tr>
      <w:tr>
        <w:trPr>
          <w:trHeight w:val="26"/>
        </w:trPr>
        <w:tc>
          <w:tcPr>
            <w:tcW w:w="43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r>
      <w:tr>
        <w:trPr>
          <w:trHeight w:val="24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9,149,767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6,502,057</w:t>
            </w:r>
          </w:p>
        </w:tc>
      </w:tr>
      <w:tr>
        <w:trPr>
          <w:trHeight w:val="25"/>
        </w:trPr>
        <w:tc>
          <w:tcPr>
            <w:tcW w:w="4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5"/>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 performance-based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509,824</w:t>
            </w:r>
          </w:p>
        </w:tc>
      </w:tr>
      <w:tr>
        <w:trPr>
          <w:trHeight w:val="24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 market-based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5"/>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(2,484,984)</w:t>
            </w:r>
          </w:p>
        </w:tc>
      </w:tr>
      <w:tr>
        <w:trPr>
          <w:trHeight w:val="24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(3,323,594)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(2,142,130)</w:t>
            </w:r>
          </w:p>
        </w:tc>
      </w:tr>
      <w:tr>
        <w:trPr>
          <w:trHeight w:val="25"/>
        </w:trPr>
        <w:tc>
          <w:tcPr>
            <w:tcW w:w="43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8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15,207,584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12,762,335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3"/>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r>
      <w:tr>
        <w:trPr>
          <w:trHeight w:val="25"/>
        </w:trPr>
        <w:tc>
          <w:tcPr>
            <w:tcW w:w="4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1"/>
        </w:trPr>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 Grant</w:t>
            </w:r>
          </w:p>
        </w:tc>
        <w:tc>
          <w:tcPr>
            <w:tcW w:w="2400" w:type="dxa"/>
            <w:vAlign w:val="bottom"/>
          </w:tcPr>
          <w:p>
            <w:pPr>
              <w:spacing w:after="0"/>
              <w:rPr>
                <w:sz w:val="18"/>
                <w:szCs w:val="18"/>
                <w:color w:val="auto"/>
              </w:rPr>
            </w:pPr>
          </w:p>
        </w:tc>
      </w:tr>
      <w:tr>
        <w:trPr>
          <w:trHeight w:val="233"/>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20" w:type="dxa"/>
            <w:vAlign w:val="bottom"/>
          </w:tcPr>
          <w:p>
            <w:pPr>
              <w:spacing w:after="0"/>
              <w:rPr>
                <w:sz w:val="20"/>
                <w:szCs w:val="20"/>
                <w:color w:val="auto"/>
              </w:rPr>
            </w:pPr>
          </w:p>
        </w:tc>
        <w:tc>
          <w:tcPr>
            <w:tcW w:w="168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5"/>
              </w:rPr>
              <w:t>Date Fair Value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r>
      <w:tr>
        <w:trPr>
          <w:trHeight w:val="25"/>
        </w:trPr>
        <w:tc>
          <w:tcPr>
            <w:tcW w:w="4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1800" w:type="dxa"/>
            <w:vAlign w:val="bottom"/>
            <w:tcBorders>
              <w:bottom w:val="single" w:sz="8" w:color="CCEEFF"/>
            </w:tcBorders>
            <w:gridSpan w:val="2"/>
            <w:shd w:val="clear" w:color="auto" w:fill="CCEEFF"/>
          </w:tcPr>
          <w:p>
            <w:pPr>
              <w:jc w:val="right"/>
              <w:ind w:right="14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34.55</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r>
      <w:tr>
        <w:trPr>
          <w:trHeight w:val="240"/>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(327,564)</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35.93</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(439,168)</w:t>
            </w:r>
          </w:p>
        </w:tc>
      </w:tr>
      <w:tr>
        <w:trPr>
          <w:trHeight w:val="25"/>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5"/>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12.39</w:t>
            </w:r>
          </w:p>
        </w:tc>
        <w:tc>
          <w:tcPr>
            <w:tcW w:w="1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r>
      <w:tr>
        <w:trPr>
          <w:trHeight w:val="25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34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408,415</w:t>
            </w: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55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71"/>
        </w:trPr>
        <w:tc>
          <w:tcPr>
            <w:tcW w:w="4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Options activity was as follows during the period indicated:</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03"/>
        </w:trPr>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3"/>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r>
      <w:tr>
        <w:trPr>
          <w:trHeight w:val="25"/>
        </w:trPr>
        <w:tc>
          <w:tcPr>
            <w:tcW w:w="4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11"/>
        </w:trPr>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 Average Exercise</w:t>
            </w:r>
          </w:p>
        </w:tc>
        <w:tc>
          <w:tcPr>
            <w:tcW w:w="2400" w:type="dxa"/>
            <w:vAlign w:val="bottom"/>
          </w:tcPr>
          <w:p>
            <w:pPr>
              <w:spacing w:after="0"/>
              <w:rPr>
                <w:sz w:val="18"/>
                <w:szCs w:val="18"/>
                <w:color w:val="auto"/>
              </w:rPr>
            </w:pPr>
          </w:p>
        </w:tc>
      </w:tr>
      <w:tr>
        <w:trPr>
          <w:trHeight w:val="233"/>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8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5"/>
        </w:trPr>
        <w:tc>
          <w:tcPr>
            <w:tcW w:w="4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1800" w:type="dxa"/>
            <w:vAlign w:val="bottom"/>
            <w:tcBorders>
              <w:bottom w:val="single" w:sz="8" w:color="CCEEFF"/>
            </w:tcBorders>
            <w:gridSpan w:val="2"/>
            <w:shd w:val="clear" w:color="auto" w:fill="CCEEFF"/>
          </w:tcPr>
          <w:p>
            <w:pPr>
              <w:jc w:val="right"/>
              <w:ind w:right="14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r>
      <w:tr>
        <w:trPr>
          <w:trHeight w:val="240"/>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r>
      <w:tr>
        <w:trPr>
          <w:trHeight w:val="25"/>
        </w:trPr>
        <w:tc>
          <w:tcPr>
            <w:tcW w:w="466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5"/>
        </w:trPr>
        <w:tc>
          <w:tcPr>
            <w:tcW w:w="4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r>
      <w:tr>
        <w:trPr>
          <w:trHeight w:val="240"/>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5"/>
        </w:trPr>
        <w:tc>
          <w:tcPr>
            <w:tcW w:w="4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78"/>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251,564</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21.00</w:t>
            </w: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September 30,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5"/>
        </w:trPr>
        <w:tc>
          <w:tcPr>
            <w:tcW w:w="8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5"/>
        </w:trPr>
        <w:tc>
          <w:tcPr>
            <w:tcW w:w="884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8"/>
                <w:szCs w:val="18"/>
                <w:color w:val="auto"/>
              </w:rPr>
              <w:t>Aggregate intrinsic value (in millions)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r>
      <w:tr>
        <w:trPr>
          <w:trHeight w:val="23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 (in years)</w:t>
            </w: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6"/>
        </w:trPr>
        <w:tc>
          <w:tcPr>
            <w:tcW w:w="8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39"/>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280" w:type="dxa"/>
            <w:vAlign w:val="bottom"/>
          </w:tcPr>
          <w:p>
            <w:pPr>
              <w:spacing w:after="0"/>
              <w:rPr>
                <w:sz w:val="20"/>
                <w:szCs w:val="20"/>
                <w:color w:val="auto"/>
              </w:rPr>
            </w:pPr>
          </w:p>
        </w:tc>
        <w:tc>
          <w:tcPr>
            <w:tcW w:w="21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79"/>
        </w:trPr>
        <w:tc>
          <w:tcPr>
            <w:tcW w:w="8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43"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The aggregate intrinsic value of options outstanding and exercisable is zero, as all options are out of the money.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ESPP purchase was determined using the Black-Scholes option pricing model.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33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
        </w:trPr>
        <w:tc>
          <w:tcPr>
            <w:tcW w:w="45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
        </w:trPr>
        <w:tc>
          <w:tcPr>
            <w:tcW w:w="45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50.4%</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 years</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 years</w:t>
            </w: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0.5 years</w:t>
            </w:r>
          </w:p>
        </w:tc>
        <w:tc>
          <w:tcPr>
            <w:tcW w:w="1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0.5 years</w:t>
            </w:r>
          </w:p>
        </w:tc>
      </w:tr>
      <w:tr>
        <w:trPr>
          <w:trHeight w:val="25"/>
        </w:trPr>
        <w:tc>
          <w:tcPr>
            <w:tcW w:w="4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5.4%</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5"/>
        </w:trPr>
        <w:tc>
          <w:tcPr>
            <w:tcW w:w="4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unit</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$6.72</w:t>
            </w:r>
          </w:p>
        </w:tc>
      </w:tr>
      <w:tr>
        <w:trPr>
          <w:trHeight w:val="25"/>
        </w:trPr>
        <w:tc>
          <w:tcPr>
            <w:tcW w:w="45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Company withheld $0.8 million and $3.5 million worth of ESPP contributions for the three and nine months ended September 30, 2024, respectively, on behalf of participating employees through payroll deductions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The Company withheld $1.5 million and $5.9 million worth of ESPP contributions for the three and nine months ended September 30, 2023, respectively, on behalf of participating employees through payroll deductions. The Company purchased 0 and 248,742 shares of Common Stock under the ESPP for the three and nine months ended September 30, 2024. The Company purchased 0 and 181,931 shares of Common Stock under the ESPP for the three and nine months ended September 30, 2023. The Company recognized $0.4 million and $1.6 million of equity-based compensation expense related to the ESPP for the three and nine months ended September 30, 2024. The Company recognized $0.7 million and $2.7 million of equity-based compensation expense related to the ESPP for the three and nine months ended September 30,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the HSKB Phantom Units, refer to Note 15 — Equity-based Compensation in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September 30, 2024, unamortized equity-based compensation costs related to each equity-based incentive award described above is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HSKB Phantom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unamortized equity-based compensation cost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Service</w:t>
            </w:r>
          </w:p>
        </w:tc>
      </w:tr>
      <w:tr>
        <w:trPr>
          <w:trHeight w:val="233"/>
        </w:trPr>
        <w:tc>
          <w:tcPr>
            <w:tcW w:w="320" w:type="dxa"/>
            <w:vAlign w:val="bottom"/>
          </w:tcPr>
          <w:p>
            <w:pPr>
              <w:spacing w:after="0"/>
              <w:rPr>
                <w:sz w:val="20"/>
                <w:szCs w:val="20"/>
                <w:color w:val="auto"/>
              </w:rPr>
            </w:pPr>
          </w:p>
        </w:tc>
        <w:tc>
          <w:tcPr>
            <w:tcW w:w="14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(in years)</w:t>
            </w:r>
          </w:p>
        </w:tc>
      </w:tr>
      <w:tr>
        <w:trPr>
          <w:trHeight w:val="25"/>
        </w:trPr>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3"/>
        </w:trPr>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65"/>
        </w:trPr>
        <w:tc>
          <w:tcPr>
            <w:tcW w:w="3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3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r>
      <w:tr>
        <w:trPr>
          <w:trHeight w:val="25"/>
        </w:trPr>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8"/>
        </w:trPr>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TRAs, refer to Note 17 - Tax Receivable Agreements in our 2023 Form 10-K.</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As of September 30, 2024 and December 31, 2023, the Company had a liability of $2,794.9 million and $2,818.0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 agreements liability, net of current portion</w:t>
      </w:r>
      <w:r>
        <w:rPr>
          <w:rFonts w:ascii="Times New Roman" w:cs="Times New Roman" w:eastAsia="Times New Roman" w:hAnsi="Times New Roman"/>
          <w:sz w:val="18"/>
          <w:szCs w:val="18"/>
          <w:color w:val="auto"/>
        </w:rPr>
        <w:t>, respectively.</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No payment was made to TRA holders pursuant to the TRA during the three months ended September 30, 2024 and 2023. During the three months ended September 30, 2024, we recognized a TRA measurement loss of $0.7 million, principally due to updates to tax attributes, net of movement in our blended state tax rate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our Consolidated Statements of Operations. During the three months ended September 30, 2023, we recognized a TRA measurement gain of $2.6 million, principally due to updates to tax attributes and movements in our blended state tax rate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our Consolidated Statements of Operations.</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During the nine months ended September 30, 2024, $31.6 million was paid to TRA holders pursuant to the TRA. No payment was made during the nine months ended September 30, 2023. During the nine months ended September 30, 2024, we recognized a TRA measurement loss of $9.9 million, principally due to revaluation for the blended state tax rate, an increase to the cumulative liability due to TRA Holders resulting from a reduction in the management allocation percent withheld, and interest expense accrued on the current portion of the TRA liability, within </w:t>
      </w: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xml:space="preserve"> on our Consolidated Statements of Operations. During the nine months ended September 30, 2023, we recognized a TRA measurement gain of $13.8 million, principally due to updates to tax attributes and movements in our blended state tax rate, within </w:t>
      </w: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xml:space="preserve"> on our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Company’s provision for income taxes for both the three and nine months ended September 30, 2024 and 2023 was based on our projected annual effective tax rate for fiscal year 2024 and 2023, respectively, adjusted for specific items that are required to be recognized in the period in which they occur.</w:t>
      </w:r>
    </w:p>
    <w:p>
      <w:pPr>
        <w:spacing w:after="0" w:line="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inclusive of items specific to the period, for the three months ended September 30, 2024 and 2023 was 31.7% and 49.0%, respectively. The Company recorded income tax expense of $11.1 million and income tax expense of $29.0 million for the three months ended September 30, 2024 and 2023, respectively.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inclusive of items specific to the period, for the nine months ended September 30, 2024 and 2023 was 63.4% and 38.1%, respectively. The Company recorded income tax expense of $25.3 million and $69.3 million for the nine months ended September 30, 2024 and 2023, respectively.</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projected 2024 annual effective tax rate differed from the U.S. federal statutory rate of 21.0% due to U.S. state taxes, foreign taxes and non-deductible equity compensation expense, offset by research and development credits. Further, the Company’s annual effective tax rate included period specific costs associated with shortfalls in tax-deductible equity compensation compared to amounts recognized in our financial accounts, prior year research and development credits, and effects of changes in state tax law and apportionment.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gross liabilities for unrecognized tax benefits, which are reflected as a reduction of deferred tax assets, were $15.0 million and $12.6 million as of September 30, 2024 and December 31, 2023, respectively. No interest or penalties are accrued with respect to the unrecognized tax benefits. If the unrecognized tax benefits as of September 30, 2024 were recognized, the entire balance would impact the effective tax rate. It is not anticipated any of the unrecognized tax benefit will be recognized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has evaluated subsequent events from September 30, 2024 through the date the financial statement was available to be issued and has determined there are no material subsequent events that require disclosure other than those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23, 2024, a putative class action lawsuit was filed against Datanyze, LLC in the United States District Court for the Northern District of California alleging Datanyze’s use of individuals’ names in a free trial violates the right of publicity statutes in the states of California, Nevada, Indiana, and Alabama, and seeking statutory damages, costs, and attorneys’ fees. The Company intends to vigorously defend against this lawsuit.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Waltham Lease Restructuring Amendment</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5, 2024, the Company executed an amendment to our Waltham Lease Restructuring agreement (“Amended Waltham Lease Restructuring”). Refer to Note 11 - Leases for further information regarding the Waltham Lease Restructuring. Pursuant to the amendment, the Company agreed to lease 71,239 rentable square feet of separate office space in Waltham, Massachusetts with the same landlord in place of certain remaining lease components which constitute 74,479 rentable square feet of the existing space, whereby the existing space terminated immediately upon execution. As of September 30, 2024 the Company had operating lease liabilities of $1.4 million and right-of-use assets of $18.9 million associated with these components, as well as $13.1 million in prepaid rent resulting from the accounting treatment of the termination fee to a leased space which had not commenced as of the execution date. The Company expects to derecognize the associated assets and lease liabilities of the existing space during the fourth quarter of 2024. The remaining components which were not impacted by the amendment will terminate on December 31, 2024. Related to the Amended Waltham Lease Restructuring, the Company expects rent payments to commence in the first quarter of 2025. The lease ends on December 31, 2025, and undiscounted lease payments are anticipated to be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included in our 2023 Form 10-K, the information included under “Management’s Discussion and Analysis of Financial Condition and Results of Operations” in Part II, Item 7 of our 2023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2023 Form 10-K. Numerical figures included in this Form 10-Q have been subject to rounding adjustments. Accordingly, numerical figures shown as totals in various tables may not be arithmetic aggregations of the figures that precede them.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cloud-based platform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 in the right way.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defines the modern go-to-market technology stack across three distinct layers that build upon each other:</w:t>
      </w:r>
    </w:p>
    <w:p>
      <w:pPr>
        <w:spacing w:after="0" w:line="164" w:lineRule="exact"/>
        <w:rPr>
          <w:sz w:val="20"/>
          <w:szCs w:val="20"/>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Intelligence Layer is the foundation of our data-driven strategy. Our best-in-class data, curated through first- and third-party sources, includes billions of data points about companies and contacts, such as intent, hierarchy, location, and financial information.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Engagement Layer allows sales, marketing, operations, and recruiting professionals to put data-driven insights into action to identify and communicate with prospects and customers. In ZoomInfo Sales, frontline teams, managers, and leaders use Engage for multi-touch and multi-channel sales engagement, as well as Chorus for call and web meeting recording, transcription, insight generation, and coaching. In ZoomInfo Marketing, marketers drive awareness, lead generation, and deal acceleration campaigns through account-based marketing, advertising, and onsite conversion optimization solutions, along with ZoomInfo Chat for intelligent onsite experiences through live conversation and chatbots. In ZoomInfo Talent, recruiters and talent acquisition professionals access a platform that helps them efficiently find candidates. Recruiters can filter and reach more good-fit candidates, use pipeline management tools to collaborate and organize the hiring process, and automate the candidate outreach process. In ZoomInfo Operations, our sales operations customers use a suite of products, services, and solutions to ingest, match, enrich, and connect data feeds into multiple systems.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45% of customer contracts (based on annualized value) are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each product edition. Our paid products are ZoomInfo Sales, ZoomInfo Marketing, ZoomInfo Operations, and ZoomInfo Talent (with add-on options for some products). Additionally, customers can gain free access to ZoomInfo through ZoomInfo Lite (formerly Community Edition).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 Factors - Geopolitical Risks” in Part I, Item 1A of our 2023 Form 10-K for further discussion of the possible impact of these issues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Waltham Lease Restructuring</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July 2024, the Company executed an agreement to restructure its existing lease commitments in Waltham, Massachusetts. Pursuant to the agreement, the Company made a payment of $59.1 million. The Company also executed a new lease agreement for separate office space in Waltham, Massachusetts with the same landlord, with rent payments expected to commence in the fourth quarter of 2025. The lease will terminate on December 31, 2038. See Note 11 - Leases for further information regarding these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Share Repurchase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an accelerated share repurchase agreement (the “ASR Transaction”) with a financial institution to repurchase an aggregate $125.0 million of the Company’s common stock. The Company repurchased and retired in total 12,431,216 shares for $125.0 million at an average price of $10.06 per share as part of the ASR Transaction. See Note 1 - Business, Basis of Presentation, and Summary of Significant Accounting Policies for further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85% as of September 30, 2024. In the near term, we expect our net retention rate to be impacted by macroeconomic conditions. See section "Recent Developments</w:t>
      </w:r>
    </w:p>
    <w:p>
      <w:pPr>
        <w:jc w:val="both"/>
        <w:ind w:firstLine="6"/>
        <w:spacing w:after="0" w:line="248" w:lineRule="auto"/>
        <w:tabs>
          <w:tab w:leader="none" w:pos="1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more than $100,000 in ACV. As of September 30, 2024, we had 1,809 customers with over $100,000 in ACV.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historical results of operations are not comparable from period to period and may not be comparable to our financial results of operations in future periods. Set forth below is a brief discussion of the key factor impacting the comparability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the Mix of Our Customer Base and Reducing Write-offs and Bad Debts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second quarter of 2024, we deployed a new business risk model to flag and require upfront pre-payment from prospects at the greatest risk of non-payment. This process was incorporated to mitigate the risk of future write-offs and invest in the long-term health of the Company. Concurrently, our efforts have shifted to customers more likely to pay, renew, and grow with us over time.</w:t>
      </w:r>
    </w:p>
    <w:p>
      <w:pPr>
        <w:spacing w:after="0" w:line="1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As a result, we recorded an incremental charge during the second quarter of 2024 impacting our reported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charge represents a revision to our reserves for uncollectible accounts receivable, made up primarily of historical transactions with our SMB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from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support and operations of our services and research teams including salaries, benefits, equity-based compensation, and related expenses, such as employer taxes, allocated overhead for facilities, technology, third-party hosting fees, third-party data costs, and amortization of internally developed capitalized software.</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anticipate continued investment in cost of service, with cost of service as a percentage of revenue expected to remain consistent or modestly increase.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driven by rising AI consumption costs and customer onboarding expenses as we migrate existing customers to Copilot and acquire and onboard new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Copilot customers.</w:t>
      </w:r>
    </w:p>
    <w:p>
      <w:pPr>
        <w:spacing w:after="0" w:line="143"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and restructuring and transaction-related expenses. We anticipate that restructuring and transaction-related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 Refer to Note 11 - Leases for further information.</w:t>
      </w:r>
    </w:p>
    <w:p>
      <w:pPr>
        <w:spacing w:after="0" w:line="1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spacing w:after="0" w:line="1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spacing w:after="0" w:line="12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Refer to Note 11 - Leases for further information. We also incur charges associated with litigation settlements, such as the Class Action settlement previously disclosed, which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losses related to debt modification and extinguishment will only occur if we extinguish indebtedness before the contractual repayment dates or amend our existing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consists primarily of the revaluation of TRA liabilities, investment income, and foreign currency realized and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related to the impact of transactions denominated in a foreign currency.</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the corporate income tax rates and the Company’s state tax footprint could lead to substantial revaluations of the TRA liability recorded through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section below for further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if carryback is permitted under the law, and prudent and feasible tax planning strategies. A valuation allowance is established if it is more likely than not that all or a portion of the deferred tax asset will not be realized.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significant U.S. deferred tax assets, including deferred tax assets created by various historical restructuring events. The preponderance of our deferred tax assets have long lives or are otherwise indefinite. We regularly review whether it is more likely than not that our U.S. deferred tax assets will be realizable. As of September 30, 2024, a valuation allowance continues to be recorded against certain state-level attributes.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on the Consolidated Statements of Operations.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have regularly taken tax positions, including with respect to our various corporate events and restructurings in the ordinary course of determining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recognize the tax benefit of an uncertain tax position only if it is more likely than not the position is sustainable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8"/>
          <w:szCs w:val="18"/>
          <w:i w:val="1"/>
          <w:iCs w:val="1"/>
          <w:color w:val="auto"/>
        </w:rPr>
        <w:t>Provision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the period in which we make the change, which could have a material impact on our effective tax rate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three and nine months ended September 30, 2024 and 2023: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923.1</w:t>
            </w:r>
          </w:p>
        </w:tc>
        <w:tc>
          <w:tcPr>
            <w:tcW w:w="0" w:type="dxa"/>
            <w:vAlign w:val="bottom"/>
          </w:tcPr>
          <w:p>
            <w:pPr>
              <w:spacing w:after="0"/>
              <w:rPr>
                <w:sz w:val="1"/>
                <w:szCs w:val="1"/>
                <w:color w:val="auto"/>
              </w:rPr>
            </w:pPr>
          </w:p>
        </w:tc>
      </w:tr>
      <w:tr>
        <w:trPr>
          <w:trHeight w:val="24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4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5"/>
        </w:trPr>
        <w:tc>
          <w:tcPr>
            <w:tcW w:w="3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269.0</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789.2</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65"/>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65"/>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39"/>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6"/>
        </w:trPr>
        <w:tc>
          <w:tcPr>
            <w:tcW w:w="3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160" w:type="dxa"/>
            <w:vAlign w:val="bottom"/>
            <w:tcBorders>
              <w:bottom w:val="single" w:sz="8" w:color="6D6D6D"/>
            </w:tcBorders>
          </w:tcPr>
          <w:p>
            <w:pPr>
              <w:spacing w:after="0"/>
              <w:rPr>
                <w:sz w:val="2"/>
                <w:szCs w:val="2"/>
                <w:color w:val="auto"/>
              </w:rPr>
            </w:pPr>
          </w:p>
        </w:tc>
        <w:tc>
          <w:tcPr>
            <w:tcW w:w="1140" w:type="dxa"/>
            <w:vAlign w:val="bottom"/>
            <w:tcBorders>
              <w:bottom w:val="single" w:sz="8" w:color="6D6D6D"/>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8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6D6D6D"/>
            </w:tcBorders>
          </w:tcPr>
          <w:p>
            <w:pPr>
              <w:spacing w:after="0"/>
              <w:rPr>
                <w:sz w:val="2"/>
                <w:szCs w:val="2"/>
                <w:color w:val="auto"/>
              </w:rPr>
            </w:pPr>
          </w:p>
        </w:tc>
        <w:tc>
          <w:tcPr>
            <w:tcW w:w="1160" w:type="dxa"/>
            <w:vAlign w:val="bottom"/>
            <w:tcBorders>
              <w:bottom w:val="single" w:sz="8" w:color="6D6D6D"/>
            </w:tcBorders>
            <w:gridSpan w:val="2"/>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140" w:type="dxa"/>
            <w:vAlign w:val="bottom"/>
            <w:tcBorders>
              <w:bottom w:val="single" w:sz="8" w:color="6D6D6D"/>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940" w:type="dxa"/>
            <w:vAlign w:val="bottom"/>
            <w:tcBorders>
              <w:bottom w:val="single" w:sz="8" w:color="6D6D6D"/>
            </w:tcBorders>
          </w:tcPr>
          <w:p>
            <w:pPr>
              <w:spacing w:after="0"/>
              <w:rPr>
                <w:sz w:val="2"/>
                <w:szCs w:val="2"/>
                <w:color w:val="auto"/>
              </w:rPr>
            </w:pPr>
          </w:p>
        </w:tc>
        <w:tc>
          <w:tcPr>
            <w:tcW w:w="42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600.2</w:t>
            </w:r>
          </w:p>
        </w:tc>
        <w:tc>
          <w:tcPr>
            <w:tcW w:w="0" w:type="dxa"/>
            <w:vAlign w:val="bottom"/>
          </w:tcPr>
          <w:p>
            <w:pPr>
              <w:spacing w:after="0"/>
              <w:rPr>
                <w:sz w:val="1"/>
                <w:szCs w:val="1"/>
                <w:color w:val="auto"/>
              </w:rPr>
            </w:pPr>
          </w:p>
        </w:tc>
      </w:tr>
      <w:tr>
        <w:trPr>
          <w:trHeight w:val="23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Amounts include equity-based compensation expense, as follows: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3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8"/>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36.6</w:t>
            </w: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$303.6 million for the three months ended September 30, 2024, a decrease of $10.2 million, or 3%, as compared to $313.8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2023. The decrease was primarily due to elevated write-off levels resulting from the operational changes implemented during the second quarter of 2024. Refer to the Factors Affecting the Comparability of Our Results of Operations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Cost of service. </w:t>
      </w:r>
      <w:r>
        <w:rPr>
          <w:rFonts w:ascii="Times New Roman" w:cs="Times New Roman" w:eastAsia="Times New Roman" w:hAnsi="Times New Roman"/>
          <w:sz w:val="17"/>
          <w:szCs w:val="17"/>
          <w:color w:val="auto"/>
        </w:rPr>
        <w:t>Cost of service was $47.3 million for the three months ended September 30, 2024, an increase of $2.5 million, or 6%,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$44.8 million for the three months ended September 30, 2023. Excluding equity-based compensation expense, cost of service was $44.6 million for three months ended September 30, 2024, an increase of $4.1 million, or 10%, as compared to $40.5 million for three months ended September 30, 2023, primarily due to charges incurred related to lease restructuring activities, amortization expense on internally developed capitalized software, and hosting fees.</w:t>
      </w:r>
    </w:p>
    <w:p>
      <w:pPr>
        <w:spacing w:after="0" w:line="11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three months ended September 30, 2024 was $256.3 million and represented a gross margin of 84%. Gross profit for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$269.0 million and represented a gross margin of 86%. The decrease in gross profit in the three months ended September 30, 2024 relative to the three months ended September 30, 2023 was $12.7 million, or 5%, primarily due to lower revenues, as described above, increased lease restructuring activities and increased amortization expense on internally developed capitalized software.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$212.8 million for the three months ended September 30, 2024, an increase of $6.9 million, or 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$205.9 million for the three months ended September 30, 2023. Excluding equity-based compensation expense, operating expenses were $178.9 million for the three months ended September 30, 2024, an increase of $11.6 million, or 7%, as compared to $167.3 million for the three months ended September 30, 2023.</w:t>
      </w:r>
    </w:p>
    <w:p>
      <w:pPr>
        <w:spacing w:after="0" w:line="126" w:lineRule="exact"/>
        <w:rPr>
          <w:sz w:val="20"/>
          <w:szCs w:val="20"/>
          <w:color w:val="auto"/>
        </w:rPr>
      </w:pPr>
    </w:p>
    <w:p>
      <w:pPr>
        <w:jc w:val="both"/>
        <w:ind w:left="640" w:hanging="316"/>
        <w:spacing w:after="0" w:line="25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for the three months ended September 30, 2024 was $99.1 million, representing a decrease of $3.3 million, or 3%, as compared to $102.4 million for the three months ended September 30, 2023. Sales and marketing, excluding equity-based compensation expense, for the three months ended September 30, 2024 was $86.8 million, representing an increase of $1.9 million, or 2%, as compared to $84.9 million for the three months ended September 30, 2023, primarily due to charges incurred related to lease restructuring activities, partially offset by decreased compensation costs.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three months ended September 30, 2024 was $47.7 million representing an increase of $0.1 million, or less than 1%, as compared to $47.6 million for the three months ended September 30, 2023. Research and development, excluding equity-based compensation expense, for the three months ended September 30, 2024 was $37.2 million, representing an increase of $1.3 million, or 4%, as compared to $35.9 million for the three months ended September 30, 2023, primarily driven by charges related to lease restructuring activities, contractors, and employee benefits. These were partially offset by lower compensation costs due to increased capitalization from greater investments in product development.</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for the three months ended September 30, 2024 was $60.6 million representing an increase of $10.1 million, or 20%, as compared to $50.5 million for the three months ended September 30, 2023. General and administrative, excluding equity-based compensation expense, for the three months ended September 30, 2024 was $49.5 million, representing an increase of $8.4 million, or 20%, as compared to $41.1 million for the three months ended September 30, 2023, primarily due to charges incurred related to lease impairment and lease restructuring activities, as well as increased compensation costs.</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$5.4 million for the three months ended September 30, 2024, flat as compared to $5.4 million for the three months ended September 30, 2023.</w:t>
      </w:r>
    </w:p>
    <w:p>
      <w:pPr>
        <w:spacing w:after="0" w:line="10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expense. </w:t>
      </w:r>
      <w:r>
        <w:rPr>
          <w:rFonts w:ascii="Times New Roman" w:cs="Times New Roman" w:eastAsia="Times New Roman" w:hAnsi="Times New Roman"/>
          <w:sz w:val="18"/>
          <w:szCs w:val="18"/>
          <w:color w:val="auto"/>
        </w:rPr>
        <w:t>Equity-based compensation expense was $36.6 million for the three months ended September 30, 2024,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$6.3 million, or 15%, as compared to $42.9 million for the three months ended September 30, 2023, due to lower weighted average grant date fair values of grants being amortized in the current period compared to those that were amortized in the prior year and higher capitalization of equity-based compensation, partially offset by decreased termination expense reversals.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was $43.5 million for the three months ended September 30, 2024, a decrease of $19.6 million, or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income from operations of $63.1 million for the three months ended September 30, 2023. The decrease is primarily due to charges incurred related to lease impairment and lease restructuring activities and the lower revenue as described above. Operating income margin was 14% for three months ended September 30, 2024 as compared to operating income margin of 20% for the three months ended September 30, 2023.</w:t>
      </w:r>
    </w:p>
    <w:p>
      <w:pPr>
        <w:spacing w:after="0" w:line="12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$1.0 million for the three months ended September 30, 2024, which primarily consists of $2.2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income partially offset by $0.7 million of TRA remeasurement loss, as compared to other income of $8.0 million for the three months ended September 30, 2023, which primarily consists of $6.7 million of investment income.</w:t>
      </w:r>
    </w:p>
    <w:p>
      <w:pPr>
        <w:spacing w:after="0" w:line="12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$9.6 million for the three months ended September 30, 2024, a decrease of $2.3 million, or 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$11.9 million for the three months ended September 30, 2023, primarily due to both lower interest rates and higher interest income.</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Company is subject to income taxes in the United States and various foreign jurisdictions. Provision for income taxes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2024 was $11.1 million, representing an effective tax rate of 31.7%, as compared to provision for income taxes of $29.0 million, representing an effective tax rate of 49.0%, for the three months ended September 30, 2023. The effective tax rate differed from the U.S. federal statutory rate of 21.0% due to non-deductible equity compensation costs, U.S. state taxes, foreign taxes, partially offset by research and development credits. Refer to Note 14 - Income Taxes of our unaudited consolidated financial statements included in Part I, Item 1 of this Form 10-Q for additional information related to the components of our income tax provision.</w:t>
      </w:r>
    </w:p>
    <w:p>
      <w:pPr>
        <w:spacing w:after="0" w:line="13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$23.8 million for three months ended September 30, 2024, a decrease of $6.4 million or 21%, as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$30.2 million for the three months ended September 30, 2023. The decrease was primarily due to costs incurred related to lease impairment charges and lease restructuring activities and the lower revenue as described above, partially offset by lower income tax expense.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and 2023</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was $905.2 million for the nine months ended September 30, 2024, a decrease of $17.9 million, or 2%, as compared to $923.1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2023. The decrease was primarily due to the change in accounting estimate in the second quarter of 2024 resulting in reduced revenues of $15.3 million.</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$136.6 million for the nine months ended September 30, 2024, an increase of $2.7 million, or 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$133.9 million for the nine months ended September 30, 2023. Excluding equity-based compensation expense, cost of service was $128.7 million for nine months ended September 30, 2024, an increase of $6.6 million, or 5%, as compared to $122.1 million for nine months ended September 30, 2023, primarily due to charges incurred related to lease restructuring activities, amortization expense on internally developed capitalized software, and hosting fees.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nine months ended September 30, 2024 was $768.6 million and represented a gross margin of 85%. Gross profit for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$789.2 million and represented a gross margin of 85%. The decrease in gross profit in the nine months ended September 30, 2024 relative to the nine months ended September 30, 2023 was $20.6 million, or 3%, primarily due to lower revenues, as described above, and increased amortization expense on internally developed capitalized software, charges incurred related to lease restructuring activities, and hosting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$702.1 million for the nine months ended September 30, 2024, an increase of $101.9 million, or 17%,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$600.2 million for the nine months ended September 30, 2023. Excluding equity-based compensation expense, operating expenses were $605.8 million for the nine months ended September 30, 2024, an increase of $120.7 million, or 25%, as compared to $485.1 million for the nine months ended September 30, 2023.</w:t>
      </w:r>
    </w:p>
    <w:p>
      <w:pPr>
        <w:spacing w:after="0" w:line="126" w:lineRule="exact"/>
        <w:rPr>
          <w:sz w:val="20"/>
          <w:szCs w:val="20"/>
          <w:color w:val="auto"/>
        </w:rPr>
      </w:pPr>
    </w:p>
    <w:p>
      <w:pPr>
        <w:jc w:val="both"/>
        <w:ind w:left="640" w:hanging="316"/>
        <w:spacing w:after="0" w:line="252"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for the nine months ended September 30, 2024 was $299.2 million, representing a decrease of $10.9 million, or 4%, as compared to $310.1 million for the nine months ended September 30, 2023. Sales and marketing, excluding equity-based compensation expense, for the nine months ended September 30, 2024 was $261.1 million, representing an increase of $5.6 million, or 2%, as compared to $255.5 million for the nine months ended September 30, 2023, primarily due to charges incurred related to lease restructuring activities, and increased expenses relating to marketing, facilities, and employee-related benefits, offset by decreased compensation costs.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nine months ended September 30, 2024 was $139.7 million representing a decrease of $3.5 million, or 2%, as compared to $143.2 million for the nine months ended September 30, 2023. Research and development, excluding equity-based compensation expense, for the nine months ended September 30, 2024 was $110.2 million, an increase of $1.0 million, or 1%, compared to $109.2 million for the nine months ended September 30, 2023.</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for the nine months ended September 30, 2024 was $247.0 million representing an increase of $116.6 million, or 89%, as compared to $130.4 million for the nine months ended September 30, 2023. General and administrative, excluding equity-based compensation expense, for the nine months ended September 30, 2024 was $218.3 million, representing an increase of $114.4 million, or 110%, as compared to $103.9 million for the nine months ended September 30, 2023, primarily due to lease impairment and abandonment charges, lease restructuring activities, charges incurred related to the Class Actions (See Note 9 - Commitments and Contingencies for further information), and incremental bad debt expense resulting from the change in accounting estimate.</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$16.2 million, representing a decrease of $0.3 million, or 2%, for the nine months ended September 30, 2024 as compared to $16.5 million for the nine months ended September 30, 2023.</w:t>
      </w:r>
    </w:p>
    <w:p>
      <w:pPr>
        <w:spacing w:after="0" w:line="10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expense. </w:t>
      </w:r>
      <w:r>
        <w:rPr>
          <w:rFonts w:ascii="Times New Roman" w:cs="Times New Roman" w:eastAsia="Times New Roman" w:hAnsi="Times New Roman"/>
          <w:sz w:val="18"/>
          <w:szCs w:val="18"/>
          <w:color w:val="auto"/>
        </w:rPr>
        <w:t>Equity-based compensation expense was $104.2 million for the nine months ended September 30, 2024,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$22.7 million, or 18%, as compared to $126.9 million for the nine months ended September 30, 2023, due to lower weighted average grant date fair values of grants being amortized in the current period compared to those that were amortized in the prior year and higher capitalization of equity-based compensation, partially offset by decreased termination expense reversals.</w:t>
      </w:r>
    </w:p>
    <w:p>
      <w:pPr>
        <w:spacing w:after="0" w:line="12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was $66.5 million for the nine months ended September 30, 2024, a decrease of $122.5 million, or 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$189.0 million for the nine months ended September 30, 2023. The decrease was primarily due to lease impairment and abandonment charges, lease restructuring activities, and costs incurred related to the Class Actions, as well as the change in accounting estimate of collectibility of accounts receivable. Operating income margin was 7% for the nine months ended September 30, 2024 as compared to 20% for the nine months ended September 30, 2023.</w:t>
      </w:r>
    </w:p>
    <w:p>
      <w:pPr>
        <w:spacing w:after="0" w:line="128"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Other income was $3.5 million for the nine months ended September 30, 2024, which primarily consists of $9.5 million of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and $1.4 million of foreign currency gain, mostly offset by $9.9 million of TRA remeasurement loss, as compared to other income of $29.1 million for the nine months ended September 30, 2023, which primarily consists of $13.8 million of TRA remeasurement gain and $17.2 million of investment income.</w:t>
      </w:r>
    </w:p>
    <w:p>
      <w:pPr>
        <w:spacing w:after="0" w:line="10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$29.5 million for the nine months ended September 30, 2024, a decrease of $4.3 million, or 13%,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$33.8 million for the nine months ended September 30, 2023, primarily due to both lower interest rates and higher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Company is subject to income taxes in the United States and various foreign jurisdictions. Provision for income taxes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was $25.3 million, representing an effective tax rate of 63.4%, as compared to provision for income taxes of $69.3 million, representing an effective tax rate of 38.1%, for the nine months ended September 30, 2023. The decrease in income tax expense was primarily due to a reduction in income before taxes. The effective tax rate differed from the U.S. federal statutory rate of 21.0% due to non-deductible equity compensation costs, U.S. state taxes foreign taxes, partially offset by research and development credits. Refer to Note 14 - Income Taxes of our unaudited consolidated financial statements included in Part I, Item 1 of this Form 10-Q for additional information related to the components of our income tax provision.</w:t>
      </w:r>
    </w:p>
    <w:p>
      <w:pPr>
        <w:spacing w:after="0" w:line="134"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was $14.5 million for nine months ended September 30, 2024, a decrease of $98.3 million or 87%, as compared to net income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$112.8 million for the nine months ended September 30, 2023. The decrease was primarily due to lease impairment and abandonment charges, lease restructuring activities, charges incurred related to the Class Actions, and impacts resulting from revising our estimates of collectibility of accounts receivable.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define Adjusted Operating Income as income (loss) from operations adjusted for, as applicable, (i) the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the litigation settlement related to the Class Actions previously disclosed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2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define Adjusted Net Income as net income (loss) adjusted for, as applicable,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legal settlement, (viii) TRA liability remeasurement (benefit) expense, (ix) other (income) loss, net and (x)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1"/>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(GAAP)</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189.0</w:t>
            </w:r>
          </w:p>
        </w:tc>
      </w:tr>
      <w:tr>
        <w:trPr>
          <w:trHeight w:val="21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r>
      <w:tr>
        <w:trPr>
          <w:trHeight w:val="239"/>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r>
      <w:tr>
        <w:trPr>
          <w:trHeight w:val="26"/>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126.9</w:t>
            </w:r>
          </w:p>
        </w:tc>
      </w:tr>
      <w:tr>
        <w:trPr>
          <w:trHeight w:val="265"/>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r>
      <w:tr>
        <w:trPr>
          <w:trHeight w:val="265"/>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(Non-GAAP)</w:t>
            </w: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372.1</w:t>
            </w:r>
          </w:p>
        </w:tc>
      </w:tr>
      <w:tr>
        <w:trPr>
          <w:trHeight w:val="25"/>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4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905.2</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923.1</w:t>
            </w:r>
          </w:p>
        </w:tc>
      </w:tr>
      <w:tr>
        <w:trPr>
          <w:trHeight w:val="25"/>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r>
      <w:tr>
        <w:trPr>
          <w:trHeight w:val="198"/>
        </w:trPr>
        <w:tc>
          <w:tcPr>
            <w:tcW w:w="4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Revenue for adjusted operating margin calculation (Non-</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905.2</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923.4</w:t>
            </w:r>
          </w:p>
        </w:tc>
      </w:tr>
      <w:tr>
        <w:trPr>
          <w:trHeight w:val="26"/>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2"/>
        </w:trPr>
        <w:tc>
          <w:tcPr>
            <w:tcW w:w="4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 Margin (GAAP)</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5"/>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
        </w:trPr>
        <w:tc>
          <w:tcPr>
            <w:tcW w:w="4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49"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and nine months ended September 30, 2024, this expense is primarily related to lease impairment and abandonment charges as well as lease restructuring activities. For the three and nine months ended September 30, 2023, this expense is primarily related to costs associated with a June 2023 reduction in force, and impairment charges related to the Ra’anana office and other offices.</w:t>
      </w:r>
    </w:p>
    <w:p>
      <w:pPr>
        <w:ind w:left="320" w:hanging="314"/>
        <w:spacing w:after="0" w:line="266"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nine months ended September 30, 2024, these charges are related to costs incurred due to the Class Actions. See Note 9 - Commitments and Contingencies for further information.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Operating Income for the three months ended September 30, 2024 was $111.7 million and represented an Adjusted Operating Income Margin of 37%. Adjusted Operating Income for the three months ended September 30, 2023 was $126.2 million and represented an Adjusted Operating Income Margin of 40%. The decrease of $14.5 million, or 11%, in Adjusted Operating Income was primarily due to the lower revenues in the current period as described above.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Operating Income for the nine months ended September 30, 2024 was $312.6 million and represented an Adjusted Operating Income Margin of 35%. Adjusted Operating Income for the nine months ended September 30, 2023 was $372.1 million and represented an Adjusted Operating Income Margin of 40%. The decrease of $59.5 million, or 16%, in Adjusted Operating Income was primarily due to the change in accounting estimate of collectibility of accounts receivable resulting in both reduced revenues as well as incremental bad debt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Net Income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4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17"/>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5"/>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impacts of adjustments to net income</w:t>
            </w:r>
            <w:r>
              <w:rPr>
                <w:rFonts w:ascii="Times New Roman" w:cs="Times New Roman" w:eastAsia="Times New Roman" w:hAnsi="Times New Roman"/>
                <w:sz w:val="22"/>
                <w:szCs w:val="22"/>
                <w:color w:val="auto"/>
                <w:vertAlign w:val="superscript"/>
              </w:rPr>
              <w:t>(4)</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5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311.0</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49"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and nine months ended September 30, 2024, this expense is primarily related to lease impairment and abandonment charges as well as lease restructuring activities. For the three and nine months ended September 30, 2023, this expense is primarily related to costs associated with a June 2023 reduction in force, and impairment charges related to the Ra’anana office and other offices.</w:t>
      </w:r>
    </w:p>
    <w:p>
      <w:pPr>
        <w:ind w:left="320" w:hanging="314"/>
        <w:spacing w:after="0" w:line="250"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nine months ended September 30, 2024, these charges related to costs incurred due to the Class Actions. See Note 9 - Commitments and Contingencies for further information.</w:t>
      </w:r>
    </w:p>
    <w:p>
      <w:pPr>
        <w:ind w:left="320" w:hanging="314"/>
        <w:spacing w:after="0" w:line="249"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GAAP Net income excluded from Adjusted Net Income (Non-GAAP). This includes the tax effects associated with equity compensation, remeasurement of deferred tax assets for the effect of state law changes, and TRA liability remeasurement.</w:t>
      </w:r>
    </w:p>
    <w:p>
      <w:pPr>
        <w:spacing w:after="0" w:line="13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Net Income for the three months ended September 30, 2024 was $103.7 million compared to $105.0 million, representing a decrease of $1.3 million, or 1%, relative to the three months ended September 30, 2023. This decrease was primarily due to the lower Adjusted Operating Income in the current period as described above, mostly offset by the decrease in tax expense.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Net Income for the nine months ended September 30, 2024 was $270.2 million compared to $311.0 million, representing a decrease of $40.8 million, or 13%, relative to the nine months ended September 30, 2023. This decrease was primarily due to the change in accounting estimate of collectibility of accounts receivable resulting in both reduced revenues as well as increased bad debt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as applicable, including other (income) expense, net, loss on debt modification and extinguishment, impact of certain non-cash items, such as fair value adjustments to acquired unearned revenue and equity-based compensation, restructuring and transaction-related expenses, integration costs and acquisition-related compensation, and legal settlement.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4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2"/>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4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4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5"/>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7"/>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6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5"/>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5"/>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51"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nine ended September 30, 2024 exclude the accelerated depreciation associated with the Waltham Lease Restructuring. Refer to Note 4 - Property and Equipment and Note 11 - Leases for further information.</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TRA liability and investment income.</w:t>
      </w:r>
    </w:p>
    <w:p>
      <w:pPr>
        <w:spacing w:after="0" w:line="5"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9"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three and nine months ended September 30, 2024, this expense is primarily related to lease impairment and abandonment charges as well as lease restructuring activities. For the three and nine months ended September 30, 2023, this expense is primarily related to costs associated with a June 2023 reduction in force, and impairment charges related to the Ra’anana office and other offices.</w:t>
      </w:r>
    </w:p>
    <w:p>
      <w:pPr>
        <w:ind w:left="320" w:hanging="314"/>
        <w:spacing w:after="0" w:line="266"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nine months ended September 30, 2024, these charges related to costs incurred due to the Class Actions. See Note 9 -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2024 was $118.0 million, a decrease of $13.1 million, or 10%, relative to the three months ended September 30, 2023. This decrease was primarily due to the lower revenues in the current period as described above.</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for the nine months ended September 30, 2024 was $329.9 million, a decrease of $56.7 million, or 15%, relative to the nine months ended September 30, 2023. This decrease was primarily due to the change in accounting estimate of collectibility of accounts receivable resulting in both reduced revenues as well as increased bad debt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2024, we had $147.7 million of cash and cash equivalents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September 30, 2024, we had unearned revenue of $419.2 million, of which $417.0 million was recorded as a current liability and is expected to be recorded as revenue in the next 12 months, provided all other revenue recognition criteria have been met.</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2023 Form 10-K.</w:t>
      </w:r>
    </w:p>
    <w:p>
      <w:pPr>
        <w:sectPr>
          <w:pgSz w:w="11900" w:h="16838" w:orient="portrait"/>
          <w:cols w:equalWidth="0" w:num="1">
            <w:col w:w="11240"/>
          </w:cols>
          <w:pgMar w:left="320" w:top="280"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206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65"/>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65"/>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5"/>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5"/>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2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was $260.4 million for the nine months ended September 30, 2024 as a result of net income of $14.5 million, adjusted by non-cash charges of $335.5 million and the net change in our operating and liabilities of $89.6 million. The non-cash charges are primarily comprised of equity-based compensation of $104.2 million, depreciation and amortization of $63.3 million, asset impairments and lease abandonment charges of $57.4 million, amortization of deferred commission costs of $49.5 million, provision for bad debt expense of $39.3 million, a decrease in deferred tax assets net of deferred tax liabilities of $11.0 million, and TRA remeasurement of $9.9 million. The net change in operating assets and liabilities was primarily the result of a decrease in accrued expenses and other liabilities of $64.7 million, an increase in deferred costs and other assets of $30.4 million, a decrease in unearned revenue of $22.6 million, an increase in prepaid and other current expenses of $21.1 million, and a decrease in accounts payable of $17.6 million, partially offset by a decrease in accounts receivable of $69.7 million.</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operations was $306.1 million for the nine months ended September 30, 2023 as a result of net income of $112.8 million, adjusted by non-cash charges of $330.5 million and the net change in our operating assets and liabilities of $137.2 million. The non-cash charges are primarily comprised of equity-based compensation of $126.9 million, a decrease in deferred tax assets net of deferred tax liabilities of $68.5 million, depreciation and amortization of $60.5 million, amortization of deferred commission costs of $57.2 million, and provision for bad debt expense of $22.0 million, partially offset by TRA remeasurement of $13.8 million. The net change in operating assets and liabilities was primarily the result of an increase in deferred costs and other assets of $53.0 million, a decrease in accrued expenses and other liabilities of $27.6 million, an increase in accounts receivable of $17.7 million, a decrease in unearned revenue of $16.8 million, and a decrease in accounts payable of $15.2 million.</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2024, and 2023, we incurred the following cash expenditures:</w:t>
      </w:r>
    </w:p>
    <w:p>
      <w:pPr>
        <w:spacing w:after="0" w:line="17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33020</wp:posOffset>
            </wp:positionV>
            <wp:extent cx="206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65"/>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30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 payments</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60" w:lineRule="exact"/>
        <w:rPr>
          <w:sz w:val="20"/>
          <w:szCs w:val="20"/>
          <w:color w:val="auto"/>
        </w:rPr>
      </w:pPr>
    </w:p>
    <w:p>
      <w:pPr>
        <w:jc w:val="both"/>
        <w:ind w:left="320" w:hanging="314"/>
        <w:spacing w:after="0" w:line="256"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acquisition or disposal activities, including employee severance and termination benefits, contract termination fees and penalties, and other exit or disposal costs. For the nine months ended September 30, 2024, these payments related primarily to Waltham lease restructuring charges. For the nine months ended September 30, 2023, these payments related primarily to a June 2023 reduction in force, legal costs paid related to 2021 and 2022 acquisitions, and Waltham sublease costs.</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integration activities for acquisitions and acquisition-related compensation, which includes transaction bonuses and retention awards. For the nine months ended September 30, 2024, these payments related to deferred compensation from the acquisition of Insent. For the nine months ended September 30, 2023, these payments related to retention compensation from the Insent acquisition.</w:t>
      </w:r>
    </w:p>
    <w:p>
      <w:pPr>
        <w:spacing w:after="0" w:line="1" w:lineRule="exact"/>
        <w:rPr>
          <w:rFonts w:ascii="Times New Roman" w:cs="Times New Roman" w:eastAsia="Times New Roman" w:hAnsi="Times New Roman"/>
          <w:sz w:val="16"/>
          <w:szCs w:val="16"/>
          <w:color w:val="auto"/>
        </w:rPr>
      </w:pPr>
    </w:p>
    <w:p>
      <w:pPr>
        <w:ind w:left="320" w:hanging="314"/>
        <w:spacing w:after="0" w:line="266"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associated with legal settlements and associated legal fees. For the nine months ended September 30, 2024, these payments related to legal costs incurred due to the Class Actions. See Note 9 - Commitments and Contingencies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$36.8 million, primarily consisting of maturities of short-term investments of $82.2 million, partially offset by purchases of property and equipment and other assets of $41.5 million and payments of initial direct costs of $3.4 million.</w:t>
      </w:r>
    </w:p>
    <w:p>
      <w:pPr>
        <w:spacing w:after="0" w:line="12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2023 was $11.1 million, consisting of purchases of short-term investments of $145.0 million, purchases of property and equipment and other assets of $17.6 million, offset by maturities of short-term investments of $151.5 million.</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was $596.8 million and primarily comprised of payments relating to the repurchase of common stock of $542.6 million, TRA payments of $31.6 million, and payments of taxes related to net share settlement of equity awards of $18.1 million.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Net cash used in financing activities for the nine months ended September 30, 2023 was $266.6 million, comprised of payments relating to the repurchase of common stock of $247.0 million, payments of taxes related to net share settlement of equity awards of $17.0 million, repayment of debt of $4.5 million, payments of debt issuance and modification costs of $2.7 million, and payments of deferred consideration of $0.4 million, partially offset by proceeds from issuance of common stock under the employee stock purchase plan of $4.6 million, and proceeds from exercise of stock options of $0.4 million.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6 - Financing Arrangements of our consolidated financial statements for additional information related to each of our borrowings.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September 30, 2024, the aggregate remaining balance of $650.0 million of 3.875% Senior Notes is due, in its entirety, at the contractual maturity date of February 1, 2029. Interest on the Senior Notes is payable semi-annually in arrears beginning on August 1, 2021. As of September 30, 2024, the Company has a remaining balance of $589.6 million with respect to its first lien term loans. The Company is obligated to make principal payments each quarter in the amount of 0.25% of the aggregate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SOFR plus an applicable rate. The applicable rate is 0.75% for Base Rate loans or 1.75% for SOFR loans. The effective interest rate on the first lien debt was 7.24% and 7.83%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first lien revolving credit facility, which had no amount outstanding as of September 30, 2024,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cash equivalents, and restricted cash, divided by trailing twelve months Adjusted EBITDA. Adjusted EBITDA for the 12 months ended September 30, 2024 was $461.6 million. Our total net leverage ratio to Adjusted EBITDA as of September 30, 2024 was 2.3x.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cash equivalents, and restricted cash</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6"/>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September 30, 2024 was $482.4 million. Our consolidated first lien net leverage ratio as of September 30, 2024 was 0.9x.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top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cash equivalents, and restricted cash, divided by trailing twelve months Cash EBITDA. Cash EBITDA for the 12 months ended September 30, 2024 was $482.4 million. Our total net leverage ratio to Cash EBITDA as of September 30, 2024 was 2.2x.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cash equivalents, and restricted cash</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18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8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6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6"/>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rent adjustment</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EBITDA (Non-GAAP)</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TRA liability and investment income.</w:t>
      </w:r>
    </w:p>
    <w:p>
      <w:pPr>
        <w:spacing w:after="0" w:line="7" w:lineRule="exact"/>
        <w:rPr>
          <w:rFonts w:ascii="Times New Roman" w:cs="Times New Roman" w:eastAsia="Times New Roman" w:hAnsi="Times New Roman"/>
          <w:sz w:val="16"/>
          <w:szCs w:val="16"/>
          <w:color w:val="auto"/>
        </w:rPr>
      </w:pPr>
    </w:p>
    <w:p>
      <w:pPr>
        <w:jc w:val="both"/>
        <w:ind w:left="320" w:hanging="314"/>
        <w:spacing w:after="0" w:line="251"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trailing twelve months ended September 30, 2024, this expense related primarily to lease restructuring, impairment and abandonment charges.</w:t>
      </w:r>
    </w:p>
    <w:p>
      <w:pPr>
        <w:spacing w:after="0" w:line="1" w:lineRule="exact"/>
        <w:rPr>
          <w:rFonts w:ascii="Times New Roman" w:cs="Times New Roman" w:eastAsia="Times New Roman" w:hAnsi="Times New Roman"/>
          <w:sz w:val="16"/>
          <w:szCs w:val="16"/>
          <w:color w:val="auto"/>
        </w:rPr>
      </w:pPr>
    </w:p>
    <w:p>
      <w:pPr>
        <w:ind w:left="320" w:hanging="314"/>
        <w:spacing w:after="0" w:line="249"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trailing twelve months ended September 30, 2024, these charges related to costs incurred due to the Class Actions. See Note 9 - Commitments and Contingencies for further information.</w:t>
      </w:r>
    </w:p>
    <w:p>
      <w:pPr>
        <w:spacing w:after="0" w:line="13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increased by $23.9 million, or 136%, to $41.5 million for nine months ended September 30, 2024 compared to the nine months ended September 30, 2023, as a result of increased expenditures related to new facilities and increased capitalization of development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 refer to Note 17 - Tax Receivable Agreements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2024, the Company had a liability of $2,794.9 million related to its projected obligations under the TRA. During the nine months ended September 30, 2024, $31.6 million was paid to TRA holders pursuant to the TRA. During the nine months ended September 30, 2023, no payment was made pursuant to the TRA.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2024, we had additional operating leases for office space that have not yet commenced with anticipated undiscounted future lease payments of $72.6 million. In July 2024, the Company executed a termination agreement with the landlord. Pursuant to the amended lease agreement with respect to Waltham, Massachusetts, the Company made a payment of $59.1 million. Refer to Note 11 - Leases of the notes to our unaudited consolidated financial statements included elsewhere in this Quarterly Report on Form 10-Q.</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2023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2023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our 2023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operating results are subject to market risk from interest rate fluctuations on our first lien term loan, which bears a variable interest rate based on SOFR. As of September 30, 2024, the total principal balance outstanding was $589.6 million. We have implemented a hedging strategy to mitigate the interest rate risk by entering into certain derivative instruments (refer to Note 6 - Financing Arrangements of our consolidated financial statements included in Part I, Item 1 of this Form 10-Q). Based on the outstanding balances and interest rates of our debt as of September 30, 2024, a hypothetical relative increase or decrease in our effective interest rate by 100 basis points or 1% would have caused an immaterial corresponding change over the next 12 months.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September 30, 2024, all cash flow hedging relationships are designated as accounting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may use foreign exchange forward contracts or other financial instruments from time to time. In the second quarter of 2024, the Company initiated a foreign currency hedging program (see Note 7 - Derivatives and Hedging Activities). This program aimed to mitigate potential adverse effects on our financial results from significant currency movements.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Chief Executive Officer (principal executive officer) and Interim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September 30, 2024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Interim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jc w:val="both"/>
        <w:ind w:firstLine="318"/>
        <w:spacing w:after="0" w:line="306" w:lineRule="auto"/>
        <w:rPr>
          <w:sz w:val="20"/>
          <w:szCs w:val="20"/>
          <w:color w:val="auto"/>
        </w:rPr>
      </w:pPr>
      <w:r>
        <w:rPr>
          <w:rFonts w:ascii="Times New Roman" w:cs="Times New Roman" w:eastAsia="Times New Roman" w:hAnsi="Times New Roman"/>
          <w:sz w:val="17"/>
          <w:szCs w:val="17"/>
          <w:color w:val="auto"/>
        </w:rPr>
        <w:t xml:space="preserve">For a description of certain legal and regulatory proceedings, please read “Legal Matters” in </w:t>
      </w:r>
      <w:r>
        <w:rPr>
          <w:rFonts w:ascii="Times New Roman" w:cs="Times New Roman" w:eastAsia="Times New Roman" w:hAnsi="Times New Roman"/>
          <w:sz w:val="17"/>
          <w:szCs w:val="17"/>
          <w:i w:val="1"/>
          <w:iCs w:val="1"/>
          <w:color w:val="auto"/>
        </w:rPr>
        <w:t>Note 9 - Commitments and Contingencies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15 -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Subsequent Events </w:t>
      </w:r>
      <w:r>
        <w:rPr>
          <w:rFonts w:ascii="Times New Roman" w:cs="Times New Roman" w:eastAsia="Times New Roman" w:hAnsi="Times New Roman"/>
          <w:sz w:val="17"/>
          <w:szCs w:val="17"/>
          <w:color w:val="auto"/>
        </w:rPr>
        <w:t>to our unaudited consolidated financial statements included in Part I, Item 1 of this Form 10-Q, which is incorporated herein by reference.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2023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2023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Maximum Number (or</w:t>
            </w:r>
          </w:p>
        </w:tc>
      </w:t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20" w:type="dxa"/>
            <w:vAlign w:val="bottom"/>
          </w:tcPr>
          <w:p>
            <w:pPr>
              <w:spacing w:after="0"/>
              <w:rPr>
                <w:sz w:val="18"/>
                <w:szCs w:val="18"/>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that May Yet be Purchased</w:t>
            </w:r>
          </w:p>
        </w:tc>
      </w:tr>
      <w:tr>
        <w:trPr>
          <w:trHeight w:val="209"/>
        </w:trPr>
        <w:tc>
          <w:tcPr>
            <w:tcW w:w="1920" w:type="dxa"/>
            <w:vAlign w:val="bottom"/>
          </w:tcPr>
          <w:p>
            <w:pPr>
              <w:spacing w:after="0"/>
              <w:rPr>
                <w:sz w:val="18"/>
                <w:szCs w:val="18"/>
                <w:color w:val="auto"/>
              </w:rPr>
            </w:pP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Paid Per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Under the Plan or Programs (in</w:t>
            </w:r>
          </w:p>
        </w:tc>
      </w:tr>
      <w:tr>
        <w:trPr>
          <w:trHeight w:val="262"/>
        </w:trPr>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r>
      <w:tr>
        <w:trPr>
          <w:trHeight w:val="26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2024</w:t>
            </w:r>
            <w:r>
              <w:rPr>
                <w:rFonts w:ascii="Times New Roman" w:cs="Times New Roman" w:eastAsia="Times New Roman" w:hAnsi="Times New Roman"/>
                <w:sz w:val="22"/>
                <w:szCs w:val="22"/>
                <w:color w:val="auto"/>
                <w:vertAlign w:val="superscript"/>
              </w:rPr>
              <w:t>(3)</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20,580,812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20,577,430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65"/>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2024</w:t>
            </w:r>
            <w:r>
              <w:rPr>
                <w:rFonts w:ascii="Times New Roman" w:cs="Times New Roman" w:eastAsia="Times New Roman" w:hAnsi="Times New Roman"/>
                <w:sz w:val="22"/>
                <w:szCs w:val="22"/>
                <w:color w:val="auto"/>
                <w:vertAlign w:val="superscript"/>
              </w:rPr>
              <w:t>(3)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23"/>
                <w:szCs w:val="23"/>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58"/>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24,491,277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24,478,696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20"/>
        </w:trPr>
        <w:tc>
          <w:tcPr>
            <w:tcW w:w="19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51"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8"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2023, the Board authorized a program to repurchase the Company’s common stock (the “Share Repurchase Program”). The total authorizations in 2023 and 2024 were $600.0 million and $500.0 million, respectively, of which $157.2 million remained available and authorized for repurchases as of September 30,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2" w:lineRule="exact"/>
        <w:rPr>
          <w:rFonts w:ascii="Times New Roman" w:cs="Times New Roman" w:eastAsia="Times New Roman" w:hAnsi="Times New Roman"/>
          <w:sz w:val="16"/>
          <w:szCs w:val="16"/>
          <w:color w:val="auto"/>
        </w:rPr>
      </w:pPr>
    </w:p>
    <w:p>
      <w:pPr>
        <w:jc w:val="both"/>
        <w:ind w:left="320" w:hanging="314"/>
        <w:spacing w:after="0" w:line="254"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2024, the Company entered into an accelerated share repurchase agreement (the “ASR Transaction”) to repurchase an aggregate of $125.0 million of the Company’s common stock (“Common Stock”). In August 2024, the Company received an initial delivery of 10,277,492 shares of the Company’s common stock. The ASR Transaction was settled in September 2024, resulting in the additional delivery of 2,153,724 shares of the Company’s common stock. The Company repurchased in total 12,431,216 million of shares for $125.0 million as part of the ASR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28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0" w:type="dxa"/>
            <w:vAlign w:val="bottom"/>
            <w:gridSpan w:val="17"/>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8"/>
              </w:rPr>
              <w:t>Report or Registration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980" w:type="dxa"/>
            <w:vAlign w:val="bottom"/>
          </w:tcPr>
          <w:p>
            <w:pPr>
              <w:jc w:val="center"/>
              <w:ind w:left="144"/>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12"/>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600" w:type="dxa"/>
            <w:vAlign w:val="bottom"/>
            <w:gridSpan w:val="17"/>
            <w:vMerge w:val="continue"/>
          </w:tcPr>
          <w:p>
            <w:pPr>
              <w:spacing w:after="0"/>
              <w:rPr>
                <w:sz w:val="18"/>
                <w:szCs w:val="18"/>
                <w:color w:val="auto"/>
              </w:rPr>
            </w:pPr>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7"/>
              </w:rPr>
              <w:t>Statement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980" w:type="dxa"/>
            <w:vAlign w:val="bottom"/>
          </w:tcPr>
          <w:p>
            <w:pPr>
              <w:jc w:val="center"/>
              <w:ind w:left="144"/>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3.1</w:t>
            </w:r>
          </w:p>
        </w:tc>
        <w:tc>
          <w:tcPr>
            <w:tcW w:w="51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Second Amended and Restated Certificate of Incorporation of ZoomInfo Technologies Inc.</w:t>
              </w:r>
            </w:hyperlink>
          </w:p>
        </w:tc>
        <w:tc>
          <w:tcPr>
            <w:tcW w:w="440" w:type="dxa"/>
            <w:vAlign w:val="bottom"/>
            <w:gridSpan w:val="7"/>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 filed May 19, 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5"/>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3.2</w:t>
            </w:r>
          </w:p>
        </w:tc>
        <w:tc>
          <w:tcPr>
            <w:tcW w:w="358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Amended and Restated Bylaws of ZoomInfo Technologies Inc.</w:t>
              </w:r>
            </w:hyperlink>
          </w:p>
        </w:tc>
        <w:tc>
          <w:tcPr>
            <w:tcW w:w="2020" w:type="dxa"/>
            <w:vAlign w:val="bottom"/>
            <w:gridSpan w:val="13"/>
          </w:tcPr>
          <w:p>
            <w:pPr>
              <w:spacing w:after="0"/>
              <w:rPr>
                <w:sz w:val="17"/>
                <w:szCs w:val="17"/>
                <w:color w:val="auto"/>
              </w:rPr>
            </w:pPr>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10-Q filed October 30, 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5"/>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4.1</w:t>
            </w:r>
          </w:p>
        </w:tc>
        <w:tc>
          <w:tcPr>
            <w:tcW w:w="5600" w:type="dxa"/>
            <w:vAlign w:val="bottom"/>
            <w:gridSpan w:val="17"/>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Indenture, dated as of February 2, 2021, by and among ZoomInfo Technologies LLC, ZoomInfo</w:t>
              </w:r>
            </w:hyperlink>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440" w:type="dxa"/>
            <w:vAlign w:val="bottom"/>
            <w:tcBorders>
              <w:top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Finance Corp., the guarantors named on the signature pages thereto, and Wells Fargo National</w:t>
              </w:r>
            </w:hyperlink>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Association, as trustee</w:t>
              </w:r>
            </w:hyperlink>
          </w:p>
        </w:tc>
        <w:tc>
          <w:tcPr>
            <w:tcW w:w="4040" w:type="dxa"/>
            <w:vAlign w:val="bottom"/>
            <w:tcBorders>
              <w:top w:val="single" w:sz="8" w:color="0000FF"/>
            </w:tcBorders>
            <w:gridSpan w:val="11"/>
          </w:tcPr>
          <w:p>
            <w:pPr>
              <w:spacing w:after="0"/>
              <w:rPr>
                <w:sz w:val="13"/>
                <w:szCs w:val="13"/>
                <w:color w:val="auto"/>
              </w:rPr>
            </w:pPr>
          </w:p>
        </w:tc>
        <w:tc>
          <w:tcPr>
            <w:tcW w:w="280" w:type="dxa"/>
            <w:vAlign w:val="bottom"/>
            <w:gridSpan w:val="5"/>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4.2</w:t>
            </w:r>
          </w:p>
        </w:tc>
        <w:tc>
          <w:tcPr>
            <w:tcW w:w="5600" w:type="dxa"/>
            <w:vAlign w:val="bottom"/>
            <w:gridSpan w:val="17"/>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Supplemental Indenture, dated as of July 15, 2021, by and among ZoomInfo Technologies LLC,</w:t>
              </w:r>
            </w:hyperlink>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440" w:type="dxa"/>
            <w:vAlign w:val="bottom"/>
            <w:tcBorders>
              <w:top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ZoomInfo Finance Corp., the guarantors named on the signature pages thereto, and Wells Fargo</w:t>
              </w:r>
            </w:hyperlink>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National Association, as trustee</w:t>
              </w:r>
            </w:hyperlink>
          </w:p>
        </w:tc>
        <w:tc>
          <w:tcPr>
            <w:tcW w:w="3600" w:type="dxa"/>
            <w:vAlign w:val="bottom"/>
            <w:tcBorders>
              <w:top w:val="single" w:sz="8" w:color="0000FF"/>
            </w:tcBorders>
            <w:gridSpan w:val="12"/>
          </w:tcPr>
          <w:p>
            <w:pPr>
              <w:spacing w:after="0"/>
              <w:rPr>
                <w:sz w:val="13"/>
                <w:szCs w:val="13"/>
                <w:color w:val="auto"/>
              </w:rPr>
            </w:pPr>
          </w:p>
        </w:tc>
        <w:tc>
          <w:tcPr>
            <w:tcW w:w="200" w:type="dxa"/>
            <w:vAlign w:val="bottom"/>
            <w:gridSpan w:val="3"/>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rPr>
              <w:t>4.3</w:t>
            </w:r>
          </w:p>
        </w:tc>
        <w:tc>
          <w:tcPr>
            <w:tcW w:w="5600" w:type="dxa"/>
            <w:vAlign w:val="bottom"/>
            <w:gridSpan w:val="17"/>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Form of 3.875% Senior Note due 2029 (included in Exhibit 4.1)</w:t>
              </w:r>
            </w:hyperlink>
          </w:p>
        </w:tc>
        <w:tc>
          <w:tcPr>
            <w:tcW w:w="208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8-K filed July 15, 2021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8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w:t>
            </w:r>
          </w:p>
        </w:tc>
        <w:tc>
          <w:tcPr>
            <w:tcW w:w="5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Separation Agreement and Release, as Amended, effective October 8, 2024, between the</w:t>
            </w:r>
          </w:p>
        </w:tc>
        <w:tc>
          <w:tcPr>
            <w:tcW w:w="580" w:type="dxa"/>
            <w:vAlign w:val="bottom"/>
            <w:gridSpan w:val="9"/>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06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Company and Peter Cameron Hyzer</w:t>
            </w:r>
          </w:p>
        </w:tc>
        <w:tc>
          <w:tcPr>
            <w:tcW w:w="3540" w:type="dxa"/>
            <w:vAlign w:val="bottom"/>
            <w:gridSpan w:val="14"/>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+10.2†</w:t>
            </w:r>
          </w:p>
        </w:tc>
        <w:tc>
          <w:tcPr>
            <w:tcW w:w="4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Offer Letter dated September 6, 2024, between the Company and Graham O'Brien</w:t>
            </w:r>
          </w:p>
        </w:tc>
        <w:tc>
          <w:tcPr>
            <w:tcW w:w="940" w:type="dxa"/>
            <w:vAlign w:val="bottom"/>
            <w:gridSpan w:val="10"/>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8"/>
              </w:rPr>
              <w:t>+31.1</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w:t>
            </w: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420" w:type="dxa"/>
            <w:vAlign w:val="bottom"/>
            <w:tcBorders>
              <w:top w:val="single" w:sz="8" w:color="0000FF"/>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180" w:type="dxa"/>
            <w:vAlign w:val="bottom"/>
            <w:gridSpan w:val="2"/>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8"/>
              </w:rPr>
              <w:t>+31.2</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w:t>
            </w: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38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220" w:type="dxa"/>
            <w:vAlign w:val="bottom"/>
            <w:gridSpan w:val="4"/>
          </w:tcPr>
          <w:p>
            <w:pPr>
              <w:spacing w:after="0"/>
              <w:rPr>
                <w:sz w:val="13"/>
                <w:szCs w:val="13"/>
                <w:color w:val="auto"/>
              </w:rPr>
            </w:pP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+32.1*</w:t>
            </w:r>
          </w:p>
        </w:tc>
        <w:tc>
          <w:tcPr>
            <w:tcW w:w="5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w:t>
            </w:r>
          </w:p>
        </w:tc>
        <w:tc>
          <w:tcPr>
            <w:tcW w:w="460" w:type="dxa"/>
            <w:vAlign w:val="bottom"/>
            <w:gridSpan w:val="8"/>
          </w:tcPr>
          <w:p>
            <w:pPr>
              <w:spacing w:after="0"/>
              <w:rPr>
                <w:sz w:val="17"/>
                <w:szCs w:val="17"/>
                <w:color w:val="auto"/>
              </w:rPr>
            </w:pP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560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 the Sarbanes-Oxley Act of 2002.</w:t>
            </w:r>
          </w:p>
        </w:tc>
        <w:tc>
          <w:tcPr>
            <w:tcW w:w="2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+101.INS</w:t>
            </w:r>
          </w:p>
        </w:tc>
        <w:tc>
          <w:tcPr>
            <w:tcW w:w="52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360" w:type="dxa"/>
            <w:vAlign w:val="bottom"/>
            <w:gridSpan w:val="6"/>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+101.SCH</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9"/>
              </w:rPr>
              <w:t>+101.CAL</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+101.DEF</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9"/>
              </w:rPr>
              <w:t>+101.LAB</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27"/>
              <w:spacing w:after="0"/>
              <w:rPr>
                <w:sz w:val="20"/>
                <w:szCs w:val="20"/>
                <w:color w:val="auto"/>
              </w:rPr>
            </w:pPr>
            <w:r>
              <w:rPr>
                <w:rFonts w:ascii="Times New Roman" w:cs="Times New Roman" w:eastAsia="Times New Roman" w:hAnsi="Times New Roman"/>
                <w:sz w:val="14"/>
                <w:szCs w:val="14"/>
                <w:color w:val="auto"/>
                <w:w w:val="99"/>
              </w:rPr>
              <w:t>+101.PRE</w:t>
            </w:r>
          </w:p>
        </w:tc>
        <w:tc>
          <w:tcPr>
            <w:tcW w:w="56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00" w:hanging="610"/>
        <w:spacing w:after="0"/>
        <w:tabs>
          <w:tab w:leader="none" w:pos="10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93" w:lineRule="exact"/>
        <w:rPr>
          <w:rFonts w:ascii="Times New Roman" w:cs="Times New Roman" w:eastAsia="Times New Roman" w:hAnsi="Times New Roman"/>
          <w:sz w:val="14"/>
          <w:szCs w:val="14"/>
          <w:color w:val="auto"/>
        </w:rPr>
      </w:pPr>
    </w:p>
    <w:p>
      <w:pPr>
        <w:ind w:left="140" w:hanging="134"/>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64" w:lineRule="exact"/>
        <w:rPr>
          <w:sz w:val="20"/>
          <w:szCs w:val="20"/>
          <w:color w:val="auto"/>
        </w:rPr>
      </w:pPr>
    </w:p>
    <w:p>
      <w:pPr>
        <w:jc w:val="both"/>
        <w:ind w:firstLine="6"/>
        <w:spacing w:after="0" w:line="255" w:lineRule="auto"/>
        <w:tabs>
          <w:tab w:leader="none" w:pos="1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57" w:lineRule="exact"/>
        <w:rPr>
          <w:sz w:val="20"/>
          <w:szCs w:val="20"/>
          <w:color w:val="auto"/>
        </w:rPr>
      </w:pPr>
    </w:p>
    <w:p>
      <w:pPr>
        <w:ind w:left="704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31750</wp:posOffset>
            </wp:positionV>
            <wp:extent cx="23641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5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M. Graham O’Brien</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3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(Principal Financial Officer and Authorized</w:t>
      </w:r>
    </w:p>
    <w:p>
      <w:pPr>
        <w:spacing w:after="0" w:line="24"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Signatory)</w:t>
      </w: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28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9"/>
          <w:szCs w:val="19"/>
          <w:b w:val="1"/>
          <w:bCs w:val="1"/>
          <w:color w:val="auto"/>
        </w:rPr>
        <w:t>Separation Agreement and Release, as Amended</w:t>
      </w:r>
    </w:p>
    <w:p>
      <w:pPr>
        <w:spacing w:after="0" w:line="200" w:lineRule="exact"/>
        <w:rPr>
          <w:sz w:val="20"/>
          <w:szCs w:val="20"/>
          <w:color w:val="auto"/>
        </w:rPr>
      </w:pPr>
    </w:p>
    <w:p>
      <w:pPr>
        <w:spacing w:after="0" w:line="314" w:lineRule="exact"/>
        <w:rPr>
          <w:sz w:val="20"/>
          <w:szCs w:val="20"/>
          <w:color w:val="auto"/>
        </w:rPr>
      </w:pPr>
    </w:p>
    <w:p>
      <w:pPr>
        <w:jc w:val="both"/>
        <w:ind w:left="6" w:right="100"/>
        <w:spacing w:after="0" w:line="304" w:lineRule="auto"/>
        <w:rPr>
          <w:sz w:val="20"/>
          <w:szCs w:val="20"/>
          <w:color w:val="auto"/>
        </w:rPr>
      </w:pPr>
      <w:r>
        <w:rPr>
          <w:rFonts w:ascii="Times New Roman" w:cs="Times New Roman" w:eastAsia="Times New Roman" w:hAnsi="Times New Roman"/>
          <w:sz w:val="19"/>
          <w:szCs w:val="19"/>
          <w:color w:val="auto"/>
        </w:rPr>
        <w:t xml:space="preserve">This Separation Agreement and Release (the “Agreement”) is made and entered into by and between ZoomInfo Technologies LLC d/b/a ZoomInfo, a Delaware limited liability company, and its affiliates (collectively, the “Company”) and </w:t>
      </w:r>
      <w:r>
        <w:rPr>
          <w:rFonts w:ascii="Times New Roman" w:cs="Times New Roman" w:eastAsia="Times New Roman" w:hAnsi="Times New Roman"/>
          <w:sz w:val="21"/>
          <w:szCs w:val="21"/>
          <w:color w:val="auto"/>
        </w:rPr>
        <w:t>Peter Cameron Hyzer</w:t>
      </w:r>
      <w:r>
        <w:rPr>
          <w:rFonts w:ascii="Times New Roman" w:cs="Times New Roman" w:eastAsia="Times New Roman" w:hAnsi="Times New Roman"/>
          <w:sz w:val="19"/>
          <w:szCs w:val="19"/>
          <w:color w:val="auto"/>
        </w:rPr>
        <w:t xml:space="preserve"> (“Employee”) as of the earliest date upon which both parties have executed the same.</w:t>
      </w:r>
    </w:p>
    <w:p>
      <w:pPr>
        <w:spacing w:after="0" w:line="148" w:lineRule="exact"/>
        <w:rPr>
          <w:sz w:val="20"/>
          <w:szCs w:val="20"/>
          <w:color w:val="auto"/>
        </w:rPr>
      </w:pPr>
    </w:p>
    <w:p>
      <w:pPr>
        <w:jc w:val="both"/>
        <w:ind w:left="6" w:right="100"/>
        <w:spacing w:after="0" w:line="298" w:lineRule="auto"/>
        <w:rPr>
          <w:sz w:val="20"/>
          <w:szCs w:val="20"/>
          <w:color w:val="auto"/>
        </w:rPr>
      </w:pPr>
      <w:r>
        <w:rPr>
          <w:rFonts w:ascii="Times New Roman" w:cs="Times New Roman" w:eastAsia="Times New Roman" w:hAnsi="Times New Roman"/>
          <w:sz w:val="19"/>
          <w:szCs w:val="19"/>
          <w:color w:val="auto"/>
        </w:rPr>
        <w:t>For sound business reasons and in the best interests of both parties, it is agreed that the employment of Employee with the Company is terminated as of October 7, 2024 (the “Termination Date”). In order to effect the termination of Employee’s employment and to provide for certain promises to the Company on behalf of Employee, and in exchange for certain benefits to which Employee would not otherwise be entitled, Employee and the Company agree as follows:</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u w:val="single" w:color="auto"/>
          <w:color w:val="auto"/>
        </w:rPr>
        <w:t>Terms</w:t>
      </w:r>
    </w:p>
    <w:p>
      <w:pPr>
        <w:spacing w:after="0" w:line="298" w:lineRule="exact"/>
        <w:rPr>
          <w:sz w:val="20"/>
          <w:szCs w:val="20"/>
          <w:color w:val="auto"/>
        </w:rPr>
      </w:pPr>
    </w:p>
    <w:p>
      <w:pPr>
        <w:jc w:val="both"/>
        <w:ind w:left="6" w:right="100" w:hanging="6"/>
        <w:spacing w:after="0" w:line="295" w:lineRule="auto"/>
        <w:tabs>
          <w:tab w:leader="none" w:pos="549"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w:t>
      </w:r>
      <w:r>
        <w:rPr>
          <w:rFonts w:ascii="Times New Roman" w:cs="Times New Roman" w:eastAsia="Times New Roman" w:hAnsi="Times New Roman"/>
          <w:sz w:val="19"/>
          <w:szCs w:val="19"/>
          <w:color w:val="auto"/>
        </w:rPr>
        <w:t>Employee’s employment with the Company is terminated effective as of the Termination Date. The parties agree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will continue to serve in his capacity as Chief Financial Officer through September 5, 2024. Beginning September 6, 2024 through October 7, 2024, Employee will serve as Advisor to the Chief Financial Officer and Chief Executive Officer wherein he will be expected to perform transition services and other tasks as provided by the CFO, CEO or their assigns.</w:t>
      </w:r>
    </w:p>
    <w:p>
      <w:pPr>
        <w:spacing w:after="0" w:line="158" w:lineRule="exact"/>
        <w:rPr>
          <w:rFonts w:ascii="Times New Roman" w:cs="Times New Roman" w:eastAsia="Times New Roman" w:hAnsi="Times New Roman"/>
          <w:sz w:val="19"/>
          <w:szCs w:val="19"/>
          <w:b w:val="1"/>
          <w:bCs w:val="1"/>
          <w:color w:val="auto"/>
        </w:rPr>
      </w:pPr>
    </w:p>
    <w:p>
      <w:pPr>
        <w:ind w:left="206" w:hanging="206"/>
        <w:spacing w:after="0"/>
        <w:tabs>
          <w:tab w:leader="none" w:pos="206"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Severance Payment and Continuing Obligations.</w:t>
      </w:r>
    </w:p>
    <w:p>
      <w:pPr>
        <w:spacing w:after="0" w:line="285" w:lineRule="exact"/>
        <w:rPr>
          <w:sz w:val="20"/>
          <w:szCs w:val="20"/>
          <w:color w:val="auto"/>
        </w:rPr>
      </w:pPr>
    </w:p>
    <w:p>
      <w:pPr>
        <w:jc w:val="both"/>
        <w:ind w:left="6" w:right="100"/>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2.1. </w:t>
      </w:r>
      <w:r>
        <w:rPr>
          <w:rFonts w:ascii="Times New Roman" w:cs="Times New Roman" w:eastAsia="Times New Roman" w:hAnsi="Times New Roman"/>
          <w:sz w:val="19"/>
          <w:szCs w:val="19"/>
          <w:color w:val="auto"/>
        </w:rPr>
        <w:t>In consideration of this Agreement, and provided that the releases set forth herein (including the Supplemental Release, if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become effective and irrevocable as set forth in section 22 hereof, consistent with the Employee’s December 20, 2018 employment contract (“Employment Agreement”), the Company agrees to pay Employee one year of the Base Salary rate as of the Termination Date ($562,000.08) plus the pro-rata amount of Employee’s Annual Performance Bonus for 2024 ($323,610), totaling $885,610.08. In addition to those amounts, each of the Employee and the Company acknowledge that as a result of the termination of Employee’s employment with the Company effective October 7, 2024, </w:t>
      </w:r>
      <w:r>
        <w:rPr>
          <w:rFonts w:ascii="Times New Roman" w:cs="Times New Roman" w:eastAsia="Times New Roman" w:hAnsi="Times New Roman"/>
          <w:sz w:val="20"/>
          <w:szCs w:val="20"/>
          <w:color w:val="1D1C1D"/>
        </w:rPr>
        <w:t>242,650</w:t>
      </w:r>
      <w:r>
        <w:rPr>
          <w:rFonts w:ascii="Times New Roman" w:cs="Times New Roman" w:eastAsia="Times New Roman" w:hAnsi="Times New Roman"/>
          <w:sz w:val="19"/>
          <w:szCs w:val="19"/>
          <w:color w:val="auto"/>
        </w:rPr>
        <w:t xml:space="preserve"> of the RSUs shall be vested and the remainder shall be forfeited according to the terms of the award and the Company’s Omnibus Incentive Plan. Further, if Employee timely and properly elects COBRA continuation coverage under Employee’s current Company health insurance plan, the Company will assume the entire cost of Employee’s COBRA premiums (the “Continued Health Insurance Payments”) until the end of October 2025. The Company will make the Continued Health Insurance Payments directly to Employee’s insurer. Employee understands and agrees that the Severance Payment and the Continued Health Insurance Payments are expressly contingent upon the Employee’s strict compliance with the terms and conditions set forth in this Agreement, including the Employee’s Continuing Obligations in Section 7 hereof. ZoomInfo is not required to make any payment of the Severance Payment or Continued Health Insurance Payments if Employee</w:t>
      </w:r>
    </w:p>
    <w:p>
      <w:pPr>
        <w:sectPr>
          <w:pgSz w:w="11900" w:h="16838" w:orient="portrait"/>
          <w:cols w:equalWidth="0" w:num="1">
            <w:col w:w="11146"/>
          </w:cols>
          <w:pgMar w:left="414" w:top="80" w:right="339" w:bottom="1440" w:gutter="0" w:footer="0" w:header="0"/>
        </w:sectPr>
      </w:pPr>
    </w:p>
    <w:bookmarkStart w:id="75" w:name="page76"/>
    <w:bookmarkEnd w:id="75"/>
    <w:p>
      <w:pPr>
        <w:spacing w:after="0" w:line="188" w:lineRule="exact"/>
        <w:rPr>
          <w:sz w:val="20"/>
          <w:szCs w:val="20"/>
          <w:color w:val="auto"/>
        </w:rPr>
      </w:pPr>
    </w:p>
    <w:p>
      <w:pPr>
        <w:jc w:val="both"/>
        <w:ind w:left="6"/>
        <w:spacing w:after="0" w:line="314" w:lineRule="auto"/>
        <w:rPr>
          <w:sz w:val="20"/>
          <w:szCs w:val="20"/>
          <w:color w:val="auto"/>
        </w:rPr>
      </w:pPr>
      <w:r>
        <w:rPr>
          <w:rFonts w:ascii="Times New Roman" w:cs="Times New Roman" w:eastAsia="Times New Roman" w:hAnsi="Times New Roman"/>
          <w:sz w:val="19"/>
          <w:szCs w:val="19"/>
          <w:color w:val="auto"/>
        </w:rPr>
        <w:t>breaches this Agreement or the Continuing Obligations in Section 7 hereof before ZoomInfo is required to make such payment. For purposes of this agreement, the amounts described in this section are the “severance payment”.</w:t>
      </w:r>
    </w:p>
    <w:p>
      <w:pPr>
        <w:spacing w:after="0" w:line="153" w:lineRule="exact"/>
        <w:rPr>
          <w:sz w:val="20"/>
          <w:szCs w:val="20"/>
          <w:color w:val="auto"/>
        </w:rPr>
      </w:pPr>
    </w:p>
    <w:p>
      <w:pPr>
        <w:jc w:val="both"/>
        <w:ind w:left="6"/>
        <w:spacing w:after="0" w:line="318" w:lineRule="auto"/>
        <w:rPr>
          <w:sz w:val="20"/>
          <w:szCs w:val="20"/>
          <w:color w:val="auto"/>
        </w:rPr>
      </w:pPr>
      <w:r>
        <w:rPr>
          <w:rFonts w:ascii="Times New Roman" w:cs="Times New Roman" w:eastAsia="Times New Roman" w:hAnsi="Times New Roman"/>
          <w:sz w:val="19"/>
          <w:szCs w:val="19"/>
          <w:b w:val="1"/>
          <w:bCs w:val="1"/>
          <w:color w:val="auto"/>
        </w:rPr>
        <w:t xml:space="preserve">2.2. </w:t>
      </w:r>
      <w:r>
        <w:rPr>
          <w:rFonts w:ascii="Times New Roman" w:cs="Times New Roman" w:eastAsia="Times New Roman" w:hAnsi="Times New Roman"/>
          <w:sz w:val="19"/>
          <w:szCs w:val="19"/>
          <w:color w:val="auto"/>
        </w:rPr>
        <w:t>The severance payment shall be payable within 30 days in a cash lump sum after the conclusion of the revocation period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22 hereof or the delivery of the executed Supplemental Release required under Section 4.a hereof (if required), whichever is later.</w:t>
      </w:r>
    </w:p>
    <w:p>
      <w:pPr>
        <w:spacing w:after="0" w:line="150" w:lineRule="exact"/>
        <w:rPr>
          <w:sz w:val="20"/>
          <w:szCs w:val="20"/>
          <w:color w:val="auto"/>
        </w:rPr>
      </w:pPr>
    </w:p>
    <w:p>
      <w:pPr>
        <w:jc w:val="both"/>
        <w:ind w:left="6"/>
        <w:spacing w:after="0" w:line="298" w:lineRule="auto"/>
        <w:rPr>
          <w:sz w:val="20"/>
          <w:szCs w:val="20"/>
          <w:color w:val="auto"/>
        </w:rPr>
      </w:pPr>
      <w:r>
        <w:rPr>
          <w:rFonts w:ascii="Times New Roman" w:cs="Times New Roman" w:eastAsia="Times New Roman" w:hAnsi="Times New Roman"/>
          <w:sz w:val="19"/>
          <w:szCs w:val="19"/>
          <w:b w:val="1"/>
          <w:bCs w:val="1"/>
          <w:color w:val="auto"/>
        </w:rPr>
        <w:t xml:space="preserve">2.3. </w:t>
      </w:r>
      <w:r>
        <w:rPr>
          <w:rFonts w:ascii="Times New Roman" w:cs="Times New Roman" w:eastAsia="Times New Roman" w:hAnsi="Times New Roman"/>
          <w:sz w:val="19"/>
          <w:szCs w:val="19"/>
          <w:color w:val="auto"/>
        </w:rPr>
        <w:t>Employee understands and acknowledges that the Company will pay Employee the compensation Employee has earned through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Date even if Employee does not sign this Agreement. Employee further understands that the severance payment is subject to mandatory state and federal payroll deductions and tax withholdings. Employee understands and agrees that Employee would not receive the consideration specified in this Section, except for Employee’s execution of this Agreement and the fulfillment of the promises contained herein.</w:t>
      </w:r>
    </w:p>
    <w:p>
      <w:pPr>
        <w:spacing w:after="0" w:line="200" w:lineRule="exact"/>
        <w:rPr>
          <w:sz w:val="20"/>
          <w:szCs w:val="20"/>
          <w:color w:val="auto"/>
        </w:rPr>
      </w:pPr>
    </w:p>
    <w:p>
      <w:pPr>
        <w:spacing w:after="0" w:line="212" w:lineRule="exact"/>
        <w:rPr>
          <w:sz w:val="20"/>
          <w:szCs w:val="20"/>
          <w:color w:val="auto"/>
        </w:rPr>
      </w:pPr>
    </w:p>
    <w:p>
      <w:pPr>
        <w:jc w:val="both"/>
        <w:ind w:left="6" w:hanging="6"/>
        <w:spacing w:after="0" w:line="294" w:lineRule="auto"/>
        <w:tabs>
          <w:tab w:leader="none" w:pos="549"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COBRA</w:t>
      </w:r>
      <w:r>
        <w:rPr>
          <w:rFonts w:ascii="Times New Roman" w:cs="Times New Roman" w:eastAsia="Times New Roman" w:hAnsi="Times New Roman"/>
          <w:sz w:val="19"/>
          <w:szCs w:val="19"/>
          <w:color w:val="auto"/>
        </w:rPr>
        <w:t>. Employee hereby acknowledges that the Company has advised Employee that pursuant to the Consolidated Omnibus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Budget Reconciliation Act of 1985 (COBRA) or any applicable state health insurance continuation law, Employee has a right to elect continued coverage under the Company’s group health plan. Employee understands and agrees that Employee’s right to benefits under the Company’s health and welfare benefit program, if any, shall be limited to those set forth under COBRA or any applicable state health insurance continuation law.</w:t>
      </w:r>
    </w:p>
    <w:p>
      <w:pPr>
        <w:spacing w:after="0" w:line="172" w:lineRule="exact"/>
        <w:rPr>
          <w:rFonts w:ascii="Times New Roman" w:cs="Times New Roman" w:eastAsia="Times New Roman" w:hAnsi="Times New Roman"/>
          <w:sz w:val="19"/>
          <w:szCs w:val="19"/>
          <w:b w:val="1"/>
          <w:bCs w:val="1"/>
          <w:color w:val="auto"/>
        </w:rPr>
      </w:pPr>
    </w:p>
    <w:p>
      <w:pPr>
        <w:jc w:val="both"/>
        <w:ind w:left="6" w:hanging="6"/>
        <w:spacing w:after="0" w:line="286" w:lineRule="auto"/>
        <w:tabs>
          <w:tab w:leader="none" w:pos="549"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Full Release and Waiver of Claims. </w:t>
      </w:r>
      <w:r>
        <w:rPr>
          <w:rFonts w:ascii="Times New Roman" w:cs="Times New Roman" w:eastAsia="Times New Roman" w:hAnsi="Times New Roman"/>
          <w:sz w:val="19"/>
          <w:szCs w:val="19"/>
          <w:color w:val="auto"/>
        </w:rPr>
        <w:t>In consideration of the severance payment and other promises contained herein, and as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inducement to the Company to enter this Agreement, Employee hereby irrevocably and unconditionally releases, acquits, and forever discharges the Company and its assigns, agents, directors, officers, members, shareholders, current and former employees, representatives, attorneys, parent companies (including the Company), divisions, subsidiaries, predecessors and successors, affiliates (and affiliates’ agents, directors, officers, current and former employees, representatives, shareholders, members, and attorneys of such parent companies, divisions, subsidiaries, and affiliates), and all persons acting by, though, under, or in concert with any of them, in their individual and representative capacities (hereinafter “the Releasees”), from any and all claims, demands, or liabilities whatsoever, whether known or unknown, or suspected to exist by Employee, which Employee ever had or may now have against the Releasees related to, arising from, or in connection with Employee’s employment, compensation, benefits, reemployment, application for employment, and/or termination of employment with the Company, and specifically including without limitation claims under any federal, state, or local laws, and any regulations under such laws, and under applicable contract, tort, or common law theory, including, but not limited to wrongful discharge or violation of public policy; breach of express or implied contract; breach of implied covenant of good faith and fair dealing; defamation, infliction of emotional distress, invasion of privacy, fraud, misrepresentation, or other torts; retaliation, harassment, or discrimination under federal, state or local law (including, without limitation, claims of discrimination, harassment, or retaliation under the Age Discrimination in Employment Act, the Older Workers Benefit Protection Act, the Americans with Disabilities Act, Title VII of the Civil Rights Act of 1964, the Civil Rights Act of</w:t>
      </w:r>
    </w:p>
    <w:p>
      <w:pPr>
        <w:sectPr>
          <w:pgSz w:w="11900" w:h="16838" w:orient="portrait"/>
          <w:cols w:equalWidth="0" w:num="1">
            <w:col w:w="11046"/>
          </w:cols>
          <w:pgMar w:left="414" w:top="1440" w:right="439" w:bottom="1440" w:gutter="0" w:footer="0" w:header="0"/>
        </w:sectPr>
      </w:pPr>
    </w:p>
    <w:bookmarkStart w:id="76" w:name="page77"/>
    <w:bookmarkEnd w:id="76"/>
    <w:p>
      <w:pPr>
        <w:spacing w:after="0" w:line="1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1991, the Equal Pay Act of 1963, the Genetic Information Nondiscrimination Act of 2008, the Rehabilitation Act of 1973, the Washington Law Against Discrimination (if applicable), the Illinois Human Rights Act (if applicable), the Massachusetts Fair Employment Practices Act (if applicable), the Texas Labor Code (if applicable); the Texas Whistleblower Act (if applicable), and Maryland’s anti-discrimination and anti-retaliation statues (if applicable)); under any other applicable federal, state, or local statute regarding employment relationships (including, without limitation, claims under the Fair Labor Standards Act, the Worker Adjustment and Retraining Notification Act of 1988 or analogous state law, the Family and Medical Leave Act, the Occupational Safety and Health Act, the Sarbanes-Oxley Act of 2002, the Fair Credit Reporting Act, the Employee Retirement Income Security Act of 1974, the Uniformed Services Employment and Reemployment Rights Act of 1994, Executive Orders, the Washington Industrial Welfare Act (if applicable), the Washington Family Leave Act (if applicable), the Illinois Right to Privacy in the Workplace Act (if applicable), the Illinois Employment Contract Act (if applicable), or any other federal or state family and medical leave law); for wages, bonuses, incentive compensation, commissions, stock, stock options, vacation pay or any other compensation or benefits (including, without limitation, the Fair Labor Standards Act, the Washington Minimum Wage Act (if applicable), the Washington Wage Payment Act (if applicable), the Washington Rebate Act (if applicable), the Massachusetts Wage Act (if applicable), the Texas Payday Law (if applicable), the Maryland Equal Pay Act (if applicable), the Maryland Wage and Hour Law (if applicable), the Maryland Wage Payment and Collection Act (if applicable), or any other applicable federal, state, or local wage and hour law); and for damages or other equitable remedies of any sort, including, without limitation, compensatory damages, economic damages, punitive damages, injunctive relief and attorney’s fees (hereinafter “the Released Claims”). If any claim is not subject to release, to the extent permitted by law, Employee waives any right or ability to be a class or collective action representative or to otherwise participate in any putative or certified class, collective or multi-party action or proceeding based on such a claim in which the Company or any of the other Released Parties identified in this Agreement is a party.</w:t>
      </w:r>
    </w:p>
    <w:p>
      <w:pPr>
        <w:spacing w:after="0" w:line="18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color w:val="auto"/>
        </w:rPr>
        <w:t>The aforementioned claims are examples, not a complete list, of the Released Claims. It is the parties’ intent that Employee release any and all claims arising from or related to Employee’s employment or separation from employment, of whatever kind or nature, known or unknown, to the greatest degree allowed by law, against the Releasees, which arose or occurred on or before the effective date of this Agreement.</w:t>
      </w:r>
    </w:p>
    <w:p>
      <w:pPr>
        <w:spacing w:after="0" w:line="1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9"/>
          <w:szCs w:val="19"/>
          <w:b w:val="1"/>
          <w:bCs w:val="1"/>
          <w:color w:val="auto"/>
        </w:rPr>
        <w:t xml:space="preserve">4.a Supplemental Release. </w:t>
      </w:r>
      <w:r>
        <w:rPr>
          <w:rFonts w:ascii="Times New Roman" w:cs="Times New Roman" w:eastAsia="Times New Roman" w:hAnsi="Times New Roman"/>
          <w:sz w:val="19"/>
          <w:szCs w:val="19"/>
          <w:color w:val="auto"/>
        </w:rPr>
        <w:t>Employee understands, acknowledges, and agrees that if this Agreement is executed prior to the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Date, the Company’s obligation to make the severance payment is expressly condition upon Employee’s execution of the Supplemental Release set forth in Exhibit A hereto no earlier than the Termination Date and no later than 30 days following the Termination Date and delivering the Supplemental Release executed by Employee to the Company. If applicable, claims released pursuant to the Supplemental Release are included within the meaning of Release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Exclusions from the Released Claims and Reservation of Rights.</w:t>
      </w:r>
    </w:p>
    <w:p>
      <w:pPr>
        <w:sectPr>
          <w:pgSz w:w="11900" w:h="16838" w:orient="portrait"/>
          <w:cols w:equalWidth="0" w:num="1">
            <w:col w:w="11040"/>
          </w:cols>
          <w:pgMar w:left="420" w:top="1440" w:right="439" w:bottom="1440" w:gutter="0" w:footer="0" w:header="0"/>
        </w:sectPr>
      </w:pPr>
    </w:p>
    <w:bookmarkStart w:id="77" w:name="page78"/>
    <w:bookmarkEnd w:id="77"/>
    <w:p>
      <w:pPr>
        <w:jc w:val="both"/>
        <w:ind w:left="6"/>
        <w:spacing w:after="0" w:line="288" w:lineRule="auto"/>
        <w:rPr>
          <w:sz w:val="20"/>
          <w:szCs w:val="20"/>
          <w:color w:val="auto"/>
        </w:rPr>
      </w:pPr>
      <w:r>
        <w:rPr>
          <w:rFonts w:ascii="Times New Roman" w:cs="Times New Roman" w:eastAsia="Times New Roman" w:hAnsi="Times New Roman"/>
          <w:sz w:val="19"/>
          <w:szCs w:val="19"/>
          <w:color w:val="auto"/>
        </w:rPr>
        <w:t xml:space="preserve">Employees understands that the releases in paragraph 4 and Exhibit A hereof exclude: </w:t>
      </w: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9"/>
          <w:szCs w:val="19"/>
          <w:color w:val="auto"/>
        </w:rPr>
        <w:t xml:space="preserve"> any claims which cannot be waived by law; </w:t>
      </w:r>
      <w:r>
        <w:rPr>
          <w:rFonts w:ascii="Times New Roman" w:cs="Times New Roman" w:eastAsia="Times New Roman" w:hAnsi="Times New Roman"/>
          <w:sz w:val="19"/>
          <w:szCs w:val="19"/>
          <w:b w:val="1"/>
          <w:bCs w:val="1"/>
          <w:color w:val="auto"/>
        </w:rPr>
        <w:t>(ii)</w:t>
      </w:r>
      <w:r>
        <w:rPr>
          <w:rFonts w:ascii="Times New Roman" w:cs="Times New Roman" w:eastAsia="Times New Roman" w:hAnsi="Times New Roman"/>
          <w:sz w:val="19"/>
          <w:szCs w:val="19"/>
          <w:color w:val="auto"/>
        </w:rPr>
        <w:t xml:space="preserve"> any claims that may arise after the effective date of this Agreement; </w:t>
      </w:r>
      <w:r>
        <w:rPr>
          <w:rFonts w:ascii="Times New Roman" w:cs="Times New Roman" w:eastAsia="Times New Roman" w:hAnsi="Times New Roman"/>
          <w:sz w:val="19"/>
          <w:szCs w:val="19"/>
          <w:b w:val="1"/>
          <w:bCs w:val="1"/>
          <w:color w:val="auto"/>
        </w:rPr>
        <w:t>(iii)</w:t>
      </w:r>
      <w:r>
        <w:rPr>
          <w:rFonts w:ascii="Times New Roman" w:cs="Times New Roman" w:eastAsia="Times New Roman" w:hAnsi="Times New Roman"/>
          <w:sz w:val="19"/>
          <w:szCs w:val="19"/>
          <w:color w:val="auto"/>
        </w:rPr>
        <w:t xml:space="preserve"> Employee’s right to enforce this Agreement; and </w:t>
      </w:r>
      <w:r>
        <w:rPr>
          <w:rFonts w:ascii="Times New Roman" w:cs="Times New Roman" w:eastAsia="Times New Roman" w:hAnsi="Times New Roman"/>
          <w:sz w:val="19"/>
          <w:szCs w:val="19"/>
          <w:b w:val="1"/>
          <w:bCs w:val="1"/>
          <w:color w:val="auto"/>
        </w:rPr>
        <w:t>(iv)</w:t>
      </w:r>
      <w:r>
        <w:rPr>
          <w:rFonts w:ascii="Times New Roman" w:cs="Times New Roman" w:eastAsia="Times New Roman" w:hAnsi="Times New Roman"/>
          <w:sz w:val="19"/>
          <w:szCs w:val="19"/>
          <w:color w:val="auto"/>
        </w:rPr>
        <w:t xml:space="preserve"> Employee’s right to file a charge or complaint with or participate in an investigation by the Equal Employment Opportunity Commission or other government agency. But, to the maximum extent permitted by law and except as otherwise expressly protected by Employee’s participation in any federal whistleblower programs as contemplated by Rule 21F-17 (as such term is defined below), Employee gives up any right to recover or receive any personal relief or benefit from any such charge, complaint, or investigation, or from any lawsuit or administrative action filed by any government agency which is the result of any such charge, complaint, or participation by Employee. Personal relief or benefit includes attorneys’ fees, monetary damages, and reinstatement.</w:t>
      </w:r>
    </w:p>
    <w:p>
      <w:pPr>
        <w:spacing w:after="0" w:line="182" w:lineRule="exact"/>
        <w:rPr>
          <w:sz w:val="20"/>
          <w:szCs w:val="20"/>
          <w:color w:val="auto"/>
        </w:rPr>
      </w:pPr>
    </w:p>
    <w:p>
      <w:pPr>
        <w:jc w:val="both"/>
        <w:ind w:left="6" w:firstLine="635"/>
        <w:spacing w:after="0" w:line="295" w:lineRule="auto"/>
        <w:rPr>
          <w:sz w:val="20"/>
          <w:szCs w:val="20"/>
          <w:color w:val="auto"/>
        </w:rPr>
      </w:pPr>
      <w:r>
        <w:rPr>
          <w:rFonts w:ascii="Times New Roman" w:cs="Times New Roman" w:eastAsia="Times New Roman" w:hAnsi="Times New Roman"/>
          <w:sz w:val="19"/>
          <w:szCs w:val="19"/>
          <w:b w:val="1"/>
          <w:bCs w:val="1"/>
          <w:color w:val="auto"/>
        </w:rPr>
        <w:t xml:space="preserve">5.1. </w:t>
      </w:r>
      <w:r>
        <w:rPr>
          <w:rFonts w:ascii="Times New Roman" w:cs="Times New Roman" w:eastAsia="Times New Roman" w:hAnsi="Times New Roman"/>
          <w:sz w:val="19"/>
          <w:szCs w:val="19"/>
          <w:color w:val="auto"/>
        </w:rPr>
        <w:t>This Agreement shall not affect any rights which Employee may have under any employee benefit plans or programs,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under any medical insurance (including the right to continue benefits under COBRA or any applicable state health insurance continuation law), disability plan, workers’ compensation, unemployment compensation, indemnifications, and related agreements, or any of Employer’s retirement savings plans maintained by the Company.</w:t>
      </w:r>
    </w:p>
    <w:p>
      <w:pPr>
        <w:spacing w:after="0" w:line="171" w:lineRule="exact"/>
        <w:rPr>
          <w:sz w:val="20"/>
          <w:szCs w:val="20"/>
          <w:color w:val="auto"/>
        </w:rPr>
      </w:pPr>
    </w:p>
    <w:p>
      <w:pPr>
        <w:jc w:val="both"/>
        <w:ind w:left="6" w:firstLine="635"/>
        <w:spacing w:after="0" w:line="290" w:lineRule="auto"/>
        <w:rPr>
          <w:sz w:val="20"/>
          <w:szCs w:val="20"/>
          <w:color w:val="auto"/>
        </w:rPr>
      </w:pPr>
      <w:r>
        <w:rPr>
          <w:rFonts w:ascii="Times New Roman" w:cs="Times New Roman" w:eastAsia="Times New Roman" w:hAnsi="Times New Roman"/>
          <w:sz w:val="19"/>
          <w:szCs w:val="19"/>
          <w:b w:val="1"/>
          <w:bCs w:val="1"/>
          <w:color w:val="auto"/>
        </w:rPr>
        <w:t xml:space="preserve">5.2. </w:t>
      </w:r>
      <w:r>
        <w:rPr>
          <w:rFonts w:ascii="Times New Roman" w:cs="Times New Roman" w:eastAsia="Times New Roman" w:hAnsi="Times New Roman"/>
          <w:sz w:val="19"/>
          <w:szCs w:val="19"/>
          <w:color w:val="auto"/>
        </w:rPr>
        <w:t>Nothing in this Agreement is intended to prevent Employee from reporting potential violations of the law, cooperating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participating in any investigation by the Equal Employment Opportunity Commission, Securities and Exchange Commission or other government agency concerning the Company, or from testifying truthfully in any legal proceeding resulting from any government agency’s enforcement actions. Employee does not need to notify the Company that Employee has made such a report or has participated or cooperated in an investigation. Nothing in this Agreement shall bar or impede, in any way, Employee’s ability to seek or receive any monetary award or bounty from any governmental agency or regulatory or law enforcement agency in connection with protected activity under Securities and Exchange Commission Rule 21F-17, 17 C.F.R. §240.21F-17 (“Rule 21F-17”).</w:t>
      </w:r>
    </w:p>
    <w:p>
      <w:pPr>
        <w:spacing w:after="0" w:line="166" w:lineRule="exact"/>
        <w:rPr>
          <w:sz w:val="20"/>
          <w:szCs w:val="20"/>
          <w:color w:val="auto"/>
        </w:rPr>
      </w:pPr>
    </w:p>
    <w:p>
      <w:pPr>
        <w:jc w:val="both"/>
        <w:ind w:left="6" w:hanging="6"/>
        <w:spacing w:after="0" w:line="289" w:lineRule="auto"/>
        <w:tabs>
          <w:tab w:leader="none" w:pos="549"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Other Claims by Employee. </w:t>
      </w:r>
      <w:r>
        <w:rPr>
          <w:rFonts w:ascii="Times New Roman" w:cs="Times New Roman" w:eastAsia="Times New Roman" w:hAnsi="Times New Roman"/>
          <w:sz w:val="19"/>
          <w:szCs w:val="19"/>
          <w:color w:val="auto"/>
        </w:rPr>
        <w:t>Employee warrants that Employee has not filed a charge, claim or suit against the Releasees prior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entering into this Agreement and, unless otherwise specifically allowed in this Agreement, will not do so in the future based on any Released Claim; however, should Employee file a charge or complaint with the Equal Employment Opportunity Commission or any government agency based on any Released Claims, Employee shall advise the government agency of the existence of this Agreement. Except in relation to any charges, complaints or claims brought by Employee that are protected by Rule 21F-17, if Employee brings any Released Claim against the Releasees, Employee agrees to fully indemnify the Releasees for costs, damages and interest, including a judgment or settlement, attorneys’ fees and costs incurred with respect to defense of such suit or claims, unless a court of competent jurisdiction determines that indemnification would be unlawful. As a material inducement to the Company to enter into this Agreement, Employee represents that Employee has not assigned any Released Claim to any third party.</w:t>
      </w:r>
    </w:p>
    <w:p>
      <w:pPr>
        <w:spacing w:after="0" w:line="43" w:lineRule="exact"/>
        <w:rPr>
          <w:rFonts w:ascii="Times New Roman" w:cs="Times New Roman" w:eastAsia="Times New Roman" w:hAnsi="Times New Roman"/>
          <w:sz w:val="19"/>
          <w:szCs w:val="19"/>
          <w:b w:val="1"/>
          <w:bCs w:val="1"/>
          <w:color w:val="auto"/>
        </w:rPr>
      </w:pPr>
    </w:p>
    <w:p>
      <w:pPr>
        <w:jc w:val="both"/>
        <w:ind w:left="6" w:hanging="6"/>
        <w:spacing w:after="0" w:line="288" w:lineRule="auto"/>
        <w:tabs>
          <w:tab w:leader="none" w:pos="549"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Continuing Obligations. </w:t>
      </w:r>
      <w:r>
        <w:rPr>
          <w:rFonts w:ascii="Times New Roman" w:cs="Times New Roman" w:eastAsia="Times New Roman" w:hAnsi="Times New Roman"/>
          <w:sz w:val="19"/>
          <w:szCs w:val="19"/>
          <w:color w:val="auto"/>
        </w:rPr>
        <w:t>Employee continues to be bound by certain provisions of Employee’s Employment Agreement dated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December 20, 2018 as the same may have been subsequently modified or amended (the “Employment Agreement”), including without limitation obligations concerning arbitration requirements, confidentiality, inventions assignment, the obligation to return any company property in Employee’s possession, non-competition, and non- solicitation (the “Continuing Obligations”) except to the extent any provision thereof may be contrary to applicable mandatory law. The parties agree that the Continuing Obligations shall in no way be altered, modified, enhanced, diminished or amended by this Agreement, and that the Continuing Obligations stand alone, operate individually, and shall be enforced separately without reference to or effect by this Agreement. The obligations of Employee created by this Agreement are in addition to and do not replace the Continuing Obligations.</w:t>
      </w:r>
    </w:p>
    <w:p>
      <w:pPr>
        <w:sectPr>
          <w:pgSz w:w="11900" w:h="16838" w:orient="portrait"/>
          <w:cols w:equalWidth="0" w:num="1">
            <w:col w:w="11046"/>
          </w:cols>
          <w:pgMar w:left="414" w:top="1345" w:right="439" w:bottom="1440" w:gutter="0" w:footer="0" w:header="0"/>
        </w:sectPr>
      </w:pPr>
    </w:p>
    <w:bookmarkStart w:id="78" w:name="page79"/>
    <w:bookmarkEnd w:id="78"/>
    <w:p>
      <w:pPr>
        <w:spacing w:after="0" w:line="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8. Non-Competition and Non-Solicitation.</w:t>
      </w:r>
    </w:p>
    <w:p>
      <w:pPr>
        <w:spacing w:after="0" w:line="285" w:lineRule="exact"/>
        <w:rPr>
          <w:sz w:val="20"/>
          <w:szCs w:val="20"/>
          <w:color w:val="auto"/>
        </w:rPr>
      </w:pPr>
    </w:p>
    <w:p>
      <w:pPr>
        <w:jc w:val="both"/>
        <w:ind w:left="6"/>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8.1. </w:t>
      </w:r>
      <w:r>
        <w:rPr>
          <w:rFonts w:ascii="Times New Roman" w:cs="Times New Roman" w:eastAsia="Times New Roman" w:hAnsi="Times New Roman"/>
          <w:sz w:val="19"/>
          <w:szCs w:val="19"/>
          <w:color w:val="auto"/>
        </w:rPr>
        <w:t>In Employee’s positions with the Company, Employee has been privy to the Company’s confidential and proprietary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business strategies, product plans, and other documents that would be harmful to the Company’s business if accessed by a competitor. Recognizing that it would be virtually impossible for Employee to avoid using such information to the Company’s detriment in assisting any competitor, and acknowledging the reasonableness of the restrictions set forth below, Employee agrees that Employee will not, for a period of twelve</w:t>
      </w:r>
    </w:p>
    <w:p>
      <w:pPr>
        <w:spacing w:after="0" w:line="2" w:lineRule="exact"/>
        <w:rPr>
          <w:sz w:val="20"/>
          <w:szCs w:val="20"/>
          <w:color w:val="auto"/>
        </w:rPr>
      </w:pPr>
    </w:p>
    <w:p>
      <w:pPr>
        <w:ind w:left="366" w:hanging="366"/>
        <w:spacing w:after="0"/>
        <w:tabs>
          <w:tab w:leader="none" w:pos="366"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from the Termination Date:</w:t>
      </w:r>
    </w:p>
    <w:p>
      <w:pPr>
        <w:spacing w:after="0" w:line="283" w:lineRule="exact"/>
        <w:rPr>
          <w:rFonts w:ascii="Times New Roman" w:cs="Times New Roman" w:eastAsia="Times New Roman" w:hAnsi="Times New Roman"/>
          <w:sz w:val="19"/>
          <w:szCs w:val="19"/>
          <w:color w:val="auto"/>
        </w:rPr>
      </w:pPr>
    </w:p>
    <w:p>
      <w:pPr>
        <w:jc w:val="both"/>
        <w:ind w:left="646" w:hanging="10"/>
        <w:spacing w:after="0" w:line="298" w:lineRule="auto"/>
        <w:tabs>
          <w:tab w:leader="none" w:pos="119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provide any service of any kind that you provided to the Company within the past two (2) years to any business that develops, manufactures, markets, or sells any product or service developed, manufactured, marketed or sold by the Company, or that Employee has reason to believe the Company intends to develop, manufacture, market, or sell (a “Competing Business”), with regard to which Employee has had access to any of the Company’s proprietary or confidential information;</w:t>
      </w:r>
    </w:p>
    <w:p>
      <w:pPr>
        <w:spacing w:after="0" w:line="160" w:lineRule="exact"/>
        <w:rPr>
          <w:rFonts w:ascii="Times New Roman" w:cs="Times New Roman" w:eastAsia="Times New Roman" w:hAnsi="Times New Roman"/>
          <w:sz w:val="19"/>
          <w:szCs w:val="19"/>
          <w:color w:val="auto"/>
        </w:rPr>
      </w:pPr>
    </w:p>
    <w:p>
      <w:pPr>
        <w:ind w:left="646" w:hanging="10"/>
        <w:spacing w:after="0" w:line="329" w:lineRule="auto"/>
        <w:tabs>
          <w:tab w:leader="none" w:pos="119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solicit sales from any of the Company’s customers for any product or service that competes with any product or service sold or provided, or intended to be sold or provided, by the Company;</w:t>
      </w:r>
    </w:p>
    <w:p>
      <w:pPr>
        <w:spacing w:after="0" w:line="129" w:lineRule="exact"/>
        <w:rPr>
          <w:rFonts w:ascii="Times New Roman" w:cs="Times New Roman" w:eastAsia="Times New Roman" w:hAnsi="Times New Roman"/>
          <w:sz w:val="19"/>
          <w:szCs w:val="19"/>
          <w:color w:val="auto"/>
        </w:rPr>
      </w:pPr>
    </w:p>
    <w:p>
      <w:pPr>
        <w:jc w:val="both"/>
        <w:ind w:left="646" w:hanging="10"/>
        <w:spacing w:after="0" w:line="302" w:lineRule="auto"/>
        <w:tabs>
          <w:tab w:leader="none" w:pos="119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entice any vendor, consultant, collaborator, agent, or contractor of the Company to cease its business relationship with the Company or engage in any activity that would cause them to cease their business relationship with the Company or to enter any relationship with a Competing Business; or</w:t>
      </w:r>
    </w:p>
    <w:p>
      <w:pPr>
        <w:spacing w:after="0" w:line="169" w:lineRule="exact"/>
        <w:rPr>
          <w:rFonts w:ascii="Times New Roman" w:cs="Times New Roman" w:eastAsia="Times New Roman" w:hAnsi="Times New Roman"/>
          <w:sz w:val="19"/>
          <w:szCs w:val="19"/>
          <w:color w:val="auto"/>
        </w:rPr>
      </w:pPr>
    </w:p>
    <w:p>
      <w:pPr>
        <w:ind w:left="646" w:right="20" w:hanging="10"/>
        <w:spacing w:after="0" w:line="314" w:lineRule="auto"/>
        <w:tabs>
          <w:tab w:leader="none" w:pos="119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solicit, induce, recruit, or encourage any of the Company’s employees to leave their employment or to provide any service to any Competing Business.</w:t>
      </w:r>
    </w:p>
    <w:p>
      <w:pPr>
        <w:spacing w:after="0" w:line="153" w:lineRule="exact"/>
        <w:rPr>
          <w:sz w:val="20"/>
          <w:szCs w:val="20"/>
          <w:color w:val="auto"/>
        </w:rPr>
      </w:pPr>
    </w:p>
    <w:p>
      <w:pPr>
        <w:jc w:val="both"/>
        <w:ind w:left="6"/>
        <w:spacing w:after="0" w:line="290" w:lineRule="auto"/>
        <w:rPr>
          <w:sz w:val="20"/>
          <w:szCs w:val="20"/>
          <w:color w:val="auto"/>
        </w:rPr>
      </w:pPr>
      <w:r>
        <w:rPr>
          <w:rFonts w:ascii="Times New Roman" w:cs="Times New Roman" w:eastAsia="Times New Roman" w:hAnsi="Times New Roman"/>
          <w:sz w:val="19"/>
          <w:szCs w:val="19"/>
          <w:b w:val="1"/>
          <w:bCs w:val="1"/>
          <w:color w:val="auto"/>
        </w:rPr>
        <w:t xml:space="preserve">8.2. </w:t>
      </w:r>
      <w:r>
        <w:rPr>
          <w:rFonts w:ascii="Times New Roman" w:cs="Times New Roman" w:eastAsia="Times New Roman" w:hAnsi="Times New Roman"/>
          <w:sz w:val="19"/>
          <w:szCs w:val="19"/>
          <w:color w:val="auto"/>
        </w:rPr>
        <w:t>The covenants contained in this section apply to the parts of the world where the Company does business (the “Geographical Area”)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will be construed as a series of separate covenants, one for each country, city, state, or similar subdivision in any Geographic Area. If, in any judicial proceeding, a court refuses to enforce any of these separate covenants (or any part of a covenant), then the unenforceable covenant (or part) will be eliminated from this Agreement to the extent necessary to permit the remaining separate covenants (or portions) to be enforced. If the provisions of this section are deemed to exceed the time, geographic, or scope limitations permitted by law, then the provisions will be reformed to the maximum time, geographic, or scope limitations permitted by law.</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9. Company Property and Trade Secrets.</w:t>
      </w:r>
    </w:p>
    <w:p>
      <w:pPr>
        <w:spacing w:after="0" w:line="285" w:lineRule="exact"/>
        <w:rPr>
          <w:sz w:val="20"/>
          <w:szCs w:val="20"/>
          <w:color w:val="auto"/>
        </w:rPr>
      </w:pPr>
    </w:p>
    <w:p>
      <w:pPr>
        <w:ind w:left="6" w:right="560" w:firstLine="635"/>
        <w:spacing w:after="0" w:line="333" w:lineRule="auto"/>
        <w:rPr>
          <w:sz w:val="20"/>
          <w:szCs w:val="20"/>
          <w:color w:val="auto"/>
        </w:rPr>
      </w:pPr>
      <w:r>
        <w:rPr>
          <w:rFonts w:ascii="Times New Roman" w:cs="Times New Roman" w:eastAsia="Times New Roman" w:hAnsi="Times New Roman"/>
          <w:sz w:val="19"/>
          <w:szCs w:val="19"/>
          <w:b w:val="1"/>
          <w:bCs w:val="1"/>
          <w:color w:val="auto"/>
        </w:rPr>
        <w:t xml:space="preserve">9.1. </w:t>
      </w:r>
      <w:r>
        <w:rPr>
          <w:rFonts w:ascii="Times New Roman" w:cs="Times New Roman" w:eastAsia="Times New Roman" w:hAnsi="Times New Roman"/>
          <w:sz w:val="19"/>
          <w:szCs w:val="19"/>
          <w:color w:val="auto"/>
        </w:rPr>
        <w:t>Employee shall return to the Company any and all the Company property, and documents which Employee may have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possession, and Employee shall cease</w:t>
      </w:r>
    </w:p>
    <w:p>
      <w:pPr>
        <w:sectPr>
          <w:pgSz w:w="11900" w:h="16838" w:orient="portrait"/>
          <w:cols w:equalWidth="0" w:num="1">
            <w:col w:w="11046"/>
          </w:cols>
          <w:pgMar w:left="414" w:top="1440" w:right="439" w:bottom="1440" w:gutter="0" w:footer="0" w:header="0"/>
        </w:sectPr>
      </w:pPr>
    </w:p>
    <w:bookmarkStart w:id="79" w:name="page80"/>
    <w:bookmarkEnd w:id="79"/>
    <w:p>
      <w:pPr>
        <w:spacing w:after="0" w:line="188" w:lineRule="exact"/>
        <w:rPr>
          <w:sz w:val="20"/>
          <w:szCs w:val="20"/>
          <w:color w:val="auto"/>
        </w:rPr>
      </w:pPr>
    </w:p>
    <w:p>
      <w:pPr>
        <w:ind w:left="6" w:right="460"/>
        <w:spacing w:after="0" w:line="314" w:lineRule="auto"/>
        <w:rPr>
          <w:sz w:val="20"/>
          <w:szCs w:val="20"/>
          <w:color w:val="auto"/>
        </w:rPr>
      </w:pPr>
      <w:r>
        <w:rPr>
          <w:rFonts w:ascii="Times New Roman" w:cs="Times New Roman" w:eastAsia="Times New Roman" w:hAnsi="Times New Roman"/>
          <w:sz w:val="19"/>
          <w:szCs w:val="19"/>
          <w:color w:val="auto"/>
        </w:rPr>
        <w:t>accessing and refrain from accessing in the future any the Company computer systems or networks except with the express prior written permission of the Company’s CEO.</w:t>
      </w:r>
    </w:p>
    <w:p>
      <w:pPr>
        <w:spacing w:after="0" w:line="153" w:lineRule="exact"/>
        <w:rPr>
          <w:sz w:val="20"/>
          <w:szCs w:val="20"/>
          <w:color w:val="auto"/>
        </w:rPr>
      </w:pPr>
    </w:p>
    <w:p>
      <w:pPr>
        <w:jc w:val="both"/>
        <w:ind w:left="6" w:firstLine="635"/>
        <w:spacing w:after="0" w:line="290" w:lineRule="auto"/>
        <w:rPr>
          <w:sz w:val="20"/>
          <w:szCs w:val="20"/>
          <w:color w:val="auto"/>
        </w:rPr>
      </w:pPr>
      <w:r>
        <w:rPr>
          <w:rFonts w:ascii="Times New Roman" w:cs="Times New Roman" w:eastAsia="Times New Roman" w:hAnsi="Times New Roman"/>
          <w:sz w:val="19"/>
          <w:szCs w:val="19"/>
          <w:b w:val="1"/>
          <w:bCs w:val="1"/>
          <w:color w:val="auto"/>
        </w:rPr>
        <w:t xml:space="preserve">9.2. </w:t>
      </w:r>
      <w:r>
        <w:rPr>
          <w:rFonts w:ascii="Times New Roman" w:cs="Times New Roman" w:eastAsia="Times New Roman" w:hAnsi="Times New Roman"/>
          <w:sz w:val="19"/>
          <w:szCs w:val="19"/>
          <w:color w:val="auto"/>
        </w:rPr>
        <w:t>Employee agrees never to disclose to any person or entity any confidential or proprietary information of or about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except upon the prior express written authorization and consent of the Company’s CEO. Confidential and proprietary information includes, but is not limited to financial information or reports, policies, procedures, forms, customer information or lists, techniques, training, trade secrets, programs, intellectual property, and business concepts, plans, opportunities, projects, reports or records. The parties agree that breach of the obligations set forth in this provision will cause immediate and irreparable harm to the Company and shall entitle the Company to seek injunctive relief in addition to any other available remedies.</w:t>
      </w:r>
    </w:p>
    <w:p>
      <w:pPr>
        <w:spacing w:after="0" w:line="178" w:lineRule="exact"/>
        <w:rPr>
          <w:sz w:val="20"/>
          <w:szCs w:val="20"/>
          <w:color w:val="auto"/>
        </w:rPr>
      </w:pPr>
    </w:p>
    <w:p>
      <w:pPr>
        <w:jc w:val="both"/>
        <w:ind w:left="6" w:firstLine="635"/>
        <w:spacing w:after="0" w:line="290" w:lineRule="auto"/>
        <w:rPr>
          <w:sz w:val="20"/>
          <w:szCs w:val="20"/>
          <w:color w:val="auto"/>
        </w:rPr>
      </w:pPr>
      <w:r>
        <w:rPr>
          <w:rFonts w:ascii="Times New Roman" w:cs="Times New Roman" w:eastAsia="Times New Roman" w:hAnsi="Times New Roman"/>
          <w:sz w:val="19"/>
          <w:szCs w:val="19"/>
          <w:b w:val="1"/>
          <w:bCs w:val="1"/>
          <w:color w:val="auto"/>
        </w:rPr>
        <w:t xml:space="preserve">9.3. </w:t>
      </w:r>
      <w:r>
        <w:rPr>
          <w:rFonts w:ascii="Times New Roman" w:cs="Times New Roman" w:eastAsia="Times New Roman" w:hAnsi="Times New Roman"/>
          <w:sz w:val="19"/>
          <w:szCs w:val="19"/>
          <w:color w:val="auto"/>
        </w:rPr>
        <w:t>Pursuant to the Defend Trade Secrets Act of 2016, Employee will not have criminal or civil liability under any federal or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against the Company for reporting a suspected violation of law, Employee may disclose the trade secret to Employee’s attorney and may use the trade secret information in the court proceeding, if Employee files any document containing the trade secret under seal and does not disclose the trade secret, except pursuant to court order.</w:t>
      </w:r>
    </w:p>
    <w:p>
      <w:pPr>
        <w:spacing w:after="0" w:line="166" w:lineRule="exact"/>
        <w:rPr>
          <w:sz w:val="20"/>
          <w:szCs w:val="20"/>
          <w:color w:val="auto"/>
        </w:rPr>
      </w:pPr>
    </w:p>
    <w:p>
      <w:pPr>
        <w:jc w:val="both"/>
        <w:ind w:left="6" w:hanging="6"/>
        <w:spacing w:after="0" w:line="293" w:lineRule="auto"/>
        <w:tabs>
          <w:tab w:leader="none" w:pos="553"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Confidentiality. </w:t>
      </w:r>
      <w:r>
        <w:rPr>
          <w:rFonts w:ascii="Times New Roman" w:cs="Times New Roman" w:eastAsia="Times New Roman" w:hAnsi="Times New Roman"/>
          <w:sz w:val="19"/>
          <w:szCs w:val="19"/>
          <w:color w:val="auto"/>
        </w:rPr>
        <w:t>Employee agrees to keep the terms of this Agreement, as well as the communications leading up to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strict confidence and not to disclose the same to any other person or entity except as may be required by law. Should Employee be compelled to disclose the terms of this Agreement by means of legal subpoena or court or administrative agency order, Employee shall promptly notify the Company (by written notices to its legal department) of such requests by the quickest means and manner in order to allow the Company to take action to limit such disclosure. Except for litigation arising out of the breach of or attempt to enforce this Agreement, this Agreement shall not be admissible as evidence in any legal proceeding.</w:t>
      </w:r>
    </w:p>
    <w:p>
      <w:pPr>
        <w:spacing w:after="0" w:line="161" w:lineRule="exact"/>
        <w:rPr>
          <w:rFonts w:ascii="Times New Roman" w:cs="Times New Roman" w:eastAsia="Times New Roman" w:hAnsi="Times New Roman"/>
          <w:sz w:val="19"/>
          <w:szCs w:val="19"/>
          <w:b w:val="1"/>
          <w:bCs w:val="1"/>
          <w:color w:val="auto"/>
        </w:rPr>
      </w:pPr>
    </w:p>
    <w:p>
      <w:pPr>
        <w:jc w:val="both"/>
        <w:ind w:left="6" w:hanging="6"/>
        <w:spacing w:after="0" w:line="290" w:lineRule="auto"/>
        <w:tabs>
          <w:tab w:leader="none" w:pos="542"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Non-Disparagement. </w:t>
      </w:r>
      <w:r>
        <w:rPr>
          <w:rFonts w:ascii="Times New Roman" w:cs="Times New Roman" w:eastAsia="Times New Roman" w:hAnsi="Times New Roman"/>
          <w:sz w:val="19"/>
          <w:szCs w:val="19"/>
          <w:color w:val="auto"/>
        </w:rPr>
        <w:t>Employee agrees not to make, publish, or communicate (or causing others to make, publish, or communicate)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public or private disparaging statements concerning the Company or any of its affiliates or its or their current or former officers, directors, members, shareholders, employees, agents, customers, suppliers, or investors, including without limitation statements made to employees of the Company or its affiliates or statements made on internet blogs, social media sites, and review sites; provided, however, that nothing in this Agreement shall preclude Employee from making truthful statements that are required by applicable law, regulation, or legal process. The parties agree that breach of the obligations set forth in this provision will cause immediate and irreparable harm to the Company and shall entitle the Company to seek injunctive relief in addition to any other available remedies.</w:t>
      </w:r>
    </w:p>
    <w:p>
      <w:pPr>
        <w:sectPr>
          <w:pgSz w:w="11900" w:h="16838" w:orient="portrait"/>
          <w:cols w:equalWidth="0" w:num="1">
            <w:col w:w="11046"/>
          </w:cols>
          <w:pgMar w:left="414" w:top="1440" w:right="439" w:bottom="1440" w:gutter="0" w:footer="0" w:header="0"/>
        </w:sectPr>
      </w:pPr>
    </w:p>
    <w:bookmarkStart w:id="80" w:name="page81"/>
    <w:bookmarkEnd w:id="80"/>
    <w:p>
      <w:pPr>
        <w:spacing w:after="0" w:line="184" w:lineRule="exact"/>
        <w:rPr>
          <w:sz w:val="20"/>
          <w:szCs w:val="20"/>
          <w:color w:val="auto"/>
        </w:rPr>
      </w:pPr>
    </w:p>
    <w:p>
      <w:pPr>
        <w:jc w:val="both"/>
        <w:ind w:left="6" w:hanging="6"/>
        <w:spacing w:after="0" w:line="289" w:lineRule="auto"/>
        <w:tabs>
          <w:tab w:leader="none" w:pos="553"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Ongoing Cooperation and Litigation Assistance: </w:t>
      </w:r>
      <w:r>
        <w:rPr>
          <w:rFonts w:ascii="Times New Roman" w:cs="Times New Roman" w:eastAsia="Times New Roman" w:hAnsi="Times New Roman"/>
          <w:sz w:val="19"/>
          <w:szCs w:val="19"/>
          <w:color w:val="auto"/>
        </w:rPr>
        <w:t>Employee agrees to cooperate in good faith in the ongoing operations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of its affiliates. Cooperating in good faith includes providing complete and truthful information to the Company and its accountants, attorneys and financial consultants about matters within Employee’s knowledge. Employee also agrees that, if requested by the Company or any of its affiliates, Employee will cooperate in good faith by providing complete and truthful information and assistance to the Company in connection with the Company’s prosecution of or defense against threatened, ongoing, or future litigation or other legal claims or proceedings involving the Company or any of its affiliates. Employee’s reasonable expenses related to such assistance will be reimbursed by the Company. The Company may rescind its agreement to reimburse Employee’s reasonable expenses in the event Employee’s conduct resulted in the litigation and the conduct was unlawful, malicious, or grossly negligent. The Company will seek to accommodate employee’s scheduling needs in providing such assistance.</w:t>
      </w:r>
    </w:p>
    <w:p>
      <w:pPr>
        <w:spacing w:after="0" w:line="163" w:lineRule="exact"/>
        <w:rPr>
          <w:rFonts w:ascii="Times New Roman" w:cs="Times New Roman" w:eastAsia="Times New Roman" w:hAnsi="Times New Roman"/>
          <w:sz w:val="19"/>
          <w:szCs w:val="19"/>
          <w:b w:val="1"/>
          <w:bCs w:val="1"/>
          <w:color w:val="auto"/>
        </w:rPr>
      </w:pPr>
    </w:p>
    <w:p>
      <w:pPr>
        <w:jc w:val="both"/>
        <w:ind w:left="6" w:hanging="6"/>
        <w:spacing w:after="0" w:line="293" w:lineRule="auto"/>
        <w:tabs>
          <w:tab w:leader="none" w:pos="553"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Liquidated Damages. </w:t>
      </w:r>
      <w:r>
        <w:rPr>
          <w:rFonts w:ascii="Times New Roman" w:cs="Times New Roman" w:eastAsia="Times New Roman" w:hAnsi="Times New Roman"/>
          <w:sz w:val="19"/>
          <w:szCs w:val="19"/>
          <w:color w:val="auto"/>
        </w:rPr>
        <w:t>Any breach by Employee of provisions set out in sections 7-11 above shall be a material breach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for which these parties agree that the Company or one of its affiliates would suffer harm and damage to its reputation that would be difficult or impossible to calculate. In order to provide certainty and avoid the expense of proving damages in that event, given the importance of Employee’s role with the Company, the parties agree that if Employee breaches any provision of section 7, 8, 9, 10, or 11 hereof, the Company shall be entitled to recover damages in the liquidated amount of $885,610.08. The foregoing shall not preclude provisional relief to which the Company may be entitled.</w:t>
      </w:r>
    </w:p>
    <w:p>
      <w:pPr>
        <w:spacing w:after="0" w:line="161" w:lineRule="exact"/>
        <w:rPr>
          <w:rFonts w:ascii="Times New Roman" w:cs="Times New Roman" w:eastAsia="Times New Roman" w:hAnsi="Times New Roman"/>
          <w:sz w:val="19"/>
          <w:szCs w:val="19"/>
          <w:b w:val="1"/>
          <w:bCs w:val="1"/>
          <w:color w:val="auto"/>
        </w:rPr>
      </w:pPr>
    </w:p>
    <w:p>
      <w:pPr>
        <w:jc w:val="both"/>
        <w:ind w:left="6" w:right="20" w:hanging="6"/>
        <w:spacing w:after="0" w:line="326" w:lineRule="auto"/>
        <w:tabs>
          <w:tab w:leader="none" w:pos="553"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References. </w:t>
      </w:r>
      <w:r>
        <w:rPr>
          <w:rFonts w:ascii="Times New Roman" w:cs="Times New Roman" w:eastAsia="Times New Roman" w:hAnsi="Times New Roman"/>
          <w:sz w:val="19"/>
          <w:szCs w:val="19"/>
          <w:color w:val="auto"/>
        </w:rPr>
        <w:t>Employee agrees that any requests for references will be directed to the Company’s human resources department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acknowledges that responses to any requests for references may be limited to confirmation of the dates of employment and the last position held.</w:t>
      </w:r>
    </w:p>
    <w:p>
      <w:pPr>
        <w:spacing w:after="0" w:line="200" w:lineRule="exact"/>
        <w:rPr>
          <w:rFonts w:ascii="Times New Roman" w:cs="Times New Roman" w:eastAsia="Times New Roman" w:hAnsi="Times New Roman"/>
          <w:sz w:val="19"/>
          <w:szCs w:val="19"/>
          <w:b w:val="1"/>
          <w:bCs w:val="1"/>
          <w:color w:val="auto"/>
        </w:rPr>
      </w:pPr>
    </w:p>
    <w:p>
      <w:pPr>
        <w:spacing w:after="0" w:line="200" w:lineRule="exact"/>
        <w:rPr>
          <w:rFonts w:ascii="Times New Roman" w:cs="Times New Roman" w:eastAsia="Times New Roman" w:hAnsi="Times New Roman"/>
          <w:sz w:val="19"/>
          <w:szCs w:val="19"/>
          <w:b w:val="1"/>
          <w:bCs w:val="1"/>
          <w:color w:val="auto"/>
        </w:rPr>
      </w:pPr>
    </w:p>
    <w:p>
      <w:pPr>
        <w:jc w:val="both"/>
        <w:ind w:left="6" w:hanging="6"/>
        <w:spacing w:after="0" w:line="289" w:lineRule="auto"/>
        <w:tabs>
          <w:tab w:leader="none" w:pos="553"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Additional Employee Acknowledgements. </w:t>
      </w:r>
      <w:r>
        <w:rPr>
          <w:rFonts w:ascii="Times New Roman" w:cs="Times New Roman" w:eastAsia="Times New Roman" w:hAnsi="Times New Roman"/>
          <w:sz w:val="19"/>
          <w:szCs w:val="19"/>
          <w:color w:val="auto"/>
        </w:rPr>
        <w:t>Employee acknowledges that (1) Employee has not suffered any on-the-job injury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Employee has not already filed a claim; (2) Employee has taken and has not been deprived of all leave to which Employee was legally entitled prior to the Termination Date; (3) Employee has been paid appropriately and fully and has received all compensation, wages, bonuses, commissions and benefits which are due and payable as of the date of execution of this Agreement; and (4) Employee knows of no potential or actual unlawful conduct or wrongdoing by the Company or any of its affiliates under any state, federal or local law that Employee has not already disclosed to the Company or any of its affiliates. The parties agree that, in entering into this Agreement, the Company is expressly relying on the foregoing representations by Employee. The parties further agree that the representations made by Employee in this paragraph are admissions by Employee and are admissible, if offered by Company, as a sworn statement of fact by Employee in any proceeding between the parties.</w:t>
      </w:r>
    </w:p>
    <w:p>
      <w:pPr>
        <w:spacing w:after="0" w:line="163" w:lineRule="exact"/>
        <w:rPr>
          <w:rFonts w:ascii="Times New Roman" w:cs="Times New Roman" w:eastAsia="Times New Roman" w:hAnsi="Times New Roman"/>
          <w:sz w:val="19"/>
          <w:szCs w:val="19"/>
          <w:b w:val="1"/>
          <w:bCs w:val="1"/>
          <w:color w:val="auto"/>
        </w:rPr>
      </w:pPr>
    </w:p>
    <w:p>
      <w:pPr>
        <w:ind w:left="6" w:right="20" w:hanging="6"/>
        <w:spacing w:after="0" w:line="333" w:lineRule="auto"/>
        <w:tabs>
          <w:tab w:leader="none" w:pos="553"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Admission of Wrongdoing. </w:t>
      </w:r>
      <w:r>
        <w:rPr>
          <w:rFonts w:ascii="Times New Roman" w:cs="Times New Roman" w:eastAsia="Times New Roman" w:hAnsi="Times New Roman"/>
          <w:sz w:val="19"/>
          <w:szCs w:val="19"/>
          <w:color w:val="auto"/>
        </w:rPr>
        <w:t>The parties agree that this Agreement shall not in any way be construed as an admission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Releasees of any acts of wrongdoing whatsoever against Employee or any other person.</w:t>
      </w:r>
    </w:p>
    <w:p>
      <w:pPr>
        <w:sectPr>
          <w:pgSz w:w="11900" w:h="16838" w:orient="portrait"/>
          <w:cols w:equalWidth="0" w:num="1">
            <w:col w:w="11046"/>
          </w:cols>
          <w:pgMar w:left="414" w:top="1440" w:right="439" w:bottom="1440" w:gutter="0" w:footer="0" w:header="0"/>
        </w:sectPr>
      </w:pPr>
    </w:p>
    <w:bookmarkStart w:id="81" w:name="page82"/>
    <w:bookmarkEnd w:id="81"/>
    <w:p>
      <w:pPr>
        <w:spacing w:after="0" w:line="184" w:lineRule="exact"/>
        <w:rPr>
          <w:sz w:val="20"/>
          <w:szCs w:val="20"/>
          <w:color w:val="auto"/>
        </w:rPr>
      </w:pPr>
    </w:p>
    <w:p>
      <w:pPr>
        <w:jc w:val="both"/>
        <w:ind w:left="6" w:hanging="6"/>
        <w:spacing w:after="0" w:line="288" w:lineRule="auto"/>
        <w:tabs>
          <w:tab w:leader="none" w:pos="553"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Entire agreement. </w:t>
      </w:r>
      <w:r>
        <w:rPr>
          <w:rFonts w:ascii="Times New Roman" w:cs="Times New Roman" w:eastAsia="Times New Roman" w:hAnsi="Times New Roman"/>
          <w:sz w:val="19"/>
          <w:szCs w:val="19"/>
          <w:color w:val="auto"/>
        </w:rPr>
        <w:t>This Agreement sets forth the entire agreement between the parties hereto, and fully supersedes any and all prior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agreements or understandings between the parties hereto pertaining to the subject matter hereof. However, this Agreement shall not supersede the Continuing Obligations or any other obligations of Employee under any agreement concerning confidentiality, trade secrets, proprietary information, non-disclosure, non-competition, non- solicitation, inventions, patents, copyrights, or intellectual property that Employee previously executed, and any such provisions shall continue to remain in full force and effect. Employee agrees that Employee has not relied on any representation or statement, whether written or oral, other than as set forth in this Agreement. Furthermore, no modification of this Agreement shall be binding unless in writing signed by both parties. This Agreement shall inure to the benefit of and be binding upon the parties, their respective heirs, successors, and assigns.</w:t>
      </w:r>
    </w:p>
    <w:p>
      <w:pPr>
        <w:spacing w:after="0" w:line="181" w:lineRule="exact"/>
        <w:rPr>
          <w:rFonts w:ascii="Times New Roman" w:cs="Times New Roman" w:eastAsia="Times New Roman" w:hAnsi="Times New Roman"/>
          <w:sz w:val="19"/>
          <w:szCs w:val="19"/>
          <w:b w:val="1"/>
          <w:bCs w:val="1"/>
          <w:color w:val="auto"/>
        </w:rPr>
      </w:pPr>
    </w:p>
    <w:p>
      <w:pPr>
        <w:jc w:val="both"/>
        <w:ind w:left="6" w:hanging="6"/>
        <w:spacing w:after="0" w:line="295" w:lineRule="auto"/>
        <w:tabs>
          <w:tab w:leader="none" w:pos="553"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Unemployment Benefits. </w:t>
      </w:r>
      <w:r>
        <w:rPr>
          <w:rFonts w:ascii="Times New Roman" w:cs="Times New Roman" w:eastAsia="Times New Roman" w:hAnsi="Times New Roman"/>
          <w:sz w:val="19"/>
          <w:szCs w:val="19"/>
          <w:color w:val="auto"/>
        </w:rPr>
        <w:t>The Company cannot and will not make the ultimate determination as to Employee’s eligibility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unemployment benefits; provided, however, the Company will truthfully furnish information requested by an unemployment board or any other agency relating to Employee’s application for benefits and will rebut false or misleading information submitted, whether requested to do so or not.</w:t>
      </w:r>
    </w:p>
    <w:p>
      <w:pPr>
        <w:spacing w:after="0" w:line="171" w:lineRule="exact"/>
        <w:rPr>
          <w:rFonts w:ascii="Times New Roman" w:cs="Times New Roman" w:eastAsia="Times New Roman" w:hAnsi="Times New Roman"/>
          <w:sz w:val="19"/>
          <w:szCs w:val="19"/>
          <w:b w:val="1"/>
          <w:bCs w:val="1"/>
          <w:color w:val="auto"/>
        </w:rPr>
      </w:pPr>
    </w:p>
    <w:p>
      <w:pPr>
        <w:jc w:val="both"/>
        <w:ind w:left="6" w:right="20" w:hanging="6"/>
        <w:spacing w:after="0" w:line="305" w:lineRule="auto"/>
        <w:tabs>
          <w:tab w:leader="none" w:pos="553"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Costs Related to Breach of the Agreement</w:t>
      </w:r>
      <w:r>
        <w:rPr>
          <w:rFonts w:ascii="Times New Roman" w:cs="Times New Roman" w:eastAsia="Times New Roman" w:hAnsi="Times New Roman"/>
          <w:sz w:val="19"/>
          <w:szCs w:val="19"/>
          <w:color w:val="auto"/>
        </w:rPr>
        <w:t>. If any suit, arbitration, or other proceeding is instituted by either party pertaining 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or performance hereunder, the prevailing party shall be entitled to its costs, expenses, and actual attorney’s fees, in addition to any other relief as may be awarded.</w:t>
      </w:r>
    </w:p>
    <w:p>
      <w:pPr>
        <w:spacing w:after="0" w:line="147" w:lineRule="exact"/>
        <w:rPr>
          <w:rFonts w:ascii="Times New Roman" w:cs="Times New Roman" w:eastAsia="Times New Roman" w:hAnsi="Times New Roman"/>
          <w:sz w:val="19"/>
          <w:szCs w:val="19"/>
          <w:b w:val="1"/>
          <w:bCs w:val="1"/>
          <w:color w:val="auto"/>
        </w:rPr>
      </w:pPr>
    </w:p>
    <w:p>
      <w:pPr>
        <w:jc w:val="both"/>
        <w:ind w:left="6" w:hanging="6"/>
        <w:spacing w:after="0" w:line="300" w:lineRule="auto"/>
        <w:tabs>
          <w:tab w:leader="none" w:pos="553"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Governing Law, Jurisdiction, and Venue. </w:t>
      </w:r>
      <w:r>
        <w:rPr>
          <w:rFonts w:ascii="Times New Roman" w:cs="Times New Roman" w:eastAsia="Times New Roman" w:hAnsi="Times New Roman"/>
          <w:sz w:val="19"/>
          <w:szCs w:val="19"/>
          <w:color w:val="auto"/>
        </w:rPr>
        <w:t>This Agreement shall be governed by the laws of the State of Washington without regard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its choice of law rules. Each party irrevocably agrees to submit to the personal jurisdiction of the state and federal courts situated within the State of Washington for purposes of any action arising from this Agreement. The aforesaid courts shall have exclusive jurisdiction over any proceeding relating to this Agreement.</w:t>
      </w:r>
    </w:p>
    <w:p>
      <w:pPr>
        <w:spacing w:after="0" w:line="153" w:lineRule="exact"/>
        <w:rPr>
          <w:rFonts w:ascii="Times New Roman" w:cs="Times New Roman" w:eastAsia="Times New Roman" w:hAnsi="Times New Roman"/>
          <w:sz w:val="19"/>
          <w:szCs w:val="19"/>
          <w:b w:val="1"/>
          <w:bCs w:val="1"/>
          <w:color w:val="auto"/>
        </w:rPr>
      </w:pPr>
    </w:p>
    <w:p>
      <w:pPr>
        <w:jc w:val="both"/>
        <w:ind w:left="6" w:hanging="6"/>
        <w:spacing w:after="0" w:line="300" w:lineRule="auto"/>
        <w:tabs>
          <w:tab w:leader="none" w:pos="553"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Severability. </w:t>
      </w:r>
      <w:r>
        <w:rPr>
          <w:rFonts w:ascii="Times New Roman" w:cs="Times New Roman" w:eastAsia="Times New Roman" w:hAnsi="Times New Roman"/>
          <w:sz w:val="19"/>
          <w:szCs w:val="19"/>
          <w:color w:val="auto"/>
        </w:rPr>
        <w:t>If any provision of this Agreement is determined to be invalid or unenforceable in any way, for any reason, all remaining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parts and provisions of this Agreement shall remain in full force and effect, except that if the release in paragraph 4 is determined to be invalid or unenforceable, the Agreement shall be voidable by the Company for a period of sixty (60) days following receipt of written notice of the invalidity or unenforceability.</w:t>
      </w:r>
    </w:p>
    <w:p>
      <w:pPr>
        <w:spacing w:after="0" w:line="153" w:lineRule="exact"/>
        <w:rPr>
          <w:rFonts w:ascii="Times New Roman" w:cs="Times New Roman" w:eastAsia="Times New Roman" w:hAnsi="Times New Roman"/>
          <w:sz w:val="19"/>
          <w:szCs w:val="19"/>
          <w:b w:val="1"/>
          <w:bCs w:val="1"/>
          <w:color w:val="auto"/>
        </w:rPr>
      </w:pPr>
    </w:p>
    <w:p>
      <w:pPr>
        <w:jc w:val="both"/>
        <w:ind w:left="6" w:hanging="6"/>
        <w:spacing w:after="0" w:line="290" w:lineRule="auto"/>
        <w:tabs>
          <w:tab w:leader="none" w:pos="553"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Periods for Consideration and Revocation. </w:t>
      </w:r>
      <w:r>
        <w:rPr>
          <w:rFonts w:ascii="Times New Roman" w:cs="Times New Roman" w:eastAsia="Times New Roman" w:hAnsi="Times New Roman"/>
          <w:sz w:val="19"/>
          <w:szCs w:val="19"/>
          <w:color w:val="auto"/>
        </w:rPr>
        <w:t>Employee acknowledges that that Employee has been given the opportunity to consider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for twenty-one (21) days from Employee’s receipt of this Agreement before signing it (the “Consideration Period”). By signing this Agreement, Employee acknowledges Employee has entered this Agreement knowingly and voluntarily. To accept this Agreement, Employee must return a signed original or a signed electronic PDF copy of this Agreement so that it is received by the Company (the Company, 805 Broadway St., Suite 900, Vancouver, WA 98660; hr@zoominfo.com) at or before the expiration of the Consideration Period. If Employee signs this Agreement before the end of the Consideration Period, Employee acknowledges that such decision was entirely voluntary and that Employee has had the opportunity to consider this Agreement for the entire Consideration Period.</w:t>
      </w:r>
    </w:p>
    <w:p>
      <w:pPr>
        <w:sectPr>
          <w:pgSz w:w="11900" w:h="16838" w:orient="portrait"/>
          <w:cols w:equalWidth="0" w:num="1">
            <w:col w:w="11046"/>
          </w:cols>
          <w:pgMar w:left="414" w:top="1440" w:right="439" w:bottom="1440" w:gutter="0" w:footer="0" w:header="0"/>
        </w:sectPr>
      </w:pPr>
    </w:p>
    <w:bookmarkStart w:id="82" w:name="page83"/>
    <w:bookmarkEnd w:id="82"/>
    <w:p>
      <w:pPr>
        <w:spacing w:after="0" w:line="188" w:lineRule="exact"/>
        <w:rPr>
          <w:sz w:val="20"/>
          <w:szCs w:val="20"/>
          <w:color w:val="auto"/>
        </w:rPr>
      </w:pPr>
    </w:p>
    <w:p>
      <w:pPr>
        <w:jc w:val="both"/>
        <w:ind w:left="6"/>
        <w:spacing w:after="0" w:line="289" w:lineRule="auto"/>
        <w:rPr>
          <w:sz w:val="20"/>
          <w:szCs w:val="20"/>
          <w:color w:val="auto"/>
        </w:rPr>
      </w:pPr>
      <w:r>
        <w:rPr>
          <w:rFonts w:ascii="Times New Roman" w:cs="Times New Roman" w:eastAsia="Times New Roman" w:hAnsi="Times New Roman"/>
          <w:sz w:val="19"/>
          <w:szCs w:val="19"/>
          <w:color w:val="auto"/>
        </w:rPr>
        <w:t>For the period of seven (7) days from the date when Employee signs this Agreement, Employee may revoke this Agreement by written notice to the Company. If the Supplemental Release in Exhibit A is required, it too may be revoked at any time during the seven (7) days following the date upon which it is signed by Employee. For a revocation to be effective, it must be delivered so that it is received by the Company at or before the expiration of the seven (7) day revocation period. This Agreement shall not become effective or enforceable until after expiration of any and all revocation period. This Agreement shall become effective on the first business day following the expiration of the revocation period (“Effective Date”).</w:t>
      </w:r>
    </w:p>
    <w:p>
      <w:pPr>
        <w:spacing w:after="0" w:line="180" w:lineRule="exact"/>
        <w:rPr>
          <w:sz w:val="20"/>
          <w:szCs w:val="20"/>
          <w:color w:val="auto"/>
        </w:rPr>
      </w:pPr>
    </w:p>
    <w:p>
      <w:pPr>
        <w:jc w:val="both"/>
        <w:ind w:left="6" w:hanging="6"/>
        <w:spacing w:after="0" w:line="288" w:lineRule="auto"/>
        <w:tabs>
          <w:tab w:leader="none" w:pos="553"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Knowing and Voluntary Waivers under the ADEA. </w:t>
      </w:r>
      <w:r>
        <w:rPr>
          <w:rFonts w:ascii="Times New Roman" w:cs="Times New Roman" w:eastAsia="Times New Roman" w:hAnsi="Times New Roman"/>
          <w:sz w:val="19"/>
          <w:szCs w:val="19"/>
          <w:color w:val="auto"/>
        </w:rPr>
        <w:t>Employee acknowledges that Employee already has attained the age of 40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understands that this is a full release of all existing claims whether currently known or unknown including, but not limited to, claims for age discrimination under the Age Discrimination in Employment Act. Employee is advised to consult with an attorney, prior to signing this Agreement, regarding the meaning and application of this Agreement. Employee agrees and acknowledges that Employee has read and understood this Agreement, and that Employee has consulted with an attorney regarding the meaning and application of this Agreement, or, if Employee has not consulted with an attorney, Employee has been advised to do so and has had ample opportunity to do so. Employee enters into this Agreement knowingly, voluntarily, free from duress, and as a result of Employee’s own free will and with the intention to waive, settle, and release all claims Employee has or may have against the Company and the Releasees.</w:t>
      </w:r>
    </w:p>
    <w:p>
      <w:pPr>
        <w:spacing w:after="0" w:line="181" w:lineRule="exact"/>
        <w:rPr>
          <w:rFonts w:ascii="Times New Roman" w:cs="Times New Roman" w:eastAsia="Times New Roman" w:hAnsi="Times New Roman"/>
          <w:sz w:val="19"/>
          <w:szCs w:val="19"/>
          <w:b w:val="1"/>
          <w:bCs w:val="1"/>
          <w:color w:val="auto"/>
        </w:rPr>
      </w:pPr>
    </w:p>
    <w:p>
      <w:pPr>
        <w:ind w:left="6" w:hanging="6"/>
        <w:spacing w:after="0" w:line="333" w:lineRule="auto"/>
        <w:tabs>
          <w:tab w:leader="none" w:pos="553"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Company Board Approval</w:t>
      </w:r>
      <w:r>
        <w:rPr>
          <w:rFonts w:ascii="Times New Roman" w:cs="Times New Roman" w:eastAsia="Times New Roman" w:hAnsi="Times New Roman"/>
          <w:sz w:val="19"/>
          <w:szCs w:val="19"/>
          <w:color w:val="auto"/>
        </w:rPr>
        <w:t>. The contents of this document are subject to approval by the Board or appropriate committee thereof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only be effective upon such approval.</w:t>
      </w:r>
    </w:p>
    <w:p>
      <w:pPr>
        <w:spacing w:after="0" w:line="122" w:lineRule="exact"/>
        <w:rPr>
          <w:rFonts w:ascii="Times New Roman" w:cs="Times New Roman" w:eastAsia="Times New Roman" w:hAnsi="Times New Roman"/>
          <w:sz w:val="19"/>
          <w:szCs w:val="19"/>
          <w:b w:val="1"/>
          <w:bCs w:val="1"/>
          <w:color w:val="auto"/>
        </w:rPr>
      </w:pPr>
    </w:p>
    <w:p>
      <w:pPr>
        <w:jc w:val="both"/>
        <w:ind w:left="6" w:hanging="6"/>
        <w:spacing w:after="0" w:line="288" w:lineRule="auto"/>
        <w:tabs>
          <w:tab w:leader="none" w:pos="553"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 This Agreement may be signed in counterparts, both of which shall be deemed an original, but both of which, taken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together shall constitute the same instrument. A signature made on a faxed or electronically mailed copy of the Agreement or a signature transmitted by facsimile or electronic shall have the same effect as the original signature. The section headings used in this Agreement are intended solely for convenience of reference and shall not in any manner amplify, limit, modify or otherwise be used in the interpretation of any of the provisions hereof. This Agreement was the result of the negotiations between the parties. In the event of vagueness, ambiguity or uncertainty, the Agreement shall not be construed against the party preparing it, but shall be construed as if both parties prepared it jointly. If Employee or the Company fails to enforce this Agreement or to insist on performance of any term, that failure does not mean a waiver of that term or of the Agreement. This Agreement remains in full force and effect anyway.</w:t>
      </w:r>
    </w:p>
    <w:p>
      <w:pPr>
        <w:spacing w:after="0" w:line="181" w:lineRule="exact"/>
        <w:rPr>
          <w:rFonts w:ascii="Times New Roman" w:cs="Times New Roman" w:eastAsia="Times New Roman" w:hAnsi="Times New Roman"/>
          <w:sz w:val="19"/>
          <w:szCs w:val="19"/>
          <w:b w:val="1"/>
          <w:bCs w:val="1"/>
          <w:color w:val="auto"/>
        </w:rPr>
      </w:pPr>
    </w:p>
    <w:p>
      <w:pPr>
        <w:ind w:left="6" w:right="20" w:hanging="6"/>
        <w:spacing w:after="0" w:line="318" w:lineRule="auto"/>
        <w:tabs>
          <w:tab w:leader="none" w:pos="553"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Notices. </w:t>
      </w:r>
      <w:r>
        <w:rPr>
          <w:rFonts w:ascii="Times New Roman" w:cs="Times New Roman" w:eastAsia="Times New Roman" w:hAnsi="Times New Roman"/>
          <w:sz w:val="19"/>
          <w:szCs w:val="19"/>
          <w:color w:val="auto"/>
        </w:rPr>
        <w:t>Notices required or permitted hereunder may be given by email. Notice to the Company may be given by email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hr@zoominfo.com. Notice to Employee may be given by email to an email address provided by Employee to the Company.</w:t>
      </w:r>
    </w:p>
    <w:p>
      <w:pPr>
        <w:spacing w:after="0" w:line="1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follow</w:t>
      </w:r>
      <w:r>
        <w:rPr>
          <w:rFonts w:ascii="Times New Roman" w:cs="Times New Roman" w:eastAsia="Times New Roman" w:hAnsi="Times New Roman"/>
          <w:sz w:val="19"/>
          <w:szCs w:val="19"/>
          <w:color w:val="auto"/>
        </w:rPr>
        <w:t>]</w:t>
      </w:r>
    </w:p>
    <w:p>
      <w:pPr>
        <w:sectPr>
          <w:pgSz w:w="11900" w:h="16838" w:orient="portrait"/>
          <w:cols w:equalWidth="0" w:num="1">
            <w:col w:w="11046"/>
          </w:cols>
          <w:pgMar w:left="414" w:top="1440" w:right="439" w:bottom="1440" w:gutter="0" w:footer="0" w:header="0"/>
        </w:sectPr>
      </w:pPr>
    </w:p>
    <w:bookmarkStart w:id="83" w:name="page84"/>
    <w:bookmarkEnd w:id="83"/>
    <w:p>
      <w:pPr>
        <w:spacing w:after="0" w:line="343"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9"/>
          <w:szCs w:val="19"/>
          <w:b w:val="1"/>
          <w:bCs w:val="1"/>
          <w:color w:val="auto"/>
        </w:rPr>
        <w:t>Employee has read and understands the foregoing employment separation agreement and release of all claims. Employee understands that Employee is releasing legal rights and claims, known or unknown, and voluntarily enters into this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Each party has executed this Agreement as of the date specified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Signed: </w:t>
      </w:r>
      <w:r>
        <w:rPr>
          <w:rFonts w:ascii="Times New Roman" w:cs="Times New Roman" w:eastAsia="Times New Roman" w:hAnsi="Times New Roman"/>
          <w:sz w:val="19"/>
          <w:szCs w:val="19"/>
          <w:u w:val="single" w:color="auto"/>
          <w:color w:val="auto"/>
        </w:rPr>
        <w:t>/s/ Peter Cameron Hyzer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Peter Cameron Hyzer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10/08/2024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Signed: </w:t>
      </w:r>
      <w:r>
        <w:rPr>
          <w:rFonts w:ascii="Times New Roman" w:cs="Times New Roman" w:eastAsia="Times New Roman" w:hAnsi="Times New Roman"/>
          <w:sz w:val="19"/>
          <w:szCs w:val="19"/>
          <w:u w:val="single" w:color="auto"/>
          <w:color w:val="auto"/>
        </w:rPr>
        <w:t>/s/ Chad Herring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ZoomInfo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10/07/2024</w:t>
      </w:r>
    </w:p>
    <w:p>
      <w:pPr>
        <w:sectPr>
          <w:pgSz w:w="11900" w:h="16838" w:orient="portrait"/>
          <w:cols w:equalWidth="0" w:num="1">
            <w:col w:w="11040"/>
          </w:cols>
          <w:pgMar w:left="420" w:top="1440" w:right="439" w:bottom="1440" w:gutter="0" w:footer="0" w:header="0"/>
        </w:sectPr>
      </w:pPr>
    </w:p>
    <w:bookmarkStart w:id="84" w:name="page85"/>
    <w:bookmarkEnd w:id="84"/>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EXHIBIT A TO SEPARATION AGREEMENT SUPPLEMENTAL RELEASE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Background</w:t>
      </w:r>
    </w:p>
    <w:p>
      <w:pPr>
        <w:spacing w:after="0" w:line="28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I, Peter Cameron Hyzer, acknowledge that I entered into a separation agreement with the ZoomInfo Technologies LLC d/b/a ZoomInfo (the “Company”) in connection with my separation from employment with the Company (the “Separation Agreement”), that this is the Supplemental Release referenced in and attached as Exhibit A to the Separation Agreement, and that this Supplemental Release becoming effective is one of the conditions (as defined in the Separation Agreement) of my receipt of the severance payment (as defined in the Separation Agreement).</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9"/>
          <w:szCs w:val="19"/>
          <w:color w:val="auto"/>
        </w:rPr>
        <w:t>I understand that for this Supplemental Release to become effective, I must sign this Supplemental Release no earlier than my Termination Date and return the signed copy to the company at the Company, 805 Broadway St., Suite 900, Vancouver, WA 98660 or by email to hr@zoominfo.com. I acknowledge that I have had more than twenty-one (21) days to consider this Supplemental Release since first receiving it with the Separation Agreement. I further acknowledge that for the period of seven (7) days from the date when I sign this Supplemental Release, I have the right to revoke this Supplemental Release by written notice to the Company. This Supplemental Release shall not become effective or enforceable during the revocation period. This Supplemental Release shall become effective on the first day following the expiration of the revocation period.</w:t>
      </w:r>
    </w:p>
    <w:p>
      <w:pPr>
        <w:spacing w:after="0" w:line="179"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This Supplemental Release shall be supplemental to the release of claims in Section 4 of the Separation Agreement, which shall remain in full force and effect regardless of whether this Supplemental Release becomes effective.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Release</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Pursuant to my employment agreement with the Company, as a condition of receiving and in consideration of the severance payment (as defined in the Separation Agreement), I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“Releasees”) generally from all claims, demands, debts, damages and liabilities of every name and nature, known or unknown (“Claims”) that, as of the date when I sign this Supplemental Release, I have, I had, now claim to have or ever claimed to have had against any or all of the Releasees. This release includes, without limitation, all Claims: relating to my employment by the Company and separation from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the Washington Law Against Discrimination (Ch. 49.60 RCW), the Illinois Human Rights Act (if applicable), Massachusetts General Laws c. 151B (if applicable), the Texas Anti-Retaliation Act (if applicable), and Maryland anti-discrimination and anti-retaliation laws); under any other federal or state statute (including, without limitation, Claims under the Fair Labor Standards Act, the federal Worker Adjustment and Retraining Notification Act or analogous state law, the Family and Medical Leave Act, or any other federal or state family and medical leave law);</w:t>
      </w:r>
    </w:p>
    <w:p>
      <w:pPr>
        <w:sectPr>
          <w:pgSz w:w="11900" w:h="16838" w:orient="portrait"/>
          <w:cols w:equalWidth="0" w:num="1">
            <w:col w:w="11040"/>
          </w:cols>
          <w:pgMar w:left="420" w:top="1411" w:right="439" w:bottom="1440" w:gutter="0" w:footer="0" w:header="0"/>
        </w:sectPr>
      </w:pPr>
    </w:p>
    <w:bookmarkStart w:id="85" w:name="page86"/>
    <w:bookmarkEnd w:id="85"/>
    <w:p>
      <w:pPr>
        <w:jc w:val="both"/>
        <w:ind w:left="100"/>
        <w:spacing w:after="0" w:line="292" w:lineRule="auto"/>
        <w:rPr>
          <w:sz w:val="20"/>
          <w:szCs w:val="20"/>
          <w:color w:val="auto"/>
        </w:rPr>
      </w:pPr>
      <w:r>
        <w:rPr>
          <w:rFonts w:ascii="Times New Roman" w:cs="Times New Roman" w:eastAsia="Times New Roman" w:hAnsi="Times New Roman"/>
          <w:sz w:val="19"/>
          <w:szCs w:val="19"/>
          <w:color w:val="auto"/>
        </w:rPr>
        <w:t xml:space="preserve">for wages, bonuses, incentive compensation, commissions, stock, stock options, vacation pay or any other compensation or benefits (either under Maryland law, the Washington Minimum Wage Act (Ch. 49.46 RCW), the Washington Wage Payment Act (Ch. 49.48 RCW), the Massachusetts Wage Act (M.G.L. c. 149, §§148-150C) (if applicable), the Texas Labor Code (if applicable), Illinois state law (if applicable), or otherwise); and for damages or other remedies of any sort, including, without limitation, compensatory damages, punitive damages, injunctive relief and attorney’s fees;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however, that this release shall not affect my rights under the Agreement, my vested rights (if any) under the Equity Documents or the Company’s employee benefit plans, or rights that cannot be released as a matter of law.</w:t>
      </w:r>
    </w:p>
    <w:p>
      <w:pPr>
        <w:spacing w:after="0" w:line="167" w:lineRule="exact"/>
        <w:rPr>
          <w:sz w:val="20"/>
          <w:szCs w:val="20"/>
          <w:color w:val="auto"/>
        </w:rPr>
      </w:pPr>
    </w:p>
    <w:p>
      <w:pPr>
        <w:jc w:val="both"/>
        <w:ind w:left="100"/>
        <w:spacing w:after="0" w:line="329" w:lineRule="auto"/>
        <w:rPr>
          <w:sz w:val="20"/>
          <w:szCs w:val="20"/>
          <w:color w:val="auto"/>
        </w:rPr>
      </w:pPr>
      <w:r>
        <w:rPr>
          <w:rFonts w:ascii="Times New Roman" w:cs="Times New Roman" w:eastAsia="Times New Roman" w:hAnsi="Times New Roman"/>
          <w:sz w:val="19"/>
          <w:szCs w:val="19"/>
          <w:color w:val="auto"/>
        </w:rPr>
        <w:t>I agree not to accept damages of any nature, other equitable or legal remedies for my own benefit or attorney’s fees or costs from any of the Releasees with respect to any Claim released by this Supplemental Release.</w:t>
      </w:r>
    </w:p>
    <w:p>
      <w:pPr>
        <w:spacing w:after="0" w:line="130" w:lineRule="exact"/>
        <w:rPr>
          <w:sz w:val="20"/>
          <w:szCs w:val="20"/>
          <w:color w:val="auto"/>
        </w:rPr>
      </w:pPr>
    </w:p>
    <w:p>
      <w:pPr>
        <w:jc w:val="both"/>
        <w:ind w:left="100"/>
        <w:spacing w:after="0" w:line="298" w:lineRule="auto"/>
        <w:rPr>
          <w:sz w:val="20"/>
          <w:szCs w:val="20"/>
          <w:color w:val="auto"/>
        </w:rPr>
      </w:pPr>
      <w:r>
        <w:rPr>
          <w:rFonts w:ascii="Times New Roman" w:cs="Times New Roman" w:eastAsia="Times New Roman" w:hAnsi="Times New Roman"/>
          <w:sz w:val="19"/>
          <w:szCs w:val="19"/>
          <w:color w:val="auto"/>
        </w:rPr>
        <w:t>I HAVE READ THIS SUPPLEMENTAL RELEASE THOROUGHLY, UNDERSTAND ITS TERMS AND HAVE SIGNED IT KNOWINGLY AND VOLUNTARILY. I UNDERSTAND THAT THIS SUPPLEMENTAL RELEASE IS A LEGAL DOCUMENT. I ACKNOWLEDGE THAT I HAVE BEEN ADVISED BY THE COMPANY TO DISCUSS ALL ASPECTS OF THIS SUPPLEMENTAL RELEASE WITH AN ATTORNEY.</w:t>
      </w:r>
    </w:p>
    <w:p>
      <w:pPr>
        <w:spacing w:after="0" w:line="1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Peter Cameron Hyzer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Cameron Hyzer</w:t>
      </w: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10/08/2024</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-19685</wp:posOffset>
            </wp:positionV>
            <wp:extent cx="1231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152525" cy="420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52525" cy="42037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6, 2024 Sent electronically Graham O’Brien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[via email]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Graham,</w:t>
      </w:r>
    </w:p>
    <w:p>
      <w:pPr>
        <w:spacing w:after="0" w:line="267" w:lineRule="exact"/>
        <w:rPr>
          <w:sz w:val="20"/>
          <w:szCs w:val="20"/>
          <w:color w:val="auto"/>
        </w:rPr>
      </w:pPr>
    </w:p>
    <w:p>
      <w:pPr>
        <w:jc w:val="both"/>
        <w:ind w:right="380"/>
        <w:spacing w:after="0" w:line="291" w:lineRule="auto"/>
        <w:rPr>
          <w:sz w:val="20"/>
          <w:szCs w:val="20"/>
          <w:color w:val="auto"/>
        </w:rPr>
      </w:pPr>
      <w:r>
        <w:rPr>
          <w:rFonts w:ascii="Times New Roman" w:cs="Times New Roman" w:eastAsia="Times New Roman" w:hAnsi="Times New Roman"/>
          <w:sz w:val="16"/>
          <w:szCs w:val="16"/>
          <w:color w:val="auto"/>
        </w:rPr>
        <w:t>On behalf of ZoomInfo (the “Company”), I am pleased to offer you the interim position of Executive Vice President and Chief Financial Officer, effective September 6, 2024. We believe you will continue to be a valuable addition and are confident that ZoomInfo will present a challenging and rewarding opportunity. This letter formally presents the specifics of the appointment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your tenure in this interim position, you will report directly to Henry Schuck, Chief Executive Officer.</w:t>
      </w:r>
    </w:p>
    <w:p>
      <w:pPr>
        <w:spacing w:after="0" w:line="253" w:lineRule="exact"/>
        <w:rPr>
          <w:sz w:val="20"/>
          <w:szCs w:val="20"/>
          <w:color w:val="auto"/>
        </w:rPr>
      </w:pPr>
    </w:p>
    <w:p>
      <w:pPr>
        <w:jc w:val="both"/>
        <w:ind w:right="360"/>
        <w:spacing w:after="0" w:line="279" w:lineRule="auto"/>
        <w:rPr>
          <w:sz w:val="20"/>
          <w:szCs w:val="20"/>
          <w:color w:val="auto"/>
        </w:rPr>
      </w:pPr>
      <w:r>
        <w:rPr>
          <w:rFonts w:ascii="Times New Roman" w:cs="Times New Roman" w:eastAsia="Times New Roman" w:hAnsi="Times New Roman"/>
          <w:sz w:val="16"/>
          <w:szCs w:val="16"/>
          <w:color w:val="111727"/>
        </w:rPr>
        <w:t>For the period beginning September 6, 2024, and continuing until September 6, 2025, we will provide you with an overlay to your base salary of $140,000, bringing your total annual base salary for this period to $450,000. After September 6, 2025, we will remove the overlay and your base salary will be set at a level commensurate with your role at the Company and reflective of your duties, scope, and responsibilities at that time. The overlay is treated like your general base salary for all taxes and benefits deductions. You are also eligible for a short-term cash incentive with an annual target amount of 50% of the total current base salary amount (current base salary + overlay). Achievement of the short-term cash incentive will be based on specific performance metrics and achievement against those metrics. For the 2024 performance year, which began on January 1, 2024, and ends on December 31, 2024, the target percentage for your cash bonus will be pro-rated from January 1, 2024 until September 5, 2024 at 30% of your salary prior to this interim appointment and from September 6th, 2024, until December 31, 2024 the target amount will be 50%. Your bonus target will return to 30% at the earlier of (i) September 6, 2025, or (ii) the end of your time in the interim appointment which will conclude upon the start date of a person designated as the permanent Executive Vice President &amp; Chief Financial Officer and elected by the board of directors as an officer of the Company. In the event you return to your prior position as Vice President, FP&amp;A, because of the commencement of employment of a permanent Chief Financial Officer prior to December 31, 2024, your cash bonus target will be at 50% of the base salary with overlay outlined in this letter until December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Equity Award(s)</w:t>
      </w:r>
    </w:p>
    <w:p>
      <w:pPr>
        <w:spacing w:after="0" w:line="269"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6"/>
          <w:szCs w:val="16"/>
          <w:color w:val="auto"/>
        </w:rPr>
        <w:t>In consideration of your service in this interim capacity, for as long as you serve in it, subject to the due execution of agreements in a form acceptable to the Company and the discretion and approval of the Company and its Board or Compensation Committee, as applicable, you will receive an equity award under the Company’s 2020 Omnibus Incentive Plan</w:t>
      </w:r>
    </w:p>
    <w:p>
      <w:pPr>
        <w:spacing w:after="0" w:line="2" w:lineRule="exact"/>
        <w:rPr>
          <w:sz w:val="20"/>
          <w:szCs w:val="20"/>
          <w:color w:val="auto"/>
        </w:rPr>
      </w:pPr>
    </w:p>
    <w:p>
      <w:pPr>
        <w:jc w:val="both"/>
        <w:ind w:right="380"/>
        <w:spacing w:after="0" w:line="284" w:lineRule="auto"/>
        <w:rPr>
          <w:sz w:val="20"/>
          <w:szCs w:val="20"/>
          <w:color w:val="auto"/>
        </w:rPr>
      </w:pPr>
      <w:r>
        <w:rPr>
          <w:rFonts w:ascii="Times New Roman" w:cs="Times New Roman" w:eastAsia="Times New Roman" w:hAnsi="Times New Roman"/>
          <w:sz w:val="16"/>
          <w:szCs w:val="16"/>
          <w:color w:val="auto"/>
        </w:rPr>
        <w:t>(the “OIP”) consisting of restricted stock units (“RSUs”) in an amount 125,000 restricted stock units (“RSUs”). If approved, your equity award will vest over a four-year period, with a vesting commencement date of October 1, 2024, subject to your continued employment with the Company at the applicable vesting dates. 25% of the RSUs will be scheduled to vest 12 months from the vesting commencement date, and the remainder will vest in equal quarterly installments over the remaining three- year period. This award is in recognition of your service in the interim role and will be recommended to the Board even if you are notified prior to the approval date that you will be returning to your prior role of Vice President, FP&amp;A.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tabs>
          <w:tab w:leader="none" w:pos="3160" w:val="left"/>
        </w:tabs>
        <w:rPr>
          <w:sz w:val="20"/>
          <w:szCs w:val="20"/>
          <w:color w:val="auto"/>
        </w:rPr>
      </w:pPr>
      <w:r>
        <w:rPr>
          <w:rFonts w:ascii="Times New Roman" w:cs="Times New Roman" w:eastAsia="Times New Roman" w:hAnsi="Times New Roman"/>
          <w:sz w:val="14"/>
          <w:szCs w:val="14"/>
          <w:color w:val="485467"/>
        </w:rPr>
        <w:t>805 Broadway St, Suite 900, Vancouver, WA 98682</w:t>
        <w:tab/>
        <w:t>800.914.1220 | zoominfo.com</w:t>
      </w:r>
    </w:p>
    <w:p>
      <w:pPr>
        <w:sectPr>
          <w:pgSz w:w="11900" w:h="16838" w:orient="portrait"/>
          <w:cols w:equalWidth="0" w:num="1">
            <w:col w:w="11100"/>
          </w:cols>
          <w:pgMar w:left="460" w:top="835" w:right="339" w:bottom="1440" w:gutter="0" w:footer="0" w:header="0"/>
        </w:sectPr>
      </w:pPr>
    </w:p>
    <w:bookmarkStart w:id="87" w:name="page88"/>
    <w:bookmarkEnd w:id="87"/>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152525" cy="420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52525" cy="420370"/>
                    </a:xfrm>
                    <a:prstGeom prst="rect">
                      <a:avLst/>
                    </a:prstGeom>
                    <a:noFill/>
                  </pic:spPr>
                </pic:pic>
              </a:graphicData>
            </a:graphic>
          </wp:anchor>
        </w:drawing>
      </w:r>
    </w:p>
    <w:p>
      <w:pPr>
        <w:spacing w:after="0" w:line="307" w:lineRule="auto"/>
        <w:rPr>
          <w:sz w:val="20"/>
          <w:szCs w:val="20"/>
          <w:color w:val="auto"/>
        </w:rPr>
      </w:pPr>
      <w:r>
        <w:rPr>
          <w:rFonts w:ascii="Times New Roman" w:cs="Times New Roman" w:eastAsia="Times New Roman" w:hAnsi="Times New Roman"/>
          <w:sz w:val="16"/>
          <w:szCs w:val="16"/>
          <w:color w:val="auto"/>
        </w:rPr>
        <w:t>This is a high-level summary and your grant will be subject to all of the terms and conditions of the Company's organizational documents, the OIP and the terms and conditions of your award documents.</w:t>
      </w:r>
    </w:p>
    <w:p>
      <w:pPr>
        <w:spacing w:after="0" w:line="112" w:lineRule="exact"/>
        <w:rPr>
          <w:sz w:val="20"/>
          <w:szCs w:val="20"/>
          <w:color w:val="auto"/>
        </w:rPr>
      </w:pPr>
    </w:p>
    <w:p>
      <w:pPr>
        <w:jc w:val="both"/>
        <w:ind w:right="380"/>
        <w:spacing w:after="0" w:line="291" w:lineRule="auto"/>
        <w:rPr>
          <w:sz w:val="20"/>
          <w:szCs w:val="20"/>
          <w:color w:val="auto"/>
        </w:rPr>
      </w:pPr>
      <w:r>
        <w:rPr>
          <w:rFonts w:ascii="Times New Roman" w:cs="Times New Roman" w:eastAsia="Times New Roman" w:hAnsi="Times New Roman"/>
          <w:sz w:val="16"/>
          <w:szCs w:val="16"/>
          <w:color w:val="auto"/>
        </w:rPr>
        <w:t>You will also be eligible to receive future equity awards under the OIP at a level appropriate for your seniority and performance as may be determined from time to time by the Company and the Board at their discretion. Any such equity awards will be subject to the due execution of appropriate agreements in a form acceptable to, and approved by, the Company.</w:t>
      </w:r>
    </w:p>
    <w:p>
      <w:pPr>
        <w:spacing w:after="0" w:line="150" w:lineRule="exact"/>
        <w:rPr>
          <w:sz w:val="20"/>
          <w:szCs w:val="20"/>
          <w:color w:val="auto"/>
        </w:rPr>
      </w:pPr>
    </w:p>
    <w:p>
      <w:pPr>
        <w:jc w:val="both"/>
        <w:ind w:right="380"/>
        <w:spacing w:after="0" w:line="310" w:lineRule="auto"/>
        <w:rPr>
          <w:sz w:val="20"/>
          <w:szCs w:val="20"/>
          <w:color w:val="auto"/>
        </w:rPr>
      </w:pPr>
      <w:r>
        <w:rPr>
          <w:rFonts w:ascii="Times New Roman" w:cs="Times New Roman" w:eastAsia="Times New Roman" w:hAnsi="Times New Roman"/>
          <w:sz w:val="16"/>
          <w:szCs w:val="16"/>
          <w:b w:val="1"/>
          <w:bCs w:val="1"/>
          <w:u w:val="single" w:color="auto"/>
          <w:color w:val="111727"/>
        </w:rPr>
        <w:t>Compensation Benefits Connected to Termination By the Company Without Cause and Termination By the Employee For Good Reason Where Termination Is Not Connected to Change in Control:</w:t>
      </w:r>
    </w:p>
    <w:p>
      <w:pPr>
        <w:spacing w:after="0" w:line="110" w:lineRule="exact"/>
        <w:rPr>
          <w:sz w:val="20"/>
          <w:szCs w:val="20"/>
          <w:color w:val="auto"/>
        </w:rPr>
      </w:pPr>
    </w:p>
    <w:p>
      <w:pPr>
        <w:jc w:val="both"/>
        <w:ind w:right="380"/>
        <w:spacing w:after="0" w:line="280" w:lineRule="auto"/>
        <w:rPr>
          <w:sz w:val="20"/>
          <w:szCs w:val="20"/>
          <w:color w:val="auto"/>
        </w:rPr>
      </w:pPr>
      <w:r>
        <w:rPr>
          <w:rFonts w:ascii="Times New Roman" w:cs="Times New Roman" w:eastAsia="Times New Roman" w:hAnsi="Times New Roman"/>
          <w:sz w:val="16"/>
          <w:szCs w:val="16"/>
          <w:color w:val="111727"/>
        </w:rPr>
        <w:t>The Company is confident you will excel in this position. However, if, absent a Change in Control, for any reason your employment with the Company is involuntarily terminated without Cause or you terminate for Good Reason (each as defined below), the Company will, after due execution of a separation agreement and release of claims on a form specified by the Company in its sole discretion, pay you a cash lump sum equivalent to 50% of your then-current base salary on the date of your termination as well as an additional cash lump sum approximately equivalent to six (6) months of company-paid major medical plan premiums provided you were enrolled in a Company-sponsored major medical healthcare plan on the date of your termination. For clarity, should your termination occur during the period in which you are operating in your capacity as interim Chief Financial Officer, we will consider the base salary for the purposes of the calculation to be $450,000. Should a termination even occur after the date you are confirmed in the role, or the date you return to Vice President, FP&amp;A, the base salary will be the annual salary you are paid at the time of the notification date. In either case, the overlay would be removed.</w:t>
      </w:r>
    </w:p>
    <w:p>
      <w:pPr>
        <w:spacing w:after="0" w:line="151" w:lineRule="exact"/>
        <w:rPr>
          <w:sz w:val="20"/>
          <w:szCs w:val="20"/>
          <w:color w:val="auto"/>
        </w:rPr>
      </w:pPr>
    </w:p>
    <w:p>
      <w:pPr>
        <w:jc w:val="both"/>
        <w:ind w:right="380"/>
        <w:spacing w:after="0" w:line="307" w:lineRule="auto"/>
        <w:rPr>
          <w:sz w:val="20"/>
          <w:szCs w:val="20"/>
          <w:color w:val="auto"/>
        </w:rPr>
      </w:pPr>
      <w:r>
        <w:rPr>
          <w:rFonts w:ascii="Times New Roman" w:cs="Times New Roman" w:eastAsia="Times New Roman" w:hAnsi="Times New Roman"/>
          <w:sz w:val="16"/>
          <w:szCs w:val="16"/>
          <w:color w:val="111727"/>
        </w:rPr>
        <w:t>In addition, provided you execute and do not revoke the separation agreement and release of claims, the Company will accelerate any unvested time-based RSUs that would otherwise have become vested within 90 days of your termination date, up to a maximum of $500,000 in fair market value as of the date of acceleration.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11727"/>
        </w:rPr>
        <w:t>For purposes of a Termination Without Cause and Not Connected to a Change in Control, “Cause” shall mean:</w:t>
      </w:r>
    </w:p>
    <w:p>
      <w:pPr>
        <w:spacing w:after="0" w:line="253" w:lineRule="exact"/>
        <w:rPr>
          <w:sz w:val="20"/>
          <w:szCs w:val="20"/>
          <w:color w:val="auto"/>
        </w:rPr>
      </w:pPr>
    </w:p>
    <w:p>
      <w:pPr>
        <w:ind w:right="360" w:firstLine="7"/>
        <w:spacing w:after="0" w:line="307" w:lineRule="auto"/>
        <w:tabs>
          <w:tab w:leader="none" w:pos="494"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Willful failure to perform your duties, including, but not limited to, cooperation in any investigation or formal proceeding as is required by your role and relationship with the Company (other than any such failure resulting from incapacity due to physical or mental illness);</w:t>
      </w:r>
    </w:p>
    <w:p>
      <w:pPr>
        <w:spacing w:after="0" w:line="125" w:lineRule="exact"/>
        <w:rPr>
          <w:rFonts w:ascii="Times New Roman" w:cs="Times New Roman" w:eastAsia="Times New Roman" w:hAnsi="Times New Roman"/>
          <w:sz w:val="16"/>
          <w:szCs w:val="16"/>
          <w:color w:val="111727"/>
        </w:rPr>
      </w:pPr>
    </w:p>
    <w:p>
      <w:pPr>
        <w:ind w:left="300" w:hanging="293"/>
        <w:spacing w:after="0"/>
        <w:tabs>
          <w:tab w:leader="none" w:pos="300"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Willful failure to comply with any valid, legal, and ethical directive of the Company;</w:t>
      </w:r>
    </w:p>
    <w:p>
      <w:pPr>
        <w:spacing w:after="0" w:line="266" w:lineRule="exact"/>
        <w:rPr>
          <w:rFonts w:ascii="Times New Roman" w:cs="Times New Roman" w:eastAsia="Times New Roman" w:hAnsi="Times New Roman"/>
          <w:sz w:val="16"/>
          <w:szCs w:val="16"/>
          <w:color w:val="111727"/>
        </w:rPr>
      </w:pPr>
    </w:p>
    <w:p>
      <w:pPr>
        <w:ind w:left="500" w:hanging="493"/>
        <w:spacing w:after="0"/>
        <w:tabs>
          <w:tab w:leader="none" w:pos="500"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Engagement in dishonesty, illegal conduct, or gross misconduct, which is, in each case, injurious to the Company or its affiliates;</w:t>
      </w:r>
    </w:p>
    <w:p>
      <w:pPr>
        <w:spacing w:after="0" w:line="187" w:lineRule="exact"/>
        <w:rPr>
          <w:rFonts w:ascii="Times New Roman" w:cs="Times New Roman" w:eastAsia="Times New Roman" w:hAnsi="Times New Roman"/>
          <w:sz w:val="16"/>
          <w:szCs w:val="16"/>
          <w:color w:val="111727"/>
        </w:rPr>
      </w:pPr>
    </w:p>
    <w:p>
      <w:pPr>
        <w:ind w:left="340" w:hanging="333"/>
        <w:spacing w:after="0"/>
        <w:tabs>
          <w:tab w:leader="none" w:pos="340"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Embezzlement, misappropriation, or fraud, whether or not related to your employment with the Company;</w:t>
      </w:r>
    </w:p>
    <w:p>
      <w:pPr>
        <w:spacing w:after="0" w:line="266" w:lineRule="exact"/>
        <w:rPr>
          <w:rFonts w:ascii="Times New Roman" w:cs="Times New Roman" w:eastAsia="Times New Roman" w:hAnsi="Times New Roman"/>
          <w:sz w:val="16"/>
          <w:szCs w:val="16"/>
          <w:color w:val="111727"/>
        </w:rPr>
      </w:pPr>
    </w:p>
    <w:p>
      <w:pPr>
        <w:ind w:left="500" w:hanging="493"/>
        <w:spacing w:after="0"/>
        <w:tabs>
          <w:tab w:leader="none" w:pos="500"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Conviction of or plea of guilty or no contest to a crime that constitutes a felony or a crime that constitutes a misdemeanor involving moral turpitude;</w:t>
      </w:r>
    </w:p>
    <w:p>
      <w:pPr>
        <w:spacing w:after="0" w:line="200" w:lineRule="exact"/>
        <w:rPr>
          <w:rFonts w:ascii="Times New Roman" w:cs="Times New Roman" w:eastAsia="Times New Roman" w:hAnsi="Times New Roman"/>
          <w:sz w:val="16"/>
          <w:szCs w:val="16"/>
          <w:color w:val="111727"/>
        </w:rPr>
      </w:pPr>
    </w:p>
    <w:p>
      <w:pPr>
        <w:ind w:left="340" w:hanging="333"/>
        <w:spacing w:after="0"/>
        <w:tabs>
          <w:tab w:leader="none" w:pos="340"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Violation of a material policy of the Company;</w:t>
      </w:r>
    </w:p>
    <w:p>
      <w:pPr>
        <w:spacing w:after="0" w:line="253" w:lineRule="exact"/>
        <w:rPr>
          <w:rFonts w:ascii="Times New Roman" w:cs="Times New Roman" w:eastAsia="Times New Roman" w:hAnsi="Times New Roman"/>
          <w:sz w:val="16"/>
          <w:szCs w:val="16"/>
          <w:color w:val="111727"/>
        </w:rPr>
      </w:pPr>
    </w:p>
    <w:p>
      <w:pPr>
        <w:ind w:left="380" w:hanging="373"/>
        <w:spacing w:after="0"/>
        <w:tabs>
          <w:tab w:leader="none" w:pos="380" w:val="left"/>
        </w:tabs>
        <w:numPr>
          <w:ilvl w:val="0"/>
          <w:numId w:val="31"/>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Willful unauthorized disclosure of Trade Secrets or Confidential Information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tabs>
          <w:tab w:leader="none" w:pos="3160" w:val="left"/>
        </w:tabs>
        <w:rPr>
          <w:sz w:val="20"/>
          <w:szCs w:val="20"/>
          <w:color w:val="auto"/>
        </w:rPr>
      </w:pPr>
      <w:r>
        <w:rPr>
          <w:rFonts w:ascii="Times New Roman" w:cs="Times New Roman" w:eastAsia="Times New Roman" w:hAnsi="Times New Roman"/>
          <w:sz w:val="14"/>
          <w:szCs w:val="14"/>
          <w:color w:val="485467"/>
        </w:rPr>
        <w:t>805 Broadway St, Suite 900, Vancouver, WA 98682</w:t>
        <w:tab/>
        <w:t>800.914.1220 | zoominfo.com</w:t>
      </w:r>
    </w:p>
    <w:p>
      <w:pPr>
        <w:sectPr>
          <w:pgSz w:w="11900" w:h="16838" w:orient="portrait"/>
          <w:cols w:equalWidth="0" w:num="1">
            <w:col w:w="11100"/>
          </w:cols>
          <w:pgMar w:left="460" w:top="1440" w:right="339" w:bottom="1440" w:gutter="0" w:footer="0" w:header="0"/>
        </w:sectPr>
      </w:pPr>
    </w:p>
    <w:bookmarkStart w:id="88" w:name="page89"/>
    <w:bookmarkEnd w:id="88"/>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152525" cy="420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52525" cy="420370"/>
                    </a:xfrm>
                    <a:prstGeom prst="rect">
                      <a:avLst/>
                    </a:prstGeom>
                    <a:noFill/>
                  </pic:spPr>
                </pic:pic>
              </a:graphicData>
            </a:graphic>
          </wp:anchor>
        </w:drawing>
      </w:r>
    </w:p>
    <w:p>
      <w:pPr>
        <w:ind w:left="500" w:hanging="493"/>
        <w:spacing w:after="0"/>
        <w:tabs>
          <w:tab w:leader="none" w:pos="500" w:val="left"/>
        </w:tabs>
        <w:numPr>
          <w:ilvl w:val="0"/>
          <w:numId w:val="32"/>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Material breach of any material obligation under this appointment letter or any other written agreement between you and the Company; or</w:t>
      </w:r>
    </w:p>
    <w:p>
      <w:pPr>
        <w:spacing w:after="0" w:line="200" w:lineRule="exact"/>
        <w:rPr>
          <w:rFonts w:ascii="Times New Roman" w:cs="Times New Roman" w:eastAsia="Times New Roman" w:hAnsi="Times New Roman"/>
          <w:sz w:val="16"/>
          <w:szCs w:val="16"/>
          <w:color w:val="111727"/>
        </w:rPr>
      </w:pPr>
    </w:p>
    <w:p>
      <w:pPr>
        <w:ind w:left="500" w:hanging="493"/>
        <w:spacing w:after="0"/>
        <w:tabs>
          <w:tab w:leader="none" w:pos="500" w:val="left"/>
        </w:tabs>
        <w:numPr>
          <w:ilvl w:val="0"/>
          <w:numId w:val="32"/>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Any material failure by you to comply with the Company’s written policies or rules, as they may be in effect from time to time during the your employment</w:t>
      </w:r>
    </w:p>
    <w:p>
      <w:pPr>
        <w:spacing w:after="0" w:line="28" w:lineRule="exact"/>
        <w:rPr>
          <w:rFonts w:ascii="Times New Roman" w:cs="Times New Roman" w:eastAsia="Times New Roman" w:hAnsi="Times New Roman"/>
          <w:sz w:val="16"/>
          <w:szCs w:val="16"/>
          <w:color w:val="111727"/>
        </w:rPr>
      </w:pPr>
    </w:p>
    <w:p>
      <w:pPr>
        <w:spacing w:after="0"/>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term.</w:t>
      </w:r>
    </w:p>
    <w:p>
      <w:pPr>
        <w:spacing w:after="0" w:line="187" w:lineRule="exact"/>
        <w:rPr>
          <w:sz w:val="20"/>
          <w:szCs w:val="20"/>
          <w:color w:val="auto"/>
        </w:rPr>
      </w:pPr>
    </w:p>
    <w:p>
      <w:pPr>
        <w:jc w:val="both"/>
        <w:ind w:right="300"/>
        <w:spacing w:after="0" w:line="284" w:lineRule="auto"/>
        <w:rPr>
          <w:sz w:val="20"/>
          <w:szCs w:val="20"/>
          <w:color w:val="auto"/>
        </w:rPr>
      </w:pPr>
      <w:r>
        <w:rPr>
          <w:rFonts w:ascii="Times New Roman" w:cs="Times New Roman" w:eastAsia="Times New Roman" w:hAnsi="Times New Roman"/>
          <w:sz w:val="16"/>
          <w:szCs w:val="16"/>
          <w:color w:val="111727"/>
        </w:rPr>
        <w:t>The foregoing definition does not in any way limit the “at will” nature of your employment. Except for a failure, breach, or refusal which, by its nature, cannot reasonably expected to be cured, you shall have thirty (30) business days from the delivery of written notice by the Company within which to cure any acts constituting Cause; provided, however, that, if the Company reasonably expects irreparable injury from a delay of thirty (30) business days, the Company may give you notice of such shorter period within which to cure as is reasonable under the circumstances, which may include the termination of your employment without notice and with immediate effect.</w:t>
      </w:r>
    </w:p>
    <w:p>
      <w:pPr>
        <w:spacing w:after="0" w:line="144" w:lineRule="exact"/>
        <w:rPr>
          <w:sz w:val="20"/>
          <w:szCs w:val="20"/>
          <w:color w:val="auto"/>
        </w:rPr>
      </w:pPr>
    </w:p>
    <w:p>
      <w:pPr>
        <w:jc w:val="both"/>
        <w:ind w:right="160"/>
        <w:spacing w:after="0" w:line="276" w:lineRule="auto"/>
        <w:rPr>
          <w:sz w:val="20"/>
          <w:szCs w:val="20"/>
          <w:color w:val="auto"/>
        </w:rPr>
      </w:pPr>
      <w:r>
        <w:rPr>
          <w:rFonts w:ascii="Times New Roman" w:cs="Times New Roman" w:eastAsia="Times New Roman" w:hAnsi="Times New Roman"/>
          <w:sz w:val="16"/>
          <w:szCs w:val="16"/>
          <w:color w:val="111727"/>
        </w:rPr>
        <w:t>For purposes of a Termination For Good Reason and Not Connected to a Change in Control, “Good Reason” shall exist in the event of: (i) a material diminution in your current base salary amount or target bonus opportunity (other than as contemplated by this appointment letter), (ii) a material change or diminution in your authority, duties or responsibilities (other than as contemplated by this offer letter), (iii) a material change in geographic location at which you are required to perform services, or</w:t>
      </w:r>
    </w:p>
    <w:p>
      <w:pPr>
        <w:spacing w:after="0" w:line="1" w:lineRule="exact"/>
        <w:rPr>
          <w:sz w:val="20"/>
          <w:szCs w:val="20"/>
          <w:color w:val="auto"/>
        </w:rPr>
      </w:pPr>
    </w:p>
    <w:p>
      <w:pPr>
        <w:ind w:right="160" w:firstLine="7"/>
        <w:spacing w:after="0" w:line="285" w:lineRule="auto"/>
        <w:tabs>
          <w:tab w:leader="none" w:pos="276" w:val="left"/>
        </w:tabs>
        <w:numPr>
          <w:ilvl w:val="0"/>
          <w:numId w:val="33"/>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any material breach by the Company of your RSU agreement or any other stock award agreement.. In such case, you will be entitled to terminate your employment for “Good Reason” within thirty</w:t>
      </w:r>
    </w:p>
    <w:p>
      <w:pPr>
        <w:ind w:right="300"/>
        <w:spacing w:after="0" w:line="307" w:lineRule="auto"/>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(30) days of the existence of such circumstance. If you do not terminate your employment for Good Reason within thirty (30) days of the initial existence of such grounds, then you will have waived your right to terminate for Good Reason with respect to such grounds.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111727"/>
        </w:rPr>
        <w:t>Termination in Connection with a Change in Control Within 12 Months Following the Change in Control Event</w:t>
      </w:r>
    </w:p>
    <w:p>
      <w:pPr>
        <w:spacing w:after="0" w:line="25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5"/>
          <w:szCs w:val="15"/>
          <w:color w:val="111727"/>
        </w:rPr>
        <w:t>You are eligible for certain benefits in the event of your termination of employment in connection with a Change in Control. “Change in Control” is defined in the OIP. If within twelve (12) months following a Change in Control, (i) you are involuntarily terminated without Cause (as defined in the ZoomInfo 2020 Omnibus Incentive Plan), or</w:t>
      </w:r>
    </w:p>
    <w:p>
      <w:pPr>
        <w:spacing w:after="0" w:line="1" w:lineRule="exact"/>
        <w:rPr>
          <w:sz w:val="20"/>
          <w:szCs w:val="20"/>
          <w:color w:val="auto"/>
        </w:rPr>
      </w:pPr>
    </w:p>
    <w:p>
      <w:pPr>
        <w:ind w:right="20" w:firstLine="7"/>
        <w:spacing w:after="0" w:line="307" w:lineRule="auto"/>
        <w:tabs>
          <w:tab w:leader="none" w:pos="245" w:val="left"/>
        </w:tabs>
        <w:numPr>
          <w:ilvl w:val="0"/>
          <w:numId w:val="34"/>
        </w:numPr>
        <w:rPr>
          <w:rFonts w:ascii="Times New Roman" w:cs="Times New Roman" w:eastAsia="Times New Roman" w:hAnsi="Times New Roman"/>
          <w:sz w:val="16"/>
          <w:szCs w:val="16"/>
          <w:color w:val="111727"/>
        </w:rPr>
      </w:pPr>
      <w:r>
        <w:rPr>
          <w:rFonts w:ascii="Times New Roman" w:cs="Times New Roman" w:eastAsia="Times New Roman" w:hAnsi="Times New Roman"/>
          <w:sz w:val="16"/>
          <w:szCs w:val="16"/>
          <w:color w:val="111727"/>
        </w:rPr>
        <w:t>you resign for Good Reason (as defined above), all unvested RSUs, options, and all other equity awards that are unvested shall become fully vested upon the date of your Termination.</w:t>
      </w:r>
    </w:p>
    <w:p>
      <w:pPr>
        <w:spacing w:after="0" w:line="12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111727"/>
        </w:rPr>
        <w:t>The Company will pay you a cash lump sum equal to 75% of your base salary, twelve (12) months of company-paid major medical coverage, and the greater of (i) 100% of your eligible short-term incentive amount or (ii) 100% of the average of the last two years of the earned short-term incentive amount. For clarity, should your termination occur during the period in which you are operating in your capacity as interim Executive Vice President &amp; Chief Financial Officer, we will consider the base salary for the purposes of the calculation to be $450,000. Should a termination event occur after the date you are confirmed in the role, or the date you return to the role of Vice President, FP&amp;A, we will consider the base salary to be the greater of (i) your salary in effect at the time of the Change in Control, or (ii) the base salary at time of the termination or determination of Good Reason.</w:t>
      </w:r>
    </w:p>
    <w:p>
      <w:pPr>
        <w:spacing w:after="0" w:line="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111727"/>
        </w:rPr>
        <w:t>In addition, provided you execute and do not revoke the separation agreement and release of claims, the Company will accelerate 100% of any unvested RSUs that would otherwise have become vested. Any performance-based RSUs or performance share units will accelerate and vest 100%, provided the terms and conditions of the award agreements for those awards permit acceleration of the entire award in the event of termination connected to change in control. Should the award agreements provide for a different acceleration amount, schedule, or conditions for acceleration upon a Change of Control, the award agreement language for each specific award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tabs>
          <w:tab w:leader="none" w:pos="3160" w:val="left"/>
        </w:tabs>
        <w:rPr>
          <w:sz w:val="20"/>
          <w:szCs w:val="20"/>
          <w:color w:val="auto"/>
        </w:rPr>
      </w:pPr>
      <w:r>
        <w:rPr>
          <w:rFonts w:ascii="Times New Roman" w:cs="Times New Roman" w:eastAsia="Times New Roman" w:hAnsi="Times New Roman"/>
          <w:sz w:val="14"/>
          <w:szCs w:val="14"/>
          <w:color w:val="485467"/>
        </w:rPr>
        <w:t>805 Broadway St, Suite 900, Vancouver, WA 98682</w:t>
        <w:tab/>
        <w:t>800.914.1220 | zoominfo.com</w:t>
      </w:r>
    </w:p>
    <w:p>
      <w:pPr>
        <w:sectPr>
          <w:pgSz w:w="11900" w:h="16838" w:orient="portrait"/>
          <w:cols w:equalWidth="0" w:num="1">
            <w:col w:w="11020"/>
          </w:cols>
          <w:pgMar w:left="460" w:top="1440" w:right="41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152525" cy="420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52525" cy="420370"/>
                    </a:xfrm>
                    <a:prstGeom prst="rect">
                      <a:avLst/>
                    </a:prstGeom>
                    <a:noFill/>
                  </pic:spPr>
                </pic:pic>
              </a:graphicData>
            </a:graphic>
          </wp:anchor>
        </w:drawing>
      </w:r>
    </w:p>
    <w:p>
      <w:pPr>
        <w:spacing w:after="0" w:line="328"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6"/>
          <w:szCs w:val="16"/>
          <w:color w:val="111727"/>
        </w:rPr>
        <w:t>Receipt of any of the equity acceleration, cash payment, and other benefits related to termination in connection with a Change in Control are contingent upon your due execution of a lawful separation agreement and release of claims on a form specified by the Company in its sole discretion as long as it is done so in good faith.</w:t>
      </w:r>
    </w:p>
    <w:p>
      <w:pPr>
        <w:spacing w:after="0" w:line="12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6"/>
          <w:szCs w:val="16"/>
          <w:color w:val="111727"/>
        </w:rPr>
        <w:t>In the event the Company adopts a Change in Control and executive severance plan in the future or a similar type arrangement in which you are eligible to participate, your participation will be the greater of (i) the benefit and compensation levels provided in this appointment letter, or (ii) the benefits and compensation described in the new plan and participant agreement. If the new plan and participant agreement are more generous, upon due execution of that plan, the terms and conditions related to benefits and severance payments described in this appointment letter are void.</w:t>
      </w:r>
    </w:p>
    <w:p>
      <w:pPr>
        <w:spacing w:after="0" w:line="157"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6"/>
          <w:szCs w:val="16"/>
          <w:color w:val="auto"/>
        </w:rPr>
        <w:t>You will continue to participate in all other ZoomInfo benefits and programs. You remain a participant in ZoomInfo’s Flexible Time Off (FTO) policy for all exempt and salaried non-exempt employees. ZoomInfo’s Flexible Time Off policy is offered with the understanding that employees should take the time off they need when they need it. Additionally, ZoomInfo offers a Sick Leave policy, which will be prorated in your first year of employment. Employees will be granted an additional 52 hours of sick leave in January of each year. More information on our FTO and Sick Leave policy can be found in the Employee Handbook.</w:t>
      </w:r>
    </w:p>
    <w:p>
      <w:pPr>
        <w:spacing w:after="0" w:line="130"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6"/>
          <w:szCs w:val="16"/>
          <w:color w:val="auto"/>
        </w:rPr>
        <w:t>You will continue to be eligible for and participate in, as you elect, our Health, Vision, and Dental Insurance available through Regence, VSP, and Delta Dental. You will be eligible for medical, dental, and vision coverage. You continue to be eligible to contribute to ZoomInfo's 401(k) on the first day of the month following the date of hire with a 50% match on the first 7% of contribution, vesting over 3 years. We also offer the following benefits: HSA, Dependent Care FSA, Life Insurance, AD&amp;D, Short Term &amp; Long-Term Disability Insurance, and Pet Insurance.</w:t>
      </w:r>
    </w:p>
    <w:p>
      <w:pPr>
        <w:spacing w:after="0" w:line="143" w:lineRule="exact"/>
        <w:rPr>
          <w:sz w:val="20"/>
          <w:szCs w:val="20"/>
          <w:color w:val="auto"/>
        </w:rPr>
      </w:pPr>
    </w:p>
    <w:p>
      <w:pPr>
        <w:jc w:val="both"/>
        <w:ind w:right="380"/>
        <w:spacing w:after="0" w:line="284" w:lineRule="auto"/>
        <w:rPr>
          <w:sz w:val="20"/>
          <w:szCs w:val="20"/>
          <w:color w:val="auto"/>
        </w:rPr>
      </w:pPr>
      <w:r>
        <w:rPr>
          <w:rFonts w:ascii="Times New Roman" w:cs="Times New Roman" w:eastAsia="Times New Roman" w:hAnsi="Times New Roman"/>
          <w:sz w:val="16"/>
          <w:szCs w:val="16"/>
          <w:color w:val="auto"/>
        </w:rPr>
        <w:t>Your employment at the Company will be “at-will.” This means that you are free to resign at any time with or without cause or prior notice. Similarly, the Company is free to terminate our employment relationship with you at any time, with or without cause or prior notice. Although your job duties, title, compensation, benefits, and the Company’s policies and procedures may change from time-to-time, the “at-will” nature of your employment may only be changed in a document signed by you and the CEO of the Company. Your employment with the Company is subject to ZoomInfo’s general employment policies, many of which are described in the ZoomInfo Employee Handbook.</w:t>
      </w:r>
    </w:p>
    <w:p>
      <w:pPr>
        <w:spacing w:after="0" w:line="144"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6"/>
          <w:szCs w:val="16"/>
          <w:color w:val="auto"/>
        </w:rPr>
        <w:t>By accepting the appointment terms described in this letter, you acknowledge and agree that any materials shared with you that are designated as “confidential” by ZoomInfo prior to your Start Date are confidential and that you will maintain the confidentiality of such materials and not make any disclosure of such materials or any information contained therein to any third party. In the event of any loss or unauthorized disclosure of such materials of information, you agree to promptly notify ZoomInfo.</w:t>
      </w:r>
    </w:p>
    <w:p>
      <w:pPr>
        <w:spacing w:after="0" w:line="157"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6"/>
          <w:szCs w:val="16"/>
          <w:color w:val="auto"/>
        </w:rPr>
        <w:t>Please contact me if you have any questions whatsoever about this letter or your employment. We are looking forward to you continuing to work with us as a member of the ZoomInfo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tabs>
          <w:tab w:leader="none" w:pos="3160" w:val="left"/>
        </w:tabs>
        <w:rPr>
          <w:sz w:val="20"/>
          <w:szCs w:val="20"/>
          <w:color w:val="auto"/>
        </w:rPr>
      </w:pPr>
      <w:r>
        <w:rPr>
          <w:rFonts w:ascii="Times New Roman" w:cs="Times New Roman" w:eastAsia="Times New Roman" w:hAnsi="Times New Roman"/>
          <w:sz w:val="14"/>
          <w:szCs w:val="14"/>
          <w:color w:val="485467"/>
        </w:rPr>
        <w:t>805 Broadway St, Suite 900, Vancouver, WA 98682</w:t>
        <w:tab/>
        <w:t>800.914.1220 | zoominfo.com</w:t>
      </w:r>
    </w:p>
    <w:p>
      <w:pPr>
        <w:sectPr>
          <w:pgSz w:w="11900" w:h="16838" w:orient="portrait"/>
          <w:cols w:equalWidth="0" w:num="1">
            <w:col w:w="11100"/>
          </w:cols>
          <w:pgMar w:left="460" w:top="1440"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152525" cy="420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525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Sincerely,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Chad Herring</w:t>
      </w:r>
    </w:p>
    <w:p>
      <w:pPr>
        <w:spacing w:after="0" w:line="3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Chad Herring, CHRO ZoomInfo</w:t>
      </w: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Agreed &amp; Accepted: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Graham O’Brien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Graham O’Brien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tabs>
          <w:tab w:leader="none" w:pos="3300" w:val="left"/>
        </w:tabs>
        <w:rPr>
          <w:sz w:val="20"/>
          <w:szCs w:val="20"/>
          <w:color w:val="auto"/>
        </w:rPr>
      </w:pPr>
      <w:r>
        <w:rPr>
          <w:rFonts w:ascii="Times New Roman" w:cs="Times New Roman" w:eastAsia="Times New Roman" w:hAnsi="Times New Roman"/>
          <w:sz w:val="14"/>
          <w:szCs w:val="14"/>
          <w:color w:val="485467"/>
        </w:rPr>
        <w:t>805 Broadway St, Suite 900, Vancouver, WA 98682</w:t>
        <w:tab/>
        <w:t>800.914.1220 | zoominfo.com</w:t>
      </w:r>
    </w:p>
    <w:p>
      <w:pPr>
        <w:sectPr>
          <w:pgSz w:w="11900" w:h="16838" w:orient="portrait"/>
          <w:cols w:equalWidth="0" w:num="1">
            <w:col w:w="10139"/>
          </w:cols>
          <w:pgMar w:left="320" w:top="1440" w:right="1440"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92" w:name="page93"/>
    <w:bookmarkEnd w:id="92"/>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Henry Schuck</w:t>
      </w:r>
    </w:p>
    <w:p>
      <w:pPr>
        <w:spacing w:after="0" w:line="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Graham O'Brien, certify that:</w:t>
      </w:r>
    </w:p>
    <w:p>
      <w:pPr>
        <w:spacing w:after="0" w:line="244" w:lineRule="exact"/>
        <w:rPr>
          <w:sz w:val="20"/>
          <w:szCs w:val="20"/>
          <w:color w:val="auto"/>
        </w:rPr>
      </w:pPr>
    </w:p>
    <w:p>
      <w:pPr>
        <w:ind w:left="180" w:hanging="174"/>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94" w:name="page95"/>
    <w:bookmarkEnd w:id="94"/>
    <w:p>
      <w:pPr>
        <w:spacing w:after="0" w:line="200" w:lineRule="exact"/>
        <w:rPr>
          <w:sz w:val="20"/>
          <w:szCs w:val="20"/>
          <w:color w:val="auto"/>
        </w:rPr>
      </w:pPr>
    </w:p>
    <w:p>
      <w:pPr>
        <w:spacing w:after="0" w:line="33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 Graham O'Brien</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8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the Quarterly Report on Form 10-Q of ZoomInfo Technologies Inc. (the “Company”) for the quarterly period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as filed with the Securities and Exchange Commission on the date hereof (the “Report”), Henry Schuck, as Chief Executive Officer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M. Graham O'Brien, as Interim Chief Financial Officer of the Company, each hereby certifies, pursuant to 18 U.S.C. § 1350, as adopted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 906 of the Sarbanes-Oxley Act of 2002, that, to the best of his knowledge:</w:t>
      </w:r>
    </w:p>
    <w:p>
      <w:pPr>
        <w:spacing w:after="0" w:line="270" w:lineRule="exact"/>
        <w:rPr>
          <w:sz w:val="20"/>
          <w:szCs w:val="20"/>
          <w:color w:val="auto"/>
        </w:rPr>
      </w:pPr>
    </w:p>
    <w:p>
      <w:pPr>
        <w:ind w:left="900" w:hanging="25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 Graham O'Brien</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lvl w:ilvl="1">
      <w:lvlJc w:val="left"/>
      <w:lvlText w:val="%2"/>
      <w:numFmt w:val="decimal"/>
      <w:start w:val="104"/>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3"/>
    </w:lvl>
  </w:abstractNum>
  <w:abstractNum w:abstractNumId="24">
    <w:nsid w:val="7C3DBD3D"/>
    <w:multiLevelType w:val="hybridMultilevel"/>
    <w:lvl w:ilvl="0">
      <w:lvlJc w:val="left"/>
      <w:lvlText w:val="%1."/>
      <w:numFmt w:val="decimal"/>
      <w:start w:val="6"/>
    </w:lvl>
  </w:abstractNum>
  <w:abstractNum w:abstractNumId="25">
    <w:nsid w:val="737B8DDC"/>
    <w:multiLevelType w:val="hybridMultilevel"/>
    <w:lvl w:ilvl="0">
      <w:lvlJc w:val="left"/>
      <w:lvlText w:val="(%1)"/>
      <w:numFmt w:val="decimal"/>
      <w:start w:val="12"/>
    </w:lvl>
    <w:lvl w:ilvl="1">
      <w:lvlJc w:val="left"/>
      <w:lvlText w:val="(%2)"/>
      <w:numFmt w:val="decimal"/>
      <w:start w:val="1"/>
    </w:lvl>
  </w:abstractNum>
  <w:abstractNum w:abstractNumId="26">
    <w:nsid w:val="6CEAF087"/>
    <w:multiLevelType w:val="hybridMultilevel"/>
    <w:lvl w:ilvl="0">
      <w:lvlJc w:val="left"/>
      <w:lvlText w:val="%1."/>
      <w:numFmt w:val="decimal"/>
      <w:start w:val="10"/>
    </w:lvl>
  </w:abstractNum>
  <w:abstractNum w:abstractNumId="27">
    <w:nsid w:val="22221A70"/>
    <w:multiLevelType w:val="hybridMultilevel"/>
    <w:lvl w:ilvl="0">
      <w:lvlJc w:val="left"/>
      <w:lvlText w:val="%1."/>
      <w:numFmt w:val="decimal"/>
      <w:start w:val="12"/>
    </w:lvl>
  </w:abstractNum>
  <w:abstractNum w:abstractNumId="28">
    <w:nsid w:val="4516DDE9"/>
    <w:multiLevelType w:val="hybridMultilevel"/>
    <w:lvl w:ilvl="0">
      <w:lvlJc w:val="left"/>
      <w:lvlText w:val="%1."/>
      <w:numFmt w:val="decimal"/>
      <w:start w:val="17"/>
    </w:lvl>
  </w:abstractNum>
  <w:abstractNum w:abstractNumId="29">
    <w:nsid w:val="3006C83E"/>
    <w:multiLevelType w:val="hybridMultilevel"/>
    <w:lvl w:ilvl="0">
      <w:lvlJc w:val="left"/>
      <w:lvlText w:val="%1."/>
      <w:numFmt w:val="decimal"/>
      <w:start w:val="23"/>
    </w:lvl>
  </w:abstractNum>
  <w:abstractNum w:abstractNumId="30">
    <w:nsid w:val="614FD4A1"/>
    <w:multiLevelType w:val="hybridMultilevel"/>
    <w:lvl w:ilvl="0">
      <w:lvlJc w:val="left"/>
      <w:lvlText w:val="(%1)"/>
      <w:numFmt w:val="lowerRoman"/>
      <w:start w:val="1"/>
    </w:lvl>
  </w:abstractNum>
  <w:abstractNum w:abstractNumId="31">
    <w:nsid w:val="419AC241"/>
    <w:multiLevelType w:val="hybridMultilevel"/>
    <w:lvl w:ilvl="0">
      <w:lvlJc w:val="left"/>
      <w:lvlText w:val="(%1)"/>
      <w:numFmt w:val="lowerRoman"/>
      <w:start w:val="8"/>
    </w:lvl>
  </w:abstractNum>
  <w:abstractNum w:abstractNumId="32">
    <w:nsid w:val="5577F8E1"/>
    <w:multiLevelType w:val="hybridMultilevel"/>
    <w:lvl w:ilvl="0">
      <w:lvlJc w:val="left"/>
      <w:lvlText w:val="(%1)"/>
      <w:numFmt w:val="lowerRoman"/>
      <w:start w:val="4"/>
    </w:lvl>
  </w:abstractNum>
  <w:abstractNum w:abstractNumId="33">
    <w:nsid w:val="440BADFC"/>
    <w:multiLevelType w:val="hybridMultilevel"/>
    <w:lvl w:ilvl="0">
      <w:lvlJc w:val="left"/>
      <w:lvlText w:val="(%1)"/>
      <w:numFmt w:val="lowerRoman"/>
      <w:start w:val="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jpeg"/><Relationship Id="rId111" Type="http://schemas.openxmlformats.org/officeDocument/2006/relationships/image" Target="media/image99.jpeg"/><Relationship Id="rId112" Type="http://schemas.openxmlformats.org/officeDocument/2006/relationships/image" Target="media/image100.jpeg"/><Relationship Id="rId113" Type="http://schemas.openxmlformats.org/officeDocument/2006/relationships/image" Target="media/image101.jpeg"/><Relationship Id="rId114" Type="http://schemas.openxmlformats.org/officeDocument/2006/relationships/image" Target="media/image102.jpe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02" Type="http://schemas.openxmlformats.org/officeDocument/2006/relationships/hyperlink" Target="https://www.sec.gov/Archives/edgar/data/1794515/000179451522000095/zi-ex31x20220518.htm" TargetMode="External"/><Relationship Id="rId103" Type="http://schemas.openxmlformats.org/officeDocument/2006/relationships/hyperlink" Target="https://www.sec.gov/Archives/edgar/data/1794515/000179451523000169/zi-ex32x20231030.htm" TargetMode="External"/><Relationship Id="rId104" Type="http://schemas.openxmlformats.org/officeDocument/2006/relationships/hyperlink" Target="https://www.sec.gov/Archives/edgar/data/0001794515/000179451521000034/exhibit041xclosingxindent.htm" TargetMode="External"/><Relationship Id="rId105" Type="http://schemas.openxmlformats.org/officeDocument/2006/relationships/hyperlink" Target="https://www.sec.gov/Archives/edgar/data/0001794515/000179451521000174/zi-8kex42x20210715.htm" TargetMode="External"/><Relationship Id="rId106" Type="http://schemas.openxmlformats.org/officeDocument/2006/relationships/hyperlink" Target="https://www.sec.gov/Archives/edgar/data/1794515/000179451521000034/exhibit041xclosingxin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2024-11-12T16:49:35Z</dcterms:created>
  <dcterms:modified xsi:type="dcterms:W3CDTF">2024-11-12T16:49:35Z</dcterms:modified>
</cp:coreProperties>
</file>