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ZoomInfo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83" w:type="dxa"/>
        <w:jc w:val="center"/>
        <w:tblInd w:w="0" w:type="dxa"/>
        <w:tblLayout w:type="fixed"/>
        <w:tblCellMar>
          <w:top w:w="28" w:type="dxa"/>
          <w:left w:w="28" w:type="dxa"/>
          <w:bottom w:w="28" w:type="dxa"/>
          <w:right w:w="28" w:type="dxa"/>
        </w:tblCellMar>
      </w:tblPr>
      <w:tblGrid>
        <w:gridCol w:w="829"/>
        <w:gridCol w:w="729"/>
        <w:gridCol w:w="736"/>
        <w:gridCol w:w="762"/>
        <w:gridCol w:w="762"/>
        <w:gridCol w:w="770"/>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001-39310</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87-3037521</w:t>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330 W Columbia Way, Floor 8, Vancouver, Washington 98660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(800) 914-1220</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GTM</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0" w:after="24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On August 5, 2026, ZoomInfo Technologies Inc. (the “Company”) issued a press release announcing its financial results for the second quarter ended June 30, 2026. A copy of the press release is furnished as Exhibit 99.1 to this Current Report and is incorporated herein by reference. The information contained in Item 2.02 of this Current Report, including the press release furnished as Exhibit 99.1 hereto, is being furnished and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24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380"/>
        <w:gridCol w:w="334"/>
        <w:gridCol w:w="337"/>
        <w:gridCol w:w="2678"/>
        <w:gridCol w:w="2678"/>
        <w:gridCol w:w="3798"/>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1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tm-8kex991x20260805.htm">
              <w:r>
                <w:rPr>
                  <w:rStyle w:val="InternetLink"/>
                  <w:rFonts w:ascii="Times New Roman;serif" w:hAnsi="Times New Roman;serif"/>
                  <w:b w:val="false"/>
                  <w:color w:val="0000FF"/>
                  <w:sz w:val="20"/>
                  <w:u w:val="single"/>
                </w:rPr>
                <w:t>Press release dated August 5, 2026 announcing ZoomInfo Technologies Inc.'s second quarter 2026 financial results</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60"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ZoomInfo Technologies Inc.</w:t>
      </w:r>
    </w:p>
    <w:p>
      <w:pPr>
        <w:pStyle w:val="TextBody"/>
        <w:bidi w:val="0"/>
        <w:spacing w:lineRule="auto" w:line="460"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p>
      <w:pPr>
        <w:pStyle w:val="TextBody"/>
        <w:bidi w:val="0"/>
        <w:spacing w:lineRule="auto" w:line="460" w:before="0" w:after="0"/>
        <w:ind w:left="0" w:right="0" w:firstLine="50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 Graham O'Brien    </w:t>
      </w:r>
    </w:p>
    <w:p>
      <w:pPr>
        <w:pStyle w:val="TextBody"/>
        <w:bidi w:val="0"/>
        <w:spacing w:lineRule="auto" w:line="460"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Name:  M. Graham O'Brien</w:t>
      </w:r>
    </w:p>
    <w:p>
      <w:pPr>
        <w:pStyle w:val="TextBody"/>
        <w:bidi w:val="0"/>
        <w:spacing w:lineRule="auto" w:line="46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1314450" cy="352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14450" cy="352425"/>
                    </a:xfrm>
                    <a:prstGeom prst="rect">
                      <a:avLst/>
                    </a:prstGeom>
                  </pic:spPr>
                </pic:pic>
              </a:graphicData>
            </a:graphic>
          </wp:inline>
        </w:drawing>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ZoomInfo Announces Second Quarter 2026 Financial Results</w:t>
      </w:r>
    </w:p>
    <w:p>
      <w:pPr>
        <w:pStyle w:val="TextBody"/>
        <w:bidi w:val="0"/>
        <w:spacing w:before="0" w:after="0"/>
        <w:jc w:val="center"/>
        <w:rPr/>
      </w:pPr>
      <w:r>
        <w:rPr/>
      </w:r>
    </w:p>
    <w:p>
      <w:pPr>
        <w:pStyle w:val="TextBody"/>
        <w:bidi w:val="0"/>
        <w:spacing w:lineRule="auto" w:line="256" w:before="300" w:after="240"/>
        <w:jc w:val="both"/>
        <w:rPr/>
      </w:pPr>
      <w:r>
        <w:rPr>
          <w:rFonts w:ascii="Times New Roman;serif" w:hAnsi="Times New Roman;serif"/>
          <w:b/>
          <w:color w:val="000000"/>
          <w:sz w:val="22"/>
        </w:rPr>
        <w:t>VANCOUVER, Wash.</w:t>
      </w:r>
      <w:r>
        <w:rPr>
          <w:rFonts w:ascii="Times New Roman;serif" w:hAnsi="Times New Roman;serif"/>
          <w:b w:val="false"/>
          <w:color w:val="000000"/>
          <w:sz w:val="22"/>
        </w:rPr>
        <w:t>, August 5, 2026 - ZoomInfo (NASDAQ: GTM), the all-in-one AI GTM platform, today announced its financial results for the second quarter ended June 30, 2026.</w:t>
      </w:r>
    </w:p>
    <w:p>
      <w:pPr>
        <w:pStyle w:val="TextBody"/>
        <w:bidi w:val="0"/>
        <w:spacing w:lineRule="auto" w:line="256" w:before="0" w:after="240"/>
        <w:jc w:val="both"/>
        <w:rPr>
          <w:color w:val="000000"/>
        </w:rPr>
      </w:pPr>
      <w:r>
        <w:rPr>
          <w:color w:val="000000"/>
        </w:rPr>
        <w:t>“</w:t>
      </w:r>
      <w:r>
        <w:rPr>
          <w:rFonts w:ascii="Times New Roman;serif" w:hAnsi="Times New Roman;serif"/>
          <w:b w:val="false"/>
          <w:color w:val="000000"/>
          <w:sz w:val="22"/>
        </w:rPr>
        <w:t xml:space="preserve">Our native MCP integrations with Anthropic’s Claude and OpenAI’s Codex ensure that AI agents are grounded in verified, real-time context rather than static, decaying data,” said Henry Schuck, ZoomInfo Founder and CEO. “By embedding our high-quality data, insights, and context natively where work happens, we continue to expand from a data provider into a foundational GTM infrastructure platform. </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Our second quarter results reflect our discipline and commitment to free cash flow generation and an expanded approach to capital allocation.”</w:t>
      </w:r>
    </w:p>
    <w:p>
      <w:pPr>
        <w:pStyle w:val="TextBody"/>
        <w:bidi w:val="0"/>
        <w:spacing w:before="0" w:after="0"/>
        <w:jc w:val="left"/>
        <w:rPr/>
      </w:pPr>
      <w:r>
        <w:rPr/>
      </w:r>
    </w:p>
    <w:p>
      <w:pPr>
        <w:pStyle w:val="TextBody"/>
        <w:bidi w:val="0"/>
        <w:spacing w:lineRule="auto" w:line="256" w:before="0" w:after="240"/>
        <w:jc w:val="both"/>
        <w:rPr>
          <w:rFonts w:ascii="Times New Roman;serif" w:hAnsi="Times New Roman;serif"/>
          <w:b/>
          <w:color w:val="000000"/>
          <w:sz w:val="22"/>
        </w:rPr>
      </w:pPr>
      <w:r>
        <w:rPr>
          <w:rFonts w:ascii="Times New Roman;serif" w:hAnsi="Times New Roman;serif"/>
          <w:b/>
          <w:color w:val="000000"/>
          <w:sz w:val="22"/>
        </w:rPr>
        <w:t>Second Quarter 2026 Financial Highlights: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2"/>
        </w:rPr>
        <w:t>GAAP Revenue of $310.4 million, an increase of 1.2%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GAAP Operating loss of $622.0 million and Adjusted operating income of $110.0 million.</w:t>
      </w:r>
      <w:r>
        <w:rPr>
          <w:rFonts w:ascii="Times New Roman;serif" w:hAnsi="Times New Roman;serif"/>
          <w:b w:val="false"/>
          <w:color w:val="000000"/>
          <w:sz w:val="14"/>
        </w:rPr>
        <w:t>1</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GAAP Operating loss margin of 200% and Adjusted operating income margin of 35%.</w:t>
      </w:r>
      <w:r>
        <w:rPr>
          <w:rFonts w:ascii="Times New Roman;serif" w:hAnsi="Times New Roman;serif"/>
          <w:b w:val="false"/>
          <w:color w:val="000000"/>
          <w:sz w:val="14"/>
        </w:rPr>
        <w:t>1</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GAAP Cash flow from operations of $87.3 million and Unlevered free cash flow of $107.3 million.</w:t>
      </w:r>
    </w:p>
    <w:p>
      <w:pPr>
        <w:pStyle w:val="TextBody"/>
        <w:bidi w:val="0"/>
        <w:spacing w:lineRule="auto" w:line="288" w:before="300" w:after="283"/>
        <w:jc w:val="left"/>
        <w:rPr/>
      </w:pPr>
      <w:r>
        <w:rPr>
          <w:rFonts w:ascii="Times New Roman;serif" w:hAnsi="Times New Roman;serif"/>
          <w:b/>
          <w:color w:val="000000"/>
          <w:sz w:val="22"/>
        </w:rPr>
        <w:t>Recent Business and Operating Highlights</w:t>
      </w:r>
      <w:r>
        <w:rPr>
          <w:rFonts w:ascii="Times New Roman;serif" w:hAnsi="Times New Roman;serif"/>
          <w:b w:val="false"/>
          <w:color w:val="000000"/>
          <w:sz w:val="22"/>
        </w:rPr>
        <w:t>:</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2"/>
        </w:rPr>
        <w:t>Launched GTM.AI, the “headless” GTM context layer designed to enhance and ground every go-to-market motion with AI powered insights. GTM.AI unifies ZoomInfo’s extensive data, insights, and intelligence, enabling businesses to operationalize and improve efficiency across sales and marketing.</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2"/>
        </w:rPr>
        <w:t xml:space="preserve">Completed integrations with OpenAI, Claude Code, Amazon Quick Suite, Zapier, and dozens of other AI-enabled platforms ensuring that ZoomInfo’s verified B2B intelligence and native GTM skills are available wherever go-to-market work is done. </w:t>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2"/>
          <w:shd w:fill="FFFFFF" w:val="clear"/>
        </w:rPr>
        <w:t>Closed the quarter with 1,891 customers with $100,000 or greater in Annual Contract Value (“ACV”), a decrease of 9 from the prior quarter, and an increase of 9 year-over-year.</w:t>
      </w:r>
      <w:r>
        <w:rPr>
          <w:rFonts w:ascii="Times New Roman;serif" w:hAnsi="Times New Roman;serif"/>
          <w:b w:val="false"/>
          <w:color w:val="000000"/>
          <w:sz w:val="14"/>
          <w:shd w:fill="FFFFFF" w:val="clear"/>
        </w:rPr>
        <w:t>2</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2"/>
        </w:rPr>
        <w:t>76% of the Company’s ACV was Upmarket, and Upmarket ACV grew 3% year-over-year.</w:t>
      </w:r>
      <w:r>
        <w:rPr>
          <w:rFonts w:ascii="Times New Roman;serif" w:hAnsi="Times New Roman;serif"/>
          <w:b w:val="false"/>
          <w:color w:val="000000"/>
          <w:sz w:val="14"/>
        </w:rPr>
        <w:t>2</w:t>
      </w:r>
      <w:r>
        <w:rPr>
          <w:color w:val="000000"/>
        </w:rPr>
        <w:t xml:space="preserve"> </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2"/>
        </w:rPr>
        <w:t>The Company’s net revenue retention rate was 89%.</w:t>
      </w:r>
      <w:r>
        <w:rPr>
          <w:rFonts w:ascii="Times New Roman;serif" w:hAnsi="Times New Roman;serif"/>
          <w:b w:val="false"/>
          <w:color w:val="000000"/>
          <w:sz w:val="14"/>
        </w:rPr>
        <w:t>2</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2"/>
        </w:rPr>
        <w:t>The Company repurchased 6.3 million shares of common stock at an average price of $4.51 per share, for an aggregate amount of $28.2 million.</w:t>
      </w:r>
      <w:r>
        <w:rPr>
          <w:rFonts w:ascii="Times New Roman;serif" w:hAnsi="Times New Roman;serif"/>
          <w:b w:val="false"/>
          <w:color w:val="000000"/>
          <w:sz w:val="14"/>
        </w:rPr>
        <w:t>2</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2"/>
        </w:rPr>
        <w:t>The Company repurchased $58.5 million in aggregate principal amount of its Senior Notes for $47.9 million in cash, resulting in a gain on debt extinguishment of $11.0 million and a $2.3 million annual reduction to cash interest payments.</w:t>
      </w:r>
      <w:r>
        <w:rPr>
          <w:rFonts w:ascii="Times New Roman;serif" w:hAnsi="Times New Roman;serif"/>
          <w:b w:val="false"/>
          <w:color w:val="000000"/>
          <w:sz w:val="14"/>
        </w:rPr>
        <w:t>2</w:t>
      </w:r>
    </w:p>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GAAP Operating loss and GAAP Operating loss margin include goodwill impairment loss of $650.5 million for the three months ended June 30, 2026</w:t>
      </w:r>
    </w:p>
    <w:p>
      <w:pPr>
        <w:pStyle w:val="TextBody"/>
        <w:bidi w:val="0"/>
        <w:spacing w:lineRule="auto" w:line="288"/>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As of, or for the three months ended, June 30, 2026,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4"/>
        <w:gridCol w:w="594"/>
        <w:gridCol w:w="600"/>
        <w:gridCol w:w="512"/>
        <w:gridCol w:w="512"/>
        <w:gridCol w:w="514"/>
        <w:gridCol w:w="128"/>
        <w:gridCol w:w="128"/>
        <w:gridCol w:w="128"/>
        <w:gridCol w:w="310"/>
        <w:gridCol w:w="310"/>
        <w:gridCol w:w="311"/>
        <w:gridCol w:w="128"/>
        <w:gridCol w:w="128"/>
        <w:gridCol w:w="128"/>
        <w:gridCol w:w="679"/>
        <w:gridCol w:w="662"/>
        <w:gridCol w:w="664"/>
        <w:gridCol w:w="573"/>
        <w:gridCol w:w="573"/>
        <w:gridCol w:w="574"/>
        <w:gridCol w:w="128"/>
        <w:gridCol w:w="128"/>
        <w:gridCol w:w="128"/>
        <w:gridCol w:w="285"/>
        <w:gridCol w:w="285"/>
        <w:gridCol w:w="421"/>
      </w:tblGrid>
      <w:tr>
        <w:trPr/>
        <w:tc>
          <w:tcPr>
            <w:tcW w:w="67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Q2 2026 Financial Highlights (Unaudited)</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in millions, except per share amounts)</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GAAP Quarterly Results*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YoY</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Quarterly Results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YoY</w:t>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53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Margin</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Margin</w:t>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(Diluted)</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(Diluted)</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w:t>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*GAAP Quarterly Results include goodwill impairment loss of $650.5 million for the three months ended June 30, 2026 </w:t>
      </w:r>
    </w:p>
    <w:p>
      <w:pPr>
        <w:pStyle w:val="TextBody"/>
        <w:bidi w:val="0"/>
        <w:spacing w:lineRule="auto" w:line="256" w:before="0" w:after="60"/>
        <w:jc w:val="left"/>
        <w:rPr>
          <w:rFonts w:ascii="Times New Roman;serif" w:hAnsi="Times New Roman;serif"/>
          <w:b w:val="false"/>
          <w:color w:val="000000"/>
          <w:sz w:val="20"/>
        </w:rPr>
      </w:pPr>
      <w:r>
        <w:rPr>
          <w:rFonts w:ascii="Times New Roman;serif" w:hAnsi="Times New Roman;serif"/>
          <w:b w:val="false"/>
          <w:color w:val="000000"/>
          <w:sz w:val="20"/>
        </w:rPr>
        <w:t>**Change YoY as a percentage is not meaningful</w:t>
      </w:r>
    </w:p>
    <w:p>
      <w:pPr>
        <w:pStyle w:val="TextBody"/>
        <w:bidi w:val="0"/>
        <w:spacing w:lineRule="auto" w:line="256" w:before="180" w:after="180"/>
        <w:jc w:val="both"/>
        <w:rPr>
          <w:rFonts w:ascii="Times New Roman;serif" w:hAnsi="Times New Roman;serif"/>
          <w:b w:val="false"/>
          <w:color w:val="000000"/>
          <w:sz w:val="22"/>
        </w:rPr>
      </w:pPr>
      <w:r>
        <w:rPr>
          <w:rFonts w:ascii="Times New Roman;serif" w:hAnsi="Times New Roman;serif"/>
          <w:b w:val="false"/>
          <w:color w:val="000000"/>
          <w:sz w:val="22"/>
        </w:rPr>
        <w:t>The Company uses a variety of operational and financial metrics, including non-GAAP financial measures, to evaluate its performance and financial condition. The accompanying financial data includes additional information regarding these metrics and a reconciliation of non-GAAP financial information for historical periods to the most directly comparable GAAP financial measure. The presentation of non-GAAP financial information should not be considered in isolation or as a substitute for, or superior to, the financial information prepared and presented in accordance with GAAP.</w:t>
      </w:r>
    </w:p>
    <w:p>
      <w:pPr>
        <w:pStyle w:val="TextBody"/>
        <w:bidi w:val="0"/>
        <w:spacing w:lineRule="auto" w:line="256" w:before="300" w:after="180"/>
        <w:jc w:val="both"/>
        <w:rPr>
          <w:rFonts w:ascii="Times New Roman;serif" w:hAnsi="Times New Roman;serif"/>
          <w:b/>
          <w:color w:val="000000"/>
          <w:sz w:val="22"/>
        </w:rPr>
      </w:pPr>
      <w:r>
        <w:rPr>
          <w:rFonts w:ascii="Times New Roman;serif" w:hAnsi="Times New Roman;serif"/>
          <w:b/>
          <w:color w:val="000000"/>
          <w:sz w:val="22"/>
        </w:rPr>
        <w:t>Business Outlook:</w:t>
      </w:r>
    </w:p>
    <w:p>
      <w:pPr>
        <w:pStyle w:val="TextBody"/>
        <w:bidi w:val="0"/>
        <w:spacing w:lineRule="auto" w:line="256" w:before="0" w:after="180"/>
        <w:jc w:val="both"/>
        <w:rPr>
          <w:rFonts w:ascii="Times New Roman;serif" w:hAnsi="Times New Roman;serif"/>
          <w:b w:val="false"/>
          <w:color w:val="000000"/>
          <w:sz w:val="22"/>
        </w:rPr>
      </w:pPr>
      <w:r>
        <w:rPr>
          <w:rFonts w:ascii="Times New Roman;serif" w:hAnsi="Times New Roman;serif"/>
          <w:b w:val="false"/>
          <w:color w:val="000000"/>
          <w:sz w:val="22"/>
        </w:rPr>
        <w:t>Based on information available as of August 5, 2026, ZoomInfo is providing guidance for the third quarter and full year 2026 as follows:</w:t>
      </w:r>
    </w:p>
    <w:tbl>
      <w:tblPr>
        <w:tblW w:w="10205" w:type="dxa"/>
        <w:jc w:val="left"/>
        <w:tblInd w:w="0" w:type="dxa"/>
        <w:tblLayout w:type="fixed"/>
        <w:tblCellMar>
          <w:top w:w="28" w:type="dxa"/>
          <w:left w:w="28" w:type="dxa"/>
          <w:bottom w:w="28" w:type="dxa"/>
          <w:right w:w="28" w:type="dxa"/>
        </w:tblCellMar>
      </w:tblPr>
      <w:tblGrid>
        <w:gridCol w:w="1491"/>
        <w:gridCol w:w="1292"/>
        <w:gridCol w:w="1297"/>
        <w:gridCol w:w="551"/>
        <w:gridCol w:w="549"/>
        <w:gridCol w:w="547"/>
        <w:gridCol w:w="109"/>
        <w:gridCol w:w="109"/>
        <w:gridCol w:w="109"/>
        <w:gridCol w:w="640"/>
        <w:gridCol w:w="622"/>
        <w:gridCol w:w="625"/>
        <w:gridCol w:w="109"/>
        <w:gridCol w:w="109"/>
        <w:gridCol w:w="109"/>
        <w:gridCol w:w="566"/>
        <w:gridCol w:w="566"/>
        <w:gridCol w:w="805"/>
      </w:tblGrid>
      <w:tr>
        <w:trPr/>
        <w:tc>
          <w:tcPr>
            <w:tcW w:w="149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FY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 2026</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Revenue</w:t>
            </w:r>
          </w:p>
        </w:tc>
        <w:tc>
          <w:tcPr>
            <w:tcW w:w="164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$298 - $301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$1.185 - $1.205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$1.207 - $1.217 billion</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Operating Income</w:t>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$113 - $115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$437 - $447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$446 - $451 million</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 Per Share (Diluted)</w:t>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$0.28 - $0.29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 $1.12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$1.12 - $1.13</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Unlevered Free Cash Flow</w:t>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Not Guided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$400 - $420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$403 - $423 million</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 million</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56" w:before="300" w:after="180"/>
        <w:jc w:val="left"/>
        <w:rPr>
          <w:rFonts w:ascii="Times New Roman;serif" w:hAnsi="Times New Roman;serif"/>
          <w:b/>
          <w:color w:val="000000"/>
          <w:sz w:val="22"/>
        </w:rPr>
      </w:pPr>
      <w:r>
        <w:rPr>
          <w:rFonts w:ascii="Times New Roman;serif" w:hAnsi="Times New Roman;serif"/>
          <w:b/>
          <w:color w:val="000000"/>
          <w:sz w:val="22"/>
        </w:rPr>
        <w:t>Conference Call and Webcast Information:</w:t>
      </w:r>
    </w:p>
    <w:p>
      <w:pPr>
        <w:pStyle w:val="TextBody"/>
        <w:bidi w:val="0"/>
        <w:spacing w:lineRule="auto" w:line="288" w:before="0" w:after="180"/>
        <w:jc w:val="both"/>
        <w:rPr/>
      </w:pPr>
      <w:r>
        <w:rPr>
          <w:rFonts w:ascii="Times New Roman;serif" w:hAnsi="Times New Roman;serif"/>
          <w:b w:val="false"/>
          <w:color w:val="000000"/>
          <w:sz w:val="22"/>
        </w:rPr>
        <w:t xml:space="preserve">ZoomInfo will host a conference call today, August 5, 2026, to review its results at 4:30 p.m. Eastern Time, 1:30 p.m. Pacific Time. To participate in the live conference call via telephone, please register </w:t>
      </w:r>
      <w:r>
        <w:rPr>
          <w:rFonts w:ascii="Times New Roman;serif" w:hAnsi="Times New Roman;serif"/>
          <w:b/>
          <w:color w:val="000000"/>
          <w:sz w:val="22"/>
        </w:rPr>
        <w:t>here</w:t>
      </w:r>
      <w:r>
        <w:rPr>
          <w:rFonts w:ascii="Times New Roman;serif" w:hAnsi="Times New Roman;serif"/>
          <w:b w:val="false"/>
          <w:color w:val="000000"/>
          <w:sz w:val="22"/>
        </w:rPr>
        <w:t>. Upon registering, a dial-in number and unique PIN will be provided to join the conference call.</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call will also be webcast live on the Company’s investor relations website at https://ir.zoominfo.com/, where related presentation materials will be posted prior to the conference call. Following the conference call, an archived webcast of the call will be available for one year on ZoomInfo’s Investor Relations website.</w:t>
      </w:r>
    </w:p>
    <w:p>
      <w:pPr>
        <w:pStyle w:val="TextBody"/>
        <w:bidi w:val="0"/>
        <w:spacing w:lineRule="auto" w:line="256" w:before="300" w:after="180"/>
        <w:jc w:val="left"/>
        <w:rPr>
          <w:rFonts w:ascii="Times New Roman;serif" w:hAnsi="Times New Roman;serif"/>
          <w:b/>
          <w:color w:val="000000"/>
          <w:sz w:val="22"/>
        </w:rPr>
      </w:pPr>
      <w:r>
        <w:rPr>
          <w:rFonts w:ascii="Times New Roman;serif" w:hAnsi="Times New Roman;serif"/>
          <w:b/>
          <w:color w:val="000000"/>
          <w:sz w:val="22"/>
        </w:rPr>
        <w:t>Upcoming Events: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ZoomInfo executives expect to participate in the following investor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KeyBanc Technology Leadership Forum, Aug. 10,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Canaccord Growth Conference, Aug. 11,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Stifel Technology Executive Summit, Aug. 25,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Deutsche Bank Technology Conference, Aug. 27,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Piper Sandler Growth Frontiers Conference, Sep. 15, 2026</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For more information on specific events, presentation times, and webcast details (if available), visit the “News &amp; Events” section of the Company’s investor relations website at https://ir.zoominfo.com. Conferences with presentations that are webcast, will be webcast live, and the replay will be available for a limited time.</w:t>
      </w:r>
    </w:p>
    <w:p>
      <w:pPr>
        <w:pStyle w:val="TextBody"/>
        <w:bidi w:val="0"/>
        <w:spacing w:lineRule="auto" w:line="288" w:before="300" w:after="180"/>
        <w:jc w:val="both"/>
        <w:rPr>
          <w:rFonts w:ascii="Times New Roman;serif" w:hAnsi="Times New Roman;serif"/>
          <w:b/>
          <w:color w:val="000000"/>
          <w:sz w:val="22"/>
        </w:rPr>
      </w:pPr>
      <w:r>
        <w:rPr>
          <w:rFonts w:ascii="Times New Roman;serif" w:hAnsi="Times New Roman;serif"/>
          <w:b/>
          <w:color w:val="000000"/>
          <w:sz w:val="22"/>
        </w:rPr>
        <w:t>Non-GAAP Financial Measures and Other Metrics: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To supplement our consolidated financial statements presented in accordance with GAAP, this press release contains non-GAAP financial measures, including Adjusted Operating Income, Adjusted Operating Income Margin, Adjusted Net Income, Adjusted Net Income Per Share,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at the end of this press release for each historical non-GAAP financial measure to the most directly comparable financial measure stated in accordance with GAAP. 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tax receivable agreements, deferred tax assets and deferred tax liabilities, and restructuring and transaction expenses. We expect the variability of these excluded items may have a significant, and potentially unpredictable, impact on our future GAAP financial results.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We define Adjusted Operating Income as income (loss) from operations adjusted for, as applicable, (i) amortization of acquired technology and other acquired intangibles, (ii) goodwill impairment, (iii) equity-based compensation expense, (iv) restructuring and transaction-related expenses, (v) integration costs and acquisition-related expenses, and (vi) litigation settlement. We define Adjusted Operating Income Margin as Adjusted Operating Income divided by revenue.</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We define Adjusted Net Income as net income (loss) adjusted for, as applicable, (i) gain on debt extinguishment, (ii) amortization of acquired technology and other acquired intangibles, (iii) goodwill impairment, (iv) equity-based compensation expense, (v) restructuring and transaction-related expenses, (vi) integration costs and acquisition-related expenses, (vii) litigation settlement, (viii) TRA liability remeasurement (benefit) expense, (ix) other (income) loss, net and (x) tax impacts of adjustments to net income (loss). We define Adjusted Net Income Per Share as Adjusted Net Income divided by diluted weighted average shares outstanding used for Adjusted Net Income Per Share.</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We define Unlevered Free Cash Flow as net cash provided by operating activities less, as applicable, (i) purchases of property and equipment and other assets, plus (ii) cash interest expense, (iii) cash payments related to restructuring and transaction-related expenses, (iv) cash payments related to integration costs and acquisition-related compensation, and (v) litigation settlement payments. Unlevered Free Cash Flow does not represent residual cash flow available for discretionary expenditures since, among other things, we have mandatory debt service requirements.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300" w:after="180"/>
        <w:jc w:val="both"/>
        <w:rPr>
          <w:rFonts w:ascii="Times New Roman;serif" w:hAnsi="Times New Roman;serif"/>
          <w:b/>
          <w:color w:val="000000"/>
          <w:sz w:val="22"/>
        </w:rPr>
      </w:pPr>
      <w:r>
        <w:rPr>
          <w:rFonts w:ascii="Times New Roman;serif" w:hAnsi="Times New Roman;serif"/>
          <w:b/>
          <w:color w:val="000000"/>
          <w:sz w:val="22"/>
        </w:rPr>
        <w:t>Cautionary Statement Regarding Forward-Looking Information</w: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 Any statements in this press release regarding future revenue, earnings, margins, financial performance, expenses, estimates, cash flow, growth in free cash flow, results of changes in operational procedures, liquidity, or results of operations (including, but not limited to, the guidance provided under “Business Outlook”), and any other statements that are not historical facts are forward-looking statements. 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Factors that could cause actual results to differ from those expressed or implied by our forward-looking statements include, among other things: future economic, competitive, and regulatory conditions, potential future uses of cash, our revenue model, including our transition upmarket and our pricing structures, our ability to attract new customers, renew existing subscriptions, or expand existing subscriptions, the successful integration of acquired businesses, and future decisions made by us and our competitors.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update in Part II, Item 1A - Risk Factors in Quarterly Reports on Form 10-Q that we have filed or will file hereafter. Our forward-looking statements do not reflect the potential impact of any future acquisitions, mergers, dispositions, joint ventures, investments, or other strategic transactions we may make. Each forward-looking statement contained in this presentation speaks only as of the date of this press release, and we undertake no obligation to update or revise any forward-looking statements whether as a result of new information, future developments or otherwise, except as required by law.</w:t>
      </w:r>
    </w:p>
    <w:p>
      <w:pPr>
        <w:pStyle w:val="TextBody"/>
        <w:bidi w:val="0"/>
        <w:spacing w:lineRule="auto" w:line="300" w:before="300" w:after="160"/>
        <w:jc w:val="left"/>
        <w:rPr>
          <w:rFonts w:ascii="Times New Roman;serif" w:hAnsi="Times New Roman;serif"/>
          <w:b/>
          <w:color w:val="000000"/>
          <w:sz w:val="22"/>
        </w:rPr>
      </w:pPr>
      <w:r>
        <w:rPr>
          <w:rFonts w:ascii="Times New Roman;serif" w:hAnsi="Times New Roman;serif"/>
          <w:b/>
          <w:color w:val="000000"/>
          <w:sz w:val="22"/>
        </w:rPr>
        <w:t>About ZoomInfo</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ZoomInfo (NASDAQ: GTM), the all-in-one AI GTM platform, enables sales, marketing, and customer success teams to execute their go-to-market strategy with confidence. Powered by the industry’s most comprehensive B2B data, including more than 100 million companies, 500 million contacts, and billions of signals, ZoomInfo delivers the intelligence, automation, and integrations that modern revenue teams need to identify, engage, and convert their best buyers.</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GTM.AI is ZoomInfo’s headless GTM context layer. It is the API and Model Context Protocol home for AI agents, powering integrations across Salesforce Agentforce, HubSpot Breeze, Microsoft Copilot, Claude, ChatGPT, and dozens more.</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Learn more at zoominfo.com and gtm.ai.</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300" w:after="160"/>
        <w:jc w:val="left"/>
        <w:rPr>
          <w:rFonts w:ascii="Times New Roman;serif" w:hAnsi="Times New Roman;serif"/>
          <w:b/>
          <w:color w:val="000000"/>
          <w:sz w:val="22"/>
        </w:rPr>
      </w:pPr>
      <w:r>
        <w:rPr>
          <w:rFonts w:ascii="Times New Roman;serif" w:hAnsi="Times New Roman;serif"/>
          <w:b/>
          <w:color w:val="000000"/>
          <w:sz w:val="22"/>
        </w:rPr>
        <w:t>Website Disclosure</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ZoomInfo intends to use its website as a distribution channel of material company information. Financial and other important information regarding the Company is routinely posted on and accessible through the Company’s website. Accordingly, you should monitor the investor relations portion of our website at https://ir.zoominfo.com/ in addition to following our press releases, SEC filings, and public conference calls and webcasts. In addition, you may automatically receive email alerts and other information about ZoomInfo when you enroll your email address by visiting the “Email Alerts” section of our investor relations page at https://ir.zoominfo.com/.</w:t>
      </w:r>
    </w:p>
    <w:p>
      <w:pPr>
        <w:pStyle w:val="TextBody"/>
        <w:bidi w:val="0"/>
        <w:spacing w:lineRule="auto" w:line="288" w:before="480" w:after="48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lineRule="auto" w:line="256"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Jeremiah Sisitsky</w:t>
      </w:r>
    </w:p>
    <w:p>
      <w:pPr>
        <w:pStyle w:val="TextBody"/>
        <w:bidi w:val="0"/>
        <w:spacing w:lineRule="auto" w:line="256" w:before="0" w:after="160"/>
        <w:jc w:val="left"/>
        <w:rPr>
          <w:rFonts w:ascii="Times New Roman;serif" w:hAnsi="Times New Roman;serif"/>
          <w:b w:val="false"/>
          <w:color w:val="000000"/>
          <w:sz w:val="22"/>
        </w:rPr>
      </w:pPr>
      <w:r>
        <w:rPr>
          <w:rFonts w:ascii="Times New Roman;serif" w:hAnsi="Times New Roman;serif"/>
          <w:b w:val="false"/>
          <w:color w:val="000000"/>
          <w:sz w:val="22"/>
        </w:rPr>
        <w:t>ir@zoominfo.com</w:t>
      </w:r>
    </w:p>
    <w:p>
      <w:pPr>
        <w:pStyle w:val="TextBody"/>
        <w:bidi w:val="0"/>
        <w:spacing w:lineRule="auto" w:line="256" w:before="300" w:after="283"/>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Dennis Sevilla</w: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pr@zoominfo.com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99" w:type="dxa"/>
        <w:jc w:val="left"/>
        <w:tblInd w:w="0" w:type="dxa"/>
        <w:tblLayout w:type="fixed"/>
        <w:tblCellMar>
          <w:top w:w="28" w:type="dxa"/>
          <w:left w:w="28" w:type="dxa"/>
          <w:bottom w:w="28" w:type="dxa"/>
          <w:right w:w="28" w:type="dxa"/>
        </w:tblCellMar>
      </w:tblPr>
      <w:tblGrid>
        <w:gridCol w:w="1729"/>
        <w:gridCol w:w="1526"/>
        <w:gridCol w:w="1545"/>
        <w:gridCol w:w="295"/>
        <w:gridCol w:w="1093"/>
        <w:gridCol w:w="152"/>
        <w:gridCol w:w="152"/>
        <w:gridCol w:w="152"/>
        <w:gridCol w:w="152"/>
        <w:gridCol w:w="295"/>
        <w:gridCol w:w="1093"/>
        <w:gridCol w:w="215"/>
      </w:tblGrid>
      <w:tr>
        <w:trPr/>
        <w:tc>
          <w:tcPr>
            <w:tcW w:w="172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3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rPr/>
        <w:tc>
          <w:tcPr>
            <w:tcW w:w="83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tc>
      </w:tr>
      <w:tr>
        <w:trPr/>
        <w:tc>
          <w:tcPr>
            <w:tcW w:w="8399"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 except share data)</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5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2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and other assets, net of current portion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5,678.5</w:t>
            </w:r>
            <w:r>
              <w:rPr>
                <w:color w:val="000000"/>
              </w:rPr>
              <w:t> </w:t>
            </w:r>
          </w:p>
        </w:tc>
        <w:tc>
          <w:tcPr>
            <w:tcW w:w="15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6,439.5</w:t>
            </w:r>
            <w:r>
              <w:rPr>
                <w:color w:val="000000"/>
              </w:rPr>
              <w:t> </w:t>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current portion</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tax receivable agreements liability</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5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net of current portion</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agreements liability, net of current portion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4,849.8</w:t>
            </w:r>
            <w:r>
              <w:rPr>
                <w:color w:val="000000"/>
              </w:rPr>
              <w:t> </w:t>
            </w:r>
          </w:p>
        </w:tc>
        <w:tc>
          <w:tcPr>
            <w:tcW w:w="15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4,930.8</w:t>
            </w:r>
            <w:r>
              <w:rPr>
                <w:color w:val="000000"/>
              </w:rPr>
              <w:t> </w:t>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(deficit)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828.7</w:t>
            </w:r>
            <w:r>
              <w:rPr>
                <w:color w:val="000000"/>
              </w:rPr>
              <w:t> </w:t>
            </w:r>
          </w:p>
        </w:tc>
        <w:tc>
          <w:tcPr>
            <w:tcW w:w="15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1,508.7</w:t>
            </w:r>
            <w:r>
              <w:rPr>
                <w:color w:val="000000"/>
              </w:rPr>
              <w:t> </w:t>
            </w:r>
          </w:p>
        </w:tc>
        <w:tc>
          <w:tcPr>
            <w:tcW w:w="2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9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5,678.5</w:t>
            </w:r>
            <w:r>
              <w:rPr>
                <w:color w:val="000000"/>
              </w:rPr>
              <w:t> </w:t>
            </w:r>
          </w:p>
        </w:tc>
        <w:tc>
          <w:tcPr>
            <w:tcW w:w="15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6,439.5</w:t>
            </w:r>
            <w:r>
              <w:rPr>
                <w:color w:val="000000"/>
              </w:rPr>
              <w:t> </w:t>
            </w:r>
          </w:p>
        </w:tc>
        <w:tc>
          <w:tcPr>
            <w:tcW w:w="21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tbl>
      <w:tblPr>
        <w:tblW w:w="8957" w:type="dxa"/>
        <w:jc w:val="left"/>
        <w:tblInd w:w="0" w:type="dxa"/>
        <w:tblLayout w:type="fixed"/>
        <w:tblCellMar>
          <w:top w:w="28" w:type="dxa"/>
          <w:left w:w="28" w:type="dxa"/>
          <w:bottom w:w="28" w:type="dxa"/>
          <w:right w:w="28" w:type="dxa"/>
        </w:tblCellMar>
      </w:tblPr>
      <w:tblGrid>
        <w:gridCol w:w="1297"/>
        <w:gridCol w:w="1141"/>
        <w:gridCol w:w="1147"/>
        <w:gridCol w:w="243"/>
        <w:gridCol w:w="797"/>
        <w:gridCol w:w="125"/>
        <w:gridCol w:w="125"/>
        <w:gridCol w:w="125"/>
        <w:gridCol w:w="125"/>
        <w:gridCol w:w="243"/>
        <w:gridCol w:w="711"/>
        <w:gridCol w:w="125"/>
        <w:gridCol w:w="109"/>
        <w:gridCol w:w="109"/>
        <w:gridCol w:w="109"/>
        <w:gridCol w:w="214"/>
        <w:gridCol w:w="777"/>
        <w:gridCol w:w="110"/>
        <w:gridCol w:w="110"/>
        <w:gridCol w:w="110"/>
        <w:gridCol w:w="110"/>
        <w:gridCol w:w="214"/>
        <w:gridCol w:w="625"/>
        <w:gridCol w:w="156"/>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95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rPr/>
        <w:tc>
          <w:tcPr>
            <w:tcW w:w="8957"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Statements of Operations </w:t>
            </w:r>
          </w:p>
        </w:tc>
      </w:tr>
      <w:tr>
        <w:trPr/>
        <w:tc>
          <w:tcPr>
            <w:tcW w:w="8957"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 unaudited)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4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2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2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(643.7)</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w:t>
            </w:r>
            <w:r>
              <w:rPr>
                <w:color w:val="000000"/>
              </w:rPr>
              <w:t> </w:t>
            </w:r>
          </w:p>
        </w:tc>
        <w:tc>
          <w:tcPr>
            <w:tcW w:w="12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(614.4)</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of common stock: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Amounts include equity-based compensation expense, as follows:</w:t>
      </w:r>
    </w:p>
    <w:tbl>
      <w:tblPr>
        <w:tblW w:w="8102" w:type="dxa"/>
        <w:jc w:val="left"/>
        <w:tblInd w:w="0" w:type="dxa"/>
        <w:tblLayout w:type="fixed"/>
        <w:tblCellMar>
          <w:top w:w="28" w:type="dxa"/>
          <w:left w:w="28" w:type="dxa"/>
          <w:bottom w:w="28" w:type="dxa"/>
          <w:right w:w="28" w:type="dxa"/>
        </w:tblCellMar>
      </w:tblPr>
      <w:tblGrid>
        <w:gridCol w:w="1109"/>
        <w:gridCol w:w="975"/>
        <w:gridCol w:w="976"/>
        <w:gridCol w:w="256"/>
        <w:gridCol w:w="609"/>
        <w:gridCol w:w="142"/>
        <w:gridCol w:w="142"/>
        <w:gridCol w:w="142"/>
        <w:gridCol w:w="142"/>
        <w:gridCol w:w="256"/>
        <w:gridCol w:w="609"/>
        <w:gridCol w:w="142"/>
        <w:gridCol w:w="109"/>
        <w:gridCol w:w="109"/>
        <w:gridCol w:w="109"/>
        <w:gridCol w:w="233"/>
        <w:gridCol w:w="555"/>
        <w:gridCol w:w="129"/>
        <w:gridCol w:w="129"/>
        <w:gridCol w:w="129"/>
        <w:gridCol w:w="129"/>
        <w:gridCol w:w="233"/>
        <w:gridCol w:w="555"/>
        <w:gridCol w:w="183"/>
      </w:tblGrid>
      <w:tr>
        <w:trP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8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25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4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4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2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78"/>
        <w:gridCol w:w="2148"/>
        <w:gridCol w:w="2162"/>
        <w:gridCol w:w="302"/>
        <w:gridCol w:w="986"/>
        <w:gridCol w:w="154"/>
        <w:gridCol w:w="154"/>
        <w:gridCol w:w="154"/>
        <w:gridCol w:w="154"/>
        <w:gridCol w:w="302"/>
        <w:gridCol w:w="986"/>
        <w:gridCol w:w="225"/>
      </w:tblGrid>
      <w:tr>
        <w:trPr/>
        <w:tc>
          <w:tcPr>
            <w:tcW w:w="247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rP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4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 costs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lease abandonment charges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remeasurement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 expense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disposal of property and equipment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and other assets, net of current portion</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0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54"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225"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other assets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initial direct costs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02"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54"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225"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loans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modification costs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02"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54"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w:t>
            </w:r>
          </w:p>
        </w:tc>
        <w:tc>
          <w:tcPr>
            <w:tcW w:w="225"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88"/>
        <w:gridCol w:w="2532"/>
        <w:gridCol w:w="2539"/>
        <w:gridCol w:w="211"/>
        <w:gridCol w:w="616"/>
        <w:gridCol w:w="109"/>
        <w:gridCol w:w="109"/>
        <w:gridCol w:w="109"/>
        <w:gridCol w:w="109"/>
        <w:gridCol w:w="211"/>
        <w:gridCol w:w="616"/>
        <w:gridCol w:w="156"/>
      </w:tblGrid>
      <w:tr>
        <w:trPr/>
        <w:tc>
          <w:tcPr>
            <w:tcW w:w="288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included in capitalized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40"/>
        <w:gridCol w:w="967"/>
        <w:gridCol w:w="973"/>
        <w:gridCol w:w="298"/>
        <w:gridCol w:w="891"/>
        <w:gridCol w:w="153"/>
        <w:gridCol w:w="153"/>
        <w:gridCol w:w="153"/>
        <w:gridCol w:w="153"/>
        <w:gridCol w:w="298"/>
        <w:gridCol w:w="891"/>
        <w:gridCol w:w="153"/>
        <w:gridCol w:w="153"/>
        <w:gridCol w:w="153"/>
        <w:gridCol w:w="153"/>
        <w:gridCol w:w="298"/>
        <w:gridCol w:w="891"/>
        <w:gridCol w:w="153"/>
        <w:gridCol w:w="153"/>
        <w:gridCol w:w="153"/>
        <w:gridCol w:w="153"/>
        <w:gridCol w:w="298"/>
        <w:gridCol w:w="891"/>
        <w:gridCol w:w="233"/>
      </w:tblGrid>
      <w:tr>
        <w:trPr/>
        <w:tc>
          <w:tcPr>
            <w:tcW w:w="144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GAAP Cash Flow from Operations to Non-GAAP Unlevered Free Cash Flow</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 (GAAP)</w:t>
            </w:r>
          </w:p>
        </w:tc>
        <w:tc>
          <w:tcPr>
            <w:tcW w:w="2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w:t>
            </w:r>
            <w:r>
              <w:rPr>
                <w:color w:val="000000"/>
              </w:rPr>
              <w:t> </w:t>
            </w:r>
          </w:p>
        </w:tc>
        <w:tc>
          <w:tcPr>
            <w:tcW w:w="15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108.9</w:t>
            </w:r>
            <w:r>
              <w:rPr>
                <w:color w:val="000000"/>
              </w:rPr>
              <w:t> </w:t>
            </w:r>
          </w:p>
        </w:tc>
        <w:tc>
          <w:tcPr>
            <w:tcW w:w="15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202.0</w:t>
            </w:r>
            <w:r>
              <w:rPr>
                <w:color w:val="000000"/>
              </w:rPr>
              <w:t> </w:t>
            </w:r>
          </w:p>
        </w:tc>
        <w:tc>
          <w:tcPr>
            <w:tcW w:w="15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228.1</w:t>
            </w:r>
            <w:r>
              <w:rPr>
                <w:color w:val="000000"/>
              </w:rPr>
              <w:t> </w:t>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other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transaction-related expenses paid in cash</w:t>
            </w:r>
            <w:r>
              <w:rPr>
                <w:rFonts w:ascii="Times New Roman;serif" w:hAnsi="Times New Roman;serif"/>
                <w:b w:val="false"/>
                <w:color w:val="000000"/>
                <w:sz w:val="13"/>
              </w:rPr>
              <w:t>(1)</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settlement payments</w:t>
            </w:r>
            <w:r>
              <w:rPr>
                <w:rFonts w:ascii="Times New Roman;serif" w:hAnsi="Times New Roman;serif"/>
                <w:b w:val="false"/>
                <w:color w:val="000000"/>
                <w:sz w:val="13"/>
              </w:rPr>
              <w:t>(2)</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Unlevered Free Cash Flow (Non-GAAP)</w:t>
            </w:r>
          </w:p>
        </w:tc>
        <w:tc>
          <w:tcPr>
            <w:tcW w:w="2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w:t>
            </w:r>
            <w:r>
              <w:rPr>
                <w:color w:val="000000"/>
              </w:rPr>
              <w:t> </w:t>
            </w:r>
          </w:p>
        </w:tc>
        <w:tc>
          <w:tcPr>
            <w:tcW w:w="1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w:t>
            </w:r>
            <w:r>
              <w:rPr>
                <w:color w:val="000000"/>
              </w:rPr>
              <w:t> </w:t>
            </w:r>
          </w:p>
        </w:tc>
        <w:tc>
          <w:tcPr>
            <w:tcW w:w="1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227.0</w:t>
            </w:r>
            <w:r>
              <w:rPr>
                <w:color w:val="000000"/>
              </w:rPr>
              <w:t> </w:t>
            </w:r>
          </w:p>
        </w:tc>
        <w:tc>
          <w:tcPr>
            <w:tcW w:w="1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224.4</w:t>
            </w:r>
            <w:r>
              <w:rPr>
                <w:color w:val="000000"/>
              </w:rPr>
              <w:t> </w:t>
            </w:r>
          </w:p>
        </w:tc>
        <w:tc>
          <w:tcPr>
            <w:tcW w:w="2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cash payments directly associated with acquisition or disposal activities, including employee severance and termination benefits, contract termination fees and penalties, and other exit or disposal costs. For the three and six months ended June 30, 2026, these payments related primarily to expense and other transition-related costs from the 2026 Restructuring Program, and lease restructuring activity.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cash payments for legal fees associated with legal settlements related to class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5"/>
        <w:gridCol w:w="840"/>
        <w:gridCol w:w="843"/>
        <w:gridCol w:w="371"/>
        <w:gridCol w:w="1188"/>
        <w:gridCol w:w="191"/>
        <w:gridCol w:w="191"/>
        <w:gridCol w:w="191"/>
        <w:gridCol w:w="191"/>
        <w:gridCol w:w="371"/>
        <w:gridCol w:w="1111"/>
        <w:gridCol w:w="191"/>
        <w:gridCol w:w="191"/>
        <w:gridCol w:w="191"/>
        <w:gridCol w:w="191"/>
        <w:gridCol w:w="417"/>
        <w:gridCol w:w="330"/>
        <w:gridCol w:w="331"/>
        <w:gridCol w:w="191"/>
        <w:gridCol w:w="191"/>
        <w:gridCol w:w="191"/>
        <w:gridCol w:w="417"/>
        <w:gridCol w:w="265"/>
        <w:gridCol w:w="375"/>
      </w:tblGrid>
      <w:tr>
        <w:trPr/>
        <w:tc>
          <w:tcPr>
            <w:tcW w:w="1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Reconciliation from GAAP Income (Loss) from Operations to Non-GAAP Adjusted Operating Income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 (GAAP)</w:t>
            </w:r>
          </w:p>
        </w:tc>
        <w:tc>
          <w:tcPr>
            <w:tcW w:w="3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(622.0)</w:t>
            </w:r>
          </w:p>
        </w:tc>
        <w:tc>
          <w:tcPr>
            <w:tcW w:w="1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w:t>
            </w:r>
            <w:r>
              <w:rPr>
                <w:color w:val="000000"/>
              </w:rPr>
              <w:t> </w:t>
            </w:r>
          </w:p>
        </w:tc>
        <w:tc>
          <w:tcPr>
            <w:tcW w:w="1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(564.1)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104.0</w:t>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2928"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 (Non-GAAP)</w:t>
            </w:r>
          </w:p>
        </w:tc>
        <w:tc>
          <w:tcPr>
            <w:tcW w:w="3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104.7</w:t>
            </w:r>
            <w:r>
              <w:rPr>
                <w:color w:val="000000"/>
              </w:rPr>
              <w:t> </w:t>
            </w:r>
          </w:p>
        </w:tc>
        <w:tc>
          <w:tcPr>
            <w:tcW w:w="1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219.7</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205.6</w:t>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r>
    </w:tbl>
    <w:tbl>
      <w:tblPr>
        <w:tblW w:w="7978" w:type="dxa"/>
        <w:jc w:val="left"/>
        <w:tblInd w:w="0" w:type="dxa"/>
        <w:tblLayout w:type="fixed"/>
        <w:tblCellMar>
          <w:top w:w="28" w:type="dxa"/>
          <w:left w:w="28" w:type="dxa"/>
          <w:bottom w:w="28" w:type="dxa"/>
          <w:right w:w="28" w:type="dxa"/>
        </w:tblCellMar>
      </w:tblPr>
      <w:tblGrid>
        <w:gridCol w:w="1509"/>
        <w:gridCol w:w="1327"/>
        <w:gridCol w:w="1334"/>
        <w:gridCol w:w="269"/>
        <w:gridCol w:w="271"/>
        <w:gridCol w:w="271"/>
        <w:gridCol w:w="109"/>
        <w:gridCol w:w="109"/>
        <w:gridCol w:w="109"/>
        <w:gridCol w:w="180"/>
        <w:gridCol w:w="181"/>
        <w:gridCol w:w="271"/>
        <w:gridCol w:w="109"/>
        <w:gridCol w:w="109"/>
        <w:gridCol w:w="109"/>
        <w:gridCol w:w="218"/>
        <w:gridCol w:w="218"/>
        <w:gridCol w:w="271"/>
        <w:gridCol w:w="109"/>
        <w:gridCol w:w="109"/>
        <w:gridCol w:w="109"/>
        <w:gridCol w:w="180"/>
        <w:gridCol w:w="181"/>
        <w:gridCol w:w="316"/>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Operating Income (Loss) Margin (GAAP)</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Adjusted Operating Income Margin (Non-GAAP)</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six months ended June 30, 2026, this expense is primarily related to the 2026 Restructuring Program as well as lease restructuring activities, including right-of-use asset and the related leasehold improvements impairment charges. Restructuring and transaction-related expenses related to the 2026 Restructuring Program include employee severance and termination benefits and other associated costs, as well as transition-related costs. For the three and six months ended June 30, 2025, this expense is primarily related to employee severance and termination benefits and lease restructuring activities.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legal settlements, and associated legal fees, related to class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7"/>
        <w:gridCol w:w="1163"/>
        <w:gridCol w:w="1127"/>
        <w:gridCol w:w="277"/>
        <w:gridCol w:w="885"/>
        <w:gridCol w:w="143"/>
        <w:gridCol w:w="143"/>
        <w:gridCol w:w="143"/>
        <w:gridCol w:w="143"/>
        <w:gridCol w:w="277"/>
        <w:gridCol w:w="692"/>
        <w:gridCol w:w="143"/>
        <w:gridCol w:w="143"/>
        <w:gridCol w:w="143"/>
        <w:gridCol w:w="143"/>
        <w:gridCol w:w="277"/>
        <w:gridCol w:w="885"/>
        <w:gridCol w:w="143"/>
        <w:gridCol w:w="143"/>
        <w:gridCol w:w="143"/>
        <w:gridCol w:w="143"/>
        <w:gridCol w:w="277"/>
        <w:gridCol w:w="830"/>
        <w:gridCol w:w="212"/>
      </w:tblGrid>
      <w:tr>
        <w:trPr/>
        <w:tc>
          <w:tcPr>
            <w:tcW w:w="15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ZoomInfo Technologies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GAAP Net Income (Loss) to Non-GAAP Adjusted Net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 unaudited)</w:t>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(GAAP)</w:t>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(643.7)</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(614.4)</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remeasurement gain</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impacts of adjustments to net income (loss)</w:t>
            </w:r>
            <w:r>
              <w:rPr>
                <w:rFonts w:ascii="Times New Roman;serif" w:hAnsi="Times New Roman;serif"/>
                <w:b w:val="false"/>
                <w:color w:val="000000"/>
                <w:sz w:val="13"/>
              </w:rPr>
              <w:t>(3)</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86.1</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168.0</w:t>
            </w:r>
            <w:r>
              <w:rPr>
                <w:color w:val="000000"/>
              </w:rPr>
              <w:t> </w:t>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(GAAP)</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0.15</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 per diluted share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 per diluted share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 per diluted share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per diluted share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 per diluted share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transaction-related expenses per diluted share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per diluted share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remeasurement gain per diluted share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impacts of adjustments to net income (loss) per diluted share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Share (Non-GAAP)</w:t>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0.28</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0.25</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0.55</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0.48</w:t>
            </w:r>
            <w:r>
              <w:rPr>
                <w:color w:val="000000"/>
              </w:rPr>
              <w:t> </w:t>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for Adjusted Net Income Per Share</w:t>
            </w:r>
            <w:r>
              <w:rPr>
                <w:rFonts w:ascii="Times New Roman;serif" w:hAnsi="Times New Roman;serif"/>
                <w:b w:val="false"/>
                <w:color w:val="000000"/>
                <w:sz w:val="13"/>
              </w:rPr>
              <w:t>(4)</w:t>
            </w:r>
          </w:p>
        </w:tc>
        <w:tc>
          <w:tcPr>
            <w:tcW w:w="11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six months ended June 30, 2026, this expense is primarily related to the 2026 Restructuring Program as well as lease restructuring activities, including right-of-use asset and the related leasehold improvements impairment charges. Restructuring and transaction-related expenses related to the 2026 Restructuring Program include employee severance and termination benefits and other associated costs, as well as transition-related costs. For the three and six months ended June 30, 2025, this expense is primarily related to employee severance and termination benefits and lease restructuring activities.</w:t>
      </w:r>
    </w:p>
    <w:p>
      <w:pPr>
        <w:pStyle w:val="TextBody"/>
        <w:bidi w:val="0"/>
        <w:spacing w:lineRule="auto" w:line="288"/>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legal settlements, and associated legal fees, related to class actions.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tax expense associated with Net income (loss) (GAAP) excluded from Adjusted Net Income (Non-GAAP). The Company calculates the tax impacts of adjustments to net income (loss) by taking the total gross value of the adjustments and multiplying it by the Company’s U.S. federal and state statutory tax rate. We then recalculate the tax impact of book-tax differences related to equity compensation, the tax receivable agreements, and restructuring and transaction-related expenses. For the three and six months ended June 30, 2026, the tax impacts of adjustments to net income (loss) between GAAP and Non-GAAP are presented based on the specific rate reconciliation categories established under ASU 2023-09. For the three months ended June 30, 2026, these primarily relate to recognizing $14.7 million of tax benefit related to the amortization of costs associated with corporate structure simplification, adjusting out $9.7 million of tax expense from foreign tax effects, and adjusting out $3.2 million of tax expense from non-deductible stock-based compensation. For the three months ended June 30, 2025, these primarily relate to recognizing $15.2 million of tax benefit related to the amortization of costs associated with corporate structure simplification, adjusting out $14.6 million of tax expense from the effects of changes in state tax law and apportionment, and adjusting out $4.0 million of tax expense from non-deductible stock-based compensation. For the six months ended June 30, 2026, these primarily relate to recognizing $30.6 million of tax benefit related to the amortization of costs associated with corporate structure simplification, adjusting out $10.5 million of tax expense from foreign tax effects, and adjusting out $5.2 million of tax expense from non-deductible stock-based compensation. For the six months ended June 30, 2025, these primarily relate to recognizing $28.8 million of tax benefit related to the amortization of costs associated with corporate structure simplification, adjusting out $13.4 million of tax expense from the effects of changes in state tax law and apportionment, and adjusting out $7.0 million of tax expense from non-deductible stock-based compensation.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p>
      <w:pPr>
        <w:pStyle w:val="TextBody"/>
        <w:bidi w:val="0"/>
        <w:spacing w:lineRule="auto" w:line="288"/>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4864</Words>
  <Characters>28069</Characters>
  <CharactersWithSpaces>32386</CharactersWithSpaces>
  <Paragraphs>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