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795655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821055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123190</wp:posOffset>
            </wp:positionV>
            <wp:extent cx="1186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2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36830</wp:posOffset>
            </wp:positionV>
            <wp:extent cx="1186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335" w:lineRule="exact"/>
        <w:rPr>
          <w:sz w:val="24"/>
          <w:szCs w:val="24"/>
          <w:color w:val="auto"/>
        </w:rPr>
      </w:pPr>
    </w:p>
    <w:p>
      <w:pPr>
        <w:ind w:left="660" w:hanging="336"/>
        <w:spacing w:after="0"/>
        <w:tabs>
          <w:tab w:leader="none" w:pos="6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9" w:lineRule="exact"/>
        <w:rPr>
          <w:sz w:val="24"/>
          <w:szCs w:val="24"/>
          <w:color w:val="auto"/>
        </w:rPr>
      </w:pPr>
    </w:p>
    <w:p>
      <w:pPr>
        <w:ind w:left="660" w:hanging="336"/>
        <w:spacing w:after="0"/>
        <w:tabs>
          <w:tab w:leader="none" w:pos="6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140"/>
          </w:cols>
          <w:pgMar w:left="320" w:top="1440" w:right="439" w:bottom="1440" w:gutter="0" w:footer="0" w:header="0"/>
        </w:sectPr>
      </w:pPr>
    </w:p>
    <w:p>
      <w:pPr>
        <w:spacing w:after="0" w:line="17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2898140</wp:posOffset>
            </wp:positionH>
            <wp:positionV relativeFrom="paragraph">
              <wp:posOffset>153035</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456" w:lineRule="exact"/>
        <w:rPr>
          <w:sz w:val="24"/>
          <w:szCs w:val="24"/>
          <w:color w:val="auto"/>
        </w:rPr>
      </w:pPr>
    </w:p>
    <w:p>
      <w:pPr>
        <w:sectPr>
          <w:pgSz w:w="11900" w:h="16838" w:orient="portrait"/>
          <w:cols w:equalWidth="0" w:num="2">
            <w:col w:w="6660" w:space="40"/>
            <w:col w:w="4440"/>
          </w:cols>
          <w:pgMar w:left="320" w:top="1440" w:right="439" w:bottom="1440" w:gutter="0" w:footer="0" w:header="0"/>
          <w:type w:val="continuous"/>
        </w:sectPr>
      </w:pP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393"/>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gridSpan w:val="6"/>
          </w:tcPr>
          <w:p>
            <w:pPr>
              <w:jc w:val="center"/>
              <w:spacing w:after="0"/>
              <w:rPr>
                <w:sz w:val="20"/>
                <w:szCs w:val="20"/>
                <w:color w:val="auto"/>
              </w:rPr>
            </w:pPr>
            <w:r>
              <w:rPr>
                <w:rFonts w:ascii="Times New Roman" w:cs="Times New Roman" w:eastAsia="Times New Roman" w:hAnsi="Times New Roman"/>
                <w:sz w:val="32"/>
                <w:szCs w:val="32"/>
                <w:b w:val="1"/>
                <w:bCs w:val="1"/>
                <w:color w:val="auto"/>
                <w:w w:val="98"/>
              </w:rPr>
              <w:t>ZoomInfo Technologies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00" w:type="dxa"/>
            <w:vAlign w:val="bottom"/>
            <w:vMerge w:val="restart"/>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vMerge w:val="restart"/>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87-3037521</w:t>
            </w:r>
          </w:p>
        </w:tc>
        <w:tc>
          <w:tcPr>
            <w:tcW w:w="0" w:type="dxa"/>
            <w:vAlign w:val="bottom"/>
          </w:tcPr>
          <w:p>
            <w:pPr>
              <w:spacing w:after="0"/>
              <w:rPr>
                <w:sz w:val="1"/>
                <w:szCs w:val="1"/>
                <w:color w:val="auto"/>
              </w:rPr>
            </w:pPr>
          </w:p>
        </w:tc>
      </w:tr>
      <w:tr>
        <w:trPr>
          <w:trHeight w:val="340"/>
        </w:trPr>
        <w:tc>
          <w:tcPr>
            <w:tcW w:w="31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00" w:type="dxa"/>
            <w:vAlign w:val="bottom"/>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86"/>
        </w:trPr>
        <w:tc>
          <w:tcPr>
            <w:tcW w:w="3100" w:type="dxa"/>
            <w:vAlign w:val="bottom"/>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3100" w:type="dxa"/>
            <w:vAlign w:val="bottom"/>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w w:val="99"/>
              </w:rPr>
              <w:t>330 W Columbia Way, Floor 8</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00" w:type="dxa"/>
            <w:vAlign w:val="bottom"/>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w w:val="98"/>
              </w:rPr>
              <w:t>Vancouver, Washington</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jc w:val="right"/>
              <w:ind w:right="1329"/>
              <w:spacing w:after="0"/>
              <w:rPr>
                <w:sz w:val="20"/>
                <w:szCs w:val="20"/>
                <w:color w:val="auto"/>
              </w:rPr>
            </w:pPr>
            <w:r>
              <w:rPr>
                <w:rFonts w:ascii="Times New Roman" w:cs="Times New Roman" w:eastAsia="Times New Roman" w:hAnsi="Times New Roman"/>
                <w:sz w:val="14"/>
                <w:szCs w:val="14"/>
                <w:b w:val="1"/>
                <w:bCs w:val="1"/>
                <w:color w:val="auto"/>
              </w:rPr>
              <w:t>98660</w:t>
            </w:r>
          </w:p>
        </w:tc>
        <w:tc>
          <w:tcPr>
            <w:tcW w:w="0" w:type="dxa"/>
            <w:vAlign w:val="bottom"/>
          </w:tcPr>
          <w:p>
            <w:pPr>
              <w:spacing w:after="0"/>
              <w:rPr>
                <w:sz w:val="1"/>
                <w:szCs w:val="1"/>
                <w:color w:val="auto"/>
              </w:rPr>
            </w:pPr>
          </w:p>
        </w:tc>
      </w:tr>
      <w:tr>
        <w:trPr>
          <w:trHeight w:val="225"/>
        </w:trPr>
        <w:tc>
          <w:tcPr>
            <w:tcW w:w="3100" w:type="dxa"/>
            <w:vAlign w:val="bottom"/>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3300" w:type="dxa"/>
            <w:vAlign w:val="bottom"/>
            <w:gridSpan w:val="4"/>
          </w:tcPr>
          <w:p>
            <w:pPr>
              <w:jc w:val="center"/>
              <w:ind w:left="1663"/>
              <w:spacing w:after="0"/>
              <w:rPr>
                <w:sz w:val="20"/>
                <w:szCs w:val="20"/>
                <w:color w:val="auto"/>
              </w:rPr>
            </w:pPr>
            <w:r>
              <w:rPr>
                <w:rFonts w:ascii="Times New Roman" w:cs="Times New Roman" w:eastAsia="Times New Roman" w:hAnsi="Times New Roman"/>
                <w:sz w:val="14"/>
                <w:szCs w:val="14"/>
                <w:b w:val="1"/>
                <w:bCs w:val="1"/>
                <w:color w:val="auto"/>
              </w:rPr>
              <w:t>(800) 914-1220</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7840" w:type="dxa"/>
            <w:vAlign w:val="bottom"/>
            <w:gridSpan w:val="8"/>
          </w:tcPr>
          <w:p>
            <w:pPr>
              <w:jc w:val="center"/>
              <w:ind w:right="272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43"/>
        </w:trPr>
        <w:tc>
          <w:tcPr>
            <w:tcW w:w="3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39"/>
        </w:trPr>
        <w:tc>
          <w:tcPr>
            <w:tcW w:w="3100" w:type="dxa"/>
            <w:vAlign w:val="bottom"/>
          </w:tcPr>
          <w:p>
            <w:pPr>
              <w:spacing w:after="0"/>
              <w:rPr>
                <w:sz w:val="24"/>
                <w:szCs w:val="24"/>
                <w:color w:val="auto"/>
              </w:rPr>
            </w:pPr>
          </w:p>
        </w:tc>
        <w:tc>
          <w:tcPr>
            <w:tcW w:w="7840" w:type="dxa"/>
            <w:vAlign w:val="bottom"/>
            <w:gridSpan w:val="8"/>
          </w:tcPr>
          <w:p>
            <w:pPr>
              <w:jc w:val="center"/>
              <w:ind w:right="2729"/>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25"/>
        </w:trPr>
        <w:tc>
          <w:tcPr>
            <w:tcW w:w="3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100" w:type="dxa"/>
            <w:vAlign w:val="bottom"/>
            <w:tcBorders>
              <w:left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color w:val="auto"/>
                <w:w w:val="99"/>
              </w:rPr>
              <w:t>Title of Each Class</w:t>
            </w:r>
          </w:p>
        </w:tc>
        <w:tc>
          <w:tcPr>
            <w:tcW w:w="5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right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00" w:type="dxa"/>
            <w:vAlign w:val="bottom"/>
          </w:tcPr>
          <w:p>
            <w:pPr>
              <w:spacing w:after="0"/>
              <w:rPr>
                <w:sz w:val="15"/>
                <w:szCs w:val="15"/>
                <w:color w:val="auto"/>
              </w:rPr>
            </w:pPr>
          </w:p>
        </w:tc>
        <w:tc>
          <w:tcPr>
            <w:tcW w:w="3340" w:type="dxa"/>
            <w:vAlign w:val="bottom"/>
            <w:tcBorders>
              <w:right w:val="single" w:sz="8" w:color="auto"/>
            </w:tcBorders>
          </w:tcPr>
          <w:p>
            <w:pPr>
              <w:jc w:val="center"/>
              <w:ind w:right="56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8"/>
        </w:trPr>
        <w:tc>
          <w:tcPr>
            <w:tcW w:w="310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100" w:type="dxa"/>
            <w:vAlign w:val="bottom"/>
            <w:tcBorders>
              <w:left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5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right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4"/>
                <w:szCs w:val="14"/>
                <w:color w:val="auto"/>
              </w:rPr>
              <w:t>GTM</w:t>
            </w:r>
          </w:p>
        </w:tc>
        <w:tc>
          <w:tcPr>
            <w:tcW w:w="300" w:type="dxa"/>
            <w:vAlign w:val="bottom"/>
          </w:tcPr>
          <w:p>
            <w:pPr>
              <w:spacing w:after="0"/>
              <w:rPr>
                <w:sz w:val="15"/>
                <w:szCs w:val="15"/>
                <w:color w:val="auto"/>
              </w:rPr>
            </w:pPr>
          </w:p>
        </w:tc>
        <w:tc>
          <w:tcPr>
            <w:tcW w:w="3340" w:type="dxa"/>
            <w:vAlign w:val="bottom"/>
            <w:tcBorders>
              <w:right w:val="single" w:sz="8" w:color="auto"/>
            </w:tcBorders>
          </w:tcPr>
          <w:p>
            <w:pPr>
              <w:jc w:val="center"/>
              <w:ind w:right="56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8"/>
        </w:trPr>
        <w:tc>
          <w:tcPr>
            <w:tcW w:w="310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0" w:lineRule="exact"/>
        <w:rPr>
          <w:sz w:val="24"/>
          <w:szCs w:val="24"/>
          <w:color w:val="auto"/>
        </w:rPr>
      </w:pPr>
    </w:p>
    <w:p>
      <w:pPr>
        <w:ind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340"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220" w:firstLine="318"/>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5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6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45" w:lineRule="exact"/>
        <w:rPr>
          <w:sz w:val="24"/>
          <w:szCs w:val="24"/>
          <w:color w:val="auto"/>
        </w:rPr>
      </w:pPr>
    </w:p>
    <w:p>
      <w:pPr>
        <w:ind w:right="360" w:firstLine="318"/>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5" w:lineRule="exact"/>
        <w:rPr>
          <w:sz w:val="24"/>
          <w:szCs w:val="24"/>
          <w:color w:val="auto"/>
        </w:rPr>
      </w:pPr>
    </w:p>
    <w:p>
      <w:pPr>
        <w:ind w:left="320"/>
        <w:spacing w:after="0" w:line="161" w:lineRule="exact"/>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116840</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7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April 30, 2026, there were 294,718,034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337185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97155</wp:posOffset>
            </wp:positionV>
            <wp:extent cx="6932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 w:name="page2"/>
    <w:bookmarkEnd w:id="1"/>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
        </w:trPr>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2"/>
        </w:trPr>
        <w:tc>
          <w:tcPr>
            <w:tcW w:w="10440" w:type="dxa"/>
            <w:vAlign w:val="bottom"/>
            <w:gridSpan w:val="24"/>
          </w:tcPr>
          <w:p>
            <w:pPr>
              <w:spacing w:after="0" w:line="192"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360" w:type="dxa"/>
            <w:vAlign w:val="bottom"/>
          </w:tcPr>
          <w:p>
            <w:pPr>
              <w:spacing w:after="0"/>
              <w:rPr>
                <w:sz w:val="16"/>
                <w:szCs w:val="16"/>
                <w:color w:val="auto"/>
              </w:rPr>
            </w:pPr>
          </w:p>
        </w:tc>
        <w:tc>
          <w:tcPr>
            <w:tcW w:w="420" w:type="dxa"/>
            <w:vAlign w:val="bottom"/>
            <w:gridSpan w:val="2"/>
          </w:tcPr>
          <w:p>
            <w:pPr>
              <w:jc w:val="center"/>
              <w:ind w:right="340"/>
              <w:spacing w:after="0" w:line="192" w:lineRule="exact"/>
              <w:rPr>
                <w:sz w:val="20"/>
                <w:szCs w:val="20"/>
                <w:color w:val="auto"/>
              </w:rPr>
            </w:pPr>
            <w:r>
              <w:rPr>
                <w:rFonts w:ascii="Times New Roman" w:cs="Times New Roman" w:eastAsia="Times New Roman" w:hAnsi="Times New Roman"/>
                <w:sz w:val="18"/>
                <w:szCs w:val="18"/>
                <w:color w:val="0000FF"/>
                <w:w w:val="79"/>
              </w:rPr>
              <w:t>ii</w:t>
            </w: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9"/>
          </w:tcPr>
          <w:p>
            <w:pPr>
              <w:jc w:val="center"/>
              <w:ind w:right="3400"/>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5"/>
        </w:trPr>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880" w:type="dxa"/>
            <w:vAlign w:val="bottom"/>
            <w:tcBorders>
              <w:top w:val="single" w:sz="8" w:color="0000FF"/>
            </w:tcBorders>
            <w:gridSpan w:val="8"/>
          </w:tcPr>
          <w:p>
            <w:pPr>
              <w:spacing w:after="0"/>
              <w:rPr>
                <w:sz w:val="21"/>
                <w:szCs w:val="21"/>
                <w:color w:val="auto"/>
              </w:rPr>
            </w:pPr>
          </w:p>
        </w:tc>
        <w:tc>
          <w:tcPr>
            <w:tcW w:w="3400" w:type="dxa"/>
            <w:vAlign w:val="bottom"/>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1</w:t>
            </w:r>
          </w:p>
        </w:tc>
        <w:tc>
          <w:tcPr>
            <w:tcW w:w="34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2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520" w:type="dxa"/>
            <w:vAlign w:val="bottom"/>
            <w:gridSpan w:val="13"/>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2</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3</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4</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5</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1460" w:type="dxa"/>
            <w:vAlign w:val="bottom"/>
            <w:gridSpan w:val="7"/>
          </w:tcPr>
          <w:p>
            <w:pPr>
              <w:spacing w:after="0"/>
              <w:rPr>
                <w:sz w:val="21"/>
                <w:szCs w:val="21"/>
                <w:color w:val="auto"/>
              </w:rPr>
            </w:pPr>
          </w:p>
        </w:tc>
        <w:tc>
          <w:tcPr>
            <w:tcW w:w="5520" w:type="dxa"/>
            <w:vAlign w:val="bottom"/>
            <w:gridSpan w:val="4"/>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6</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8</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9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24</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r>
      <w:tr>
        <w:trPr>
          <w:trHeight w:val="245"/>
        </w:trPr>
        <w:tc>
          <w:tcPr>
            <w:tcW w:w="48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62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45</w:t>
            </w:r>
          </w:p>
        </w:tc>
        <w:tc>
          <w:tcPr>
            <w:tcW w:w="340" w:type="dxa"/>
            <w:vAlign w:val="bottom"/>
          </w:tcPr>
          <w:p>
            <w:pPr>
              <w:spacing w:after="0"/>
              <w:rPr>
                <w:sz w:val="21"/>
                <w:szCs w:val="21"/>
                <w:color w:val="auto"/>
              </w:rPr>
            </w:pPr>
          </w:p>
        </w:tc>
      </w:tr>
      <w:tr>
        <w:trPr>
          <w:trHeight w:val="245"/>
        </w:trPr>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PART II - OTHER INFORMATION</w:t>
            </w:r>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r>
      <w:tr>
        <w:trPr>
          <w:trHeight w:val="245"/>
        </w:trPr>
        <w:tc>
          <w:tcPr>
            <w:tcW w:w="2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62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45"/>
        </w:trPr>
        <w:tc>
          <w:tcPr>
            <w:tcW w:w="48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Item 2. Unregistered Sales of Equity Securities and Use of Proceeds</w:t>
            </w:r>
          </w:p>
        </w:tc>
        <w:tc>
          <w:tcPr>
            <w:tcW w:w="562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r>
      <w:tr>
        <w:trPr>
          <w:trHeight w:val="245"/>
        </w:trPr>
        <w:tc>
          <w:tcPr>
            <w:tcW w:w="2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62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47</w:t>
            </w:r>
          </w:p>
        </w:tc>
        <w:tc>
          <w:tcPr>
            <w:tcW w:w="340" w:type="dxa"/>
            <w:vAlign w:val="bottom"/>
          </w:tcPr>
          <w:p>
            <w:pPr>
              <w:spacing w:after="0"/>
              <w:rPr>
                <w:sz w:val="21"/>
                <w:szCs w:val="21"/>
                <w:color w:val="auto"/>
              </w:rPr>
            </w:pPr>
          </w:p>
        </w:tc>
      </w:tr>
      <w:tr>
        <w:trPr>
          <w:trHeight w:val="245"/>
        </w:trPr>
        <w:tc>
          <w:tcPr>
            <w:tcW w:w="18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Item 5. Other Information</w:t>
            </w:r>
          </w:p>
        </w:tc>
        <w:tc>
          <w:tcPr>
            <w:tcW w:w="440" w:type="dxa"/>
            <w:vAlign w:val="bottom"/>
            <w:tcBorders>
              <w:top w:val="single" w:sz="8" w:color="0000FF"/>
            </w:tcBorders>
            <w:gridSpan w:val="2"/>
          </w:tcPr>
          <w:p>
            <w:pPr>
              <w:spacing w:after="0"/>
              <w:rPr>
                <w:sz w:val="21"/>
                <w:szCs w:val="21"/>
                <w:color w:val="auto"/>
              </w:rPr>
            </w:pPr>
          </w:p>
        </w:tc>
        <w:tc>
          <w:tcPr>
            <w:tcW w:w="8160" w:type="dxa"/>
            <w:vAlign w:val="bottom"/>
            <w:gridSpan w:val="1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47</w:t>
            </w:r>
          </w:p>
        </w:tc>
        <w:tc>
          <w:tcPr>
            <w:tcW w:w="340" w:type="dxa"/>
            <w:vAlign w:val="bottom"/>
          </w:tcPr>
          <w:p>
            <w:pPr>
              <w:spacing w:after="0"/>
              <w:rPr>
                <w:sz w:val="21"/>
                <w:szCs w:val="21"/>
                <w:color w:val="auto"/>
              </w:rPr>
            </w:pPr>
          </w:p>
        </w:tc>
      </w:tr>
      <w:tr>
        <w:trPr>
          <w:trHeight w:val="245"/>
        </w:trPr>
        <w:tc>
          <w:tcPr>
            <w:tcW w:w="1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 6. Exhibits</w:t>
            </w:r>
          </w:p>
        </w:tc>
        <w:tc>
          <w:tcPr>
            <w:tcW w:w="9300" w:type="dxa"/>
            <w:vAlign w:val="bottom"/>
            <w:gridSpan w:val="20"/>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48</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-3507740</wp:posOffset>
            </wp:positionV>
            <wp:extent cx="27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Quarterly Report on Form 10-Q (this “Form 10-Q”) contains forward-looking statements that reflect our current views with respect to, among other things, our operations and financial performance. These forward-looking statements are included throughout this Form 10-Q, including in the section entitled “Management’s Discussion and Analysis of Financial Condition and Results of Operations”,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 including forward-looking statements contained in this Quarterly Report on Form 10-Q, other factors described under “Risk Factors” in Part I, Item 1A of our Annual Report on Form 10-K of ZoomInfo Technologies Inc. for the fiscal year ended December 31, 2025 as filed with the Securities and Exchange Commission (the “SEC”) on February 12, 2026 (the “2025 Form 10-K”), and in other reports we file from time to time with the SEC: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8" w:lineRule="exact"/>
        <w:rPr>
          <w:sz w:val="20"/>
          <w:szCs w:val="20"/>
          <w:color w:val="auto"/>
        </w:rPr>
      </w:pPr>
    </w:p>
    <w:p>
      <w:pPr>
        <w:ind w:left="640" w:hanging="316"/>
        <w:spacing w:after="0" w:line="257"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may reduce spending on sales, marketing, recruiting and other technology and information as a result of weaker economic conditions, which could harm our revenue, results of operations, and cash flows;</w:t>
      </w:r>
    </w:p>
    <w:p>
      <w:pPr>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new customers, renew existing subscriptions, expand subscriptions of current customers, and collect revenue from our customers, which could harm our revenue growth, cash flows, and profitability;</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and maintain accurate, comprehensive, or reliable data, we could experience reduced demand for our products and services, which would have a material adverse effect on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technology companies, including various small and medium-sized businesses who focus on B2B sales and marketing intelligence, have become, and larger and better-funded companies with significant resources may shift their existing business models to become, more competitive with us;</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competition from other companies and technologies that allow businesses to gather and aggregate sales, marketing, recruiting, and other data, and we may in the future face competition from prominent large-language-model (LLM) providers and generative AI companies, and any of their competing products and services could provide greater appeal to our customers;</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and the markets in which we compete are, rapidly evolving, including with respect to AI and AI-enabled products, which make it difficult to forecast demand for our services and achieve an optimal resource allocation strategy, as we may not be able to effectively monetize our AI investments;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integrates or otherwise works with third-party systems that we do not control;</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changes in search engine algorithms, including search engine optimization (SEO), artificial intelligence optimization (AIO) and other traffic-generating arrangements and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line="257"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executive officers and other key employees, and the loss of one or more of these employees or an inability to attract, integrate, and retain these and other highly skilled employees could harm our business;</w:t>
      </w:r>
    </w:p>
    <w:p>
      <w:pPr>
        <w:ind w:left="640" w:hanging="316"/>
        <w:spacing w:after="0" w:line="245"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upgrade, or implement adequate operational and financial resources, including our IT systems, we may be unable to execute our business plan;</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operations, and financial condition; and</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 and related reporting obligations expose us to risks that could adversely affect our reputation and performance.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Privacy, Technology, and Security</w:t>
      </w:r>
    </w:p>
    <w:p>
      <w:pPr>
        <w:spacing w:after="0" w:line="168" w:lineRule="exact"/>
        <w:rPr>
          <w:sz w:val="20"/>
          <w:szCs w:val="20"/>
          <w:color w:val="auto"/>
        </w:rPr>
      </w:pPr>
    </w:p>
    <w:p>
      <w:pPr>
        <w:jc w:val="both"/>
        <w:ind w:left="640" w:hanging="316"/>
        <w:spacing w:after="0" w:line="253" w:lineRule="auto"/>
        <w:tabs>
          <w:tab w:leader="none" w:pos="6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ind w:left="640" w:hanging="316"/>
        <w:spacing w:after="0" w:line="245"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for any variety of claims, which could harm our reputation and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proprietary and intellectual property rights in our data or technology;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AI capability introduces risks, which, if realized, could adversely impact our business;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could result in serious harm to our reputation, business, and financial condition; and</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or disruptions that affect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Accounting and Credit Matters</w:t>
      </w:r>
    </w:p>
    <w:p>
      <w:pPr>
        <w:spacing w:after="0" w:line="168" w:lineRule="exact"/>
        <w:rPr>
          <w:sz w:val="20"/>
          <w:szCs w:val="20"/>
          <w:color w:val="auto"/>
        </w:rPr>
      </w:pPr>
    </w:p>
    <w:p>
      <w:pPr>
        <w:ind w:left="640" w:hanging="316"/>
        <w:spacing w:after="0" w:line="257"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data, and any decline in demand for the types of products and services we offer would negatively impact our business;</w:t>
      </w:r>
    </w:p>
    <w:p>
      <w:pPr>
        <w:ind w:left="640" w:hanging="316"/>
        <w:spacing w:after="0" w:line="245"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recognize subscription revenue over the subscription term, downturns or upturns in new sales and renewals are not immediately reflected in full within our results of operations;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increasing operating expenses in the future, and we may not be able to maintain profitability;</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amount of goodwill and intangible assets on our balance sheet, and our results of operations may be adversely affected if we fail to realize the full value of our goodwill and intangible assets;</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adversely affect our financial condition and our ability to raise additional capital and prevent us from fulfilling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line="25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may be forced to take other actions to satisfy our obligations under our indebtedness, which may not be successful;</w:t>
      </w: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affect our results of operations and financial condition;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and other ratings could adversely impact our operations and lower our profitability.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Taxation</w:t>
      </w:r>
    </w:p>
    <w:p>
      <w:pPr>
        <w:spacing w:after="0" w:line="168" w:lineRule="exact"/>
        <w:rPr>
          <w:sz w:val="20"/>
          <w:szCs w:val="20"/>
          <w:color w:val="auto"/>
        </w:rPr>
      </w:pPr>
    </w:p>
    <w:p>
      <w:pPr>
        <w:ind w:left="640" w:hanging="316"/>
        <w:spacing w:after="0" w:line="257"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multinational organization faced with increasingly complex tax issues in many jurisdictions, and global tax developments may have a material impact to our business, cash flows, tax liabilities and results of operations;</w:t>
      </w:r>
    </w:p>
    <w:p>
      <w:pPr>
        <w:ind w:left="640" w:right="20" w:hanging="316"/>
        <w:spacing w:after="0" w:line="260" w:lineRule="auto"/>
        <w:tabs>
          <w:tab w:leader="none" w:pos="65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regulations applicable to our business, including for example, the enactment of the One Big Beautiful Bill Act on July 4, 2025, have in the past, and may in the future, result in a material adverse effect on our results of operations, cash flows and financial condition; and</w:t>
      </w:r>
    </w:p>
    <w:p>
      <w:pPr>
        <w:ind w:left="640" w:hanging="316"/>
        <w:spacing w:after="0" w:line="251"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adversely affected if we are required to collect sales or other related taxes for purchases of our products and services in jurisdictions where we have not historically done so.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Geopolitical and Macroeconomic Factors</w:t>
      </w:r>
    </w:p>
    <w:p>
      <w:pPr>
        <w:spacing w:after="0" w:line="168"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sales outside the United States expose us to risks inherent in international operations; and</w:t>
      </w:r>
    </w:p>
    <w:p>
      <w:pPr>
        <w:spacing w:after="0" w:line="24"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catastrophic events, including global pandemics, continued hostilities between the United States and Iran, Russia and Ukraine, and Israel and Hamas, as well as other geopolitical conflicts, have and may disrupt our business and adversely impact our business and future results of operations and financial condition.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w:t>
      </w:r>
    </w:p>
    <w:p>
      <w:pPr>
        <w:spacing w:after="0" w:line="168" w:lineRule="exact"/>
        <w:rPr>
          <w:sz w:val="20"/>
          <w:szCs w:val="20"/>
          <w:color w:val="auto"/>
        </w:rPr>
      </w:pPr>
    </w:p>
    <w:p>
      <w:pPr>
        <w:jc w:val="both"/>
        <w:ind w:left="640" w:hanging="316"/>
        <w:spacing w:after="0" w:line="253"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is a holding company, its only material assets are its interests in ZoomInfo Intermediate Inc. and ZoomInfo Holdings LLC, and ZoomInfo Technologies Inc. is accordingly dependent upon distributions from ZoomInfo Intermediate Inc. and its subsidiaries to pay taxes, make payments under the Tax Receivable Agreements, and pay dividends;</w:t>
      </w:r>
    </w:p>
    <w:p>
      <w:pPr>
        <w:jc w:val="both"/>
        <w:ind w:left="640" w:hanging="316"/>
        <w:spacing w:after="0" w:line="260" w:lineRule="auto"/>
        <w:tabs>
          <w:tab w:leader="none" w:pos="66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ZoomInfo Technologies Inc. is required to pay our Pre-IPO Owners for most of the benefits relating to any additional tax deductions and tax attributes that we may claim as a result of the ZoomInfo Tax Group’s share of existing tax basis acquired in the IPO and increases in its share of existing tax basis, including tax basis received in connection with sales or exchanges of units of ZoomInfo Holdings LLC that occurred after the IPO;</w:t>
      </w:r>
    </w:p>
    <w:p>
      <w:pPr>
        <w:ind w:left="640" w:hanging="316"/>
        <w:spacing w:after="0" w:line="245"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payments under our Tax Receivable Agreements may be accelerated and/or significantly exceed the actual benefits the ZoomInfo Tax Group realizes in respect of the tax attributes subject to such agreements; and</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payments under our Tax Receivable Agreements in the case of certain changes of control may impair our ability to consummate change of control transactions or negatively impact the value received by owners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68"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parties to our stockholders agreement continue to have influence over us, and their interests may conflict with ours or yours in the future; and</w:t>
      </w:r>
    </w:p>
    <w:p>
      <w:pPr>
        <w:spacing w:after="0" w:line="35" w:lineRule="exact"/>
        <w:rPr>
          <w:rFonts w:ascii="Times New Roman" w:cs="Times New Roman" w:eastAsia="Times New Roman" w:hAnsi="Times New Roman"/>
          <w:sz w:val="17"/>
          <w:szCs w:val="17"/>
          <w:color w:val="auto"/>
        </w:rPr>
      </w:pPr>
    </w:p>
    <w:p>
      <w:pPr>
        <w:ind w:left="640" w:hanging="316"/>
        <w:spacing w:after="0" w:line="251"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and Delaware law might discourage or delay acquisition attempts for us that you might consider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13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 Disclosure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intends to use its website as a distribution channel of material company information. Financial and other important information regarding the Company is routinely posted on and accessible through the Company’s website. Accordingly, we encourage investors and other interested persons to monitor the investor relations portion of our website at https://ir.zoominfo.com and to follow our press releases, SEC filings, and public conference calls and webcasts (which are not incorporated herein or otherwise a part of this Form 10-Q). In addition, you may automatically receive email alerts and other information about the Company when you enroll your email address by visiting the “Email Alerts” section of our investor relations page at https://ir.zoominfo.com. The information on or that can be accessed through our website is not incorporated herein or otherwise a part of this Form 10-Q, and the inclusion of our website address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1"/>
        </w:trPr>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8"/>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7"/>
              </w:rPr>
              <w:t>INDEX TO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6"/>
        </w:trPr>
        <w:tc>
          <w:tcPr>
            <w:tcW w:w="930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ZoomInfo Technologies Inc. and Subsidiaries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9"/>
        </w:trPr>
        <w:tc>
          <w:tcPr>
            <w:tcW w:w="56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2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w:t>
            </w:r>
          </w:p>
        </w:tc>
        <w:tc>
          <w:tcPr>
            <w:tcW w:w="5980" w:type="dxa"/>
            <w:vAlign w:val="bottom"/>
            <w:gridSpan w:val="5"/>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6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45"/>
        </w:trPr>
        <w:tc>
          <w:tcPr>
            <w:tcW w:w="560" w:type="dxa"/>
            <w:vAlign w:val="bottom"/>
          </w:tcPr>
          <w:p>
            <w:pPr>
              <w:spacing w:after="0"/>
              <w:rPr>
                <w:sz w:val="21"/>
                <w:szCs w:val="21"/>
                <w:color w:val="auto"/>
              </w:rPr>
            </w:pPr>
          </w:p>
        </w:tc>
        <w:tc>
          <w:tcPr>
            <w:tcW w:w="42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4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r>
      <w:tr>
        <w:trPr>
          <w:trHeight w:val="20"/>
        </w:trPr>
        <w:tc>
          <w:tcPr>
            <w:tcW w:w="56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7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 except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220" w:type="dxa"/>
            <w:vAlign w:val="bottom"/>
          </w:tcPr>
          <w:p>
            <w:pPr>
              <w:spacing w:after="0"/>
              <w:rPr>
                <w:sz w:val="20"/>
                <w:szCs w:val="20"/>
                <w:color w:val="auto"/>
              </w:rPr>
            </w:pP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5"/>
        </w:trPr>
        <w:tc>
          <w:tcPr>
            <w:tcW w:w="7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of $12.0 and $11.3, respectively</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r>
      <w:tr>
        <w:trPr>
          <w:trHeight w:val="232"/>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38"/>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w:t>
            </w:r>
          </w:p>
        </w:tc>
      </w:tr>
      <w:tr>
        <w:trPr>
          <w:trHeight w:val="93"/>
        </w:trPr>
        <w:tc>
          <w:tcPr>
            <w:tcW w:w="7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3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r>
      <w:tr>
        <w:trPr>
          <w:trHeight w:val="24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r>
      <w:tr>
        <w:trPr>
          <w:trHeight w:val="24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w:t>
            </w: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3,662.3</w:t>
            </w:r>
          </w:p>
        </w:tc>
      </w:tr>
      <w:tr>
        <w:trPr>
          <w:trHeight w:val="241"/>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costs and other assets, net of current portion</w:t>
            </w: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32"/>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6,369.7</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6,439.5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
        </w:trPr>
        <w:tc>
          <w:tcPr>
            <w:tcW w:w="77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4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Unearned revenue, current portion</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w:t>
            </w:r>
          </w:p>
        </w:tc>
      </w:tr>
      <w:tr>
        <w:trPr>
          <w:trHeight w:val="24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2"/>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32"/>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w:t>
            </w:r>
          </w:p>
        </w:tc>
      </w:tr>
      <w:tr>
        <w:trPr>
          <w:trHeight w:val="79"/>
        </w:trPr>
        <w:tc>
          <w:tcPr>
            <w:tcW w:w="7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3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Unearned revenue, net of current portion</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receivable agreements liability</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2,731.9</w:t>
            </w:r>
          </w:p>
        </w:tc>
      </w:tr>
      <w:tr>
        <w:trPr>
          <w:trHeight w:val="24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1,318.1</w:t>
            </w:r>
          </w:p>
        </w:tc>
      </w:tr>
      <w:tr>
        <w:trPr>
          <w:trHeight w:val="24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32"/>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2"/>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4,896.1</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34860" cy="15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4860" cy="151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Stockholders' Equity:</w:t>
      </w:r>
    </w:p>
    <w:p>
      <w:pPr>
        <w:spacing w:after="0" w:line="24" w:lineRule="exact"/>
        <w:rPr>
          <w:sz w:val="20"/>
          <w:szCs w:val="20"/>
          <w:color w:val="auto"/>
        </w:rPr>
      </w:pPr>
    </w:p>
    <w:p>
      <w:pPr>
        <w:ind w:left="120" w:right="360"/>
        <w:spacing w:after="0" w:line="188" w:lineRule="auto"/>
        <w:rPr>
          <w:sz w:val="20"/>
          <w:szCs w:val="20"/>
          <w:color w:val="auto"/>
        </w:rPr>
      </w:pPr>
      <w:r>
        <w:rPr>
          <w:rFonts w:ascii="Times New Roman" w:cs="Times New Roman" w:eastAsia="Times New Roman" w:hAnsi="Times New Roman"/>
          <w:sz w:val="16"/>
          <w:szCs w:val="16"/>
          <w:color w:val="auto"/>
        </w:rPr>
        <w:t xml:space="preserve">Common stock, par value $0.01; 3,300,000,000 shares authorized as of March 31, 2026 and December 31, 2025;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6"/>
          <w:szCs w:val="16"/>
          <w:color w:val="auto"/>
        </w:rPr>
        <w:t xml:space="preserve"> 296,079,543 and 307,293,985 issued and outstanding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134860" cy="277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25" w:lineRule="exact"/>
        <w:rPr>
          <w:sz w:val="20"/>
          <w:szCs w:val="20"/>
          <w:color w:val="auto"/>
        </w:rPr>
      </w:pPr>
    </w:p>
    <w:p>
      <w:pPr>
        <w:ind w:left="120" w:right="480"/>
        <w:spacing w:after="0" w:line="272" w:lineRule="auto"/>
        <w:rPr>
          <w:sz w:val="20"/>
          <w:szCs w:val="20"/>
          <w:color w:val="auto"/>
        </w:rPr>
      </w:pPr>
      <w:r>
        <w:rPr>
          <w:rFonts w:ascii="Times New Roman" w:cs="Times New Roman" w:eastAsia="Times New Roman" w:hAnsi="Times New Roman"/>
          <w:sz w:val="16"/>
          <w:szCs w:val="16"/>
          <w:color w:val="auto"/>
        </w:rPr>
        <w:t>Preferred stock, par value $0.01; 200,000,000 shares authorized as of March 31, 2026 and December 31, 2025; zero issued and outstanding as of March 31, 2026 and December 31, 2025</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Additional paid-in capital ("APIC")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7134860" cy="151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("AOCI")</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w:t>
            </w:r>
          </w:p>
        </w:tc>
        <w:tc>
          <w:tcPr>
            <w:tcW w:w="7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437"/>
        </w:trPr>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44"/>
        </w:trPr>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1"/>
              </w:rPr>
              <w:t>1,003.0</w:t>
            </w:r>
          </w:p>
        </w:tc>
        <w:tc>
          <w:tcPr>
            <w:tcW w:w="7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1,068.1</w:t>
            </w:r>
          </w:p>
        </w:tc>
      </w:tr>
      <w:tr>
        <w:trPr>
          <w:trHeight w:val="239"/>
        </w:trPr>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9"/>
        </w:trPr>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465.9</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w:t>
            </w:r>
          </w:p>
        </w:tc>
      </w:tr>
    </w:tbl>
    <w:p>
      <w:pPr>
        <w:spacing w:after="0" w:line="1" w:lineRule="exact"/>
        <w:rPr>
          <w:sz w:val="20"/>
          <w:szCs w:val="20"/>
          <w:color w:val="auto"/>
        </w:rPr>
      </w:pPr>
    </w:p>
    <w:p>
      <w:pPr>
        <w:sectPr>
          <w:pgSz w:w="11900" w:h="16838" w:orient="portrait"/>
          <w:cols w:equalWidth="0" w:num="2">
            <w:col w:w="8200" w:space="720"/>
            <w:col w:w="23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64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1,473.6</w:t>
            </w: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1,508.7</w:t>
            </w:r>
          </w:p>
        </w:tc>
      </w:tr>
      <w:tr>
        <w:trPr>
          <w:trHeight w:val="232"/>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6,369.7</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6,439.5</w:t>
            </w:r>
          </w:p>
        </w:tc>
      </w:tr>
      <w:tr>
        <w:trPr>
          <w:trHeight w:val="26"/>
        </w:trPr>
        <w:tc>
          <w:tcPr>
            <w:tcW w:w="7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192405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0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40" w:type="dxa"/>
            <w:vAlign w:val="bottom"/>
          </w:tcPr>
          <w:p>
            <w:pPr>
              <w:spacing w:after="0"/>
              <w:rPr>
                <w:sz w:val="20"/>
                <w:szCs w:val="20"/>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3"/>
        </w:trPr>
        <w:tc>
          <w:tcPr>
            <w:tcW w:w="77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r>
      <w:tr>
        <w:trPr>
          <w:trHeight w:val="26"/>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5"/>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6"/>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5"/>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65"/>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1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65"/>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8"/>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2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loss, net</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6"/>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0"/>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0"/>
        </w:trPr>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5"/>
        </w:trPr>
        <w:tc>
          <w:tcPr>
            <w:tcW w:w="77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0" w:lineRule="exact"/>
        <w:rPr>
          <w:sz w:val="20"/>
          <w:szCs w:val="20"/>
          <w:color w:val="auto"/>
        </w:rPr>
      </w:pPr>
    </w:p>
    <w:p>
      <w:pPr>
        <w:ind w:left="640" w:hanging="634"/>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equity-based compensation expense, as follows:</w:t>
      </w:r>
    </w:p>
    <w:p>
      <w:pPr>
        <w:spacing w:after="0" w:line="19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27940</wp:posOffset>
            </wp:positionV>
            <wp:extent cx="2229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4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3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63"/>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 unaudited)</w:t>
      </w:r>
    </w:p>
    <w:p>
      <w:pPr>
        <w:spacing w:after="0" w:line="31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33020</wp:posOffset>
            </wp:positionV>
            <wp:extent cx="2229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4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
        </w:trPr>
        <w:tc>
          <w:tcPr>
            <w:tcW w:w="7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 of realized gain on settlement of cash flow hedges</w:t>
            </w:r>
          </w:p>
        </w:tc>
        <w:tc>
          <w:tcPr>
            <w:tcW w:w="1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
        </w:trPr>
        <w:tc>
          <w:tcPr>
            <w:tcW w:w="7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
        </w:trPr>
        <w:tc>
          <w:tcPr>
            <w:tcW w:w="7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8"/>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80" w:type="dxa"/>
            <w:vAlign w:val="bottom"/>
            <w:tcBorders>
              <w:top w:val="single" w:sz="8" w:color="auto"/>
              <w:bottom w:val="single" w:sz="8" w:color="auto"/>
            </w:tcBorders>
          </w:tcPr>
          <w:p>
            <w:pPr>
              <w:jc w:val="right"/>
              <w:ind w:right="9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r>
      <w:tr>
        <w:trPr>
          <w:trHeight w:val="20"/>
        </w:trPr>
        <w:tc>
          <w:tcPr>
            <w:tcW w:w="7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 data;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232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6"/>
                <w:szCs w:val="16"/>
                <w:color w:val="auto"/>
              </w:rPr>
            </w:pPr>
          </w:p>
        </w:tc>
        <w:tc>
          <w:tcPr>
            <w:tcW w:w="232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gridSpan w:val="2"/>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APIC</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AOCI</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307,293,985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1,508.7</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(13,099,790)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5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296,079,543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 data; unaudited) (continued)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232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6"/>
                <w:szCs w:val="16"/>
                <w:color w:val="auto"/>
              </w:rPr>
            </w:pPr>
          </w:p>
        </w:tc>
        <w:tc>
          <w:tcPr>
            <w:tcW w:w="232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gridSpan w:val="2"/>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APIC</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AOCI</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342,027,974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1,417,178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(502,692)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(8,598,274)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5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334,344,186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4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3"/>
        </w:trPr>
        <w:tc>
          <w:tcPr>
            <w:tcW w:w="77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33"/>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0"/>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impairments and lease abandonment charges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receivable agreement remeasurement</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0"/>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0"/>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7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33"/>
        </w:trPr>
        <w:tc>
          <w:tcPr>
            <w:tcW w:w="77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65"/>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 initial direct costs</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63"/>
        </w:trPr>
        <w:tc>
          <w:tcPr>
            <w:tcW w:w="774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r>
      <w:tr>
        <w:trPr>
          <w:trHeight w:val="240"/>
        </w:trPr>
        <w:tc>
          <w:tcPr>
            <w:tcW w:w="7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2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debt</w:t>
            </w: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65"/>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33"/>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(101.9)</w:t>
            </w:r>
          </w:p>
        </w:tc>
      </w:tr>
      <w:tr>
        <w:trPr>
          <w:trHeight w:val="25"/>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2"/>
        </w:trPr>
        <w:tc>
          <w:tcPr>
            <w:tcW w:w="77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6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2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5"/>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65"/>
        </w:trPr>
        <w:tc>
          <w:tcPr>
            <w:tcW w:w="77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 (continued)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40" w:type="dxa"/>
            <w:vAlign w:val="bottom"/>
          </w:tcPr>
          <w:p>
            <w:pPr>
              <w:spacing w:after="0"/>
              <w:rPr>
                <w:sz w:val="20"/>
                <w:szCs w:val="20"/>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7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74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6"/>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 in cash</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0"/>
                <w:szCs w:val="20"/>
                <w:color w:val="auto"/>
              </w:rPr>
            </w:pP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activities:</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 and other current liabilities</w:t>
            </w: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 included in capitalized software</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ZoomInfo Technologies Inc.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millions, except share/unit data and per share/unit amounts, unless otherwise noted)</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1</w:t>
            </w:r>
          </w:p>
        </w:tc>
        <w:tc>
          <w:tcPr>
            <w:tcW w:w="80" w:type="dxa"/>
            <w:vAlign w:val="bottom"/>
          </w:tcPr>
          <w:p>
            <w:pPr>
              <w:spacing w:after="0"/>
              <w:rPr>
                <w:sz w:val="17"/>
                <w:szCs w:val="17"/>
                <w:color w:val="auto"/>
              </w:rPr>
            </w:pP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Business, Basis of Presentation, and Summary of Significant Accounting Policies</w:t>
            </w:r>
          </w:p>
        </w:tc>
        <w:tc>
          <w:tcPr>
            <w:tcW w:w="208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88"/>
              </w:rPr>
              <w:t>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2</w:t>
            </w:r>
          </w:p>
        </w:tc>
        <w:tc>
          <w:tcPr>
            <w:tcW w:w="80" w:type="dxa"/>
            <w:vAlign w:val="bottom"/>
          </w:tcPr>
          <w:p>
            <w:pPr>
              <w:spacing w:after="0"/>
              <w:rPr>
                <w:sz w:val="21"/>
                <w:szCs w:val="21"/>
                <w:color w:val="auto"/>
              </w:rPr>
            </w:pP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Revenue from Contracts with Customers</w:t>
            </w:r>
          </w:p>
        </w:tc>
        <w:tc>
          <w:tcPr>
            <w:tcW w:w="208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9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3</w:t>
            </w:r>
          </w:p>
        </w:tc>
        <w:tc>
          <w:tcPr>
            <w:tcW w:w="80" w:type="dxa"/>
            <w:vAlign w:val="bottom"/>
          </w:tcPr>
          <w:p>
            <w:pPr>
              <w:spacing w:after="0"/>
              <w:rPr>
                <w:sz w:val="21"/>
                <w:szCs w:val="21"/>
                <w:color w:val="auto"/>
              </w:rPr>
            </w:pP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Investments</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12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9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4</w:t>
            </w:r>
          </w:p>
        </w:tc>
        <w:tc>
          <w:tcPr>
            <w:tcW w:w="80" w:type="dxa"/>
            <w:vAlign w:val="bottom"/>
          </w:tcPr>
          <w:p>
            <w:pPr>
              <w:spacing w:after="0"/>
              <w:rPr>
                <w:sz w:val="21"/>
                <w:szCs w:val="21"/>
                <w:color w:val="auto"/>
              </w:rPr>
            </w:pP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Property and Equipment</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13</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5</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Goodwill and Acquired Intangible Assets</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13</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6</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Financing Arrangements</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15</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7</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Derivatives and Hedging Activities</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15</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8</w:t>
            </w:r>
          </w:p>
        </w:tc>
        <w:tc>
          <w:tcPr>
            <w:tcW w:w="80" w:type="dxa"/>
            <w:vAlign w:val="bottom"/>
          </w:tcPr>
          <w:p>
            <w:pPr>
              <w:spacing w:after="0"/>
              <w:rPr>
                <w:sz w:val="21"/>
                <w:szCs w:val="21"/>
                <w:color w:val="auto"/>
              </w:rPr>
            </w:pP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Fair Value</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16</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19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9</w:t>
            </w:r>
          </w:p>
        </w:tc>
        <w:tc>
          <w:tcPr>
            <w:tcW w:w="80" w:type="dxa"/>
            <w:vAlign w:val="bottom"/>
          </w:tcPr>
          <w:p>
            <w:pPr>
              <w:spacing w:after="0"/>
              <w:rPr>
                <w:sz w:val="21"/>
                <w:szCs w:val="21"/>
                <w:color w:val="auto"/>
              </w:rPr>
            </w:pP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18</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10</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Earnings Per Share</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19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11</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Leases</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20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19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12</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Equity-based Compensation</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20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13</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Segment and Geographic Data</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21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14</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Tax Receivable Agreements</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22</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15</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Income Taxes</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22</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c>
          <w:tcPr>
            <w:tcW w:w="19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16</w:t>
            </w:r>
          </w:p>
        </w:tc>
        <w:tc>
          <w:tcPr>
            <w:tcW w:w="83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Subsequent Events</w:t>
            </w:r>
          </w:p>
        </w:tc>
        <w:tc>
          <w:tcPr>
            <w:tcW w:w="208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0000FF"/>
                <w:w w:val="99"/>
              </w:rPr>
              <w:t>23</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(the “Company”, “we”, “us”, “our”, and “ZoomInfo”) provides a go-to-market intelligence and engagement platform for sales, marketing, operations, and recruiting professionals.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headquarters is located in Vancouver, Washington, and we have additional offices throughout the United States, and offices internationally in Israel, Canada, the United Kingdom, India, and Ireland.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2025 Form 10-K.</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2026 are not necessarily indicative of the operating results that may be expected for the full fiscal year ending December 31, 2026 or any future period.</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contain all adjustments necessary for a fair statement of financial position as of March 31, 2026, changes in stockholders’ equity and results of operations for the three months ended March 31, 2026 and 2025, and cash flows for the three months ended March 31,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from those described in Note 1 - Business, Basis of Presentation, and Summary of Significant Accounting Policies in our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Financial Statement Information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prepaid expenses, derivative assets, contract assets, and other current assets. Prepaid expenses were $26.2 million and $22.6 million as of March 31, 2026 and December 31, 2025, respectively.</w:t>
      </w:r>
    </w:p>
    <w:p>
      <w:pPr>
        <w:spacing w:after="0" w:line="10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Commissions payable at March 31, 2026 were $13.5 million, of which the current portion of $13.1 million was included in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on our Consolidated Balance Sheets and the long-term portion of $0.4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Balance Sheets. Commissions payable at December 31, 2025 were $26.3 million, of which the current portion of $25.7 million was included in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on our Consolidated Balance Sheets and the long-term portion of $0.6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 Consolidated Balance Sheets.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March 2023, the Board authorized a program to repurchase the Company’s common stock (the “Share Repurchase Program”). In February 2026, the Board authorized an additional $1.0 billion bringing the aggregate total authorizations as of March 31, 2026 to $2.6 billion, of which $1,140.1 million remained available and authorized for repurchases.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and subsequently retired 13,099,790 shares of common stock at an average price of $6.91 per share, for an aggregate $90.5 million. During the three months ended March 31, 2025, the Company repurchased and subsequently retired 8,598,274 shares of common stock at an average price of $11.05 per share, for an aggregate $95.0 million.</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the associated excise taxes of $0.7 million and $0.8 million,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reclassifications have been made in the consolidated financial statements to conform previously reported amounts to current year presentation.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had no impact on the previously reported net income or comprehensive income.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November 2025, the Financial Accounting Standards Board (“FASB”) issued Accounting Standards Update (“ASU”) 2025-09. Derivatives and Hedging (Topic 815). Hedge Accounting Improvements, which makes targeted improvements to the hedge accounting model. The amendments address five specific areas, including expanding the hedged risks permitted to be aggregated in groups of forecasted transactions, introducing an optional model for hedging choose-your-rate debt instruments, expanding hedge accounting for forecasted purchases and sales of nonfinancial assets, eliminating the net written option test in certain instances, and eliminating recognition and presentation mismatches for dual hedge strategies. The standard is effective for the Company for annual periods beginning January 1, 2027, and interim periods within those annual periods, with early adoption permitted. The Company does not expect this guidance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which removes all references to software development stages (referred to as “project stages”)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Subtopic 350-40. The standard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standard is effective for the Company for the annual and interim periods beginning January 1, 2028, with early adoption permitted. The Company is currently evaluating the impacts of ASU 2025-06 on its consolidated financial statements as well as the impacts to its financial reporting process and related internal controls.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additional disclosure of the nature of expenses included in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The standard requires disaggregation of certain costs in a separate note to the financial statements, such as the amounts of employee compensation, depreciation, and intangible asset amortization, included in each relevant expense caption in annual and interim consolidated financial statements. This standard will be effective for the Company for the annual period beginning January 1, 2027 and interim period beginning January 1, 2028, with early adoption permitted. In January 2025, the FASB issued ASU 2025-01,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Clarifying the Effective Date</w:t>
      </w:r>
      <w:r>
        <w:rPr>
          <w:rFonts w:ascii="Times New Roman" w:cs="Times New Roman" w:eastAsia="Times New Roman" w:hAnsi="Times New Roman"/>
          <w:sz w:val="18"/>
          <w:szCs w:val="18"/>
          <w:color w:val="auto"/>
        </w:rPr>
        <w:t>. The requirements should be applied on a prospective basis while retrospective application is permitted.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currently evaluating the disclosure impacts of ASU 2024-03 on its consolidated financial statements as well as the impacts to its financial reporting process and related internal controls.</w:t>
      </w:r>
    </w:p>
    <w:p>
      <w:pPr>
        <w:sectPr>
          <w:pgSz w:w="11900" w:h="16838" w:orient="portrait"/>
          <w:cols w:equalWidth="0" w:num="1">
            <w:col w:w="11240"/>
          </w:cols>
          <w:pgMar w:left="320" w:top="118" w:right="339" w:bottom="144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 comprised the following service offerings:</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76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Subscription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Usage-based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2294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
        </w:trPr>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65"/>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5"/>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
        </w:trPr>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5"/>
        </w:trPr>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720"/>
            <w:col w:w="3500"/>
          </w:cols>
          <w:pgMar w:left="320" w:top="118" w:right="339" w:bottom="1440" w:gutter="0" w:footer="0" w:header="0"/>
          <w:type w:val="continuous"/>
        </w:sectPr>
      </w:pPr>
    </w:p>
    <w:p>
      <w:pPr>
        <w:spacing w:after="0" w:line="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Subscription revenue is comprised primarily of go-to-market business intelligence tools that allow our customers to access our software-as-a-service (“SaaS”) to support sales, marketing, and recruiting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revenue is comprised largely of implementation and professional services fees and is recognized to other revenue as services are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total revenue recognized in the three months ended March 31, 2026, $240.4 million was included in the unearned revenue balance as of December 31, 2025. Of the total revenue recognized in the three months ended March 31, 2025, $242.7 million was included in the unearned revenue balance as of December 31, 2024. Revenue recognized from performance obligations satisfied (or partially satisfied) in previous periods was not material.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168"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No single customer accounted for 10% or more of our revenue for the three months ended March 31, 2026 and 2025, or accounted for more than 10% of accounts receivable as of March 31, 2026 and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Unearned Revenue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 Company had contract assets of $4.1 million and $5.2 million, respectively, which are recorded within </w:t>
      </w: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on our Consolidated Balance Sheets.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March 31, 2026 and December 31, 2025, the Company had unearned revenue of $479.2 million and $477.8 million, respectively. Changes in unearned revenue are primarily due to seasonality, the compounding effects of renewals, invoice duration, invoice timing, transaction size, and new business timing within the quarter.</w:t>
      </w:r>
    </w:p>
    <w:p>
      <w:pPr>
        <w:spacing w:after="0" w:line="12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Recognized within</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one year</w:t>
            </w:r>
          </w:p>
        </w:tc>
        <w:tc>
          <w:tcPr>
            <w:tcW w:w="140" w:type="dxa"/>
            <w:vAlign w:val="bottom"/>
          </w:tcPr>
          <w:p>
            <w:pPr>
              <w:spacing w:after="0"/>
              <w:rPr>
                <w:sz w:val="21"/>
                <w:szCs w:val="21"/>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80" w:type="dxa"/>
            <w:vAlign w:val="bottom"/>
          </w:tcPr>
          <w:p>
            <w:pPr>
              <w:spacing w:after="0"/>
              <w:rPr>
                <w:sz w:val="21"/>
                <w:szCs w:val="21"/>
                <w:color w:val="auto"/>
              </w:rPr>
            </w:pPr>
          </w:p>
        </w:tc>
        <w:tc>
          <w:tcPr>
            <w:tcW w:w="132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r>
      <w:tr>
        <w:trPr>
          <w:trHeight w:val="59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1"/>
        </w:trPr>
        <w:tc>
          <w:tcPr>
            <w:tcW w:w="59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Investments consisted of the following as of March 31, 2026:</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Unrealized Gains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Estimated Fair Value</w:t>
            </w:r>
          </w:p>
        </w:tc>
      </w:tr>
      <w:tr>
        <w:trPr>
          <w:trHeight w:val="24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Investments consisted of the following as of December 31,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Estimated Fair Value</w:t>
            </w:r>
          </w:p>
        </w:tc>
      </w:tr>
      <w:tr>
        <w:trPr>
          <w:trHeight w:val="24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8 - Fair Value for further information regarding the fair value of our financial instruments.</w:t>
      </w:r>
    </w:p>
    <w:p>
      <w:pPr>
        <w:spacing w:after="0" w:line="16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summarizes the estimated fair value of our securities classified as </w:t>
      </w: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xml:space="preserve"> or long-term investments (included in </w:t>
      </w:r>
      <w:r>
        <w:rPr>
          <w:rFonts w:ascii="Times New Roman" w:cs="Times New Roman" w:eastAsia="Times New Roman" w:hAnsi="Times New Roman"/>
          <w:sz w:val="18"/>
          <w:szCs w:val="18"/>
          <w:i w:val="1"/>
          <w:iCs w:val="1"/>
          <w:color w:val="auto"/>
        </w:rPr>
        <w:t xml:space="preserve">Deferred costs and other assets, net of current portion </w:t>
      </w:r>
      <w:r>
        <w:rPr>
          <w:rFonts w:ascii="Times New Roman" w:cs="Times New Roman" w:eastAsia="Times New Roman" w:hAnsi="Times New Roman"/>
          <w:sz w:val="18"/>
          <w:szCs w:val="18"/>
          <w:color w:val="auto"/>
        </w:rPr>
        <w:t>on our Consolidated Balance Sheets) based on stated effective maturities as of March 31,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21"/>
                <w:szCs w:val="21"/>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0" w:type="dxa"/>
            <w:vAlign w:val="bottom"/>
          </w:tcPr>
          <w:p>
            <w:pPr>
              <w:spacing w:after="0"/>
              <w:rPr>
                <w:sz w:val="1"/>
                <w:szCs w:val="1"/>
                <w:color w:val="auto"/>
              </w:rPr>
            </w:pPr>
          </w:p>
        </w:tc>
      </w:tr>
      <w:tr>
        <w:trPr>
          <w:trHeight w:val="265"/>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Company’s property and equipment consist of the following:</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84"/>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5"/>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$8.8 million and $7.4 million for the three months ended March 31, 2026 and 2025,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Goodwill was $1,692.7 million as of March 31, 2026 and December 31, 2025. There were no events or circumstances indicating that goodwill might be impaired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other than goodwill, consisted of the following as of March 31, 2026 and December 31, 2025, respectively: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2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2"/>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Pr>
          <w:p>
            <w:pPr>
              <w:spacing w:after="0"/>
              <w:rPr>
                <w:sz w:val="21"/>
                <w:szCs w:val="21"/>
                <w:color w:val="auto"/>
              </w:rPr>
            </w:pP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2"/>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5"/>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Brand portfolio</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
        </w:trPr>
        <w:tc>
          <w:tcPr>
            <w:tcW w:w="5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45"/>
        </w:trPr>
        <w:tc>
          <w:tcPr>
            <w:tcW w:w="59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4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5"/>
        </w:trPr>
        <w:tc>
          <w:tcPr>
            <w:tcW w:w="5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45"/>
        </w:trPr>
        <w:tc>
          <w:tcPr>
            <w:tcW w:w="59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r>
      <w:tr>
        <w:trPr>
          <w:trHeight w:val="2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2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2"/>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Pr>
          <w:p>
            <w:pPr>
              <w:spacing w:after="0"/>
              <w:rPr>
                <w:sz w:val="21"/>
                <w:szCs w:val="21"/>
                <w:color w:val="auto"/>
              </w:rPr>
            </w:pP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2"/>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5"/>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Brand portfolio</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
        </w:trPr>
        <w:tc>
          <w:tcPr>
            <w:tcW w:w="5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45"/>
        </w:trPr>
        <w:tc>
          <w:tcPr>
            <w:tcW w:w="59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4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5"/>
        </w:trPr>
        <w:tc>
          <w:tcPr>
            <w:tcW w:w="5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45"/>
        </w:trPr>
        <w:tc>
          <w:tcPr>
            <w:tcW w:w="59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r>
      <w:tr>
        <w:trPr>
          <w:trHeight w:val="2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events or circumstances indicating that indefinite-lived intangible assets might be impaired as of March 31, 2026 and December 31,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$12.6 million and $14.7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1"/>
        </w:trPr>
        <w:tc>
          <w:tcPr>
            <w:tcW w:w="9540" w:type="dxa"/>
            <w:vAlign w:val="bottom"/>
            <w:gridSpan w:val="12"/>
          </w:tcPr>
          <w:p>
            <w:pPr>
              <w:ind w:left="320"/>
              <w:spacing w:after="0"/>
              <w:rPr>
                <w:sz w:val="20"/>
                <w:szCs w:val="20"/>
                <w:color w:val="auto"/>
              </w:rPr>
            </w:pPr>
            <w:r>
              <w:rPr>
                <w:rFonts w:ascii="Times New Roman" w:cs="Times New Roman" w:eastAsia="Times New Roman" w:hAnsi="Times New Roman"/>
                <w:sz w:val="18"/>
                <w:szCs w:val="18"/>
                <w:color w:val="auto"/>
              </w:rPr>
              <w:t>As of March 31, 2026 and December 31, 2025, the carrying values of the Company’s borrowings were as follows (in millions):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3"/>
        </w:trPr>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Elected Interest</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3"/>
        </w:trPr>
        <w:tc>
          <w:tcPr>
            <w:tcW w:w="262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Maturity Date</w:t>
            </w:r>
          </w:p>
        </w:tc>
        <w:tc>
          <w:tcPr>
            <w:tcW w:w="1600" w:type="dxa"/>
            <w:vAlign w:val="bottom"/>
            <w:gridSpan w:val="3"/>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5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r>
      <w:tr>
        <w:trPr>
          <w:trHeight w:val="25"/>
        </w:trPr>
        <w:tc>
          <w:tcPr>
            <w:tcW w:w="2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2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1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February 28, 2030</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SOFR + 1.75%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r>
      <w:tr>
        <w:trPr>
          <w:trHeight w:val="220"/>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Lien Revolving Credit</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1"/>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February 28, 2028</w:t>
            </w:r>
          </w:p>
        </w:tc>
        <w:tc>
          <w:tcPr>
            <w:tcW w:w="1600" w:type="dxa"/>
            <w:vAlign w:val="bottom"/>
            <w:gridSpan w:val="3"/>
          </w:tcPr>
          <w:p>
            <w:pPr>
              <w:jc w:val="center"/>
              <w:ind w:right="192"/>
              <w:spacing w:after="0"/>
              <w:rPr>
                <w:sz w:val="20"/>
                <w:szCs w:val="20"/>
                <w:color w:val="auto"/>
              </w:rPr>
            </w:pPr>
            <w:r>
              <w:rPr>
                <w:rFonts w:ascii="Times New Roman" w:cs="Times New Roman" w:eastAsia="Times New Roman" w:hAnsi="Times New Roman"/>
                <w:sz w:val="18"/>
                <w:szCs w:val="18"/>
                <w:color w:val="auto"/>
                <w:w w:val="97"/>
              </w:rPr>
              <w:t>SOFR + 2.10%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5"/>
        </w:trPr>
        <w:tc>
          <w:tcPr>
            <w:tcW w:w="2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February 2, 2021</w:t>
            </w:r>
          </w:p>
        </w:tc>
        <w:tc>
          <w:tcPr>
            <w:tcW w:w="20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February 1, 2029</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r>
      <w:tr>
        <w:trPr>
          <w:trHeight w:val="233"/>
        </w:trPr>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w:t>
            </w:r>
          </w:p>
        </w:tc>
      </w:tr>
      <w:tr>
        <w:trPr>
          <w:trHeight w:val="25"/>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5"/>
        </w:trPr>
        <w:tc>
          <w:tcPr>
            <w:tcW w:w="26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8"/>
        </w:trPr>
        <w:tc>
          <w:tcPr>
            <w:tcW w:w="43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w:t>
            </w: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interest rate on the First Lien Term Loan was 5.66% and 5.71% as of March 31, 2026 and December 31, 2025,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 description of our derivative instruments and hedging policies, refer to Note 7 – Derivatives and Hedging Activities in our 2025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risks from changes in interest rates related to the First Lien Term Loan (See Note 6 -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March 31, 2026, the Company had the following outstanding interest rate derivatives that were designated as cash flow hedges of interest rate risk:</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Notional Aggregate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2"/>
        </w:trPr>
        <w:tc>
          <w:tcPr>
            <w:tcW w:w="2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Principal Amount (in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3"/>
        </w:trPr>
        <w:tc>
          <w:tcPr>
            <w:tcW w:w="2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Rate Derivatives (Level 2)</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Number of Instruments</w:t>
            </w:r>
          </w:p>
        </w:tc>
        <w:tc>
          <w:tcPr>
            <w:tcW w:w="14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22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Fixed Rate</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5"/>
        </w:trPr>
        <w:tc>
          <w:tcPr>
            <w:tcW w:w="2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0"/>
              </w:rPr>
              <w:t>Two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3.280 %</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February 28, 2028</w:t>
            </w:r>
          </w:p>
        </w:tc>
      </w:tr>
      <w:tr>
        <w:trPr>
          <w:trHeight w:val="25"/>
        </w:trPr>
        <w:tc>
          <w:tcPr>
            <w:tcW w:w="27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1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Company expects to recognize approximately $1.6 million of net pre-tax gains from </w:t>
      </w:r>
      <w:r>
        <w:rPr>
          <w:rFonts w:ascii="Times New Roman" w:cs="Times New Roman" w:eastAsia="Times New Roman" w:hAnsi="Times New Roman"/>
          <w:sz w:val="18"/>
          <w:szCs w:val="18"/>
          <w:i w:val="1"/>
          <w:iCs w:val="1"/>
          <w:color w:val="auto"/>
        </w:rPr>
        <w:t>Accumulated other comprehensive income ("AOCI")</w:t>
      </w:r>
      <w:r>
        <w:rPr>
          <w:rFonts w:ascii="Times New Roman" w:cs="Times New Roman" w:eastAsia="Times New Roman" w:hAnsi="Times New Roman"/>
          <w:sz w:val="18"/>
          <w:szCs w:val="18"/>
          <w:color w:val="auto"/>
        </w:rPr>
        <w:t xml:space="preserve"> as a reduction of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next twelve months associated with its interest rate swap. Refer to the Company’s Consolidated Statements of Comprehensive Income (Loss) for amounts reclassified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on our Consolidated Balance Sheets for derivatives as of March 31, 2026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16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4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0" w:type="dxa"/>
            <w:vAlign w:val="bottom"/>
          </w:tcPr>
          <w:p>
            <w:pPr>
              <w:spacing w:after="0"/>
              <w:rPr>
                <w:sz w:val="1"/>
                <w:szCs w:val="1"/>
                <w:color w:val="auto"/>
              </w:rPr>
            </w:pPr>
          </w:p>
        </w:tc>
      </w:tr>
      <w:tr>
        <w:trPr>
          <w:trHeight w:val="26"/>
        </w:trPr>
        <w:tc>
          <w:tcPr>
            <w:tcW w:w="4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designated derivative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Prepaid expenses and other current assets</w:t>
      </w:r>
      <w:r>
        <w:rPr>
          <w:rFonts w:ascii="Times New Roman" w:cs="Times New Roman" w:eastAsia="Times New Roman" w:hAnsi="Times New Roman"/>
          <w:sz w:val="16"/>
          <w:szCs w:val="16"/>
          <w:color w:val="auto"/>
        </w:rPr>
        <w:t xml:space="preserve"> on our Consolidated Balance Sheets.</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Deferred costs and other assets, net of current portion</w:t>
      </w:r>
      <w:r>
        <w:rPr>
          <w:rFonts w:ascii="Times New Roman" w:cs="Times New Roman" w:eastAsia="Times New Roman" w:hAnsi="Times New Roman"/>
          <w:sz w:val="16"/>
          <w:szCs w:val="16"/>
          <w:color w:val="auto"/>
        </w:rPr>
        <w:t xml:space="preserve"> on our Consolidated Balance Sheets.</w:t>
      </w:r>
    </w:p>
    <w:p>
      <w:pPr>
        <w:spacing w:after="0" w:line="2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interest rate swap agreements contain credit-risk related contingent features, including cross-default provisions, credit event upon merger provisions, and additional termination events tied to the Company's First Lien Credit Agreement, which could give rise to early termination. To mitigate counterparty credit risk, the Company transacts only with major financial institutions with high credit ratings and monitors counterparty risk on an ongoing basis. The Company is not required to pledge collateral related to these derivative instruments.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 description of our fair value measurement policies and classification methodologies, refer to Note 8 – Fair Value in our 2025 Form 10-K.</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our First Lien Term Loan and Senior Notes was $576.3 million and $539.5 million as of March 31, 2026, and $577.8 million and $611.0 million as of December 31, 2025, respectively, based on observable market prices in less active markets and categorized as Level 2 within the fair value measurement framework.</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rate derivatives are valued using an income approach that projects future cash flows and discounts them to present value. Significant Level 2 inputs include observable market data such as SOFR and overnight index swap yield curves. The discount rates used reflect the collateralized or uncollateralized nature of the instrument and associated credit risk.</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an income valuation approach to value long-lived assets (when a market valuation approach is unavailable).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w w:val="97"/>
              </w:rPr>
              <w:t>The fair value of our financial assets (liabilities) was determined using the following inputs (in millions):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2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2026</w:t>
            </w:r>
          </w:p>
        </w:tc>
        <w:tc>
          <w:tcPr>
            <w:tcW w:w="360" w:type="dxa"/>
            <w:vAlign w:val="bottom"/>
          </w:tcPr>
          <w:p>
            <w:pPr>
              <w:spacing w:after="0"/>
              <w:rPr>
                <w:sz w:val="24"/>
                <w:szCs w:val="24"/>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4"/>
                <w:szCs w:val="24"/>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4"/>
                <w:szCs w:val="24"/>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5"/>
        </w:trPr>
        <w:tc>
          <w:tcPr>
            <w:tcW w:w="5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1"/>
        </w:trPr>
        <w:tc>
          <w:tcPr>
            <w:tcW w:w="5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65"/>
        </w:trPr>
        <w:tc>
          <w:tcPr>
            <w:tcW w:w="5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Impaired lease-related assets</w:t>
            </w:r>
            <w:r>
              <w:rPr>
                <w:rFonts w:ascii="Times New Roman" w:cs="Times New Roman" w:eastAsia="Times New Roman" w:hAnsi="Times New Roman"/>
                <w:sz w:val="22"/>
                <w:szCs w:val="22"/>
                <w:color w:val="auto"/>
                <w:vertAlign w:val="superscript"/>
              </w:rPr>
              <w:t>(3)</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36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5"/>
        </w:trPr>
        <w:tc>
          <w:tcPr>
            <w:tcW w:w="5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920" w:type="dxa"/>
            <w:vAlign w:val="bottom"/>
            <w:tcBorders>
              <w:bottom w:val="single" w:sz="8" w:color="CCEEFF"/>
            </w:tcBorders>
          </w:tcPr>
          <w:p>
            <w:pPr>
              <w:spacing w:after="0"/>
              <w:rPr>
                <w:sz w:val="2"/>
                <w:szCs w:val="2"/>
                <w:color w:val="auto"/>
              </w:rPr>
            </w:pPr>
          </w:p>
        </w:tc>
        <w:tc>
          <w:tcPr>
            <w:tcW w:w="36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r>
      <w:tr>
        <w:trPr>
          <w:trHeight w:val="2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65"/>
        </w:trPr>
        <w:tc>
          <w:tcPr>
            <w:tcW w:w="5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Impaired lease-related assets</w:t>
            </w:r>
            <w:r>
              <w:rPr>
                <w:rFonts w:ascii="Times New Roman" w:cs="Times New Roman" w:eastAsia="Times New Roman" w:hAnsi="Times New Roman"/>
                <w:sz w:val="22"/>
                <w:szCs w:val="22"/>
                <w:color w:val="auto"/>
                <w:vertAlign w:val="superscript"/>
              </w:rPr>
              <w:t>(3)</w:t>
            </w:r>
          </w:p>
        </w:tc>
        <w:tc>
          <w:tcPr>
            <w:tcW w:w="360" w:type="dxa"/>
            <w:vAlign w:val="bottom"/>
            <w:tcBorders>
              <w:bottom w:val="single" w:sz="8" w:color="6D6D6D"/>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6D6D6D"/>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6D6D6D"/>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8"/>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4"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3 - Investments for further information regarding the fair value of our financial instruments.</w:t>
      </w:r>
    </w:p>
    <w:p>
      <w:pPr>
        <w:spacing w:after="0" w:line="10"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7 - Derivatives and Hedging Activities for further information regarding the fair value of our derivative instruments.</w:t>
      </w:r>
    </w:p>
    <w:p>
      <w:pPr>
        <w:spacing w:after="0" w:line="1" w:lineRule="exact"/>
        <w:rPr>
          <w:rFonts w:ascii="Times New Roman" w:cs="Times New Roman" w:eastAsia="Times New Roman" w:hAnsi="Times New Roman"/>
          <w:sz w:val="16"/>
          <w:szCs w:val="16"/>
          <w:color w:val="auto"/>
        </w:rPr>
      </w:pPr>
    </w:p>
    <w:p>
      <w:pPr>
        <w:ind w:left="320" w:hanging="314"/>
        <w:spacing w:after="0" w:line="266"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right-of-use lease assets recorded at fair value pursuant to impairment charges that occurred during the first quarter of 2026 and fourth quarter of 2025. Refer to Note 12 - Leases in our 2025 Form 10-K.</w:t>
      </w:r>
    </w:p>
    <w:p>
      <w:pPr>
        <w:spacing w:after="0" w:line="112"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2026.</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information related to outstanding non-cancelable purchase obligations and lease-related obligations, refer to the amounts disclosed in the audited financial statements in our 2025 Form 10-K. Amounts of non-cancelable purchase obligations mainly relate to third-party cloud hosting and software-as-a-service arrangements. For information regarding financing-related obligations, refer to Note 6 - Financing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 Even if we believe these matters are without merit and are vigorously defending them, we may not be successful. Any litigation to which we are a party may be resolved adversely or we may be subject to an unfavorable judgment that may not be reversed upon appeal. We may also decide to settle litigation, disputes, or other legal proceedings in some instances on terms that are unfavorable to us. In addition, we may become subject to orders or consent decrees imposed by government or regulatory authorities. Adverse decisions and settlements could affect our operating results in future periods or result in a liability or other amounts material to our consolidated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ZoomInfo Publicity Litigation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September 5, 2024, a putative class action lawsuit was filed against ZoomInfo Technologies LLC in the U.S. District Court for the Western District of Washington alleging ZoomInfo Technologies LLC’s use of individuals’ names in public-facing web pages violates the Washington Personality Rights Act, and seeking statutory, compensatory and punitive damages, costs, and attorneys’ fees. The Company intends to vigorously defend against this lawsuit.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Quebec Privacy Litigation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17, 2025, a putative class action lawsuit was filed against ZoomInfo Technologies Inc., ZoomInfo Technologies LLC, and ZoomInfo Canada Corp. in the Superior Court of Quebec, alleging that the Company’s collection and publication of personal information violated the Quebec Civil Code, Quebec’s statute regarding the protection of personal information in the private sector (LPRPSP), and the Quebec Charter of Human Rights and Freedoms. The plaintiffs seek statutory, compensatory and punitive damages, as well as costs and legal fees. The Company intends to vigorously defend against this lawsuit.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Colorado Consumer Protection Litigation</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April 16, 2025, a putative class action lawsuit was filed against ZoomInfo Technologies LLC in the Superior Court of the State of Washington (Clark County), alleging that ZoomInfo Technologies LLC violated the State of Colorado’s Prevention of Telemarketing Fraud Act by listing cell phone numbers of Colorado residents in the Company’s online directory for commercial purposes without obtaining their consent. The suit seeks statutory damages, injunctive and other equitable relief, costs and attorneys’ fees. The Company intends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Similarly, on June 26, 2025, a putative class action lawsuit was filed against Datanyze LLC, one of the Company’s subsidiaries, in the United States District Court for the District of Colorado, alleging that Datanyze LLC violated the State of Colorado’s Prevention of Telemarketing Fraud Act, on substantially the same grounds as the action filed against ZoomInfo Technologies LLC referred to above. The suit seeks statutory damages, injunctive and other equitable relief, costs and attorneys’ fees. Datanyze LLC intends to vigorously defend against this lawsuit.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4, 2024, a putative class action lawsuit was filed against ZoomInfo Technologies Inc. and certain of its current and former officers and affiliates in the U.S. District Court for the Western District of Washington. The suit, brought on behalf of purchasers of Company common stock between November 10, 2020, and August 5, 2024, alleges that the defendants made false and/or misleading statements related to the Company’s business, operations, and prospects, including in respect of the effects of the COVID-19 pandemic on the Company’s performance, in violation of §10(b) and §20(a) of the Securities Exchange Act of 1934 and Rule 10b-5 promulgated thereunder. The complaint seeks, among other relief, unspecified compensatory damages, equitable relief, and costs and expenses. The Company intends to vigorously defend against this lawsuit.</w:t>
      </w:r>
    </w:p>
    <w:p>
      <w:pPr>
        <w:spacing w:after="0" w:line="13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On December 12, 2024, certain of the Company’s current and former directors and officers were named as defendants in a derivative shareholder lawsuit (in which the Company is a nominal defendant) filed in the United States District Court for the Western District of Washington. A second derivative action was filed on February 4, 2025, in the United States District Court for the Western District of Washington. On March 3, 2025, the United States District Court for the Western District of Washington entered an order consolidating the first two derivative actions into one consolidated derivative action. That consolidated derivative action is stayed pending further developments in the securities action described above. A third derivative action was filed on March 25, 2026 in the Delaware State Court of Chancery. The factual allegations in all of the derivative cases mirror the securities case described above. The complaints assert violations of the United States securities laws and state fiduciary duty laws, in addition to common law claims involving unjust enrichment, abuse of control, gross mismanagement, and waste of corporate assets. The derivative cases seek, among other things, unspecified compensatory damages on behalf of the Company arising out of the individual defendants’ alleged wrongful conduct. The Company intends to vigorously defend against these lawsuits.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tables set forth the computation of basic and diluted net income per share of </w:t>
      </w:r>
      <w:r>
        <w:rPr>
          <w:rFonts w:ascii="Times New Roman" w:cs="Times New Roman" w:eastAsia="Times New Roman" w:hAnsi="Times New Roman"/>
          <w:sz w:val="18"/>
          <w:szCs w:val="18"/>
          <w:color w:val="242424"/>
        </w:rPr>
        <w:t>common stock</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33020</wp:posOffset>
            </wp:positionV>
            <wp:extent cx="22294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shares and per share amounts)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share attributable to common stockholders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302,451,474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340,741,847</w:t>
            </w:r>
          </w:p>
        </w:tc>
      </w:tr>
      <w:tr>
        <w:trPr>
          <w:trHeight w:val="25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common stockholders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2"/>
        </w:trPr>
        <w:tc>
          <w:tcPr>
            <w:tcW w:w="7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common stockholders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5"/>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of common stock outstanding used to calculate diluted net income per share</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302,451,474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340,741,847</w:t>
            </w:r>
          </w:p>
        </w:tc>
      </w:tr>
      <w:tr>
        <w:trPr>
          <w:trHeight w:val="25"/>
        </w:trPr>
        <w:tc>
          <w:tcPr>
            <w:tcW w:w="7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common stockholders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242424"/>
              </w:rPr>
              <w:t>Potentially dilutive securities excluded due to their anti-dilutive effect were as follows: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4"/>
        </w:trPr>
        <w:tc>
          <w:tcPr>
            <w:tcW w:w="7740" w:type="dxa"/>
            <w:vAlign w:val="bottom"/>
          </w:tcPr>
          <w:p>
            <w:pPr>
              <w:spacing w:after="0"/>
              <w:rPr>
                <w:sz w:val="24"/>
                <w:szCs w:val="24"/>
                <w:color w:val="auto"/>
              </w:rPr>
            </w:pPr>
          </w:p>
        </w:tc>
        <w:tc>
          <w:tcPr>
            <w:tcW w:w="3500" w:type="dxa"/>
            <w:vAlign w:val="bottom"/>
            <w:gridSpan w:val="3"/>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6"/>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3"/>
        </w:trPr>
        <w:tc>
          <w:tcPr>
            <w:tcW w:w="7740" w:type="dxa"/>
            <w:vAlign w:val="bottom"/>
          </w:tcPr>
          <w:p>
            <w:pPr>
              <w:spacing w:after="0"/>
              <w:rPr>
                <w:sz w:val="20"/>
                <w:szCs w:val="20"/>
                <w:color w:val="auto"/>
              </w:rPr>
            </w:pPr>
          </w:p>
        </w:tc>
        <w:tc>
          <w:tcPr>
            <w:tcW w:w="170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70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
        </w:trPr>
        <w:tc>
          <w:tcPr>
            <w:tcW w:w="77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14,134,205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13,614,370</w:t>
            </w: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 Premium-Priced Performance Option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9,678,000</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189,014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226,924</w:t>
            </w:r>
          </w:p>
        </w:tc>
      </w:tr>
      <w:tr>
        <w:trPr>
          <w:trHeight w:val="258"/>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24,001,219</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13,841,294</w:t>
            </w:r>
          </w:p>
        </w:tc>
      </w:tr>
      <w:tr>
        <w:trPr>
          <w:trHeight w:val="20"/>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 description of the terms and conditions of these securities, refer to Note 13 – Equity-Based Compensation in our 2025 Form 10-K.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 description of our lease accounting policies and practical expedients elected, refer to Note 12 – Leases in our 2025 Form 10-K.</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Rent expense was $8.1 million, inclusive of $3.7 million related to lease restructuring activities, and $8.6 million, inclusive of $1.1 million related to the Waltham Lease Restructuring, for the three months ended March 31, 2026 and 2025, respectively.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1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33020</wp:posOffset>
            </wp:positionV>
            <wp:extent cx="22294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tenant incentive reimbursement</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5"/>
        </w:trPr>
        <w:tc>
          <w:tcPr>
            <w:tcW w:w="7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 description of our equity-based compensation plans and related terms, refer to Note 13 – Equity-based Compensation in our 2025 Form 10-K.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1"/>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stock unit activity for the three months ended March 31, 2026 was as follows: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3"/>
        </w:trPr>
        <w:tc>
          <w:tcPr>
            <w:tcW w:w="7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7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Grant Date Fair</w:t>
            </w:r>
          </w:p>
        </w:tc>
      </w:tr>
      <w:tr>
        <w:trPr>
          <w:trHeight w:val="233"/>
        </w:trPr>
        <w:tc>
          <w:tcPr>
            <w:tcW w:w="7740" w:type="dxa"/>
            <w:vAlign w:val="bottom"/>
          </w:tcPr>
          <w:p>
            <w:pPr>
              <w:spacing w:after="0"/>
              <w:rPr>
                <w:sz w:val="20"/>
                <w:szCs w:val="20"/>
                <w:color w:val="auto"/>
              </w:rPr>
            </w:pPr>
          </w:p>
        </w:tc>
        <w:tc>
          <w:tcPr>
            <w:tcW w:w="17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5"/>
        </w:trPr>
        <w:tc>
          <w:tcPr>
            <w:tcW w:w="77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16,327,640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5"/>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 performance-based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Added by performance factor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5"/>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5"/>
        </w:trPr>
        <w:tc>
          <w:tcPr>
            <w:tcW w:w="77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14,134,205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Unamortized Equity-based Compensation</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1"/>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of March 31, 2026, unamortized equity-based compensation costs consist of the following:</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3"/>
        </w:trPr>
        <w:tc>
          <w:tcPr>
            <w:tcW w:w="7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7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 Service</w:t>
            </w:r>
          </w:p>
        </w:tc>
      </w:tr>
      <w:tr>
        <w:trPr>
          <w:trHeight w:val="25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Period (in years)</w:t>
            </w: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8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r>
      <w:tr>
        <w:trPr>
          <w:trHeight w:val="25"/>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Premium-Priced Performance Option</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r>
      <w:tr>
        <w:trPr>
          <w:trHeight w:val="258"/>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and Geographic Data</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operates as one operating segment, deriving revenues from customers by providing access to its go-to-market intelligence platform. The Company’s chief operating decision maker (“CODM”) is its Chief Executive Officer, who reviews financial information on a consolidated basis and uses net income for purposes of making operating decisions, assessing financial performance and allocating resources. The CODM also reviews total assets, as reported on our Consolidated Balance Sheets, and </w:t>
      </w:r>
      <w:r>
        <w:rPr>
          <w:rFonts w:ascii="Times New Roman" w:cs="Times New Roman" w:eastAsia="Times New Roman" w:hAnsi="Times New Roman"/>
          <w:sz w:val="18"/>
          <w:szCs w:val="18"/>
          <w:i w:val="1"/>
          <w:iCs w:val="1"/>
          <w:color w:val="auto"/>
        </w:rPr>
        <w:t>Purchases of property and equipment and other assets</w:t>
      </w:r>
      <w:r>
        <w:rPr>
          <w:rFonts w:ascii="Times New Roman" w:cs="Times New Roman" w:eastAsia="Times New Roman" w:hAnsi="Times New Roman"/>
          <w:sz w:val="18"/>
          <w:szCs w:val="18"/>
          <w:color w:val="auto"/>
        </w:rPr>
        <w:t>, as reported on our Consolidated Statements of Cash Flows.</w:t>
      </w:r>
    </w:p>
    <w:p>
      <w:pPr>
        <w:spacing w:after="0" w:line="13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Long-lived assets by geographical region are based on the location of the legal entity that owns the assets, which includes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Operating lease right-of-use assets, net</w:t>
      </w:r>
      <w:r>
        <w:rPr>
          <w:rFonts w:ascii="Times New Roman" w:cs="Times New Roman" w:eastAsia="Times New Roman" w:hAnsi="Times New Roman"/>
          <w:sz w:val="18"/>
          <w:szCs w:val="18"/>
          <w:color w:val="auto"/>
        </w:rPr>
        <w:t>. As of March 31, 2026, long-lived assets held in the United States were $267.7 million, representing approximately 95% of the consolidated total. As of December 31, 2025, long-lived assets held in the United States were $257.1 million, representing approximately 93% of the consolidated total.</w:t>
      </w:r>
    </w:p>
    <w:p>
      <w:pPr>
        <w:spacing w:after="0" w:line="12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Contracts denominated in currencies other than U.S. Dollar were not material for the three months ended March 31, 2026 and 2025. Revenues derived from customers and partners located outside the United States, as determined based on the address provided by our customers and partners, accounted for approximately 11% and 12% of total revenue for the three months ended March 31, 2026 and 2025, respectively. Revenue by geographic region is as follows:</w:t>
      </w:r>
    </w:p>
    <w:p>
      <w:pPr>
        <w:spacing w:after="0" w:line="15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33020</wp:posOffset>
            </wp:positionV>
            <wp:extent cx="22294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5"/>
        </w:trPr>
        <w:tc>
          <w:tcPr>
            <w:tcW w:w="7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and Geographic Data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months ended March 31, 2026 and 2025.</w:t>
      </w:r>
    </w:p>
    <w:p>
      <w:pPr>
        <w:spacing w:after="0" w:line="161"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33020</wp:posOffset>
            </wp:positionV>
            <wp:extent cx="22294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compensation expense</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and benefits expense</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6"/>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expense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expense</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6"/>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Facilities expense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Bad debt expense</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Hosting and infrastructure expense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65"/>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(2)</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6"/>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 net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
        </w:trPr>
        <w:tc>
          <w:tcPr>
            <w:tcW w:w="7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employee-related salaries, bonuses, and commissions.</w:t>
      </w:r>
    </w:p>
    <w:p>
      <w:pPr>
        <w:spacing w:after="0" w:line="7"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primarily include equity-based compensation expense.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Tax Receivable Agreements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our TRAs, refer to Note 15 - Tax Receivable Agreements in our 2025 Form 10-K.</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March 31, 2026 and December 31, 2025, the Company had a liability of $2,730.4 million and $2,731.9 million, respectively, related to its projected obligations under the TRAs.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and 2025, we recognized a TRA measurement gain of $1.4 million and a TRA measurement loss of $1.2 million, respectively, within </w:t>
      </w:r>
      <w:r>
        <w:rPr>
          <w:rFonts w:ascii="Times New Roman" w:cs="Times New Roman" w:eastAsia="Times New Roman" w:hAnsi="Times New Roman"/>
          <w:sz w:val="18"/>
          <w:szCs w:val="18"/>
          <w:i w:val="1"/>
          <w:iCs w:val="1"/>
          <w:color w:val="auto"/>
        </w:rPr>
        <w:t>Other loss, net</w:t>
      </w:r>
      <w:r>
        <w:rPr>
          <w:rFonts w:ascii="Times New Roman" w:cs="Times New Roman" w:eastAsia="Times New Roman" w:hAnsi="Times New Roman"/>
          <w:sz w:val="18"/>
          <w:szCs w:val="18"/>
          <w:color w:val="auto"/>
        </w:rPr>
        <w:t xml:space="preserve"> on our Consolidated Statements of Operations. TRA remeasurement gain or loss is principally due to revaluation for the blended state tax rate.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payments were made to TRA holders pursuant to the TRA during the three months ended March 31, 2026 and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1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Company’s provision for income taxes for both the three months ended March 31, 2026 and 2025 was based on our projected annual effective tax rate for fiscal year 2026 and 2025, respectively, adjusted for specific items that are required to be recognized in the period in which they occur.</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inclusive of items specific to the period, for the three months ended March 31, 2026 and 2025 was 33.9% and 32.2%, resulting in income tax expense of $15.0 million and $12.8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projected 2026 annual effective tax rate differed from the U.S. federal statutory rate of 21.0% due to U.S. state taxes, non-deductible equity compensation expense, and foreign taxes, partially offset by research and development credits. Further, the Company’s annual effective tax rate includes period specific costs associated with shortfalls in tax-deductible equity compensation compared to amounts recognized in our financial accounts.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received income tax refunds, net of taxes paid, of $7.0 million during the three months ended March 31, 2026. Cash paid for income taxes was $2.9 million during the three months ended March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has evaluated subsequent events from March 31, 2026 through the date the financial statement was available to be issued and has determined there are no material subsequent events that require disclosure other than as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Subsequent to March 31, 2026 and up through April 30, 2026, the Company repurchased and subsequently retired 3,164,926 shares of the Company’s common stock in the open market at a cost of $18.6 million for an average price of $5.89 per share, under the Share Repurchase Program described further in Note 1 - Business, Basis of Presentation, and Summary of Significant Accounting Policies to the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Credit Agreement Amendment</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8, 2026, the Company entered into an amendment of its existing credit agreement that provided for, among other things, an increase to existing commitments under the First Lien Revolving Credit Facility by $26.0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Program</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May 5, 2026, the Company’s Board of Directors (the "Board") approved a restructuring program (the “2026 Restructuring Program”) in order to reduce operating costs and drive stronger operating leverage. The 2026 Restructuring Program is anticipated to entail a global reduction in force impacting approximately 20% of the Company’s ending first quarter headcount. Of the impacted roles, approximately one-fourth will be reallocated to or offset by hiring in different locations. The 2026 Restructuring Program is expected to be substantially complete by the end of 2026 resulting in estimated aggregate pre-tax charges in the range of $45.0 million to $60.0 million, the majority of which are expected to result in cash expenditures. These expenditures primarily consist of one-time termination benefits to affected employees, including but not limited to severance payments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related notes included in our 2025 Form 10-K, the information included under “Management’s Discussion and Analysis of Financial Condition and Results of Operations” in Part II, Item 7 of our 2025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2025 Form 10-K. Numerical figures included in this Form 10-Q have been subject to rounding adjustments. Accordingly, numerical figures shown as totals in various tables may not be arithmetic aggregations of the figures that precede them.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Our go-to-market intelligence platform empowers businesses with AI-ready insights, trusted data, agent-assisted selling and advanced automation providing sales, marketing, operations, and recruiting professionals accurate information and insights on the organizations and professionals they target. This enables our customers to shorten sales cycles and increase win rates by empowering sellers, marketers, and recruiters to efficiently deliver the right message to the right person at the right time in the right way.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is the modern go-to-market intelligence platform, consisting of three distinct layers that build upon each other:</w:t>
      </w:r>
    </w:p>
    <w:p>
      <w:pPr>
        <w:spacing w:after="0" w:line="162" w:lineRule="exact"/>
        <w:rPr>
          <w:sz w:val="20"/>
          <w:szCs w:val="20"/>
          <w:color w:val="auto"/>
        </w:rPr>
      </w:pPr>
    </w:p>
    <w:p>
      <w:pPr>
        <w:ind w:left="640" w:hanging="316"/>
        <w:spacing w:after="0" w:line="27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Intelligence Layer </w:t>
      </w:r>
      <w:r>
        <w:rPr>
          <w:rFonts w:ascii="Times New Roman" w:cs="Times New Roman" w:eastAsia="Times New Roman" w:hAnsi="Times New Roman"/>
          <w:sz w:val="18"/>
          <w:szCs w:val="18"/>
          <w:color w:val="auto"/>
        </w:rPr>
        <w:t>is the foundation of our data-driven strategy. Our best-in-class data, curated through first- and third-party sources,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billions of data points about companies and contacts, such as intent, hierarchy, location, and financial information.</w:t>
      </w:r>
    </w:p>
    <w:p>
      <w:pPr>
        <w:spacing w:after="0" w:line="10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Orchestration Layer </w:t>
      </w:r>
      <w:r>
        <w:rPr>
          <w:rFonts w:ascii="Times New Roman" w:cs="Times New Roman" w:eastAsia="Times New Roman" w:hAnsi="Times New Roman"/>
          <w:sz w:val="18"/>
          <w:szCs w:val="18"/>
          <w:color w:val="auto"/>
        </w:rPr>
        <w:t>integrates and enriches our data sources. At this stage, our products assign and route data, leads, and insights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people. This creates a dataset that is continuously updated and can be used to power automated business workflows. Our services connect with major CRM system providers enabling sales operations professionals to access a suite of products, services, and solutions to ingest, match, enrich, and connect data feeds into multiple systems.</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Engagement Layer </w:t>
      </w:r>
      <w:r>
        <w:rPr>
          <w:rFonts w:ascii="Times New Roman" w:cs="Times New Roman" w:eastAsia="Times New Roman" w:hAnsi="Times New Roman"/>
          <w:sz w:val="18"/>
          <w:szCs w:val="18"/>
          <w:color w:val="auto"/>
        </w:rPr>
        <w:t>allows sales, marketing, operations, and recruiting professionals to put data-driven insights into action to identify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communicate with prospects and customers. Go-to-market professionals use our engagement layer for multi-touch and multi-channel sales engagement, web meeting recording, transcription, insight generation, and coaching. Marketers drive awareness, lead generation, and deal acceleration campaigns through account-based marketing, advertising, and onsite conversion optimization solutions including chat functionality. Recruiters and talent acquisition professionals can locate and reach more better suited candidates, use pipeline management tools to collaborate and organize the hiring process, and automate aspects of the candidate outreach process by more efficiently finding and engaging candidates.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sales of subscriptions to our platform. Subscriptions include the use of our platform and access to customer support. Subscriptions generally range from one to three years in length. About 53% of customer contracts (based on annualized value) are multi-year agreements. We typically bill our customers at the beginning of each annual, semi-annual, or quarterly period and recognize revenue ratably over the term of the subscription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each product edition. Our core paid products are ZoomInfo Copilot, ZoomInfo Sales, ZoomInfo Marketing, ZoomInfo Operations, and ZoomInfo Talent (with add-on options for some products), and we have a free community edition, ZoomInfo Lite.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and financial condition have and may continue to be impacted by adverse macroeconomic conditions. See “Risks Related to Geopolitical and Macroeconomic Factors” in Part I, Item 1A of our 2025 Form 10-K for further discussion of the possible impact of these issues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February 2026, the Board authorized an additional $1.0 billion bringing the aggregate total authorizations as of March 31, 2026 to $2.6 billion, of which $1,140.1 million remained available and authorized for repurchases. Refer to Note 1 - Business, Basis of Presentation, and Summary of Significant Accounting Policies of the notes to our unaudited consolidated financial statements included elsewhere in this Quarterly Report on Form 10-Q.</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Program</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5, 2026, the Board approved the 2026 Restructuring Program in order to reduce operating costs and drive stronger operating leverage. Refer to Note 16 - Subsequent Events of the notes to our unaudited consolidated financial statements included elsewhere in this Quarterly Report on Form 10-Q.</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using our platform in the United States and around the world, and efficiently transacting with those customers. Acquiring new customers while optimizing the profile of those customers and the go-to-market channels we use to attract these customers will play a part in determining our operating results and growth prospects in the future. Acquiring new customers also strengthens the power of our contributory networks. We plan to continue to invest in our efficient go-to-market effort to expand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Usage of Our Platform</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 Our net revenue retention rate was 90% and 87% as of March 31, 2026 and 2025, respectively. In the near term, we expect our net retention rate to be impacted by macroeconomic conditions. See the caption above entitled “—Recent Developments — Impact of Macroeconomic Conditions.” Over the long term, we expect our net revenue retention rate to be influenced by our ability to move upmarket, as larger customers have historically exhibited higher net revenue retention. We also measure our success in expanding relationships with existing customers by the number of customers that contract for $100,000 or greater in ACV. As of March 31, 2026 and 2025, our number of customers with $100,000 or greater in ACV was 1,900 and 1,868, respectively. Customers with $100,000 or greater in ACV comprised over 50% of total Company ACV as of March 31, 2026.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derive primarily all of our revenue from subscription services and the remainder from recurring usage-based services and other revenue. Our subscription services primarily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includes direct expenses related to the support and operations of our services and research teams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equity-based compensation, and related expenses, such as employer taxes, allocated overhead for facilities, technology, third-party hosting fees, third-party data costs, amortization of internally developed capitalized software, and restructuring and transaction-related expenses.</w:t>
      </w:r>
    </w:p>
    <w:p>
      <w:pPr>
        <w:spacing w:after="0" w:line="12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continued investment in cost of service, with cost of service as a percentage of revenue expected to slightly increase in the near term. This is driven by rising AI consumption costs and customer onboarding expenses for offerings such as ZoomInfo Copilot and ZoomInfo GTM Studio.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acquired technology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operating expenses consist of sales and marketing, research and development, general and administrative, and amortization of other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marketing, litigation settlements, and restructuring and transaction-related expenses. We anticipate that restructuring and transaction-related expenses, including potential impairments, will be influenced by activities related to potential future acquisitions, strategic restructuring efforts, and leased spaces that we plan to sublease, which could cause these costs to vary, potentially significantly, from our historic levels.</w:t>
      </w:r>
    </w:p>
    <w:p>
      <w:pPr>
        <w:spacing w:after="0" w:line="11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marketing programs, and restructuring and transaction-related expenses. Sales commissions and related payroll taxes directly related to contract acquisition are capitalized and recognized as expenses over the estimated period of benefit.</w:t>
      </w:r>
    </w:p>
    <w:p>
      <w:pPr>
        <w:spacing w:after="0" w:line="12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anticipate that we will continue to invest in sales and marketing capacity to enable future growth. We anticipate that sales and marketing expense excluding equity-based compensation and restructuring and transaction-related expenses as a percentage of revenue will fluctuate from period to period depending on the interplay of our investments in sales and marketing capacity, the recognition of revenue, and the amortization of deferred commissions costs.</w:t>
      </w:r>
    </w:p>
    <w:p>
      <w:pPr>
        <w:spacing w:after="0" w:line="10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technology, and restructuring and transaction-related expenses. We believe that our core technologies and ongoing innovation represent a significant competitive advantage for us.</w:t>
      </w:r>
    </w:p>
    <w:p>
      <w:pPr>
        <w:spacing w:after="0" w:line="12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in the short-term will be flat to a moderate increase, but will modestly decrease in the long-term as we drive efficiencies in that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General and administrative expenses also include restructuring and transaction-related expenses, such as impairment charges associated with our leasing activity. We also incur charges associated with litigation settlements.</w:t>
      </w:r>
    </w:p>
    <w:p>
      <w:pPr>
        <w:spacing w:after="0" w:line="13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as a percentage of revenue may fluctuate during periods when we incur non-recurring restructuring and transaction-related expenses, such as those associated with acquisitions or impairments. Excluding these non-recurring items, we expect a more stable or declining trend over time.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Amortization of other acquired intangibles</w:t>
      </w:r>
      <w:r>
        <w:rPr>
          <w:rFonts w:ascii="Times New Roman" w:cs="Times New Roman" w:eastAsia="Times New Roman" w:hAnsi="Times New Roman"/>
          <w:sz w:val="17"/>
          <w:szCs w:val="17"/>
          <w:color w:val="auto"/>
        </w:rPr>
        <w:t>. Amortization of acquired intangibles consists of amortization of customer relationships and brand portfolios.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represents the interest payable on our debt obligations and the amortization of debt discounts and debt issuance costs, less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interest expense could be impacted by changes in variable interest rates, the issuance of additional debt, or changes in our interest rate hedging strategies, such as entering into new hedging arrangements or the expiration of existing interest rate swaps.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loss, net </w:t>
      </w:r>
      <w:r>
        <w:rPr>
          <w:rFonts w:ascii="Times New Roman" w:cs="Times New Roman" w:eastAsia="Times New Roman" w:hAnsi="Times New Roman"/>
          <w:sz w:val="18"/>
          <w:szCs w:val="18"/>
          <w:color w:val="auto"/>
        </w:rPr>
        <w:t>consists primarily of the remeasurement of TRA liabilities, investment income, and realized and unrealized gains and losses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transactions denominated in a foreign currency.</w:t>
      </w:r>
    </w:p>
    <w:p>
      <w:pPr>
        <w:spacing w:after="0" w:line="10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Changes to existing tax law, including changes to corporate income tax rates or the Company’s state tax footprint could lead to substantial remeasurement of the TRA liability recorded through </w:t>
      </w:r>
      <w:r>
        <w:rPr>
          <w:rFonts w:ascii="Times New Roman" w:cs="Times New Roman" w:eastAsia="Times New Roman" w:hAnsi="Times New Roman"/>
          <w:sz w:val="18"/>
          <w:szCs w:val="18"/>
          <w:i w:val="1"/>
          <w:iCs w:val="1"/>
          <w:color w:val="auto"/>
        </w:rPr>
        <w:t>Other loss, net</w:t>
      </w:r>
      <w:r>
        <w:rPr>
          <w:rFonts w:ascii="Times New Roman" w:cs="Times New Roman" w:eastAsia="Times New Roman" w:hAnsi="Times New Roman"/>
          <w:sz w:val="18"/>
          <w:szCs w:val="18"/>
          <w:color w:val="auto"/>
        </w:rPr>
        <w:t xml:space="preserve">. Additionally, the magnitude of </w:t>
      </w:r>
      <w:r>
        <w:rPr>
          <w:rFonts w:ascii="Times New Roman" w:cs="Times New Roman" w:eastAsia="Times New Roman" w:hAnsi="Times New Roman"/>
          <w:sz w:val="18"/>
          <w:szCs w:val="18"/>
          <w:i w:val="1"/>
          <w:iCs w:val="1"/>
          <w:color w:val="auto"/>
        </w:rPr>
        <w:t>Other loss, net</w:t>
      </w:r>
      <w:r>
        <w:rPr>
          <w:rFonts w:ascii="Times New Roman" w:cs="Times New Roman" w:eastAsia="Times New Roman" w:hAnsi="Times New Roman"/>
          <w:sz w:val="18"/>
          <w:szCs w:val="18"/>
          <w:color w:val="auto"/>
        </w:rPr>
        <w:t xml:space="preserve"> may increase as we expand operations internationally and add complexity to our operations. Refer to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section below for further information regarding remeasurement of TRA liability and deferred tax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various foreign jurisdictions. We recognize deferred tax assets and liabilities based on temporary differences between the financial statement and tax basis of assets and liabilities, as well as from net operating loss and tax credit carryforwards. We have significant U.S. federal and state deferred tax assets, including deferred tax assets created by various historical restructuring events. The preponderance of our deferred tax assets have long lives or are otherwise indefinite. We evaluate recoverability of these deferred tax assets by assessing future expected taxable income from all sources, including reversing taxable temporary differences, forecasted and historical earnings, available carryback and carryforward periods, and prudent and feasible tax planning strategies. A valuation allowance is established only if it is more likely than not that all or a portion of the deferred tax asset will not be realized. We regularly review whether it is more likely than not that our deferred tax assets will be realizable. As of March 31, 2026, a valuation allowance continues to be recorded against certain state-level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regularly remeasure our deferred tax assets for statutory changes and other guidance, such as the One Big Beautiful Bill Act (OBBBA) passed on July 4, 2025, as well as changes in our state apportionment factors. Given the magnitude of our deferred tax assets, minor changes can materially affect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Upon a remeasurement of our deferred tax assets, the TRA liability is typically concurrently remeasured with a partially offsetting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impact within </w:t>
      </w:r>
      <w:r>
        <w:rPr>
          <w:rFonts w:ascii="Times New Roman" w:cs="Times New Roman" w:eastAsia="Times New Roman" w:hAnsi="Times New Roman"/>
          <w:sz w:val="18"/>
          <w:szCs w:val="18"/>
          <w:i w:val="1"/>
          <w:iCs w:val="1"/>
          <w:color w:val="auto"/>
        </w:rPr>
        <w:t>Other loss, net</w:t>
      </w:r>
      <w:r>
        <w:rPr>
          <w:rFonts w:ascii="Times New Roman" w:cs="Times New Roman" w:eastAsia="Times New Roman" w:hAnsi="Times New Roman"/>
          <w:sz w:val="18"/>
          <w:szCs w:val="18"/>
          <w:color w:val="auto"/>
        </w:rPr>
        <w:t xml:space="preserve"> on the Consolidated Statements of Operations.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have regularly taken tax positions, including with respect to our various corporate events and restructurings, in determining our </w:t>
      </w:r>
      <w:r>
        <w:rPr>
          <w:rFonts w:ascii="Times New Roman" w:cs="Times New Roman" w:eastAsia="Times New Roman" w:hAnsi="Times New Roman"/>
          <w:sz w:val="18"/>
          <w:szCs w:val="18"/>
          <w:i w:val="1"/>
          <w:iCs w:val="1"/>
          <w:color w:val="auto"/>
        </w:rPr>
        <w:t>Provision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We recognize the tax benefit of an uncertain tax position only if it is more likely than not the position will be sustainable upon examination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taxing authority based on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period in which we make the change, which could have a material impact on our effective tax rate.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three months ended March 31, 2026 and 2025:</w:t>
      </w:r>
    </w:p>
    <w:p>
      <w:pPr>
        <w:spacing w:after="0" w:line="21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33020</wp:posOffset>
            </wp:positionV>
            <wp:extent cx="22294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4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
        </w:trPr>
        <w:tc>
          <w:tcPr>
            <w:tcW w:w="7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5"/>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65"/>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65"/>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
        </w:trPr>
        <w:tc>
          <w:tcPr>
            <w:tcW w:w="7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8"/>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5"/>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loss, net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5"/>
        </w:trPr>
        <w:tc>
          <w:tcPr>
            <w:tcW w:w="7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
        </w:trPr>
        <w:tc>
          <w:tcPr>
            <w:tcW w:w="7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Amounts include equity-based compensation expense, as follows:</w:t>
      </w:r>
    </w:p>
    <w:p>
      <w:pPr>
        <w:spacing w:after="0" w:line="20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27940</wp:posOffset>
            </wp:positionV>
            <wp:extent cx="22294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4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3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64"/>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77"/>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24"/>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1"/>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5"/>
        </w:trPr>
        <w:tc>
          <w:tcPr>
            <w:tcW w:w="4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increase was primarily due to the effects of the Company’s continued shift of the mix of business upmarket and the resulting improvement in net revenue retention.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80" w:type="dxa"/>
            <w:vAlign w:val="bottom"/>
          </w:tcPr>
          <w:p>
            <w:pPr>
              <w:spacing w:after="0"/>
              <w:rPr>
                <w:sz w:val="24"/>
                <w:szCs w:val="24"/>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80" w:type="dxa"/>
            <w:vAlign w:val="bottom"/>
            <w:vMerge w:val="continue"/>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CCEEFF"/>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6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excluding equity-based compensation</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20"/>
                <w:szCs w:val="20"/>
                <w:color w:val="auto"/>
              </w:rPr>
            </w:pP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258.4</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31"/>
        </w:trPr>
        <w:tc>
          <w:tcPr>
            <w:tcW w:w="4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gridSpan w:val="3"/>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11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85 %</w:t>
            </w: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Cost of revenue, excluding equity-based compensation expense increased primarily due to higher hosting and infrastructure expense and depreciation expense on internally developed capitalized software, partially offset by lower amortization of acquired technology due to certain intangible assets being fully amortized.</w:t>
      </w:r>
    </w:p>
    <w:p>
      <w:pPr>
        <w:spacing w:after="0" w:line="12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Gross profit was </w:t>
      </w:r>
      <w:r>
        <w:rPr>
          <w:rFonts w:ascii="Times New Roman" w:cs="Times New Roman" w:eastAsia="Times New Roman" w:hAnsi="Times New Roman"/>
          <w:sz w:val="18"/>
          <w:szCs w:val="18"/>
          <w:color w:val="auto"/>
        </w:rPr>
        <w:t>relatively flat due to, as discussed above, higher revenues, mostly offset by higher cost of revenue. Gross margin decreased as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grew faster than revenue on a percentage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5"/>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equity-based compensation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596"/>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5"/>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excluding equity-based compensation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and marketing, excluding equity-based compensation remained relatively flat as higher marketing expense was mostly offset by lower compensation expense.</w:t>
      </w:r>
    </w:p>
    <w:p>
      <w:pPr>
        <w:sectPr>
          <w:pgSz w:w="11900" w:h="16838" w:orient="portrait"/>
          <w:cols w:equalWidth="0" w:num="1">
            <w:col w:w="11240"/>
          </w:cols>
          <w:pgMar w:left="320" w:top="2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excluding equity-based</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Research and development, excluding equity-based compensation decreased primarily due to higher capitalization of employee compensation expense and lower severance expense, partially offset by higher technology expense from subscriptions.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4"/>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excluding equity-based</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General and administrative, excluding equity-based compensation increased primarily due to lease and the related leasehold improvements impairment charges, and higher bad debt expense, partially offset by lower employee compensation expense.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Amortization of other acquired intangibles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
        </w:trPr>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Amortization of other acquired intangibles </w:t>
      </w:r>
      <w:r>
        <w:rPr>
          <w:rFonts w:ascii="Times New Roman" w:cs="Times New Roman" w:eastAsia="Times New Roman" w:hAnsi="Times New Roman"/>
          <w:sz w:val="18"/>
          <w:szCs w:val="18"/>
          <w:color w:val="auto"/>
        </w:rPr>
        <w:t>was relatively flat year-over-year.</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Equity-based compensation expense</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
        </w:trPr>
        <w:tc>
          <w:tcPr>
            <w:tcW w:w="4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Equity-based compensation expense decreased primarily due to lower weighted average grant date fair values of shares being amortized in the current period compared to those that were amortized in the prior period.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60" w:type="dxa"/>
            <w:vAlign w:val="bottom"/>
          </w:tcPr>
          <w:p>
            <w:pPr>
              <w:spacing w:after="0"/>
              <w:rPr>
                <w:sz w:val="24"/>
                <w:szCs w:val="24"/>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345"/>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4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increased primarily due to higher revenue, lower employee compensation expenses, decreased equity-based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amortization of acquired technology, partially offset by lease and the related leasehold improvements impairment charges, higher hosting and infrastructure expense and technology expense. The improvement in operating income margin was due to increased operating leverage.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60" w:type="dxa"/>
            <w:vAlign w:val="bottom"/>
          </w:tcPr>
          <w:p>
            <w:pPr>
              <w:spacing w:after="0"/>
              <w:rPr>
                <w:sz w:val="24"/>
                <w:szCs w:val="24"/>
                <w:color w:val="auto"/>
              </w:rPr>
            </w:pPr>
          </w:p>
        </w:tc>
        <w:tc>
          <w:tcPr>
            <w:tcW w:w="304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5"/>
        </w:trPr>
        <w:tc>
          <w:tcPr>
            <w:tcW w:w="4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increase was primarily due to lower interest income from our derivative swaps.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loss, net</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2"/>
                <w:szCs w:val="2"/>
                <w:color w:val="auto"/>
              </w:rPr>
            </w:pPr>
          </w:p>
        </w:tc>
        <w:tc>
          <w:tcPr>
            <w:tcW w:w="168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40" w:type="dxa"/>
            <w:vAlign w:val="bottom"/>
            <w:vMerge w:val="continue"/>
          </w:tcPr>
          <w:p>
            <w:pPr>
              <w:spacing w:after="0"/>
              <w:rPr>
                <w:sz w:val="20"/>
                <w:szCs w:val="20"/>
                <w:color w:val="auto"/>
              </w:rPr>
            </w:pPr>
          </w:p>
        </w:tc>
        <w:tc>
          <w:tcPr>
            <w:tcW w:w="11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 remeasurement (gain) loss</w:t>
            </w:r>
          </w:p>
        </w:tc>
        <w:tc>
          <w:tcPr>
            <w:tcW w:w="1160" w:type="dxa"/>
            <w:vAlign w:val="bottom"/>
            <w:tcBorders>
              <w:bottom w:val="single" w:sz="8" w:color="CCEEFF"/>
            </w:tcBorders>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 (gain) loss</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loss, net</w:t>
            </w:r>
          </w:p>
        </w:tc>
        <w:tc>
          <w:tcPr>
            <w:tcW w:w="1160" w:type="dxa"/>
            <w:vAlign w:val="bottom"/>
            <w:tcBorders>
              <w:top w:val="single" w:sz="8" w:color="auto"/>
              <w:bottom w:val="single" w:sz="8" w:color="auto"/>
            </w:tcBorders>
            <w:gridSpan w:val="2"/>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Borders>
              <w:top w:val="single" w:sz="8" w:color="auto"/>
              <w:bottom w:val="single" w:sz="8" w:color="auto"/>
            </w:tcBorders>
            <w:gridSpan w:val="2"/>
          </w:tcPr>
          <w:p>
            <w:pPr>
              <w:jc w:val="right"/>
              <w:ind w:right="11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4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2"/>
                <w:szCs w:val="2"/>
                <w:color w:val="auto"/>
              </w:rPr>
            </w:pPr>
          </w:p>
        </w:tc>
        <w:tc>
          <w:tcPr>
            <w:tcW w:w="168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40" w:type="dxa"/>
            <w:vAlign w:val="bottom"/>
            <w:vMerge w:val="continue"/>
          </w:tcPr>
          <w:p>
            <w:pPr>
              <w:spacing w:after="0"/>
              <w:rPr>
                <w:sz w:val="20"/>
                <w:szCs w:val="20"/>
                <w:color w:val="auto"/>
              </w:rPr>
            </w:pP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tcBorders>
              <w:bottom w:val="single" w:sz="8" w:color="CCEEFF"/>
            </w:tcBorders>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35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32.2 %</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Income from operations</w:t>
      </w:r>
      <w:r>
        <w:rPr>
          <w:rFonts w:ascii="Times New Roman" w:cs="Times New Roman" w:eastAsia="Times New Roman" w:hAnsi="Times New Roman"/>
          <w:sz w:val="18"/>
          <w:szCs w:val="18"/>
          <w:color w:val="auto"/>
        </w:rPr>
        <w:t>, partially offset by increased</w:t>
      </w:r>
      <w:r>
        <w:rPr>
          <w:rFonts w:ascii="Times New Roman" w:cs="Times New Roman" w:eastAsia="Times New Roman" w:hAnsi="Times New Roman"/>
          <w:sz w:val="18"/>
          <w:szCs w:val="18"/>
          <w:i w:val="1"/>
          <w:iCs w:val="1"/>
          <w:color w:val="auto"/>
        </w:rPr>
        <w:t xml:space="preserve"> Interest expense, net </w:t>
      </w:r>
      <w:r>
        <w:rPr>
          <w:rFonts w:ascii="Times New Roman" w:cs="Times New Roman" w:eastAsia="Times New Roman" w:hAnsi="Times New Roman"/>
          <w:sz w:val="18"/>
          <w:szCs w:val="18"/>
          <w:color w:val="auto"/>
        </w:rPr>
        <w:t>as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The effective tax rate differed from the US federal statutory rate of 21.0% due to U.S. state taxes, non-deductible equity compensation costs, and foreign taxes, partially offset by research and development credits.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
        </w:trPr>
        <w:tc>
          <w:tcPr>
            <w:tcW w:w="4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increased primarily due to higher income from operations, partially offset by higher interest expense, net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Adjusted Operating Income Margin</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define Adjusted Operating Income as income from operations adjusted for, as applicable, (i) amortization of acquired technology and other acquired intangibles, (ii) equity-based compensation expense, (iii) restructuring and transaction-related expenses, (iv) integration costs and acquisition-related expenses, and (v) litigation settlement. We exclude the impact of amortization of acquired technology and other acquired intangibles, as well as equity-based compensation expense, because these are non-cash expenses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litigation settlements related to class actions because we believe it represents an extraordinary litigation expense outside of our ordinary course of business and is not indicative of our operating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We define Adjusted Operating Income Margin as Adjusted Operating Income divided by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21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33020</wp:posOffset>
            </wp:positionV>
            <wp:extent cx="22294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1"/>
                <w:szCs w:val="21"/>
                <w:color w:val="auto"/>
              </w:rPr>
            </w:pP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(GAAP)</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9"/>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0"/>
                <w:szCs w:val="20"/>
                <w:color w:val="auto"/>
              </w:rPr>
            </w:pPr>
          </w:p>
        </w:tc>
      </w:tr>
      <w:tr>
        <w:trPr>
          <w:trHeight w:val="26"/>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0"/>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20"/>
                <w:szCs w:val="20"/>
                <w:color w:val="auto"/>
              </w:rPr>
            </w:pPr>
          </w:p>
        </w:tc>
      </w:tr>
      <w:tr>
        <w:trPr>
          <w:trHeight w:val="25"/>
        </w:trPr>
        <w:tc>
          <w:tcPr>
            <w:tcW w:w="7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23"/>
                <w:szCs w:val="23"/>
                <w:color w:val="auto"/>
              </w:rPr>
            </w:pPr>
          </w:p>
        </w:tc>
      </w:tr>
      <w:tr>
        <w:trPr>
          <w:trHeight w:val="265"/>
        </w:trPr>
        <w:tc>
          <w:tcPr>
            <w:tcW w:w="7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bottom w:val="single" w:sz="8" w:color="auto"/>
            </w:tcBorders>
          </w:tcPr>
          <w:p>
            <w:pPr>
              <w:spacing w:after="0"/>
              <w:rPr>
                <w:sz w:val="23"/>
                <w:szCs w:val="23"/>
                <w:color w:val="auto"/>
              </w:rPr>
            </w:pPr>
          </w:p>
        </w:tc>
      </w:tr>
      <w:tr>
        <w:trPr>
          <w:trHeight w:val="2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(Non-GAAP)</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100.9</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8"/>
        </w:trPr>
        <w:tc>
          <w:tcPr>
            <w:tcW w:w="7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 Margin (GAAP)</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Operating Income Margin (Non-GAAP)</w:t>
            </w:r>
          </w:p>
        </w:tc>
        <w:tc>
          <w:tcPr>
            <w:tcW w:w="380" w:type="dxa"/>
            <w:vAlign w:val="bottom"/>
          </w:tcPr>
          <w:p>
            <w:pPr>
              <w:spacing w:after="0"/>
              <w:rPr>
                <w:sz w:val="20"/>
                <w:szCs w:val="20"/>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Pr>
          <w:p>
            <w:pPr>
              <w:spacing w:after="0"/>
              <w:rPr>
                <w:sz w:val="20"/>
                <w:szCs w:val="20"/>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7"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months ended March 31, 2026, this expense is primarily related to lease restructuring activities, including right-of-use asset and the related leasehold improvements impairment charges, and employee severance and termination benefits. For the three months ended March 31, 2025, this expense is primarily related to employee severance and termination benefits and lease restructuring activities. Amounts include restructuring and transaction-related expenses, as follows:</w:t>
      </w:r>
    </w:p>
    <w:p>
      <w:pPr>
        <w:spacing w:after="0" w:line="1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33020</wp:posOffset>
            </wp:positionV>
            <wp:extent cx="2179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48"/>
        </w:trPr>
        <w:tc>
          <w:tcPr>
            <w:tcW w:w="320" w:type="dxa"/>
            <w:vAlign w:val="bottom"/>
          </w:tcPr>
          <w:p>
            <w:pPr>
              <w:spacing w:after="0"/>
              <w:rPr>
                <w:sz w:val="21"/>
                <w:szCs w:val="21"/>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restructuring and transaction-related expenses</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(2)  Represents charges associated with legal settlements and associated legal fees.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380" w:type="dxa"/>
            <w:vAlign w:val="bottom"/>
            <w:gridSpan w:val="2"/>
            <w:vMerge w:val="continue"/>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1100" w:type="dxa"/>
            <w:vAlign w:val="bottom"/>
            <w:tcBorders>
              <w:bottom w:val="single" w:sz="8" w:color="CCEEFF"/>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35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Operating Income Margin (Non-GAAP)</w:t>
            </w:r>
          </w:p>
        </w:tc>
        <w:tc>
          <w:tcPr>
            <w:tcW w:w="1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1200" w:type="dxa"/>
            <w:vAlign w:val="bottom"/>
          </w:tcPr>
          <w:p>
            <w:pPr>
              <w:spacing w:after="0"/>
              <w:rPr>
                <w:sz w:val="24"/>
                <w:szCs w:val="24"/>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33 %</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Adjusted Operating Income increased primarily due to lower employee compensation expense and higher revenues, partially offset by increases in both hosting and infrastructure expense and technology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define Adjusted Net Income as net income adjusted for, as applicable, (i) loss on debt modification and extinguishment, (ii) amortization of acquired technology and other acquired intangibles, (iii) equity-based compensation expense, (iv) restructuring and transaction-related expenses, (v) integration costs and acquisition-related expenses, (vi) litigation settlement, (vii) TRA liability remeasurement (benefit) expense, (viii) other (income) loss, net and (ix)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xml:space="preserve"> to Adjusted Net Income for the periods presented:</w:t>
      </w:r>
    </w:p>
    <w:p>
      <w:pPr>
        <w:spacing w:after="0" w:line="21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4892040</wp:posOffset>
            </wp:positionH>
            <wp:positionV relativeFrom="paragraph">
              <wp:posOffset>33020</wp:posOffset>
            </wp:positionV>
            <wp:extent cx="22466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4663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6"/>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6"/>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5"/>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(2)</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5"/>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 liability remeasurement (gain) loss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5"/>
        </w:trPr>
        <w:tc>
          <w:tcPr>
            <w:tcW w:w="7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Tax impacts of adjustments to net income</w:t>
            </w:r>
            <w:r>
              <w:rPr>
                <w:rFonts w:ascii="Times New Roman" w:cs="Times New Roman" w:eastAsia="Times New Roman" w:hAnsi="Times New Roman"/>
                <w:sz w:val="22"/>
                <w:szCs w:val="22"/>
                <w:color w:val="auto"/>
                <w:vertAlign w:val="superscript"/>
              </w:rPr>
              <w:t>(3)</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(Non-GAAP)</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3"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months ended March 31, 2026, this expense is primarily related to lease restructuring activities, including right-of-use asset and the related leasehold improvements impairment charges, and employee severance and termination benefits. For the three months ended March 31, 2025, this expense is primarily related to employee severance and termination benefits and lease restructuring activities. Amounts include restructuring and transaction-related expenses, as follows:</w:t>
      </w:r>
    </w:p>
    <w:p>
      <w:pPr>
        <w:spacing w:after="0" w:line="1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27940</wp:posOffset>
            </wp:positionV>
            <wp:extent cx="2179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48"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4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2"/>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63"/>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restructuring and transaction-related expenses</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(2)</w:t>
      </w:r>
      <w:r>
        <w:rPr>
          <w:sz w:val="20"/>
          <w:szCs w:val="20"/>
          <w:color w:val="auto"/>
        </w:rPr>
        <w:tab/>
      </w:r>
      <w:r>
        <w:rPr>
          <w:rFonts w:ascii="Times New Roman" w:cs="Times New Roman" w:eastAsia="Times New Roman" w:hAnsi="Times New Roman"/>
          <w:sz w:val="15"/>
          <w:szCs w:val="15"/>
          <w:color w:val="auto"/>
        </w:rPr>
        <w:t>Represents charges associated with legal settlements and associated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320" w:hanging="314"/>
        <w:spacing w:after="0" w:line="251"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tax expense associated with Net income (GAAP) excluded from Adjusted Net Income (Non-GAAP). The Company calculates the tax impacts of adjustments to net income by taking the total gross value of the adjustments and multiplying it by the Company’s U.S. federal and state statutory tax rate. We then recalculate the tax impact of book-tax differences related to equity compensation, the tax receivable agreements, restructuring and transaction-related expenses, and items that are deemed to be unrelated to current year operating income or are one-time in nature, such as provision to return true-ups. For the three months ended March 31, 2026, the tax impacts of adjustments to net income between GAAP and Non-GAAP are presented based on the specific rate reconciliation categories established under ASU 2023-09. For the three months ended March 31, 2026, these primarily relate to recognizing $15.9 million of tax benefit related to the amortization of costs associated with corporate structure simplification and adjusting out $2.0 million of tax expense from non-deductible stock-based compensation. For the three months ended March 31, 2025, these primarily relate to recognizing $13.6 million of tax benefit related to the amortization of costs associated with corporate structure simplification, adjusting out $3.0 million of tax expense from non-deductible stock-based compensation, and adjusting out $1.2 million of tax benefit from the effects of changes in state tax law and apportionment. We believe the exclusion of these adjustments provides investors with useful information about the Company’s underlying results and trends, allowing them to better understand and compare net income related to ongoing operations and the related current and deferred income tax expense.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6"/>
        </w:trPr>
        <w:tc>
          <w:tcPr>
            <w:tcW w:w="4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increase was primarily due to higher Adjusted Operating Income, partially offset by higher non-operating expenses such as interest expense and foreign currency remeasurement.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Management further adjusts EBITDA to exclude certain items of a significant or unusual nature, including, as applicable, other (income) expense, net, loss on debt modification and extinguishment, impact of certain non-cash items, such as equity-based compensation expense, restructuring and transaction-related expenses, integration costs and acquisition-related expenses, and litigation settlement. We exclude these items because these are either non-cash expenses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xml:space="preserve"> to Adjusted EBITDA for the periods presented:</w:t>
      </w:r>
    </w:p>
    <w:p>
      <w:pPr>
        <w:spacing w:after="0" w:line="21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4892040</wp:posOffset>
            </wp:positionH>
            <wp:positionV relativeFrom="paragraph">
              <wp:posOffset>33020</wp:posOffset>
            </wp:positionV>
            <wp:extent cx="22466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4663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65"/>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r>
              <w:rPr>
                <w:rFonts w:ascii="Times New Roman" w:cs="Times New Roman" w:eastAsia="Times New Roman" w:hAnsi="Times New Roman"/>
                <w:sz w:val="22"/>
                <w:szCs w:val="22"/>
                <w:color w:val="auto"/>
                <w:vertAlign w:val="superscript"/>
              </w:rPr>
              <w:t>(1)</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5"/>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 net</w:t>
            </w:r>
            <w:r>
              <w:rPr>
                <w:rFonts w:ascii="Times New Roman" w:cs="Times New Roman" w:eastAsia="Times New Roman" w:hAnsi="Times New Roman"/>
                <w:sz w:val="22"/>
                <w:szCs w:val="22"/>
                <w:color w:val="auto"/>
                <w:vertAlign w:val="superscript"/>
              </w:rPr>
              <w:t>(2)</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5"/>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(3)</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5"/>
        </w:trPr>
        <w:tc>
          <w:tcPr>
            <w:tcW w:w="7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(4)</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8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0"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2026 exclude depreciation charges related to lease restructuring activities. The three months ended March 31, 2025 exclude the accelerated depreciation associated with the Waltham Lease Restructuring. Refer to Note 4 - Property and Equipment and Note 12 - Leases in our 2025 Form 10-K for further information.</w:t>
      </w:r>
    </w:p>
    <w:p>
      <w:pPr>
        <w:ind w:left="320" w:hanging="314"/>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tax receivable agreement liability and foreign exchange remeasurement gains and losses.</w:t>
      </w:r>
    </w:p>
    <w:p>
      <w:pPr>
        <w:spacing w:after="0" w:line="10" w:lineRule="exact"/>
        <w:rPr>
          <w:rFonts w:ascii="Times New Roman" w:cs="Times New Roman" w:eastAsia="Times New Roman" w:hAnsi="Times New Roman"/>
          <w:sz w:val="16"/>
          <w:szCs w:val="16"/>
          <w:color w:val="auto"/>
        </w:rPr>
      </w:pPr>
    </w:p>
    <w:p>
      <w:pPr>
        <w:jc w:val="both"/>
        <w:ind w:left="320" w:hanging="314"/>
        <w:spacing w:after="0" w:line="252"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months ended March 31, 2026, this expense is primarily related to lease restructuring activities, including right-of-use asset and the related leasehold improvements impairment charges, and employee severance and termination benefits. For the three months ended March 31, 2025, this expense is primarily related to employee severance and termination benefits and lease restructuring activities. Amounts include restructuring and transaction-related expenses, as follows:</w:t>
      </w:r>
    </w:p>
    <w:p>
      <w:pPr>
        <w:spacing w:after="0" w:line="2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27940</wp:posOffset>
            </wp:positionV>
            <wp:extent cx="2179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48"/>
        </w:trPr>
        <w:tc>
          <w:tcPr>
            <w:tcW w:w="320" w:type="dxa"/>
            <w:vAlign w:val="bottom"/>
          </w:tcPr>
          <w:p>
            <w:pPr>
              <w:spacing w:after="0"/>
              <w:rPr>
                <w:sz w:val="21"/>
                <w:szCs w:val="21"/>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restructuring and transaction-related expenses</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(4)  Represents charges associated with legal settlements and associated legal fees.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380" w:type="dxa"/>
            <w:vAlign w:val="bottom"/>
            <w:gridSpan w:val="2"/>
            <w:vMerge w:val="continue"/>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(Non-GAAP)</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
        </w:trPr>
        <w:tc>
          <w:tcPr>
            <w:tcW w:w="4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increase was primarily due to higher revenues and lower employee compensation expense, partially offset by increases in both hosting and infrastructure expense and technology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March 31, 2026, we had $171.2 million of cash and cash equivalents, $4.0 million of short-term investments, and $150.0 million available under our First Lien Revolving Credit Facility. Subsequently, in May 2026, the Company entered into an amendment of its existing credit agreement to increase the total commitments under the First Lien Revolving Credit Facility by $26.0 million. We have financed our operations primarily through cash generated from operations and financed various acquisitions through cash generated from operations supplemented with debt offerings.</w:t>
      </w:r>
    </w:p>
    <w:p>
      <w:pPr>
        <w:sectPr>
          <w:pgSz w:w="11900" w:h="16838" w:orient="portrait"/>
          <w:cols w:equalWidth="0" w:num="1">
            <w:col w:w="11240"/>
          </w:cols>
          <w:pgMar w:left="320" w:top="2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10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typically invoice our subscription customers for services annually, semi-annually, or quarterly in advance of delivery.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March 31, 2026, we had unearned revenue of $479.2 million, of which $476.1 million was recorded as a current liability and is expected to be recorded as revenue in the next 12 months, provided all other revenue recognition criteria have been met.</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2025 Form 10-K.</w:t>
      </w:r>
    </w:p>
    <w:p>
      <w:pPr>
        <w:sectPr>
          <w:pgSz w:w="11900" w:h="16838" w:orient="portrait"/>
          <w:cols w:equalWidth="0" w:num="1">
            <w:col w:w="11240"/>
          </w:cols>
          <w:pgMar w:left="320" w:top="276"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76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2294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
        </w:trPr>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65"/>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65"/>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5"/>
        </w:trPr>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
        </w:trPr>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10" w:lineRule="exact"/>
        <w:rPr>
          <w:sz w:val="20"/>
          <w:szCs w:val="20"/>
          <w:color w:val="auto"/>
        </w:rPr>
      </w:pPr>
    </w:p>
    <w:p>
      <w:pPr>
        <w:sectPr>
          <w:pgSz w:w="11900" w:h="16838" w:orient="portrait"/>
          <w:cols w:equalWidth="0" w:num="2">
            <w:col w:w="7020" w:space="720"/>
            <w:col w:w="3500"/>
          </w:cols>
          <w:pgMar w:left="320" w:top="276" w:right="339" w:bottom="1440" w:gutter="0" w:footer="0" w:header="0"/>
          <w:type w:val="continuous"/>
        </w:sect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Net cash provided by operating activities was $114.7 million for the three months ended March 31, 2026 as a result of net income of $29.3 million, adjusted by non-cash charges of $95.4 million and the net decrease in our operating assets and liabilities of $10.0 million. The non-cash charges are primarily comprised of equity-based compensation of $25.5 million, amortization of deferred commission costs of $24.3 million, depreciation and amortization of $21.4 million, and a decrease in deferred tax assets of $15.1 million. The net decrease in operating assets and liabilities was primarily the result of a decrease in accrued expenses and other liabilities of $20.9 million, an increase in deferred costs and other assets of $17.5 million and a decrease in accounts payable of $8.5 million, as well as a decrease in accounts receivable of $35.9 million.</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Net cash provided by operating activities was $119.2 million for the three months ended March 31, 2025 as a result of net income of $26.8 million, adjusted by non-cash charges of $90.4 million and the net change in our operating assets and liabilities of $2.0 million. The non-cash charges are primarily comprised of equity-based compensation of $29.6 million, depreciation and amortization of $22.1 million, amortization of deferred commission costs of $21.4 million, and a decrease in deferred tax assets net of deferred tax liabilities of $11.2 million. The net change in operating assets and liabilities was primarily the result of a decrease in accrued expenses and other liabilities of $20.2 million, an increase in deferred costs and other assets of $16.1 million, an increase in prepaid and other current assets of $4.2 million, partially offset by a decrease in accounts receivable of $37.9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continue to make future acquisitions as part of our business strategy which may require the use of capital resources and drive additional future restructuring and transaction-related cash expenditures as well as integration and acquisition-related cash costs. During the three months ended March 31, 2026 and 2025, we incurred the following associated cash expenditures:</w:t>
      </w:r>
    </w:p>
    <w:p>
      <w:pPr>
        <w:spacing w:after="0" w:line="17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33020</wp:posOffset>
            </wp:positionV>
            <wp:extent cx="22294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6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settlement payments</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1"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acquisition or disposal activities, including employee severance and termination benefits, contract termination fees and penalties, and other exit or disposal costs. For the three months ended March 31, 2026, these payments related primarily to lease restructuring activity and employee severance and termination benefits payments. For the three months ended March 31, 2025, these payments related primarily to Waltham lease restructuring charges and employee severance and termination benefits payments.</w:t>
      </w:r>
    </w:p>
    <w:p>
      <w:pPr>
        <w:ind w:left="320" w:hanging="314"/>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for legal fees associated with legal settlements.</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$26.0 million, primarily consisting of purchases of property and equipment and other assets of $24.1 million and payments for right-of-use asset initial direct costs of $1.9 million.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$18.8 million, consisting of purchases of property and equipment and other assets of $14.8 million and purchases of investments of $4.0 million.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we continue to grow and invest in our business, we expect to continue to invest in property and equipment and opportunistically pursue acquisitions.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Net cash used in financing activities for the three months ended March 31, 2026 was $93.2 million and comprised of payments relating to the repurchase of common stock of $90.9 million, repayment of debt of $1.5 million, and payments of taxes related to net share settlement of equity awards of $0.8 million.</w:t>
      </w:r>
    </w:p>
    <w:p>
      <w:pPr>
        <w:spacing w:after="0" w:line="88"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Net cash used in financing activities for the three months ended March 31, 2025 was $101.9 million and comprised of payments relating to the repurchase of common stock of $95.0 million, payments of taxes related to net share settlement of equity awards of $5.4 million, and repayment of debt of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6 - Financing Arrangements of our unaudited consolidated financial statements included in Part I, Item 1 of this Form 10-Q for additional information related to each of our borrowings.</w:t>
      </w:r>
    </w:p>
    <w:p>
      <w:pPr>
        <w:spacing w:after="0" w:line="11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Refer to Note 1 - Business, Basis of Presentation, and Summary of Significant Accounting Policies of the notes to our unaudited consolidated financial statements included elsewhere in this Quarterly Report on Form 10-Q for additional information related to the Share Repurchase Program. The shares of Common Stock proposed to be acquired in the Share Repurchase Program may be repurchased from time to time in open market transactions or by other means in accordance with federal securities laws. The Company intends to fund repurchases from available working capital, cash provided by operating activities, and, as appropriate, borrowings under its existing credit facilities or other sources of financing. The timing, as well as the number and value of shares of Common Stock repurchased under the program, will be determined by the Company at its discretion and will depend on a variety of factors, including management’s assessment of the intrinsic value of the Company’s shares of Common Stock, the market price of the Company’s Common Stock, general market and economic conditions, available liquidity, alternative investment opportunities, compliance with the Company’s debt and other agreements, and applicable legal requirements. The exact number of shares of Common Stock to be repurchased by the Company is not guaranteed, and the program may be suspended, modified, or discontinued at any time without prior notice.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March 31, 2026, the aggregate balance of $100.0 million under the First Lien Revolver is due, in its entirety, at the contractual maturity date of February 28, 2028, and the aggregate remaining balance of $650.0 million of 3.875% Senior Notes is due, in its entirety, at the contractual maturity date of February 1, 2029. Interest on the Senior Notes is payable semi-annually in arrears. As of March 31, 2026, the Company has a remaining balance of $580.7 million with respect to its First Lien Term Loan. The Company is obligated to make principal payments each quarter in the amount of 0.25% of the aggregate outstanding amount as of the latest amendment, with the remaining balance due at the contractual maturity date of February 28, 2030. The foregoing currently represent the only existing required future debt principal repayment obligations that will require future uses of the Company’s cash.</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Term Loan has a variable interest rate whereby the Company can elect to use a Base Rate or SOFR plus an applicable rate. The applicable rate is 0.75% for Base Rate loans or 1.75% for SOFR loans. The effective interest rate on the First Lien Term Loan was 5.66% and 5.71% as of March 31, 2026 and December 31, 2025, respectively.</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have historically used derivative financial instruments, primarily interest rate swap contracts designated as cash flow hedges, to manage a portion of our exposure to changes in interest rates. We do not enter into derivative transactions for speculative or trading purposes. As our existing interest rate swaps mature, our exposure to changes in interest rates on our floating rate debt will increase to the extent we do not enter into new interest rate swap contracts.</w:t>
      </w:r>
    </w:p>
    <w:p>
      <w:pPr>
        <w:spacing w:after="0" w:line="10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First Lien Revolving Credit Facility, which has $100.0 million outstanding as of March 31, 2026,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 The effective interest rate on the First Lien Revolving Credit Facility was 5.90% and 6.12%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Adjusted EBITDA is defined as total contractual maturity of outstanding indebtedness less cash, cash equivalents, and investments (as applicable), divided by trailing twelve months Adjusted EBITDA. Adjusted EBITDA for the twelve months ended March 31, 2026 was $486.2 million. Our total net leverage ratio to Adjusted EBITDA as of March 31, 2026 was 2.4x.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4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460" w:type="dxa"/>
            <w:vAlign w:val="bottom"/>
            <w:tcBorders>
              <w:bottom w:val="single" w:sz="8" w:color="CCEEFF"/>
            </w:tcBorders>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r>
      <w:tr>
        <w:trPr>
          <w:trHeight w:val="24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investments</w:t>
            </w:r>
          </w:p>
        </w:tc>
        <w:tc>
          <w:tcPr>
            <w:tcW w:w="14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5"/>
        </w:trPr>
        <w:tc>
          <w:tcPr>
            <w:tcW w:w="78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1460" w:type="dxa"/>
            <w:vAlign w:val="bottom"/>
            <w:tcBorders>
              <w:bottom w:val="single" w:sz="8" w:color="CCEEFF"/>
            </w:tcBorders>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Adjusted EBITDA</w:t>
            </w:r>
          </w:p>
        </w:tc>
        <w:tc>
          <w:tcPr>
            <w:tcW w:w="1460" w:type="dxa"/>
            <w:vAlign w:val="bottom"/>
            <w:tcBorders>
              <w:top w:val="single" w:sz="8" w:color="auto"/>
            </w:tcBorders>
          </w:tcPr>
          <w:p>
            <w:pPr>
              <w:jc w:val="right"/>
              <w:ind w:right="12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26"/>
        </w:trPr>
        <w:tc>
          <w:tcPr>
            <w:tcW w:w="78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3"/>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Adjusted EBITDA</w:t>
            </w:r>
          </w:p>
        </w:tc>
        <w:tc>
          <w:tcPr>
            <w:tcW w:w="146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2.4x</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the agreement governing our existing first lien credit facilities (the “First Lien Credit Agreement”) as total contractual maturity of outstanding First Lien indebtedness less cash, cash equivalents and investments (as applicable),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twelve months ended March 31, 2026 was $486.8 million. Our Consolidated First Lien Net Leverage Ratio as of March 31, 2026 was 1.0x.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5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5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First Lien indebtedness</w:t>
            </w:r>
          </w:p>
        </w:tc>
        <w:tc>
          <w:tcPr>
            <w:tcW w:w="1520" w:type="dxa"/>
            <w:vAlign w:val="bottom"/>
            <w:tcBorders>
              <w:bottom w:val="single" w:sz="8" w:color="CCEEFF"/>
            </w:tcBorders>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r>
      <w:tr>
        <w:trPr>
          <w:trHeight w:val="24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investments</w:t>
            </w:r>
          </w:p>
        </w:tc>
        <w:tc>
          <w:tcPr>
            <w:tcW w:w="15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5"/>
        </w:trPr>
        <w:tc>
          <w:tcPr>
            <w:tcW w:w="7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First Lien indebtedness</w:t>
            </w:r>
          </w:p>
        </w:tc>
        <w:tc>
          <w:tcPr>
            <w:tcW w:w="1520" w:type="dxa"/>
            <w:vAlign w:val="bottom"/>
            <w:tcBorders>
              <w:bottom w:val="single" w:sz="8" w:color="CCEEFF"/>
            </w:tcBorders>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520" w:type="dxa"/>
            <w:vAlign w:val="bottom"/>
            <w:tcBorders>
              <w:top w:val="single" w:sz="8" w:color="auto"/>
            </w:tcBorders>
          </w:tcPr>
          <w:p>
            <w:pPr>
              <w:jc w:val="right"/>
              <w:ind w:right="133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5"/>
        </w:trPr>
        <w:tc>
          <w:tcPr>
            <w:tcW w:w="7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3"/>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First Lien Net Leverage Ratio</w:t>
            </w:r>
          </w:p>
        </w:tc>
        <w:tc>
          <w:tcPr>
            <w:tcW w:w="1520" w:type="dxa"/>
            <w:vAlign w:val="bottom"/>
            <w:tcBorders>
              <w:bottom w:val="single" w:sz="8" w:color="auto"/>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1.0x</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Cash EBITDA (defined as Consolidated EBITDA in our Credit Agreements) is defined as total contractual maturity of outstanding indebtedness less cash, cash equivalents, and investments (as applicable), divided by trailing twelve months Cash EBITDA. Cash EBITDA for the twelve months ended March 31, 2026 was $486.8 million. Our total net leverage ratio to Cash EBITDA as of March 31, 2026 was 2.4x.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4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460" w:type="dxa"/>
            <w:vAlign w:val="bottom"/>
            <w:tcBorders>
              <w:bottom w:val="single" w:sz="8" w:color="CCEEFF"/>
            </w:tcBorders>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r>
      <w:tr>
        <w:trPr>
          <w:trHeight w:val="24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investments</w:t>
            </w:r>
          </w:p>
        </w:tc>
        <w:tc>
          <w:tcPr>
            <w:tcW w:w="14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5"/>
        </w:trPr>
        <w:tc>
          <w:tcPr>
            <w:tcW w:w="78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1460" w:type="dxa"/>
            <w:vAlign w:val="bottom"/>
            <w:tcBorders>
              <w:bottom w:val="single" w:sz="8" w:color="CCEEFF"/>
            </w:tcBorders>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460" w:type="dxa"/>
            <w:vAlign w:val="bottom"/>
            <w:tcBorders>
              <w:top w:val="single" w:sz="8" w:color="auto"/>
            </w:tcBorders>
          </w:tcPr>
          <w:p>
            <w:pPr>
              <w:jc w:val="right"/>
              <w:ind w:right="12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5"/>
        </w:trPr>
        <w:tc>
          <w:tcPr>
            <w:tcW w:w="78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3"/>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Cash EBITDA</w:t>
            </w:r>
          </w:p>
        </w:tc>
        <w:tc>
          <w:tcPr>
            <w:tcW w:w="146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2.4x</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240"/>
          </w:cols>
          <w:pgMar w:left="320" w:top="2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76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860" cy="168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2"/>
          <w:szCs w:val="22"/>
          <w:color w:val="auto"/>
          <w:vertAlign w:val="superscript"/>
        </w:rPr>
        <w:t>(2)</w:t>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860" cy="168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(3)</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176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Unearned revenue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rent adjustment</w:t>
      </w: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lender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93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EBITDA (Non-GAAP)</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Amounts exclude the depreciation associated with lease restructuring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60" w:type="dxa"/>
            <w:vAlign w:val="bottom"/>
          </w:tcPr>
          <w:p>
            <w:pPr>
              <w:spacing w:after="0"/>
              <w:rPr>
                <w:sz w:val="20"/>
                <w:szCs w:val="20"/>
                <w:color w:val="auto"/>
              </w:rPr>
            </w:pPr>
          </w:p>
        </w:tc>
        <w:tc>
          <w:tcPr>
            <w:tcW w:w="304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Trailing Twelve Months as of</w:t>
            </w:r>
          </w:p>
        </w:tc>
      </w:tr>
      <w:tr>
        <w:trPr>
          <w:trHeight w:val="265"/>
        </w:trPr>
        <w:tc>
          <w:tcPr>
            <w:tcW w:w="360" w:type="dxa"/>
            <w:vAlign w:val="bottom"/>
          </w:tcPr>
          <w:p>
            <w:pPr>
              <w:spacing w:after="0"/>
              <w:rPr>
                <w:sz w:val="23"/>
                <w:szCs w:val="23"/>
                <w:color w:val="auto"/>
              </w:rPr>
            </w:pPr>
          </w:p>
        </w:tc>
        <w:tc>
          <w:tcPr>
            <w:tcW w:w="3040" w:type="dxa"/>
            <w:vAlign w:val="bottom"/>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5"/>
        </w:trPr>
        <w:tc>
          <w:tcPr>
            <w:tcW w:w="3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33"/>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
        </w:trPr>
        <w:tc>
          <w:tcPr>
            <w:tcW w:w="3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33"/>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5"/>
        </w:trPr>
        <w:tc>
          <w:tcPr>
            <w:tcW w:w="360" w:type="dxa"/>
            <w:vAlign w:val="bottom"/>
          </w:tcPr>
          <w:p>
            <w:pPr>
              <w:spacing w:after="0"/>
              <w:rPr>
                <w:sz w:val="23"/>
                <w:szCs w:val="2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6"/>
        </w:trPr>
        <w:tc>
          <w:tcPr>
            <w:tcW w:w="3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33"/>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5"/>
        </w:trPr>
        <w:tc>
          <w:tcPr>
            <w:tcW w:w="3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120" w:space="720"/>
            <w:col w:w="3400"/>
          </w:cols>
          <w:pgMar w:left="320" w:top="276" w:right="339" w:bottom="1440" w:gutter="0" w:footer="0" w:header="0"/>
          <w:type w:val="continuous"/>
        </w:sectPr>
      </w:pPr>
    </w:p>
    <w:p>
      <w:pPr>
        <w:ind w:left="320" w:hanging="314"/>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the TRA liability, foreign currency remeasurement (gain) loss and investment income.</w:t>
      </w:r>
    </w:p>
    <w:p>
      <w:pPr>
        <w:spacing w:after="0" w:line="10" w:lineRule="exact"/>
        <w:rPr>
          <w:rFonts w:ascii="Times New Roman" w:cs="Times New Roman" w:eastAsia="Times New Roman" w:hAnsi="Times New Roman"/>
          <w:sz w:val="16"/>
          <w:szCs w:val="16"/>
          <w:color w:val="auto"/>
        </w:rPr>
      </w:pPr>
    </w:p>
    <w:p>
      <w:pPr>
        <w:jc w:val="both"/>
        <w:ind w:left="320" w:hanging="314"/>
        <w:spacing w:after="0" w:line="247"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trailing twelve months ended March 31, 2026, this expense related primarily to lease restructuring activities, including right-of-use asset and the related leasehold improvements impairment charges, and employee severance and termination benefits.</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legal settlements and associated legal fees.</w:t>
      </w:r>
    </w:p>
    <w:p>
      <w:pPr>
        <w:spacing w:after="0" w:line="15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80" w:type="dxa"/>
            <w:vAlign w:val="bottom"/>
          </w:tcPr>
          <w:p>
            <w:pPr>
              <w:spacing w:after="0"/>
              <w:rPr>
                <w:sz w:val="24"/>
                <w:szCs w:val="24"/>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3"/>
        </w:trPr>
        <w:tc>
          <w:tcPr>
            <w:tcW w:w="4380" w:type="dxa"/>
            <w:vAlign w:val="bottom"/>
            <w:vMerge w:val="continue"/>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5"/>
        </w:trPr>
        <w:tc>
          <w:tcPr>
            <w:tcW w:w="4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increase was primarily due to higher capitalization of internal use developed software and incremental spend related to new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our TRA, refer to Note 15 - Tax Receivable Agreements in our 2025 Form 10-K.</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March 31, 2026, the Company had a liability of $2,730.4 million related to its projected obligations under the TRA. No payments were made to TRA holders pursuant to the TRA during the three months ended March 31, 2026 and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Except as set forth above and in Note 9 -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2025 Form 10-K.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certain circumstances, however, 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2025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1 - Business, Basis of Presentation, and Summary of Significant Accounting Policies of our unaudited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Risks Related to Geopolitical and Macroeconomic Factors” in Part I, Item 1A of our 2025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both our First Lien Term Loan and First Lien Revolving Credit Facility, which bear a variable interest rate based on SOFR. As of March 31, 2026, the total principal balance outstanding on our First Lien Term Loan was $580.7 million. We have implemented a hedging strategy to mitigate the interest rate risk on our First Lien Term Loan by entering into certain derivative instruments (refer to Note 7 - Derivatives and Hedging Activities of our unaudited consolidated financial statements included in Part I, Item 1 of this Form 10-Q). Based on the outstanding balances and interest rates of our debt as of March 31, 2026, a hypothetical relative increase or decrease in our effective interest rate by 100 basis points or 1% would have caused an immaterial corresponding change over the next 12 months.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from time to time, we have de-designated certain cash flow hedging relationships due to repricing of the terms and partial prepayment of the outstanding principal of our First Lien Term Loan since loan inception. As of March 31, 2026, all cash flow hedging relationships are designated as accounting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date, our sales contracts have primarily been denominated in U.S. dollars. We have foreign entities established in Israel, Canada, the United Kingdom, India, and Ireland.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manage the foreign currency exchange rate risk and to reduce the volatility associated with the fluctuation of foreign currencies, we may use foreign exchange forward contracts or other financial instruments from time to time to mitigate potential adverse effects on our financial results from significant currency movements.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 w:cs="Times New Roman" w:eastAsia="Times New Roman" w:hAnsi="Times New Roman"/>
          <w:sz w:val="18"/>
          <w:szCs w:val="18"/>
          <w:i w:val="1"/>
          <w:iCs w:val="1"/>
          <w:color w:val="auto"/>
        </w:rPr>
        <w:t>Other loss, net</w:t>
      </w:r>
      <w:r>
        <w:rPr>
          <w:rFonts w:ascii="Times New Roman" w:cs="Times New Roman" w:eastAsia="Times New Roman" w:hAnsi="Times New Roman"/>
          <w:sz w:val="18"/>
          <w:szCs w:val="18"/>
          <w:color w:val="auto"/>
        </w:rPr>
        <w:t xml:space="preserve"> on our Consolidated Statements of Operations.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investments,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March 31, 2026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2026 that have materially affected, or are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description of certain legal and regulatory proceedings, please read “Legal Matters” in Note 9 - Commitments and Contingencies to our unaudited consolidated financial statements included in Part I, Item 1 of this Form 10-Q, which is incorporated herein by reference.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business, financial position, results of operations or cash flows. Although it is not possible to predict or identify all such risks and uncertainties, they may include, but are not limited to, the factors discussed under “Risk Factors” in Part I, Item 1A of our 2025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2025 Form 10-K.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shares of common stock purchased by the Company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Maximum Number (or</w:t>
            </w:r>
          </w:p>
        </w:tc>
      </w:tr>
      <w:tr>
        <w:trPr>
          <w:trHeight w:val="212"/>
        </w:trPr>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12"/>
        </w:trPr>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20" w:type="dxa"/>
            <w:vAlign w:val="bottom"/>
          </w:tcPr>
          <w:p>
            <w:pPr>
              <w:spacing w:after="0"/>
              <w:rPr>
                <w:sz w:val="18"/>
                <w:szCs w:val="18"/>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 that May Yet be Purchased</w:t>
            </w:r>
          </w:p>
        </w:tc>
      </w:tr>
      <w:tr>
        <w:trPr>
          <w:trHeight w:val="212"/>
        </w:trPr>
        <w:tc>
          <w:tcPr>
            <w:tcW w:w="1920" w:type="dxa"/>
            <w:vAlign w:val="bottom"/>
          </w:tcPr>
          <w:p>
            <w:pPr>
              <w:spacing w:after="0"/>
              <w:rPr>
                <w:sz w:val="18"/>
                <w:szCs w:val="18"/>
                <w:color w:val="auto"/>
              </w:rPr>
            </w:pP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 Paid Per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Purchased as Part of Publicly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Under the Plan or Programs (in</w:t>
            </w:r>
          </w:p>
        </w:tc>
      </w:tr>
      <w:tr>
        <w:trPr>
          <w:trHeight w:val="259"/>
        </w:trPr>
        <w:tc>
          <w:tcPr>
            <w:tcW w:w="1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Borders>
              <w:bottom w:val="single" w:sz="8" w:color="CCEEFF"/>
            </w:tcBorders>
          </w:tcPr>
          <w:p>
            <w:pPr>
              <w:spacing w:after="0"/>
              <w:rPr>
                <w:sz w:val="22"/>
                <w:szCs w:val="22"/>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Announced Plans or Programs</w:t>
            </w:r>
            <w:r>
              <w:rPr>
                <w:rFonts w:ascii="Times New Roman" w:cs="Times New Roman" w:eastAsia="Times New Roman" w:hAnsi="Times New Roman"/>
                <w:sz w:val="22"/>
                <w:szCs w:val="22"/>
                <w:b w:val="1"/>
                <w:bCs w:val="1"/>
                <w:color w:val="auto"/>
                <w:w w:val="96"/>
                <w:vertAlign w:val="superscript"/>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38"/>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2,713,866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2,713,866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4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5,793,946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r>
      <w:tr>
        <w:trPr>
          <w:trHeight w:val="25"/>
        </w:trPr>
        <w:tc>
          <w:tcPr>
            <w:tcW w:w="1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65"/>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4,591,978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4,591,978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r>
      <w:tr>
        <w:trPr>
          <w:trHeight w:val="258"/>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13,100,399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13,099,790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20"/>
        </w:trPr>
        <w:tc>
          <w:tcPr>
            <w:tcW w:w="19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54"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jc w:val="both"/>
        <w:ind w:left="320" w:hanging="314"/>
        <w:spacing w:after="0" w:line="271" w:lineRule="auto"/>
        <w:tabs>
          <w:tab w:leader="none" w:pos="3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2023, the Board authorized a program to repurchase the Company’s common stock (the “Share Repurchase Program”). In February 2026, the Board authorized an additional $1.0 billion bringing the aggregate total authorizations as of March 31, 2026 to $2.6 billion.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8"/>
          <w:szCs w:val="18"/>
          <w:color w:val="auto"/>
        </w:rPr>
        <w:t>Except as described in the immediately following paragraph, during the Company’s fiscal quarter ended March 31, 2026, none of the Company’s directors or officers (as defined in Rule 16a-1(f) under the Exchange Act) adopted or terminated a trading arrangement intended to satisfy the affirmative conditions of Rule 10b5-1(c) of the Exchange Act (such arrangement, a “Rule 10b5-1 trading arrangement”).</w:t>
      </w:r>
    </w:p>
    <w:p>
      <w:pPr>
        <w:spacing w:after="0" w:line="13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9, 2026, M. Graham O’Brien, Chief Financial Officer, adopted a Rule 10b5-1 trading arrangement. The duration of the Rule 10b5-1 trading arrangement commences on June 11, 2026, and ends on June 30, 2027. The volume of sales will be determined, in part, based on pricing triggers outlined in the trading arrangement, with a maximum potential sale under the plan of 45,000 shares of common stock. Mr. O’Brien’s Rule 10b5-1 trading arrangement was entered into during an open insider trading window and is intended to satisfy the affirmative defense of Rule 10b5-1(c) under the Exchange Act and the Company’s policies regarding insider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 File or</w:t>
            </w:r>
          </w:p>
        </w:tc>
        <w:tc>
          <w:tcPr>
            <w:tcW w:w="1180" w:type="dxa"/>
            <w:vAlign w:val="bottom"/>
          </w:tcPr>
          <w:p>
            <w:pPr>
              <w:spacing w:after="0"/>
              <w:rPr>
                <w:sz w:val="18"/>
                <w:szCs w:val="18"/>
                <w:color w:val="auto"/>
              </w:rPr>
            </w:pPr>
          </w:p>
        </w:tc>
      </w:tr>
      <w:tr>
        <w:trPr>
          <w:trHeight w:val="2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40" w:type="dxa"/>
            <w:vAlign w:val="bottom"/>
            <w:gridSpan w:val="15"/>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40" w:type="dxa"/>
            <w:vAlign w:val="bottom"/>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8"/>
              </w:rPr>
              <w:t>Report or Registration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r>
      <w:tr>
        <w:trPr>
          <w:trHeight w:val="236"/>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7"/>
              </w:rPr>
              <w:t>Statement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201"/>
        </w:trPr>
        <w:tc>
          <w:tcPr>
            <w:tcW w:w="100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5180" w:type="dxa"/>
            <w:vAlign w:val="bottom"/>
            <w:tcBorders>
              <w:bottom w:val="single" w:sz="8" w:color="0000FF"/>
              <w:right w:val="single" w:sz="8" w:color="CCEEFF"/>
            </w:tcBorders>
            <w:gridSpan w:val="9"/>
            <w:shd w:val="clear" w:color="auto" w:fill="CCEEFF"/>
          </w:tcPr>
          <w:p>
            <w:pPr>
              <w:spacing w:after="0" w:line="155"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Second Amended and Restated Certificate of Incorporation of ZoomInfo Technologies Inc.</w:t>
              </w:r>
            </w:hyperlink>
          </w:p>
        </w:tc>
        <w:tc>
          <w:tcPr>
            <w:tcW w:w="460" w:type="dxa"/>
            <w:vAlign w:val="bottom"/>
            <w:tcBorders>
              <w:bottom w:val="single" w:sz="8" w:color="CCEEFF"/>
            </w:tcBorders>
            <w:gridSpan w:val="9"/>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jc w:val="center"/>
              <w:ind w:right="25"/>
              <w:spacing w:after="0" w:line="155" w:lineRule="exact"/>
              <w:rPr>
                <w:sz w:val="20"/>
                <w:szCs w:val="20"/>
                <w:color w:val="auto"/>
              </w:rPr>
            </w:pPr>
            <w:r>
              <w:rPr>
                <w:rFonts w:ascii="Times New Roman" w:cs="Times New Roman" w:eastAsia="Times New Roman" w:hAnsi="Times New Roman"/>
                <w:sz w:val="14"/>
                <w:szCs w:val="14"/>
                <w:color w:val="auto"/>
              </w:rPr>
              <w:t>8-K filed May 19, 2022</w:t>
            </w:r>
          </w:p>
        </w:tc>
        <w:tc>
          <w:tcPr>
            <w:tcW w:w="138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001-39310</w:t>
            </w:r>
          </w:p>
        </w:tc>
        <w:tc>
          <w:tcPr>
            <w:tcW w:w="118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3.1</w:t>
            </w:r>
          </w:p>
        </w:tc>
      </w:tr>
      <w:tr>
        <w:trPr>
          <w:trHeight w:val="159"/>
        </w:trPr>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5640" w:type="dxa"/>
            <w:vAlign w:val="bottom"/>
            <w:gridSpan w:val="18"/>
          </w:tcPr>
          <w:p>
            <w:pPr>
              <w:spacing w:after="0" w:line="159"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Amended and Restated Bylaws of ZoomInfo Technologies Inc.</w:t>
              </w:r>
            </w:hyperlink>
          </w:p>
        </w:tc>
        <w:tc>
          <w:tcPr>
            <w:tcW w:w="2040" w:type="dxa"/>
            <w:vAlign w:val="bottom"/>
          </w:tcPr>
          <w:p>
            <w:pPr>
              <w:jc w:val="center"/>
              <w:ind w:right="45"/>
              <w:spacing w:after="0" w:line="159" w:lineRule="exact"/>
              <w:rPr>
                <w:sz w:val="20"/>
                <w:szCs w:val="20"/>
                <w:color w:val="auto"/>
              </w:rPr>
            </w:pPr>
            <w:r>
              <w:rPr>
                <w:rFonts w:ascii="Times New Roman" w:cs="Times New Roman" w:eastAsia="Times New Roman" w:hAnsi="Times New Roman"/>
                <w:sz w:val="14"/>
                <w:szCs w:val="14"/>
                <w:color w:val="auto"/>
              </w:rPr>
              <w:t>10-Q filed October 30, 2023</w:t>
            </w:r>
          </w:p>
        </w:tc>
        <w:tc>
          <w:tcPr>
            <w:tcW w:w="13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001-39310</w:t>
            </w:r>
          </w:p>
        </w:tc>
        <w:tc>
          <w:tcPr>
            <w:tcW w:w="11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3.2</w:t>
            </w:r>
          </w:p>
        </w:tc>
      </w:tr>
      <w:tr>
        <w:trPr>
          <w:trHeight w:val="46"/>
        </w:trPr>
        <w:tc>
          <w:tcPr>
            <w:tcW w:w="100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59"/>
        </w:trPr>
        <w:tc>
          <w:tcPr>
            <w:tcW w:w="10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56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Indenture, dated as of February 2, 2021, by and among ZoomInfo Technologies LLC, ZoomInfo</w:t>
              </w:r>
            </w:hyperlink>
          </w:p>
        </w:tc>
        <w:tc>
          <w:tcPr>
            <w:tcW w:w="2040" w:type="dxa"/>
            <w:vAlign w:val="bottom"/>
            <w:shd w:val="clear" w:color="auto" w:fill="CCEEFF"/>
          </w:tcPr>
          <w:p>
            <w:pPr>
              <w:jc w:val="center"/>
              <w:ind w:right="45"/>
              <w:spacing w:after="0" w:line="159" w:lineRule="exact"/>
              <w:rPr>
                <w:sz w:val="20"/>
                <w:szCs w:val="20"/>
                <w:color w:val="auto"/>
              </w:rPr>
            </w:pPr>
            <w:r>
              <w:rPr>
                <w:rFonts w:ascii="Times New Roman" w:cs="Times New Roman" w:eastAsia="Times New Roman" w:hAnsi="Times New Roman"/>
                <w:sz w:val="14"/>
                <w:szCs w:val="14"/>
                <w:color w:val="auto"/>
              </w:rPr>
              <w:t>8-K filed July 15, 2021</w:t>
            </w:r>
          </w:p>
        </w:tc>
        <w:tc>
          <w:tcPr>
            <w:tcW w:w="138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001-39310</w:t>
            </w:r>
          </w:p>
        </w:tc>
        <w:tc>
          <w:tcPr>
            <w:tcW w:w="118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4.1</w:t>
            </w:r>
          </w:p>
        </w:tc>
      </w:tr>
      <w:tr>
        <w:trPr>
          <w:trHeight w:val="152"/>
        </w:trPr>
        <w:tc>
          <w:tcPr>
            <w:tcW w:w="1000" w:type="dxa"/>
            <w:vAlign w:val="bottom"/>
            <w:tcBorders>
              <w:top w:val="single" w:sz="8" w:color="CCEEFF"/>
            </w:tcBorders>
            <w:shd w:val="clear" w:color="auto" w:fill="CCEEFF"/>
          </w:tcPr>
          <w:p>
            <w:pPr>
              <w:spacing w:after="0"/>
              <w:rPr>
                <w:sz w:val="13"/>
                <w:szCs w:val="13"/>
                <w:color w:val="auto"/>
              </w:rPr>
            </w:pPr>
          </w:p>
        </w:tc>
        <w:tc>
          <w:tcPr>
            <w:tcW w:w="5440" w:type="dxa"/>
            <w:vAlign w:val="bottom"/>
            <w:tcBorders>
              <w:top w:val="single" w:sz="8" w:color="0000FF"/>
            </w:tcBorders>
            <w:gridSpan w:val="16"/>
            <w:shd w:val="clear" w:color="auto" w:fill="CCEEFF"/>
          </w:tcPr>
          <w:p>
            <w:pPr>
              <w:spacing w:after="0" w:line="152"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Finance Corp., the guarantors named on the signature pages thereto, and Wells Fargo National</w:t>
              </w:r>
            </w:hyperlink>
          </w:p>
        </w:tc>
        <w:tc>
          <w:tcPr>
            <w:tcW w:w="200" w:type="dxa"/>
            <w:vAlign w:val="bottom"/>
            <w:tcBorders>
              <w:top w:val="single" w:sz="8" w:color="CCEEFF"/>
            </w:tcBorders>
            <w:gridSpan w:val="2"/>
            <w:shd w:val="clear" w:color="auto" w:fill="CCEEFF"/>
          </w:tcPr>
          <w:p>
            <w:pPr>
              <w:spacing w:after="0"/>
              <w:rPr>
                <w:sz w:val="13"/>
                <w:szCs w:val="13"/>
                <w:color w:val="auto"/>
              </w:rPr>
            </w:pPr>
          </w:p>
        </w:tc>
        <w:tc>
          <w:tcPr>
            <w:tcW w:w="204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r>
      <w:tr>
        <w:trPr>
          <w:trHeight w:val="185"/>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0000FF"/>
              <w:bottom w:val="single" w:sz="8" w:color="0000FF"/>
            </w:tcBorders>
            <w:gridSpan w:val="2"/>
            <w:shd w:val="clear" w:color="auto" w:fill="CCEEFF"/>
          </w:tcPr>
          <w:p>
            <w:pPr>
              <w:spacing w:after="0" w:line="152"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Association, as trustee</w:t>
              </w:r>
            </w:hyperlink>
          </w:p>
        </w:tc>
        <w:tc>
          <w:tcPr>
            <w:tcW w:w="404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32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204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59"/>
        </w:trPr>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4.2</w:t>
            </w:r>
          </w:p>
        </w:tc>
        <w:tc>
          <w:tcPr>
            <w:tcW w:w="5640" w:type="dxa"/>
            <w:vAlign w:val="bottom"/>
            <w:gridSpan w:val="18"/>
          </w:tcPr>
          <w:p>
            <w:pPr>
              <w:spacing w:after="0" w:line="159"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Supplemental Indenture, dated as of July 15, 2021, by and among ZoomInfo Technologies LLC,</w:t>
              </w:r>
            </w:hyperlink>
          </w:p>
        </w:tc>
        <w:tc>
          <w:tcPr>
            <w:tcW w:w="2040" w:type="dxa"/>
            <w:vAlign w:val="bottom"/>
          </w:tcPr>
          <w:p>
            <w:pPr>
              <w:jc w:val="center"/>
              <w:ind w:right="45"/>
              <w:spacing w:after="0" w:line="159" w:lineRule="exact"/>
              <w:rPr>
                <w:sz w:val="20"/>
                <w:szCs w:val="20"/>
                <w:color w:val="auto"/>
              </w:rPr>
            </w:pPr>
            <w:r>
              <w:rPr>
                <w:rFonts w:ascii="Times New Roman" w:cs="Times New Roman" w:eastAsia="Times New Roman" w:hAnsi="Times New Roman"/>
                <w:sz w:val="14"/>
                <w:szCs w:val="14"/>
                <w:color w:val="auto"/>
              </w:rPr>
              <w:t>8-K filed July 15, 2021</w:t>
            </w:r>
          </w:p>
        </w:tc>
        <w:tc>
          <w:tcPr>
            <w:tcW w:w="13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001-39310</w:t>
            </w:r>
          </w:p>
        </w:tc>
        <w:tc>
          <w:tcPr>
            <w:tcW w:w="11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4.2</w:t>
            </w:r>
          </w:p>
        </w:tc>
      </w:tr>
      <w:tr>
        <w:trPr>
          <w:trHeight w:val="152"/>
        </w:trPr>
        <w:tc>
          <w:tcPr>
            <w:tcW w:w="1000" w:type="dxa"/>
            <w:vAlign w:val="bottom"/>
          </w:tcPr>
          <w:p>
            <w:pPr>
              <w:spacing w:after="0"/>
              <w:rPr>
                <w:sz w:val="13"/>
                <w:szCs w:val="13"/>
                <w:color w:val="auto"/>
              </w:rPr>
            </w:pPr>
          </w:p>
        </w:tc>
        <w:tc>
          <w:tcPr>
            <w:tcW w:w="5440" w:type="dxa"/>
            <w:vAlign w:val="bottom"/>
            <w:tcBorders>
              <w:top w:val="single" w:sz="8" w:color="0000FF"/>
            </w:tcBorders>
            <w:gridSpan w:val="16"/>
          </w:tcPr>
          <w:p>
            <w:pPr>
              <w:spacing w:after="0" w:line="152"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ZoomInfo Finance Corp., the guarantors named on the signature pages thereto, and Wells Fargo</w:t>
              </w:r>
            </w:hyperlink>
          </w:p>
        </w:tc>
        <w:tc>
          <w:tcPr>
            <w:tcW w:w="200" w:type="dxa"/>
            <w:vAlign w:val="bottom"/>
            <w:gridSpan w:val="2"/>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1000" w:type="dxa"/>
            <w:vAlign w:val="bottom"/>
          </w:tcPr>
          <w:p>
            <w:pPr>
              <w:spacing w:after="0"/>
              <w:rPr>
                <w:sz w:val="13"/>
                <w:szCs w:val="13"/>
                <w:color w:val="auto"/>
              </w:rPr>
            </w:pPr>
          </w:p>
        </w:tc>
        <w:tc>
          <w:tcPr>
            <w:tcW w:w="5400" w:type="dxa"/>
            <w:vAlign w:val="bottom"/>
            <w:tcBorders>
              <w:top w:val="single" w:sz="8" w:color="0000FF"/>
            </w:tcBorders>
            <w:gridSpan w:val="14"/>
          </w:tcPr>
          <w:p>
            <w:pPr>
              <w:spacing w:after="0" w:line="152"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National Association, as trustee</w:t>
              </w:r>
            </w:hyperlink>
          </w:p>
        </w:tc>
        <w:tc>
          <w:tcPr>
            <w:tcW w:w="240" w:type="dxa"/>
            <w:vAlign w:val="bottom"/>
            <w:gridSpan w:val="4"/>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59"/>
        </w:trPr>
        <w:tc>
          <w:tcPr>
            <w:tcW w:w="10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4.3</w:t>
            </w:r>
          </w:p>
        </w:tc>
        <w:tc>
          <w:tcPr>
            <w:tcW w:w="56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Form of 3.875% Senior Note due 2029 (included in Exhibit 4.1)</w:t>
              </w:r>
            </w:hyperlink>
          </w:p>
        </w:tc>
        <w:tc>
          <w:tcPr>
            <w:tcW w:w="2040" w:type="dxa"/>
            <w:vAlign w:val="bottom"/>
            <w:shd w:val="clear" w:color="auto" w:fill="CCEEFF"/>
          </w:tcPr>
          <w:p>
            <w:pPr>
              <w:jc w:val="center"/>
              <w:ind w:right="45"/>
              <w:spacing w:after="0" w:line="159" w:lineRule="exact"/>
              <w:rPr>
                <w:sz w:val="20"/>
                <w:szCs w:val="20"/>
                <w:color w:val="auto"/>
              </w:rPr>
            </w:pPr>
            <w:r>
              <w:rPr>
                <w:rFonts w:ascii="Times New Roman" w:cs="Times New Roman" w:eastAsia="Times New Roman" w:hAnsi="Times New Roman"/>
                <w:sz w:val="14"/>
                <w:szCs w:val="14"/>
                <w:color w:val="auto"/>
              </w:rPr>
              <w:t>8-K filed July 15, 2021</w:t>
            </w:r>
          </w:p>
        </w:tc>
        <w:tc>
          <w:tcPr>
            <w:tcW w:w="138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001-39310</w:t>
            </w:r>
          </w:p>
        </w:tc>
        <w:tc>
          <w:tcPr>
            <w:tcW w:w="118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4.3</w:t>
            </w:r>
          </w:p>
        </w:tc>
      </w:tr>
      <w:tr>
        <w:trPr>
          <w:trHeight w:val="46"/>
        </w:trPr>
        <w:tc>
          <w:tcPr>
            <w:tcW w:w="10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159"/>
        </w:trPr>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10.1</w:t>
            </w:r>
          </w:p>
        </w:tc>
        <w:tc>
          <w:tcPr>
            <w:tcW w:w="5180" w:type="dxa"/>
            <w:vAlign w:val="bottom"/>
            <w:tcBorders>
              <w:bottom w:val="single" w:sz="8" w:color="0000FF"/>
            </w:tcBorders>
            <w:gridSpan w:val="9"/>
          </w:tcPr>
          <w:p>
            <w:pPr>
              <w:spacing w:after="0" w:line="159"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Amendment No. 8 to First Lien Credit Agreement, dated as of May 8, 2026, by and among</w:t>
              </w:r>
            </w:hyperlink>
          </w:p>
        </w:tc>
        <w:tc>
          <w:tcPr>
            <w:tcW w:w="460" w:type="dxa"/>
            <w:vAlign w:val="bottom"/>
            <w:gridSpan w:val="9"/>
          </w:tcPr>
          <w:p>
            <w:pPr>
              <w:spacing w:after="0"/>
              <w:rPr>
                <w:sz w:val="13"/>
                <w:szCs w:val="13"/>
                <w:color w:val="auto"/>
              </w:rPr>
            </w:pPr>
          </w:p>
        </w:tc>
        <w:tc>
          <w:tcPr>
            <w:tcW w:w="2040" w:type="dxa"/>
            <w:vAlign w:val="bottom"/>
          </w:tcPr>
          <w:p>
            <w:pPr>
              <w:jc w:val="center"/>
              <w:ind w:right="25"/>
              <w:spacing w:after="0" w:line="159" w:lineRule="exact"/>
              <w:rPr>
                <w:sz w:val="20"/>
                <w:szCs w:val="20"/>
                <w:color w:val="auto"/>
              </w:rPr>
            </w:pPr>
            <w:r>
              <w:rPr>
                <w:rFonts w:ascii="Times New Roman" w:cs="Times New Roman" w:eastAsia="Times New Roman" w:hAnsi="Times New Roman"/>
                <w:sz w:val="14"/>
                <w:szCs w:val="14"/>
                <w:color w:val="auto"/>
              </w:rPr>
              <w:t>8-K filed May 11, 2026</w:t>
            </w:r>
          </w:p>
        </w:tc>
        <w:tc>
          <w:tcPr>
            <w:tcW w:w="13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001-39310</w:t>
            </w:r>
          </w:p>
        </w:tc>
        <w:tc>
          <w:tcPr>
            <w:tcW w:w="11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10.1</w:t>
            </w:r>
          </w:p>
        </w:tc>
      </w:tr>
      <w:tr>
        <w:trPr>
          <w:trHeight w:val="152"/>
        </w:trPr>
        <w:tc>
          <w:tcPr>
            <w:tcW w:w="1000" w:type="dxa"/>
            <w:vAlign w:val="bottom"/>
          </w:tcPr>
          <w:p>
            <w:pPr>
              <w:spacing w:after="0"/>
              <w:rPr>
                <w:sz w:val="13"/>
                <w:szCs w:val="13"/>
                <w:color w:val="auto"/>
              </w:rPr>
            </w:pPr>
          </w:p>
        </w:tc>
        <w:tc>
          <w:tcPr>
            <w:tcW w:w="4800" w:type="dxa"/>
            <w:vAlign w:val="bottom"/>
            <w:tcBorders>
              <w:bottom w:val="single" w:sz="8" w:color="0000FF"/>
            </w:tcBorders>
            <w:gridSpan w:val="7"/>
          </w:tcPr>
          <w:p>
            <w:pPr>
              <w:spacing w:after="0" w:line="152"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ZoomInfo LLC (f/k/a DiscoverOrg, LLC), a Delaware limited liability company (the</w:t>
              </w:r>
            </w:hyperlink>
          </w:p>
        </w:tc>
        <w:tc>
          <w:tcPr>
            <w:tcW w:w="840" w:type="dxa"/>
            <w:vAlign w:val="bottom"/>
            <w:gridSpan w:val="11"/>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1000" w:type="dxa"/>
            <w:vAlign w:val="bottom"/>
          </w:tcPr>
          <w:p>
            <w:pPr>
              <w:spacing w:after="0"/>
              <w:rPr>
                <w:sz w:val="13"/>
                <w:szCs w:val="13"/>
                <w:color w:val="auto"/>
              </w:rPr>
            </w:pPr>
          </w:p>
        </w:tc>
        <w:tc>
          <w:tcPr>
            <w:tcW w:w="5640" w:type="dxa"/>
            <w:vAlign w:val="bottom"/>
            <w:gridSpan w:val="18"/>
          </w:tcPr>
          <w:p>
            <w:pPr>
              <w:spacing w:after="0" w:line="152"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“Borrower”), ZoomInfo Technologies LLC, a Delaware limited liability company (the “Co-</w:t>
              </w:r>
            </w:hyperlink>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2"/>
        </w:trPr>
        <w:tc>
          <w:tcPr>
            <w:tcW w:w="1000" w:type="dxa"/>
            <w:vAlign w:val="bottom"/>
          </w:tcPr>
          <w:p>
            <w:pPr>
              <w:spacing w:after="0"/>
              <w:rPr>
                <w:sz w:val="13"/>
                <w:szCs w:val="13"/>
                <w:color w:val="auto"/>
              </w:rPr>
            </w:pPr>
          </w:p>
        </w:tc>
        <w:tc>
          <w:tcPr>
            <w:tcW w:w="5640" w:type="dxa"/>
            <w:vAlign w:val="bottom"/>
            <w:gridSpan w:val="18"/>
          </w:tcPr>
          <w:p>
            <w:pPr>
              <w:spacing w:after="0" w:line="152"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Borrower”), ZoomInfo Midco LLC (f/k/a DiscoverOrg Midco, LLC), a Delaware limited liability</w:t>
              </w:r>
            </w:hyperlink>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39"/>
        </w:trPr>
        <w:tc>
          <w:tcPr>
            <w:tcW w:w="1000" w:type="dxa"/>
            <w:vAlign w:val="bottom"/>
          </w:tcPr>
          <w:p>
            <w:pPr>
              <w:spacing w:after="0"/>
              <w:rPr>
                <w:sz w:val="12"/>
                <w:szCs w:val="12"/>
                <w:color w:val="auto"/>
              </w:rPr>
            </w:pPr>
          </w:p>
        </w:tc>
        <w:tc>
          <w:tcPr>
            <w:tcW w:w="5180" w:type="dxa"/>
            <w:vAlign w:val="bottom"/>
            <w:tcBorders>
              <w:top w:val="single" w:sz="8" w:color="0000FF"/>
              <w:bottom w:val="single" w:sz="8" w:color="0000FF"/>
            </w:tcBorders>
            <w:gridSpan w:val="9"/>
          </w:tcPr>
          <w:p>
            <w:pPr>
              <w:spacing w:after="0" w:line="139"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company (“Holdings”), the other guarantors party thereto, each lender and L/C issuer party</w:t>
              </w:r>
            </w:hyperlink>
          </w:p>
        </w:tc>
        <w:tc>
          <w:tcPr>
            <w:tcW w:w="340" w:type="dxa"/>
            <w:vAlign w:val="bottom"/>
            <w:tcBorders>
              <w:top w:val="single" w:sz="8" w:color="0000FF"/>
            </w:tcBorders>
            <w:gridSpan w:val="8"/>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2"/>
        </w:trPr>
        <w:tc>
          <w:tcPr>
            <w:tcW w:w="1000" w:type="dxa"/>
            <w:vAlign w:val="bottom"/>
          </w:tcPr>
          <w:p>
            <w:pPr>
              <w:spacing w:after="0"/>
              <w:rPr>
                <w:sz w:val="13"/>
                <w:szCs w:val="13"/>
                <w:color w:val="auto"/>
              </w:rPr>
            </w:pPr>
          </w:p>
        </w:tc>
        <w:tc>
          <w:tcPr>
            <w:tcW w:w="5360" w:type="dxa"/>
            <w:vAlign w:val="bottom"/>
            <w:tcBorders>
              <w:bottom w:val="single" w:sz="8" w:color="0000FF"/>
            </w:tcBorders>
            <w:gridSpan w:val="12"/>
          </w:tcPr>
          <w:p>
            <w:pPr>
              <w:spacing w:after="0" w:line="152"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thereto, and Morgan Stanley Senior Funding, Inc., as administrative agent, collateral agent and</w:t>
              </w:r>
            </w:hyperlink>
          </w:p>
        </w:tc>
        <w:tc>
          <w:tcPr>
            <w:tcW w:w="280" w:type="dxa"/>
            <w:vAlign w:val="bottom"/>
            <w:gridSpan w:val="6"/>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1000" w:type="dxa"/>
            <w:vAlign w:val="bottom"/>
          </w:tcPr>
          <w:p>
            <w:pPr>
              <w:spacing w:after="0"/>
              <w:rPr>
                <w:sz w:val="13"/>
                <w:szCs w:val="13"/>
                <w:color w:val="auto"/>
              </w:rPr>
            </w:pPr>
          </w:p>
        </w:tc>
        <w:tc>
          <w:tcPr>
            <w:tcW w:w="5640" w:type="dxa"/>
            <w:vAlign w:val="bottom"/>
            <w:gridSpan w:val="18"/>
          </w:tcPr>
          <w:p>
            <w:pPr>
              <w:spacing w:after="0" w:line="152"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L/C issuer</w:t>
              </w:r>
            </w:hyperlink>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46"/>
        </w:trPr>
        <w:tc>
          <w:tcPr>
            <w:tcW w:w="100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59"/>
        </w:trPr>
        <w:tc>
          <w:tcPr>
            <w:tcW w:w="10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+31.1</w:t>
            </w:r>
          </w:p>
        </w:tc>
        <w:tc>
          <w:tcPr>
            <w:tcW w:w="5640" w:type="dxa"/>
            <w:vAlign w:val="bottom"/>
            <w:gridSpan w:val="1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 and 15d-</w:t>
            </w:r>
          </w:p>
        </w:tc>
        <w:tc>
          <w:tcPr>
            <w:tcW w:w="20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2"/>
        </w:trPr>
        <w:tc>
          <w:tcPr>
            <w:tcW w:w="1000" w:type="dxa"/>
            <w:vAlign w:val="bottom"/>
            <w:tcBorders>
              <w:top w:val="single" w:sz="8" w:color="CCEEFF"/>
            </w:tcBorders>
            <w:shd w:val="clear" w:color="auto" w:fill="CCEEFF"/>
          </w:tcPr>
          <w:p>
            <w:pPr>
              <w:spacing w:after="0"/>
              <w:rPr>
                <w:sz w:val="13"/>
                <w:szCs w:val="13"/>
                <w:color w:val="auto"/>
              </w:rPr>
            </w:pPr>
          </w:p>
        </w:tc>
        <w:tc>
          <w:tcPr>
            <w:tcW w:w="5420" w:type="dxa"/>
            <w:vAlign w:val="bottom"/>
            <w:tcBorders>
              <w:top w:val="single" w:sz="8" w:color="0000FF"/>
            </w:tcBorders>
            <w:gridSpan w:val="15"/>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14(a), as adopted pursuant to Section 302 of the Sarbanes-Oxley Act of 2002.</w:t>
            </w:r>
          </w:p>
        </w:tc>
        <w:tc>
          <w:tcPr>
            <w:tcW w:w="220" w:type="dxa"/>
            <w:vAlign w:val="bottom"/>
            <w:tcBorders>
              <w:top w:val="single" w:sz="8" w:color="CCEEFF"/>
            </w:tcBorders>
            <w:gridSpan w:val="3"/>
            <w:shd w:val="clear" w:color="auto" w:fill="CCEEFF"/>
          </w:tcPr>
          <w:p>
            <w:pPr>
              <w:spacing w:after="0"/>
              <w:rPr>
                <w:sz w:val="13"/>
                <w:szCs w:val="13"/>
                <w:color w:val="auto"/>
              </w:rPr>
            </w:pPr>
          </w:p>
        </w:tc>
        <w:tc>
          <w:tcPr>
            <w:tcW w:w="204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r>
      <w:tr>
        <w:trPr>
          <w:trHeight w:val="46"/>
        </w:trPr>
        <w:tc>
          <w:tcPr>
            <w:tcW w:w="10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159"/>
        </w:trPr>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+31.2</w:t>
            </w:r>
          </w:p>
        </w:tc>
        <w:tc>
          <w:tcPr>
            <w:tcW w:w="564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Exchange Act Rules 13a-14(a) and 15d-</w:t>
            </w: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2"/>
        </w:trPr>
        <w:tc>
          <w:tcPr>
            <w:tcW w:w="1000" w:type="dxa"/>
            <w:vAlign w:val="bottom"/>
          </w:tcPr>
          <w:p>
            <w:pPr>
              <w:spacing w:after="0"/>
              <w:rPr>
                <w:sz w:val="13"/>
                <w:szCs w:val="13"/>
                <w:color w:val="auto"/>
              </w:rPr>
            </w:pPr>
          </w:p>
        </w:tc>
        <w:tc>
          <w:tcPr>
            <w:tcW w:w="538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14(a), as adopted pursuant to Section 302 of the Sarbanes-Oxley Act of 2002.</w:t>
            </w:r>
          </w:p>
        </w:tc>
        <w:tc>
          <w:tcPr>
            <w:tcW w:w="260" w:type="dxa"/>
            <w:vAlign w:val="bottom"/>
            <w:gridSpan w:val="5"/>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46"/>
        </w:trPr>
        <w:tc>
          <w:tcPr>
            <w:tcW w:w="100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59"/>
        </w:trPr>
        <w:tc>
          <w:tcPr>
            <w:tcW w:w="100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+32.1*</w:t>
            </w:r>
          </w:p>
        </w:tc>
        <w:tc>
          <w:tcPr>
            <w:tcW w:w="5140" w:type="dxa"/>
            <w:vAlign w:val="bottom"/>
            <w:tcBorders>
              <w:bottom w:val="single" w:sz="8" w:color="0000FF"/>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Certifications of Principal Executive Officer and Principal Financial Officer pursuant to 18</w:t>
            </w:r>
          </w:p>
        </w:tc>
        <w:tc>
          <w:tcPr>
            <w:tcW w:w="500" w:type="dxa"/>
            <w:vAlign w:val="bottom"/>
            <w:tcBorders>
              <w:bottom w:val="single" w:sz="8" w:color="CCEEFF"/>
            </w:tcBorders>
            <w:gridSpan w:val="10"/>
            <w:shd w:val="clear" w:color="auto" w:fill="CCEEFF"/>
          </w:tcPr>
          <w:p>
            <w:pPr>
              <w:spacing w:after="0"/>
              <w:rPr>
                <w:sz w:val="13"/>
                <w:szCs w:val="13"/>
                <w:color w:val="auto"/>
              </w:rPr>
            </w:pPr>
          </w:p>
        </w:tc>
        <w:tc>
          <w:tcPr>
            <w:tcW w:w="20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r>
      <w:tr>
        <w:trPr>
          <w:trHeight w:val="198"/>
        </w:trPr>
        <w:tc>
          <w:tcPr>
            <w:tcW w:w="1000" w:type="dxa"/>
            <w:vAlign w:val="bottom"/>
            <w:shd w:val="clear" w:color="auto" w:fill="CCEEFF"/>
          </w:tcPr>
          <w:p>
            <w:pPr>
              <w:spacing w:after="0"/>
              <w:rPr>
                <w:sz w:val="17"/>
                <w:szCs w:val="17"/>
                <w:color w:val="auto"/>
              </w:rPr>
            </w:pPr>
          </w:p>
        </w:tc>
        <w:tc>
          <w:tcPr>
            <w:tcW w:w="5640" w:type="dxa"/>
            <w:vAlign w:val="bottom"/>
            <w:gridSpan w:val="1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 the Sarbanes-Oxley Act of 2002.</w:t>
            </w:r>
          </w:p>
        </w:tc>
        <w:tc>
          <w:tcPr>
            <w:tcW w:w="2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8"/>
        </w:trPr>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+101.INS</w:t>
            </w:r>
          </w:p>
        </w:tc>
        <w:tc>
          <w:tcPr>
            <w:tcW w:w="52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400" w:type="dxa"/>
            <w:vAlign w:val="bottom"/>
            <w:tcBorders>
              <w:top w:val="single" w:sz="8" w:color="CCEEFF"/>
            </w:tcBorders>
            <w:gridSpan w:val="8"/>
          </w:tcPr>
          <w:p>
            <w:pPr>
              <w:spacing w:after="0"/>
              <w:rPr>
                <w:sz w:val="16"/>
                <w:szCs w:val="16"/>
                <w:color w:val="auto"/>
              </w:rPr>
            </w:pPr>
          </w:p>
        </w:tc>
        <w:tc>
          <w:tcPr>
            <w:tcW w:w="204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r>
      <w:tr>
        <w:trPr>
          <w:trHeight w:val="38"/>
        </w:trPr>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5"/>
        </w:trPr>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564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20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8"/>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+101.CAL</w:t>
            </w:r>
          </w:p>
        </w:tc>
        <w:tc>
          <w:tcPr>
            <w:tcW w:w="56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8"/>
        </w:trPr>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5"/>
        </w:trPr>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+101.DEF</w:t>
            </w:r>
          </w:p>
        </w:tc>
        <w:tc>
          <w:tcPr>
            <w:tcW w:w="564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0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8"/>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+101.LAB</w:t>
            </w:r>
          </w:p>
        </w:tc>
        <w:tc>
          <w:tcPr>
            <w:tcW w:w="56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8"/>
        </w:trPr>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88"/>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+101.PRE</w:t>
            </w:r>
          </w:p>
        </w:tc>
        <w:tc>
          <w:tcPr>
            <w:tcW w:w="56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0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37"/>
        </w:trPr>
        <w:tc>
          <w:tcPr>
            <w:tcW w:w="10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pacing w:after="0" w:line="4" w:lineRule="exact"/>
        <w:rPr>
          <w:sz w:val="20"/>
          <w:szCs w:val="20"/>
          <w:color w:val="auto"/>
        </w:rPr>
      </w:pPr>
    </w:p>
    <w:p>
      <w:pPr>
        <w:ind w:left="1000" w:hanging="610"/>
        <w:spacing w:after="0"/>
        <w:tabs>
          <w:tab w:leader="none" w:pos="10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98" w:lineRule="exact"/>
        <w:rPr>
          <w:rFonts w:ascii="Times New Roman" w:cs="Times New Roman" w:eastAsia="Times New Roman" w:hAnsi="Times New Roman"/>
          <w:sz w:val="14"/>
          <w:szCs w:val="14"/>
          <w:color w:val="auto"/>
        </w:rPr>
      </w:pPr>
    </w:p>
    <w:p>
      <w:pPr>
        <w:ind w:left="120" w:hanging="114"/>
        <w:spacing w:after="0"/>
        <w:tabs>
          <w:tab w:leader="none" w:pos="1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161" w:lineRule="exact"/>
        <w:rPr>
          <w:sz w:val="20"/>
          <w:szCs w:val="20"/>
          <w:color w:val="auto"/>
        </w:rPr>
      </w:pPr>
    </w:p>
    <w:p>
      <w:pPr>
        <w:jc w:val="both"/>
        <w:ind w:firstLine="6"/>
        <w:spacing w:after="0" w:line="274" w:lineRule="auto"/>
        <w:tabs>
          <w:tab w:leader="none" w:pos="12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which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57" w:lineRule="exact"/>
        <w:rPr>
          <w:sz w:val="20"/>
          <w:szCs w:val="20"/>
          <w:color w:val="auto"/>
        </w:rPr>
      </w:pPr>
    </w:p>
    <w:p>
      <w:pPr>
        <w:ind w:left="7040"/>
        <w:spacing w:after="0"/>
        <w:tabs>
          <w:tab w:leader="none" w:pos="7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31750</wp:posOffset>
            </wp:positionV>
            <wp:extent cx="23641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5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M. Graham O’Brien</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(Principal Financial Officer and Authorized</w:t>
      </w:r>
    </w:p>
    <w:p>
      <w:pPr>
        <w:spacing w:after="0" w:line="24"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Signatory)</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27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44" w:lineRule="exact"/>
        <w:rPr>
          <w:sz w:val="20"/>
          <w:szCs w:val="20"/>
          <w:color w:val="auto"/>
        </w:rPr>
      </w:pPr>
    </w:p>
    <w:p>
      <w:pPr>
        <w:ind w:left="180" w:hanging="174"/>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120" w:hanging="318"/>
        <w:spacing w:after="0" w:line="274" w:lineRule="auto"/>
        <w:tabs>
          <w:tab w:leader="none" w:pos="9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56" w:name="page57"/>
    <w:bookmarkEnd w:id="56"/>
    <w:p>
      <w:pPr>
        <w:spacing w:after="0" w:line="200" w:lineRule="exact"/>
        <w:rPr>
          <w:sz w:val="20"/>
          <w:szCs w:val="20"/>
          <w:color w:val="auto"/>
        </w:rPr>
      </w:pPr>
    </w:p>
    <w:p>
      <w:pPr>
        <w:spacing w:after="0" w:line="3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51"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7"/>
          <w:szCs w:val="17"/>
          <w:color w:val="auto"/>
        </w:rPr>
        <w:t>Henry Schuck</w:t>
      </w:r>
    </w:p>
    <w:p>
      <w:pPr>
        <w:spacing w:after="0" w:line="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Graham O'Brien, certify that:</w:t>
      </w:r>
    </w:p>
    <w:p>
      <w:pPr>
        <w:spacing w:after="0" w:line="244" w:lineRule="exact"/>
        <w:rPr>
          <w:sz w:val="20"/>
          <w:szCs w:val="20"/>
          <w:color w:val="auto"/>
        </w:rPr>
      </w:pPr>
    </w:p>
    <w:p>
      <w:pPr>
        <w:ind w:left="180" w:hanging="174"/>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200" w:hanging="318"/>
        <w:spacing w:after="0" w:line="274" w:lineRule="auto"/>
        <w:tabs>
          <w:tab w:leader="none" w:pos="8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58" w:name="page59"/>
    <w:bookmarkEnd w:id="58"/>
    <w:p>
      <w:pPr>
        <w:spacing w:after="0" w:line="200" w:lineRule="exact"/>
        <w:rPr>
          <w:sz w:val="20"/>
          <w:szCs w:val="20"/>
          <w:color w:val="auto"/>
        </w:rPr>
      </w:pPr>
    </w:p>
    <w:p>
      <w:pPr>
        <w:spacing w:after="0" w:line="337"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7"/>
          <w:szCs w:val="17"/>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6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 Graham O'Brien</w:t>
      </w:r>
    </w:p>
    <w:p>
      <w:pPr>
        <w:spacing w:after="0" w:line="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4" w:lineRule="exact"/>
        <w:rPr>
          <w:sz w:val="20"/>
          <w:szCs w:val="20"/>
          <w:color w:val="auto"/>
        </w:rPr>
      </w:pPr>
    </w:p>
    <w:p>
      <w:pPr>
        <w:ind w:right="40" w:firstLine="636"/>
        <w:spacing w:after="0" w:line="291" w:lineRule="auto"/>
        <w:rPr>
          <w:sz w:val="20"/>
          <w:szCs w:val="20"/>
          <w:color w:val="auto"/>
        </w:rPr>
      </w:pPr>
      <w:r>
        <w:rPr>
          <w:rFonts w:ascii="Times New Roman" w:cs="Times New Roman" w:eastAsia="Times New Roman" w:hAnsi="Times New Roman"/>
          <w:sz w:val="18"/>
          <w:szCs w:val="18"/>
          <w:color w:val="auto"/>
        </w:rPr>
        <w:t>In connection with the Quarterly Report on Form 10-Q of ZoomInfo Technologies Inc. (the “Company”) for the quarterly period ended March 31, 2026 as filed with the Securities and Exchange Commission on the date hereof (the “Report”), Henry Schuck, as Chief Executive Officer of the Company, and M. Graham O'Brien, as Chief Financial Officer of the Company, each hereby certifies, pursuant to 18 U.S.C. § 1350, as adopted pursuant to § 906 of the Sarbanes-Oxley Act of 2002, that, to the best of his knowledge:</w:t>
      </w:r>
    </w:p>
    <w:p>
      <w:pPr>
        <w:spacing w:after="0" w:line="202" w:lineRule="exact"/>
        <w:rPr>
          <w:sz w:val="20"/>
          <w:szCs w:val="20"/>
          <w:color w:val="auto"/>
        </w:rPr>
      </w:pPr>
    </w:p>
    <w:p>
      <w:pPr>
        <w:ind w:left="900" w:hanging="25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8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 Graham O'Brien</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3"/>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lvl w:ilvl="1">
      <w:lvlJc w:val="left"/>
      <w:lvlText w:val="%2"/>
      <w:numFmt w:val="decimal"/>
      <w:start w:val="104"/>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02" Type="http://schemas.openxmlformats.org/officeDocument/2006/relationships/hyperlink" Target="https://www.sec.gov/Archives/edgar/data/1794515/000179451522000095/zi-ex31x20220518.htm" TargetMode="External"/><Relationship Id="rId103" Type="http://schemas.openxmlformats.org/officeDocument/2006/relationships/hyperlink" Target="https://www.sec.gov/Archives/edgar/data/1794515/000179451523000169/zi-ex32x20231030.htm" TargetMode="External"/><Relationship Id="rId104" Type="http://schemas.openxmlformats.org/officeDocument/2006/relationships/hyperlink" Target="https://www.sec.gov/Archives/edgar/data/0001794515/000179451521000034/exhibit041xclosingxindent.htm" TargetMode="External"/><Relationship Id="rId105" Type="http://schemas.openxmlformats.org/officeDocument/2006/relationships/hyperlink" Target="https://www.sec.gov/Archives/edgar/data/0001794515/000179451521000174/zi-8kex42x20210715.htm" TargetMode="External"/><Relationship Id="rId106" Type="http://schemas.openxmlformats.org/officeDocument/2006/relationships/hyperlink" Target="https://www.sec.gov/Archives/edgar/data/1794515/000179451521000034/exhibit041xclosingxindent.htm" TargetMode="External"/><Relationship Id="rId107" Type="http://schemas.openxmlformats.org/officeDocument/2006/relationships/hyperlink" Target="https://www.sec.gov/Archives/edgar/data/1794515/000179451526000032/gtm-8kex101x202505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2026-05-11T16:17:24Z</dcterms:created>
  <dcterms:modified xsi:type="dcterms:W3CDTF">2026-05-11T16:17:24Z</dcterms:modified>
</cp:coreProperties>
</file>