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207010</wp:posOffset>
            </wp:positionH>
            <wp:positionV relativeFrom="page">
              <wp:posOffset>652780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678180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81280</wp:posOffset>
            </wp:positionV>
            <wp:extent cx="1228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95250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680" w:hanging="356"/>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2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680" w:hanging="356"/>
        <w:spacing w:after="0"/>
        <w:tabs>
          <w:tab w:leader="none" w:pos="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60"/>
          </w:cols>
          <w:pgMar w:left="320" w:top="1186" w:right="319" w:bottom="1440" w:gutter="0" w:footer="0" w:header="0"/>
        </w:sectPr>
      </w:pPr>
    </w:p>
    <w:p>
      <w:pPr>
        <w:spacing w:after="0" w:line="12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85725</wp:posOffset>
            </wp:positionV>
            <wp:extent cx="1228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w:t>
      </w:r>
    </w:p>
    <w:p>
      <w:pPr>
        <w:spacing w:after="0" w:line="456" w:lineRule="exact"/>
        <w:rPr>
          <w:sz w:val="24"/>
          <w:szCs w:val="24"/>
          <w:color w:val="auto"/>
        </w:rPr>
      </w:pPr>
    </w:p>
    <w:p>
      <w:pPr>
        <w:sectPr>
          <w:pgSz w:w="11900" w:h="16838" w:orient="portrait"/>
          <w:cols w:equalWidth="0" w:num="2">
            <w:col w:w="6820" w:space="40"/>
            <w:col w:w="4400"/>
          </w:cols>
          <w:pgMar w:left="320" w:top="1186" w:right="319" w:bottom="1440" w:gutter="0" w:footer="0" w:header="0"/>
          <w:type w:val="continuous"/>
        </w:sectPr>
      </w:pP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393"/>
        </w:trPr>
        <w:tc>
          <w:tcPr>
            <w:tcW w:w="3500" w:type="dxa"/>
            <w:vAlign w:val="bottom"/>
          </w:tcPr>
          <w:p>
            <w:pPr>
              <w:spacing w:after="0"/>
              <w:rPr>
                <w:sz w:val="24"/>
                <w:szCs w:val="24"/>
                <w:color w:val="auto"/>
              </w:rPr>
            </w:pPr>
          </w:p>
        </w:tc>
        <w:tc>
          <w:tcPr>
            <w:tcW w:w="4360" w:type="dxa"/>
            <w:vAlign w:val="bottom"/>
            <w:gridSpan w:val="7"/>
          </w:tcPr>
          <w:p>
            <w:pPr>
              <w:jc w:val="center"/>
              <w:ind w:right="100"/>
              <w:spacing w:after="0"/>
              <w:rPr>
                <w:sz w:val="20"/>
                <w:szCs w:val="20"/>
                <w:color w:val="auto"/>
              </w:rPr>
            </w:pPr>
            <w:r>
              <w:rPr>
                <w:rFonts w:ascii="Times New Roman" w:cs="Times New Roman" w:eastAsia="Times New Roman" w:hAnsi="Times New Roman"/>
                <w:sz w:val="32"/>
                <w:szCs w:val="32"/>
                <w:b w:val="1"/>
                <w:bCs w:val="1"/>
                <w:color w:val="auto"/>
                <w:w w:val="98"/>
              </w:rPr>
              <w:t>ZoomInfo Technologies Inc.</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0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3500" w:type="dxa"/>
            <w:vAlign w:val="bottom"/>
            <w:vMerge w:val="restart"/>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0" w:type="dxa"/>
            <w:vAlign w:val="bottom"/>
            <w:vMerge w:val="restart"/>
          </w:tcPr>
          <w:p>
            <w:pPr>
              <w:jc w:val="right"/>
              <w:ind w:right="1491"/>
              <w:spacing w:after="0"/>
              <w:rPr>
                <w:sz w:val="20"/>
                <w:szCs w:val="20"/>
                <w:color w:val="auto"/>
              </w:rPr>
            </w:pPr>
            <w:r>
              <w:rPr>
                <w:rFonts w:ascii="Times New Roman" w:cs="Times New Roman" w:eastAsia="Times New Roman" w:hAnsi="Times New Roman"/>
                <w:sz w:val="14"/>
                <w:szCs w:val="14"/>
                <w:b w:val="1"/>
                <w:bCs w:val="1"/>
                <w:color w:val="auto"/>
              </w:rPr>
              <w:t>87-3037521</w:t>
            </w:r>
          </w:p>
        </w:tc>
        <w:tc>
          <w:tcPr>
            <w:tcW w:w="0" w:type="dxa"/>
            <w:vAlign w:val="bottom"/>
          </w:tcPr>
          <w:p>
            <w:pPr>
              <w:spacing w:after="0"/>
              <w:rPr>
                <w:sz w:val="1"/>
                <w:szCs w:val="1"/>
                <w:color w:val="auto"/>
              </w:rPr>
            </w:pPr>
          </w:p>
        </w:tc>
      </w:tr>
      <w:tr>
        <w:trPr>
          <w:trHeight w:val="340"/>
        </w:trPr>
        <w:tc>
          <w:tcPr>
            <w:tcW w:w="3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50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0" w:type="dxa"/>
            <w:vAlign w:val="bottom"/>
          </w:tcPr>
          <w:p>
            <w:pPr>
              <w:jc w:val="center"/>
              <w:ind w:right="31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350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0" w:type="dxa"/>
            <w:vAlign w:val="bottom"/>
          </w:tcPr>
          <w:p>
            <w:pPr>
              <w:jc w:val="center"/>
              <w:ind w:right="31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2"/>
        </w:trPr>
        <w:tc>
          <w:tcPr>
            <w:tcW w:w="3500" w:type="dxa"/>
            <w:vAlign w:val="bottom"/>
          </w:tcPr>
          <w:p>
            <w:pPr>
              <w:jc w:val="center"/>
              <w:ind w:left="510"/>
              <w:spacing w:after="0"/>
              <w:rPr>
                <w:sz w:val="20"/>
                <w:szCs w:val="20"/>
                <w:color w:val="auto"/>
              </w:rPr>
            </w:pPr>
            <w:r>
              <w:rPr>
                <w:rFonts w:ascii="Times New Roman" w:cs="Times New Roman" w:eastAsia="Times New Roman" w:hAnsi="Times New Roman"/>
                <w:sz w:val="14"/>
                <w:szCs w:val="14"/>
                <w:b w:val="1"/>
                <w:bCs w:val="1"/>
                <w:color w:val="auto"/>
              </w:rPr>
              <w:t>805 Broadway Street, Suite 900</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4"/>
        </w:trPr>
        <w:tc>
          <w:tcPr>
            <w:tcW w:w="350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w w:val="98"/>
              </w:rPr>
              <w:t>Vancouver, Washington</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tcPr>
          <w:p>
            <w:pPr>
              <w:jc w:val="right"/>
              <w:ind w:right="1491"/>
              <w:spacing w:after="0"/>
              <w:rPr>
                <w:sz w:val="20"/>
                <w:szCs w:val="20"/>
                <w:color w:val="auto"/>
              </w:rPr>
            </w:pPr>
            <w:r>
              <w:rPr>
                <w:rFonts w:ascii="Times New Roman" w:cs="Times New Roman" w:eastAsia="Times New Roman" w:hAnsi="Times New Roman"/>
                <w:sz w:val="14"/>
                <w:szCs w:val="14"/>
                <w:b w:val="1"/>
                <w:bCs w:val="1"/>
                <w:color w:val="auto"/>
              </w:rPr>
              <w:t>98660</w:t>
            </w:r>
          </w:p>
        </w:tc>
        <w:tc>
          <w:tcPr>
            <w:tcW w:w="0" w:type="dxa"/>
            <w:vAlign w:val="bottom"/>
          </w:tcPr>
          <w:p>
            <w:pPr>
              <w:spacing w:after="0"/>
              <w:rPr>
                <w:sz w:val="1"/>
                <w:szCs w:val="1"/>
                <w:color w:val="auto"/>
              </w:rPr>
            </w:pPr>
          </w:p>
        </w:tc>
      </w:tr>
      <w:tr>
        <w:trPr>
          <w:trHeight w:val="384"/>
        </w:trPr>
        <w:tc>
          <w:tcPr>
            <w:tcW w:w="3500" w:type="dxa"/>
            <w:vAlign w:val="bottom"/>
          </w:tcPr>
          <w:p>
            <w:pPr>
              <w:jc w:val="center"/>
              <w:ind w:left="51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tcPr>
          <w:p>
            <w:pPr>
              <w:jc w:val="right"/>
              <w:ind w:right="1351"/>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25"/>
        </w:trPr>
        <w:tc>
          <w:tcPr>
            <w:tcW w:w="3500" w:type="dxa"/>
            <w:vAlign w:val="bottom"/>
          </w:tcPr>
          <w:p>
            <w:pPr>
              <w:spacing w:after="0"/>
              <w:rPr>
                <w:sz w:val="19"/>
                <w:szCs w:val="19"/>
                <w:color w:val="auto"/>
              </w:rPr>
            </w:pPr>
          </w:p>
        </w:tc>
        <w:tc>
          <w:tcPr>
            <w:tcW w:w="3100" w:type="dxa"/>
            <w:vAlign w:val="bottom"/>
            <w:gridSpan w:val="4"/>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(800) 914-1220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350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3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0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26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tcBorders>
              <w:right w:val="single" w:sz="8" w:color="auto"/>
            </w:tcBorders>
            <w:gridSpan w:val="3"/>
          </w:tcPr>
          <w:p>
            <w:pPr>
              <w:jc w:val="center"/>
              <w:ind w:right="1080"/>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340" w:type="dxa"/>
            <w:vAlign w:val="bottom"/>
          </w:tcPr>
          <w:p>
            <w:pPr>
              <w:spacing w:after="0"/>
              <w:rPr>
                <w:sz w:val="14"/>
                <w:szCs w:val="14"/>
                <w:color w:val="auto"/>
              </w:rPr>
            </w:pPr>
          </w:p>
        </w:tc>
        <w:tc>
          <w:tcPr>
            <w:tcW w:w="3400" w:type="dxa"/>
            <w:vAlign w:val="bottom"/>
            <w:tcBorders>
              <w:right w:val="single" w:sz="8" w:color="auto"/>
            </w:tcBorders>
          </w:tcPr>
          <w:p>
            <w:pPr>
              <w:jc w:val="center"/>
              <w:ind w:right="311"/>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c>
          <w:tcPr>
            <w:tcW w:w="0" w:type="dxa"/>
            <w:vAlign w:val="bottom"/>
          </w:tcPr>
          <w:p>
            <w:pPr>
              <w:spacing w:after="0"/>
              <w:rPr>
                <w:sz w:val="1"/>
                <w:szCs w:val="1"/>
                <w:color w:val="auto"/>
              </w:rPr>
            </w:pPr>
          </w:p>
        </w:tc>
      </w:tr>
      <w:tr>
        <w:trPr>
          <w:trHeight w:val="30"/>
        </w:trPr>
        <w:tc>
          <w:tcPr>
            <w:tcW w:w="350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0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6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tcBorders>
              <w:right w:val="single" w:sz="8" w:color="auto"/>
            </w:tcBorders>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3"/>
              </w:rPr>
              <w:t>ZI</w:t>
            </w:r>
          </w:p>
        </w:tc>
        <w:tc>
          <w:tcPr>
            <w:tcW w:w="340" w:type="dxa"/>
            <w:vAlign w:val="bottom"/>
          </w:tcPr>
          <w:p>
            <w:pPr>
              <w:spacing w:after="0"/>
              <w:rPr>
                <w:sz w:val="20"/>
                <w:szCs w:val="20"/>
                <w:color w:val="auto"/>
              </w:rPr>
            </w:pPr>
          </w:p>
        </w:tc>
        <w:tc>
          <w:tcPr>
            <w:tcW w:w="3400" w:type="dxa"/>
            <w:vAlign w:val="bottom"/>
            <w:tcBorders>
              <w:right w:val="single" w:sz="8" w:color="auto"/>
            </w:tcBorders>
          </w:tcPr>
          <w:p>
            <w:pPr>
              <w:jc w:val="center"/>
              <w:ind w:right="311"/>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25"/>
        </w:trPr>
        <w:tc>
          <w:tcPr>
            <w:tcW w:w="350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3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9" w:lineRule="exact"/>
        <w:rPr>
          <w:sz w:val="24"/>
          <w:szCs w:val="24"/>
          <w:color w:val="auto"/>
        </w:rPr>
      </w:pPr>
    </w:p>
    <w:p>
      <w:pPr>
        <w:jc w:val="both"/>
        <w:ind w:right="20" w:firstLine="318"/>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right="20" w:firstLine="318"/>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6" w:lineRule="exact"/>
        <w:rPr>
          <w:sz w:val="24"/>
          <w:szCs w:val="24"/>
          <w:color w:val="auto"/>
        </w:rPr>
      </w:pPr>
    </w:p>
    <w:p>
      <w:pPr>
        <w:jc w:val="both"/>
        <w:ind w:right="20" w:firstLine="318"/>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60"/>
              <w:spacing w:after="0"/>
              <w:rPr>
                <w:sz w:val="20"/>
                <w:szCs w:val="20"/>
                <w:color w:val="auto"/>
              </w:rPr>
            </w:pPr>
            <w:r>
              <w:rPr>
                <w:rFonts w:ascii="Times New Roman" w:cs="Times New Roman" w:eastAsia="Times New Roman" w:hAnsi="Times New Roman"/>
                <w:sz w:val="14"/>
                <w:szCs w:val="14"/>
                <w:color w:val="auto"/>
              </w:rPr>
              <w:t>Accelerated filer</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5"/>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15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5300" w:type="dxa"/>
            <w:vAlign w:val="bottom"/>
          </w:tcPr>
          <w:p>
            <w:pPr>
              <w:ind w:left="3560"/>
              <w:spacing w:after="0"/>
              <w:rPr>
                <w:sz w:val="20"/>
                <w:szCs w:val="20"/>
                <w:color w:val="auto"/>
              </w:rPr>
            </w:pPr>
            <w:r>
              <w:rPr>
                <w:rFonts w:ascii="Times New Roman" w:cs="Times New Roman" w:eastAsia="Times New Roman" w:hAnsi="Times New Roman"/>
                <w:sz w:val="14"/>
                <w:szCs w:val="14"/>
                <w:color w:val="auto"/>
              </w:rPr>
              <w:t>Emerging growth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2" w:lineRule="exact"/>
        <w:rPr>
          <w:sz w:val="24"/>
          <w:szCs w:val="24"/>
          <w:color w:val="auto"/>
        </w:rPr>
      </w:pPr>
    </w:p>
    <w:p>
      <w:pPr>
        <w:ind w:right="20" w:firstLine="318"/>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9" w:lineRule="exact"/>
        <w:rPr>
          <w:sz w:val="24"/>
          <w:szCs w:val="24"/>
          <w:color w:val="auto"/>
        </w:rPr>
      </w:pPr>
    </w:p>
    <w:p>
      <w:pPr>
        <w:ind w:left="320"/>
        <w:spacing w:after="0" w:line="161" w:lineRule="exact"/>
        <w:tabs>
          <w:tab w:leader="none" w:pos="73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116840</wp:posOffset>
            </wp:positionV>
            <wp:extent cx="1228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April 30, 2024, there were 373,918,562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993140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643890</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60"/>
          </w:cols>
          <w:pgMar w:left="320" w:top="1186" w:right="319" w:bottom="1440" w:gutter="0" w:footer="0" w:header="0"/>
          <w:type w:val="continuous"/>
        </w:sectPr>
      </w:pPr>
    </w:p>
    <w:bookmarkStart w:id="1" w:name="page2"/>
    <w:bookmarkEnd w:id="1"/>
    <w:p>
      <w:pPr>
        <w:spacing w:after="0" w:line="11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6"/>
        </w:trPr>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92"/>
        </w:trPr>
        <w:tc>
          <w:tcPr>
            <w:tcW w:w="10440" w:type="dxa"/>
            <w:vAlign w:val="bottom"/>
            <w:gridSpan w:val="24"/>
          </w:tcPr>
          <w:p>
            <w:pPr>
              <w:spacing w:after="0" w:line="192" w:lineRule="exact"/>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360" w:type="dxa"/>
            <w:vAlign w:val="bottom"/>
          </w:tcPr>
          <w:p>
            <w:pPr>
              <w:spacing w:after="0"/>
              <w:rPr>
                <w:sz w:val="16"/>
                <w:szCs w:val="16"/>
                <w:color w:val="auto"/>
              </w:rPr>
            </w:pPr>
          </w:p>
        </w:tc>
        <w:tc>
          <w:tcPr>
            <w:tcW w:w="420" w:type="dxa"/>
            <w:vAlign w:val="bottom"/>
            <w:gridSpan w:val="2"/>
          </w:tcPr>
          <w:p>
            <w:pPr>
              <w:jc w:val="center"/>
              <w:ind w:right="340"/>
              <w:spacing w:after="0" w:line="192" w:lineRule="exact"/>
              <w:rPr>
                <w:sz w:val="20"/>
                <w:szCs w:val="20"/>
                <w:color w:val="auto"/>
              </w:rPr>
            </w:pPr>
            <w:r>
              <w:rPr>
                <w:rFonts w:ascii="Times New Roman" w:cs="Times New Roman" w:eastAsia="Times New Roman" w:hAnsi="Times New Roman"/>
                <w:sz w:val="18"/>
                <w:szCs w:val="18"/>
                <w:color w:val="0000FF"/>
                <w:w w:val="79"/>
              </w:rPr>
              <w:t>ii</w:t>
            </w:r>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57"/>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80" w:type="dxa"/>
            <w:vAlign w:val="bottom"/>
            <w:gridSpan w:val="8"/>
          </w:tcPr>
          <w:p>
            <w:pPr>
              <w:jc w:val="center"/>
              <w:ind w:right="3400"/>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5"/>
        </w:trPr>
        <w:tc>
          <w:tcPr>
            <w:tcW w:w="4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880" w:type="dxa"/>
            <w:vAlign w:val="bottom"/>
            <w:tcBorders>
              <w:top w:val="single" w:sz="8" w:color="0000FF"/>
            </w:tcBorders>
            <w:gridSpan w:val="7"/>
          </w:tcPr>
          <w:p>
            <w:pPr>
              <w:spacing w:after="0"/>
              <w:rPr>
                <w:sz w:val="21"/>
                <w:szCs w:val="21"/>
                <w:color w:val="auto"/>
              </w:rPr>
            </w:pPr>
          </w:p>
        </w:tc>
        <w:tc>
          <w:tcPr>
            <w:tcW w:w="3400" w:type="dxa"/>
            <w:vAlign w:val="bottom"/>
          </w:tcPr>
          <w:p>
            <w:pPr>
              <w:spacing w:after="0"/>
              <w:rPr>
                <w:sz w:val="21"/>
                <w:szCs w:val="21"/>
                <w:color w:val="auto"/>
              </w:rPr>
            </w:pP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1</w:t>
            </w:r>
          </w:p>
        </w:tc>
        <w:tc>
          <w:tcPr>
            <w:tcW w:w="340" w:type="dxa"/>
            <w:vAlign w:val="bottom"/>
          </w:tcPr>
          <w:p>
            <w:pPr>
              <w:spacing w:after="0"/>
              <w:rPr>
                <w:sz w:val="21"/>
                <w:szCs w:val="2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2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520" w:type="dxa"/>
            <w:vAlign w:val="bottom"/>
            <w:gridSpan w:val="13"/>
          </w:tcPr>
          <w:p>
            <w:pPr>
              <w:spacing w:after="0"/>
              <w:rPr>
                <w:sz w:val="21"/>
                <w:szCs w:val="21"/>
                <w:color w:val="auto"/>
              </w:rPr>
            </w:pP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2</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3</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4</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3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Consolidated Statements of Changes in Equity</w:t>
            </w:r>
          </w:p>
        </w:tc>
        <w:tc>
          <w:tcPr>
            <w:tcW w:w="360" w:type="dxa"/>
            <w:vAlign w:val="bottom"/>
            <w:gridSpan w:val="3"/>
          </w:tcPr>
          <w:p>
            <w:pPr>
              <w:spacing w:after="0"/>
              <w:rPr>
                <w:sz w:val="21"/>
                <w:szCs w:val="21"/>
                <w:color w:val="auto"/>
              </w:rPr>
            </w:pPr>
          </w:p>
        </w:tc>
        <w:tc>
          <w:tcPr>
            <w:tcW w:w="6140" w:type="dxa"/>
            <w:vAlign w:val="bottom"/>
            <w:gridSpan w:val="7"/>
          </w:tcPr>
          <w:p>
            <w:pPr>
              <w:spacing w:after="0"/>
              <w:rPr>
                <w:sz w:val="21"/>
                <w:szCs w:val="21"/>
                <w:color w:val="auto"/>
              </w:rPr>
            </w:pP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5</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480" w:type="dxa"/>
            <w:vAlign w:val="bottom"/>
          </w:tcPr>
          <w:p>
            <w:pPr>
              <w:spacing w:after="0"/>
              <w:rPr>
                <w:sz w:val="21"/>
                <w:szCs w:val="21"/>
                <w:color w:val="auto"/>
              </w:rPr>
            </w:pPr>
          </w:p>
        </w:tc>
        <w:tc>
          <w:tcPr>
            <w:tcW w:w="6500" w:type="dxa"/>
            <w:vAlign w:val="bottom"/>
            <w:gridSpan w:val="10"/>
          </w:tcPr>
          <w:p>
            <w:pPr>
              <w:spacing w:after="0"/>
              <w:rPr>
                <w:sz w:val="21"/>
                <w:szCs w:val="21"/>
                <w:color w:val="auto"/>
              </w:rPr>
            </w:pP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6</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44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000FF"/>
              </w:rPr>
              <w:t>8</w:t>
            </w:r>
          </w:p>
        </w:tc>
        <w:tc>
          <w:tcPr>
            <w:tcW w:w="34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45"/>
        </w:trPr>
        <w:tc>
          <w:tcPr>
            <w:tcW w:w="686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58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55</w:t>
            </w:r>
          </w:p>
        </w:tc>
        <w:tc>
          <w:tcPr>
            <w:tcW w:w="340" w:type="dxa"/>
            <w:vAlign w:val="bottom"/>
          </w:tcPr>
          <w:p>
            <w:pPr>
              <w:spacing w:after="0"/>
              <w:rPr>
                <w:sz w:val="21"/>
                <w:szCs w:val="21"/>
                <w:color w:val="auto"/>
              </w:rPr>
            </w:pPr>
          </w:p>
        </w:tc>
      </w:tr>
      <w:tr>
        <w:trPr>
          <w:trHeight w:val="245"/>
        </w:trPr>
        <w:tc>
          <w:tcPr>
            <w:tcW w:w="48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5620" w:type="dxa"/>
            <w:vAlign w:val="bottom"/>
            <w:gridSpan w:val="4"/>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56</w:t>
            </w:r>
          </w:p>
        </w:tc>
        <w:tc>
          <w:tcPr>
            <w:tcW w:w="340" w:type="dxa"/>
            <w:vAlign w:val="bottom"/>
          </w:tcPr>
          <w:p>
            <w:pPr>
              <w:spacing w:after="0"/>
              <w:rPr>
                <w:sz w:val="21"/>
                <w:szCs w:val="21"/>
                <w:color w:val="auto"/>
              </w:rPr>
            </w:pPr>
          </w:p>
        </w:tc>
      </w:tr>
      <w:tr>
        <w:trPr>
          <w:trHeight w:val="245"/>
        </w:trPr>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PART II - OTHER INFORMATION</w:t>
            </w:r>
          </w:p>
        </w:tc>
        <w:tc>
          <w:tcPr>
            <w:tcW w:w="354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r>
      <w:tr>
        <w:trPr>
          <w:trHeight w:val="245"/>
        </w:trPr>
        <w:tc>
          <w:tcPr>
            <w:tcW w:w="2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620" w:type="dxa"/>
            <w:vAlign w:val="bottom"/>
            <w:gridSpan w:val="14"/>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57</w:t>
            </w:r>
          </w:p>
        </w:tc>
        <w:tc>
          <w:tcPr>
            <w:tcW w:w="340" w:type="dxa"/>
            <w:vAlign w:val="bottom"/>
          </w:tcPr>
          <w:p>
            <w:pPr>
              <w:spacing w:after="0"/>
              <w:rPr>
                <w:sz w:val="21"/>
                <w:szCs w:val="2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57</w:t>
            </w:r>
          </w:p>
        </w:tc>
      </w:tr>
      <w:tr>
        <w:trPr>
          <w:trHeight w:val="20"/>
        </w:trPr>
        <w:tc>
          <w:tcPr>
            <w:tcW w:w="7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00" w:type="dxa"/>
            <w:vAlign w:val="bottom"/>
            <w:gridSpan w:val="10"/>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45"/>
        </w:trPr>
        <w:tc>
          <w:tcPr>
            <w:tcW w:w="104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57</w:t>
            </w:r>
          </w:p>
        </w:tc>
        <w:tc>
          <w:tcPr>
            <w:tcW w:w="340" w:type="dxa"/>
            <w:vAlign w:val="bottom"/>
          </w:tcPr>
          <w:p>
            <w:pPr>
              <w:spacing w:after="0"/>
              <w:rPr>
                <w:sz w:val="21"/>
                <w:szCs w:val="21"/>
                <w:color w:val="auto"/>
              </w:rPr>
            </w:pPr>
          </w:p>
        </w:tc>
      </w:tr>
      <w:tr>
        <w:trPr>
          <w:trHeight w:val="245"/>
        </w:trPr>
        <w:tc>
          <w:tcPr>
            <w:tcW w:w="104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57</w:t>
            </w:r>
          </w:p>
        </w:tc>
        <w:tc>
          <w:tcPr>
            <w:tcW w:w="340" w:type="dxa"/>
            <w:vAlign w:val="bottom"/>
          </w:tcPr>
          <w:p>
            <w:pPr>
              <w:spacing w:after="0"/>
              <w:rPr>
                <w:sz w:val="21"/>
                <w:szCs w:val="21"/>
                <w:color w:val="auto"/>
              </w:rPr>
            </w:pPr>
          </w:p>
        </w:tc>
      </w:tr>
      <w:tr>
        <w:trPr>
          <w:trHeight w:val="245"/>
        </w:trPr>
        <w:tc>
          <w:tcPr>
            <w:tcW w:w="104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58</w:t>
            </w:r>
          </w:p>
        </w:tc>
        <w:tc>
          <w:tcPr>
            <w:tcW w:w="340" w:type="dxa"/>
            <w:vAlign w:val="bottom"/>
          </w:tcPr>
          <w:p>
            <w:pPr>
              <w:spacing w:after="0"/>
              <w:rPr>
                <w:sz w:val="21"/>
                <w:szCs w:val="21"/>
                <w:color w:val="auto"/>
              </w:rPr>
            </w:pPr>
          </w:p>
        </w:tc>
      </w:tr>
      <w:tr>
        <w:trPr>
          <w:trHeight w:val="245"/>
        </w:trPr>
        <w:tc>
          <w:tcPr>
            <w:tcW w:w="1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Item 5. Other Information</w:t>
            </w:r>
          </w:p>
        </w:tc>
        <w:tc>
          <w:tcPr>
            <w:tcW w:w="8600" w:type="dxa"/>
            <w:vAlign w:val="bottom"/>
            <w:gridSpan w:val="18"/>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58</w:t>
            </w:r>
          </w:p>
        </w:tc>
        <w:tc>
          <w:tcPr>
            <w:tcW w:w="340" w:type="dxa"/>
            <w:vAlign w:val="bottom"/>
          </w:tcPr>
          <w:p>
            <w:pPr>
              <w:spacing w:after="0"/>
              <w:rPr>
                <w:sz w:val="21"/>
                <w:szCs w:val="21"/>
                <w:color w:val="auto"/>
              </w:rPr>
            </w:pPr>
          </w:p>
        </w:tc>
      </w:tr>
      <w:tr>
        <w:trPr>
          <w:trHeight w:val="245"/>
        </w:trPr>
        <w:tc>
          <w:tcPr>
            <w:tcW w:w="11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Item 6. Exhibits</w:t>
            </w:r>
          </w:p>
        </w:tc>
        <w:tc>
          <w:tcPr>
            <w:tcW w:w="9300" w:type="dxa"/>
            <w:vAlign w:val="bottom"/>
            <w:gridSpan w:val="20"/>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59</w:t>
            </w:r>
          </w:p>
        </w:tc>
        <w:tc>
          <w:tcPr>
            <w:tcW w:w="340" w:type="dxa"/>
            <w:vAlign w:val="bottom"/>
          </w:tcPr>
          <w:p>
            <w:pPr>
              <w:spacing w:after="0"/>
              <w:rPr>
                <w:sz w:val="21"/>
                <w:szCs w:val="2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60</w:t>
            </w:r>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170180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are some of the factors that could cause actual results to differ from those expressed or implied by our forward-looking statements, including forward-looking statements contained in this Quarterly Report on Form 10-Q, other factors described under “Risk Factors” in Part I, Item 1A of our Annual Report on Form 10-K of ZoomInfo Technologies Inc. for the fiscal year ended December 31, 2023 as filed with the Securities and Exchange Commission (“SEC”) on February 15, 2024 (“2023 Form 10-K”), and in other reports we file from time to time with the SEC: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68" w:lineRule="exact"/>
        <w:rPr>
          <w:sz w:val="20"/>
          <w:szCs w:val="20"/>
          <w:color w:val="auto"/>
        </w:rPr>
      </w:pPr>
    </w:p>
    <w:p>
      <w:pPr>
        <w:ind w:left="640" w:hanging="316"/>
        <w:spacing w:after="0" w:line="257"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customers may reduce spending on sales, marketing, recruiting and other technology and information as a result of weaker economic conditions, which could harm our revenue, results of operations, and cash flows;</w:t>
      </w:r>
    </w:p>
    <w:p>
      <w:pPr>
        <w:ind w:left="640" w:hanging="316"/>
        <w:spacing w:after="0" w:line="245"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new customers, renew existing subscriptions, or expand existing subscriptions, which could harm our revenue growth and profitability;</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and maintain accurate, comprehensive, or reliable data, we could experience reduced demand for our products and services and have an adverse effect on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well-funded companies with significant resources may shift their existing business models to become more competitive with us;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competition from other companies and technologies that allow companies to gather and aggregate sales, marketing, recruiting, and other data, and competing products and services could provide greater appeal to customers;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compete are rapidly evolving, which make it difficult to forecast demand for our services;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integrates or otherwise works with third-party systems that we do not control;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affected by changes in search engine algorithms and dynamics or other traffic-generating arrangements;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executive officers and other key employees, and the loss of or inability to attract, integrate and retain these and other highly skilled employees could harm our business;</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upgrade, or implement adequate operational and financial resources, including our IT systems, we may be unable to execute our business plan; and</w:t>
      </w:r>
    </w:p>
    <w:p>
      <w:pPr>
        <w:spacing w:after="0" w:line="1" w:lineRule="exact"/>
        <w:rPr>
          <w:rFonts w:ascii="Times New Roman" w:cs="Times New Roman" w:eastAsia="Times New Roman" w:hAnsi="Times New Roman"/>
          <w:sz w:val="18"/>
          <w:szCs w:val="18"/>
          <w:color w:val="auto"/>
        </w:rPr>
      </w:pPr>
    </w:p>
    <w:p>
      <w:pPr>
        <w:ind w:left="640" w:hanging="316"/>
        <w:spacing w:after="0" w:line="251" w:lineRule="auto"/>
        <w:tabs>
          <w:tab w:leader="none" w:pos="6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integrate acquired businesses, services, databases, and technologies into our operations, which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Privacy, Technology, and Security</w:t>
      </w:r>
    </w:p>
    <w:p>
      <w:pPr>
        <w:spacing w:after="0" w:line="168" w:lineRule="exact"/>
        <w:rPr>
          <w:sz w:val="20"/>
          <w:szCs w:val="20"/>
          <w:color w:val="auto"/>
        </w:rPr>
      </w:pPr>
    </w:p>
    <w:p>
      <w:pPr>
        <w:jc w:val="both"/>
        <w:ind w:left="640" w:hanging="316"/>
        <w:spacing w:after="0" w:line="253" w:lineRule="auto"/>
        <w:tabs>
          <w:tab w:leader="none" w:pos="6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ind w:left="640" w:hanging="316"/>
        <w:spacing w:after="0" w:line="245" w:lineRule="auto"/>
        <w:tabs>
          <w:tab w:leader="none" w:pos="6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for any of a variety of claims, which could harm our reputation and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may diminish the demand for our platform, restrict access to our platform, constrain the range of services we can provide, or require us to disclose or provide access to information in our possession, which could harm our business, results of operations, and financial condition;</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or enforce our proprietary and intellectual property rights in our data or technology;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artificial intelligence (“AI”) capability introduces risks, which, if realized, could adversely impact our business;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Third-parties could use our products and services in a manner that is unlawful or contrary to our values or applicable law;</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could result in serious harm to our reputation, business, and financial condition; and</w:t>
      </w:r>
    </w:p>
    <w:p>
      <w:pPr>
        <w:spacing w:after="0" w:line="5" w:lineRule="exact"/>
        <w:rPr>
          <w:rFonts w:ascii="Times New Roman" w:cs="Times New Roman" w:eastAsia="Times New Roman" w:hAnsi="Times New Roman"/>
          <w:sz w:val="18"/>
          <w:szCs w:val="18"/>
          <w:color w:val="auto"/>
        </w:rPr>
      </w:pPr>
    </w:p>
    <w:p>
      <w:pPr>
        <w:ind w:left="640" w:hanging="316"/>
        <w:spacing w:after="0" w:line="251"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problems or disruptions that affect either our customers’ ability to access our services could damage our reputation and brands and lead to reduced demand for our products and services, lower revenues, and increased costs.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Credit and Financial Factors</w:t>
      </w:r>
    </w:p>
    <w:p>
      <w:pPr>
        <w:spacing w:after="0" w:line="168" w:lineRule="exact"/>
        <w:rPr>
          <w:sz w:val="20"/>
          <w:szCs w:val="20"/>
          <w:color w:val="auto"/>
        </w:rPr>
      </w:pPr>
    </w:p>
    <w:p>
      <w:pPr>
        <w:ind w:left="640" w:hanging="316"/>
        <w:spacing w:after="0" w:line="257"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revenue from sales of subscriptions to our platform and data, and any decline in demand for the types of products and services we offer would negatively impact our business;</w:t>
      </w:r>
    </w:p>
    <w:p>
      <w:pPr>
        <w:ind w:left="640" w:hanging="316"/>
        <w:spacing w:after="0" w:line="245"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Downturns or upturns in new sales and renewals are not immediately reflected in full within our results of operations;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increasing operating expenses in the future, and we may not be able to maintain profitability;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indebtedness could adversely affect our financial position and our ability to raise additional capital and prevent us from fulfilling our obligations;</w:t>
      </w:r>
    </w:p>
    <w:p>
      <w:pPr>
        <w:spacing w:after="0" w:line="16"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may affect our results of operations and financial condition;</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and other ratings could adversely impact our operations and lower our profitability;</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tax developments applicable to multinational businesses may have a material impact to our business, cash flows, or financial results. The Organization for Economic Co-operation and Development has proposed significant changes to the international tax law framework in the form of the Pillar Two model rules which seek to implement a global minimum tax. The potential effects of Pillar Two may vary depending on the specific provisions and rules implemented by each country that adopts Pillar Two;</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effective tax rate and additional tax liabilities may impact our financial results; and</w:t>
      </w:r>
    </w:p>
    <w:p>
      <w:pPr>
        <w:spacing w:after="0" w:line="5" w:lineRule="exact"/>
        <w:rPr>
          <w:rFonts w:ascii="Times New Roman" w:cs="Times New Roman" w:eastAsia="Times New Roman" w:hAnsi="Times New Roman"/>
          <w:sz w:val="18"/>
          <w:szCs w:val="18"/>
          <w:color w:val="auto"/>
        </w:rPr>
      </w:pPr>
    </w:p>
    <w:p>
      <w:pPr>
        <w:ind w:left="640" w:hanging="316"/>
        <w:spacing w:after="0" w:line="251"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Geopolitical Factors</w:t>
      </w:r>
    </w:p>
    <w:p>
      <w:pPr>
        <w:spacing w:after="0" w:line="168"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sales outside the United States expose us to risks inherent in international operations; and</w:t>
      </w:r>
    </w:p>
    <w:p>
      <w:pPr>
        <w:spacing w:after="0" w:line="24" w:lineRule="exact"/>
        <w:rPr>
          <w:rFonts w:ascii="Times New Roman" w:cs="Times New Roman" w:eastAsia="Times New Roman" w:hAnsi="Times New Roman"/>
          <w:sz w:val="18"/>
          <w:szCs w:val="18"/>
          <w:color w:val="auto"/>
        </w:rPr>
      </w:pPr>
    </w:p>
    <w:p>
      <w:pPr>
        <w:jc w:val="both"/>
        <w:ind w:left="640" w:hanging="316"/>
        <w:spacing w:after="0" w:line="24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catastrophic events, including global pandemics, continued hostilities such as those between Russia and Ukraine, and Israel and Hamas, and other conflicts in the Middle East, have and may disrupt our business and adversely impact our business and future results of operations and financial condition.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Organizational Structure and Ownership of Our Common Stock</w:t>
      </w:r>
    </w:p>
    <w:p>
      <w:pPr>
        <w:spacing w:after="0" w:line="168" w:lineRule="exact"/>
        <w:rPr>
          <w:sz w:val="20"/>
          <w:szCs w:val="20"/>
          <w:color w:val="auto"/>
        </w:rPr>
      </w:pPr>
    </w:p>
    <w:p>
      <w:pPr>
        <w:ind w:left="640" w:hanging="316"/>
        <w:spacing w:after="0" w:line="257"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and our tax receivable agreements may restrict our ability to make certain payments, increase the costs to consummate certain transactions, and limit our ability to realize the value of certain tax attributes; and</w:t>
      </w: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our stockholders agreement have special rights and interests that may conflict with ours or yours in the future.</w:t>
      </w:r>
    </w:p>
    <w:p>
      <w:pPr>
        <w:spacing w:after="0" w:line="14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intends to use its website as a distribution channel of material company information. Financial and other important information regarding the Company is routinely posted on and accessible through the Company’s website at https://ir.zoominfo.com. Accordingly, you should monitor the investor relations portion of our website at https://ir.zoominfo.com in addition to following our press releases, SEC filings, and public conference calls and webcasts (which are not incorporated herein or otherwise a part of this Form 10-Q).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6"/>
              </w:rPr>
              <w:t>PART I - FINANCIAL INFORMATION</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1"/>
        </w:trPr>
        <w:tc>
          <w:tcPr>
            <w:tcW w:w="93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8"/>
        </w:trPr>
        <w:tc>
          <w:tcPr>
            <w:tcW w:w="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7"/>
              </w:rPr>
              <w:t>INDEX TO FINANCIAL STATEMENTS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6"/>
        </w:trPr>
        <w:tc>
          <w:tcPr>
            <w:tcW w:w="930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 of ZoomInfo Technologies Inc. and Subsidiaries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9"/>
        </w:trPr>
        <w:tc>
          <w:tcPr>
            <w:tcW w:w="560" w:type="dxa"/>
            <w:vAlign w:val="bottom"/>
          </w:tcPr>
          <w:p>
            <w:pPr>
              <w:spacing w:after="0"/>
              <w:rPr>
                <w:sz w:val="24"/>
                <w:szCs w:val="24"/>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56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45"/>
        </w:trPr>
        <w:tc>
          <w:tcPr>
            <w:tcW w:w="560" w:type="dxa"/>
            <w:vAlign w:val="bottom"/>
          </w:tcPr>
          <w:p>
            <w:pPr>
              <w:spacing w:after="0"/>
              <w:rPr>
                <w:sz w:val="21"/>
                <w:szCs w:val="21"/>
                <w:color w:val="auto"/>
              </w:rPr>
            </w:pPr>
          </w:p>
        </w:tc>
        <w:tc>
          <w:tcPr>
            <w:tcW w:w="2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Consolidated Statements of Operations</w:t>
            </w:r>
          </w:p>
        </w:tc>
        <w:tc>
          <w:tcPr>
            <w:tcW w:w="5980" w:type="dxa"/>
            <w:vAlign w:val="bottom"/>
            <w:gridSpan w:val="5"/>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r>
      <w:tr>
        <w:trPr>
          <w:trHeight w:val="245"/>
        </w:trPr>
        <w:tc>
          <w:tcPr>
            <w:tcW w:w="560" w:type="dxa"/>
            <w:vAlign w:val="bottom"/>
          </w:tcPr>
          <w:p>
            <w:pPr>
              <w:spacing w:after="0"/>
              <w:rPr>
                <w:sz w:val="21"/>
                <w:szCs w:val="21"/>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56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45"/>
        </w:trPr>
        <w:tc>
          <w:tcPr>
            <w:tcW w:w="560" w:type="dxa"/>
            <w:vAlign w:val="bottom"/>
          </w:tcPr>
          <w:p>
            <w:pPr>
              <w:spacing w:after="0"/>
              <w:rPr>
                <w:sz w:val="21"/>
                <w:szCs w:val="21"/>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45"/>
        </w:trPr>
        <w:tc>
          <w:tcPr>
            <w:tcW w:w="560" w:type="dxa"/>
            <w:vAlign w:val="bottom"/>
          </w:tcPr>
          <w:p>
            <w:pPr>
              <w:spacing w:after="0"/>
              <w:rPr>
                <w:sz w:val="21"/>
                <w:szCs w:val="21"/>
                <w:color w:val="auto"/>
              </w:rPr>
            </w:pPr>
          </w:p>
        </w:tc>
        <w:tc>
          <w:tcPr>
            <w:tcW w:w="42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44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r>
      <w:tr>
        <w:trPr>
          <w:trHeight w:val="20"/>
        </w:trPr>
        <w:tc>
          <w:tcPr>
            <w:tcW w:w="56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45"/>
        </w:trPr>
        <w:tc>
          <w:tcPr>
            <w:tcW w:w="560" w:type="dxa"/>
            <w:vAlign w:val="bottom"/>
          </w:tcPr>
          <w:p>
            <w:pPr>
              <w:spacing w:after="0"/>
              <w:rPr>
                <w:sz w:val="21"/>
                <w:szCs w:val="21"/>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56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i w:val="1"/>
          <w:iCs w:val="1"/>
          <w:color w:val="auto"/>
        </w:rPr>
        <w:t>(in millions, except share data)</w:t>
      </w:r>
    </w:p>
    <w:p>
      <w:pPr>
        <w:spacing w:after="0" w:line="143" w:lineRule="exact"/>
        <w:rPr>
          <w:sz w:val="20"/>
          <w:szCs w:val="20"/>
          <w:color w:val="auto"/>
        </w:rPr>
      </w:pPr>
    </w:p>
    <w:tbl>
      <w:tblPr>
        <w:tblLayout w:type="fixed"/>
        <w:tblInd w:w="160" w:type="dxa"/>
        <w:tblCellMar>
          <w:top w:w="0" w:type="dxa"/>
          <w:left w:w="0" w:type="dxa"/>
          <w:bottom w:w="0" w:type="dxa"/>
          <w:right w:w="0" w:type="dxa"/>
        </w:tblCellMar>
      </w:tblPr>
      <w:tr>
        <w:trPr>
          <w:trHeight w:val="233"/>
        </w:trPr>
        <w:tc>
          <w:tcPr>
            <w:tcW w:w="7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80" w:type="dxa"/>
            <w:vAlign w:val="bottom"/>
          </w:tcPr>
          <w:p>
            <w:pPr>
              <w:spacing w:after="0"/>
              <w:rPr>
                <w:sz w:val="20"/>
                <w:szCs w:val="20"/>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
        </w:trPr>
        <w:tc>
          <w:tcPr>
            <w:tcW w:w="7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3"/>
        </w:trPr>
        <w:tc>
          <w:tcPr>
            <w:tcW w:w="7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7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7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4"/>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 current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6"/>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3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r>
      <w:tr>
        <w:trPr>
          <w:trHeight w:val="73"/>
        </w:trPr>
        <w:tc>
          <w:tcPr>
            <w:tcW w:w="776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w:t>
            </w:r>
          </w:p>
        </w:tc>
      </w:tr>
      <w:tr>
        <w:trPr>
          <w:trHeight w:val="23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3,707.1</w:t>
            </w:r>
          </w:p>
        </w:tc>
      </w:tr>
      <w:tr>
        <w:trPr>
          <w:trHeight w:val="26"/>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33"/>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6,868.3</w:t>
            </w:r>
          </w:p>
        </w:tc>
      </w:tr>
      <w:tr>
        <w:trPr>
          <w:trHeight w:val="25"/>
        </w:trPr>
        <w:tc>
          <w:tcPr>
            <w:tcW w:w="7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84"/>
        </w:trPr>
        <w:tc>
          <w:tcPr>
            <w:tcW w:w="77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r>
        <w:trPr>
          <w:trHeight w:val="240"/>
        </w:trPr>
        <w:tc>
          <w:tcPr>
            <w:tcW w:w="77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340" w:type="dxa"/>
            <w:vAlign w:val="bottom"/>
            <w:tcBorders>
              <w:top w:val="single" w:sz="8" w:color="CCEEFF"/>
            </w:tcBorders>
          </w:tcPr>
          <w:p>
            <w:pPr>
              <w:spacing w:after="0"/>
              <w:rPr>
                <w:sz w:val="20"/>
                <w:szCs w:val="20"/>
                <w:color w:val="auto"/>
              </w:rPr>
            </w:pP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Unearned revenue, current portion</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tax receivable agreements liability</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r>
      <w:tr>
        <w:trPr>
          <w:trHeight w:val="126"/>
        </w:trPr>
        <w:tc>
          <w:tcPr>
            <w:tcW w:w="77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Unearned revenue,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receivable agreements liability, net of current portion</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2,786.6</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1,226.4</w:t>
            </w:r>
          </w:p>
        </w:tc>
      </w:tr>
      <w:tr>
        <w:trPr>
          <w:trHeight w:val="25"/>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w:t>
            </w:r>
          </w:p>
        </w:tc>
      </w:tr>
      <w:tr>
        <w:trPr>
          <w:trHeight w:val="73"/>
        </w:trPr>
        <w:tc>
          <w:tcPr>
            <w:tcW w:w="776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r>
      <w:tr>
        <w:trPr>
          <w:trHeight w:val="245"/>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93"/>
        </w:trPr>
        <w:tc>
          <w:tcPr>
            <w:tcW w:w="7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45"/>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Common stock, par value $0.01; 3,300,000,000 shares authorized as of March 31, 2024 and December 31,</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2"/>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2023; 376,156,650 and 384,830,529 issued and outstanding as of March 31, 2024 and December 31, 2023,</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1"/>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16510</wp:posOffset>
            </wp:positionV>
            <wp:extent cx="6932930" cy="302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32930" cy="302895"/>
                    </a:xfrm>
                    <a:prstGeom prst="rect">
                      <a:avLst/>
                    </a:prstGeom>
                    <a:noFill/>
                  </pic:spPr>
                </pic:pic>
              </a:graphicData>
            </a:graphic>
          </wp:anchor>
        </w:drawing>
      </w:r>
    </w:p>
    <w:p>
      <w:pPr>
        <w:sectPr>
          <w:pgSz w:w="11900" w:h="16838" w:orient="portrait"/>
          <w:cols w:equalWidth="0" w:num="1">
            <w:col w:w="11080"/>
          </w:cols>
          <w:pgMar w:left="320" w:top="118" w:right="499" w:bottom="146" w:gutter="0" w:footer="0" w:header="0"/>
        </w:sectPr>
      </w:pPr>
    </w:p>
    <w:p>
      <w:pPr>
        <w:spacing w:after="0" w:line="34" w:lineRule="exact"/>
        <w:rPr>
          <w:sz w:val="20"/>
          <w:szCs w:val="20"/>
          <w:color w:val="auto"/>
        </w:rPr>
      </w:pPr>
    </w:p>
    <w:p>
      <w:pPr>
        <w:ind w:left="280" w:right="480"/>
        <w:spacing w:after="0" w:line="274" w:lineRule="auto"/>
        <w:rPr>
          <w:sz w:val="20"/>
          <w:szCs w:val="20"/>
          <w:color w:val="auto"/>
        </w:rPr>
      </w:pPr>
      <w:r>
        <w:rPr>
          <w:rFonts w:ascii="Times New Roman" w:cs="Times New Roman" w:eastAsia="Times New Roman" w:hAnsi="Times New Roman"/>
          <w:sz w:val="18"/>
          <w:szCs w:val="18"/>
          <w:color w:val="auto"/>
        </w:rPr>
        <w:t>Preferred stock, par value $0.01; 200,000,000 shares authorized as of March 31, 2024 and December 31, 2023; zero issued and outstanding as of March 31, 2024 and December 31, 2023</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31750</wp:posOffset>
            </wp:positionV>
            <wp:extent cx="6932930" cy="168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32930" cy="168275"/>
                    </a:xfrm>
                    <a:prstGeom prst="rect">
                      <a:avLst/>
                    </a:prstGeom>
                    <a:noFill/>
                  </pic:spPr>
                </pic:pic>
              </a:graphicData>
            </a:graphic>
          </wp:anchor>
        </w:drawing>
      </w:r>
    </w:p>
    <w:p>
      <w:pPr>
        <w:spacing w:after="0" w:line="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71"/>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w w:val="92"/>
              </w:rPr>
              <w:t>1,676.3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1,804.9</w:t>
            </w:r>
          </w:p>
        </w:tc>
      </w:tr>
      <w:tr>
        <w:trPr>
          <w:trHeight w:val="265"/>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27.5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65"/>
        </w:trPr>
        <w:tc>
          <w:tcPr>
            <w:tcW w:w="10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298.4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r>
    </w:tbl>
    <w:p>
      <w:pPr>
        <w:spacing w:after="0" w:line="6" w:lineRule="exact"/>
        <w:rPr>
          <w:sz w:val="20"/>
          <w:szCs w:val="20"/>
          <w:color w:val="auto"/>
        </w:rPr>
      </w:pPr>
    </w:p>
    <w:p>
      <w:pPr>
        <w:sectPr>
          <w:pgSz w:w="11900" w:h="16838" w:orient="portrait"/>
          <w:cols w:equalWidth="0" w:num="2">
            <w:col w:w="8140" w:space="720"/>
            <w:col w:w="2220"/>
          </w:cols>
          <w:pgMar w:left="320" w:top="118" w:right="499" w:bottom="146" w:gutter="0" w:footer="0" w:header="0"/>
          <w:type w:val="continuous"/>
        </w:sectPr>
      </w:pPr>
    </w:p>
    <w:tbl>
      <w:tblPr>
        <w:tblLayout w:type="fixed"/>
        <w:tblInd w:w="160" w:type="dxa"/>
        <w:tblCellMar>
          <w:top w:w="0" w:type="dxa"/>
          <w:left w:w="0" w:type="dxa"/>
          <w:bottom w:w="0" w:type="dxa"/>
          <w:right w:w="0" w:type="dxa"/>
        </w:tblCellMar>
      </w:tblPr>
      <w:tr>
        <w:trPr>
          <w:trHeight w:val="278"/>
        </w:trPr>
        <w:tc>
          <w:tcPr>
            <w:tcW w:w="7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20" w:type="dxa"/>
            <w:vAlign w:val="bottom"/>
            <w:tcBorders>
              <w:top w:val="single" w:sz="8" w:color="auto"/>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CCEEFF"/>
            </w:tcBorders>
            <w:shd w:val="clear" w:color="auto" w:fill="CCEEFF"/>
          </w:tcPr>
          <w:p>
            <w:pPr>
              <w:spacing w:after="0"/>
              <w:rPr>
                <w:sz w:val="24"/>
                <w:szCs w:val="24"/>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2,119.3</w:t>
            </w:r>
          </w:p>
        </w:tc>
      </w:tr>
      <w:tr>
        <w:trPr>
          <w:trHeight w:val="233"/>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5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6,753.9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6,868.3</w:t>
            </w:r>
          </w:p>
        </w:tc>
      </w:tr>
      <w:tr>
        <w:trPr>
          <w:trHeight w:val="26"/>
        </w:trPr>
        <w:tc>
          <w:tcPr>
            <w:tcW w:w="7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080"/>
          </w:cols>
          <w:pgMar w:left="320" w:top="118" w:right="499" w:bottom="146" w:gutter="0" w:footer="0" w:header="0"/>
          <w:type w:val="continuous"/>
        </w:sectPr>
      </w:pPr>
    </w:p>
    <w:p>
      <w:pPr>
        <w:spacing w:after="0" w:line="2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192405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80"/>
          </w:cols>
          <w:pgMar w:left="320" w:top="118" w:right="499" w:bottom="146"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4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 unaudited)</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7500" w:type="dxa"/>
            <w:vAlign w:val="bottom"/>
          </w:tcPr>
          <w:p>
            <w:pPr>
              <w:spacing w:after="0"/>
              <w:rPr>
                <w:sz w:val="20"/>
                <w:szCs w:val="20"/>
                <w:color w:val="auto"/>
              </w:rPr>
            </w:pPr>
          </w:p>
        </w:tc>
        <w:tc>
          <w:tcPr>
            <w:tcW w:w="31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75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50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5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23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w:t>
            </w: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(1)</w:t>
            </w:r>
          </w:p>
        </w:tc>
        <w:tc>
          <w:tcPr>
            <w:tcW w:w="1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40"/>
        </w:trPr>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5"/>
        </w:trPr>
        <w:tc>
          <w:tcPr>
            <w:tcW w:w="75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3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w:t>
            </w:r>
          </w:p>
        </w:tc>
        <w:tc>
          <w:tcPr>
            <w:tcW w:w="1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65"/>
        </w:trPr>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w:t>
            </w:r>
          </w:p>
        </w:tc>
        <w:tc>
          <w:tcPr>
            <w:tcW w:w="1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65"/>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w:t>
            </w:r>
          </w:p>
        </w:tc>
        <w:tc>
          <w:tcPr>
            <w:tcW w:w="1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9"/>
        </w:trPr>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1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6"/>
        </w:trPr>
        <w:tc>
          <w:tcPr>
            <w:tcW w:w="7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Restructuring and transaction-related expenses</w:t>
            </w:r>
          </w:p>
        </w:tc>
        <w:tc>
          <w:tcPr>
            <w:tcW w:w="1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3"/>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tcBorders>
              <w:top w:val="single" w:sz="8" w:color="auto"/>
            </w:tcBorders>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80" w:type="dxa"/>
            <w:vAlign w:val="bottom"/>
          </w:tcPr>
          <w:p>
            <w:pPr>
              <w:spacing w:after="0"/>
              <w:rPr>
                <w:sz w:val="20"/>
                <w:szCs w:val="20"/>
                <w:color w:val="auto"/>
              </w:rPr>
            </w:pPr>
          </w:p>
        </w:tc>
        <w:tc>
          <w:tcPr>
            <w:tcW w:w="1240" w:type="dxa"/>
            <w:vAlign w:val="bottom"/>
            <w:tcBorders>
              <w:top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5"/>
        </w:trPr>
        <w:tc>
          <w:tcPr>
            <w:tcW w:w="75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40"/>
        </w:trPr>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5"/>
        </w:trPr>
        <w:tc>
          <w:tcPr>
            <w:tcW w:w="7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0"/>
        </w:trPr>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loss (income), net</w:t>
            </w:r>
          </w:p>
        </w:tc>
        <w:tc>
          <w:tcPr>
            <w:tcW w:w="1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5"/>
        </w:trPr>
        <w:tc>
          <w:tcPr>
            <w:tcW w:w="75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4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5"/>
        </w:trPr>
        <w:tc>
          <w:tcPr>
            <w:tcW w:w="75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per share of common stock:</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4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Amounts include equity-based compensation expense, as follows:</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6860" w:type="dxa"/>
            <w:vAlign w:val="bottom"/>
          </w:tcPr>
          <w:p>
            <w:pPr>
              <w:spacing w:after="0"/>
              <w:rPr>
                <w:sz w:val="19"/>
                <w:szCs w:val="19"/>
                <w:color w:val="auto"/>
              </w:rPr>
            </w:pPr>
          </w:p>
        </w:tc>
        <w:tc>
          <w:tcPr>
            <w:tcW w:w="3100" w:type="dxa"/>
            <w:vAlign w:val="bottom"/>
            <w:tcBorders>
              <w:bottom w:val="single" w:sz="8" w:color="auto"/>
            </w:tcBorders>
            <w:gridSpan w:val="4"/>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9"/>
                <w:szCs w:val="19"/>
                <w:color w:val="auto"/>
              </w:rPr>
            </w:pPr>
          </w:p>
        </w:tc>
      </w:tr>
      <w:tr>
        <w:trPr>
          <w:trHeight w:val="232"/>
        </w:trPr>
        <w:tc>
          <w:tcPr>
            <w:tcW w:w="68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20"/>
                <w:szCs w:val="20"/>
                <w:color w:val="auto"/>
              </w:rPr>
            </w:pPr>
          </w:p>
        </w:tc>
      </w:tr>
      <w:tr>
        <w:trPr>
          <w:trHeight w:val="23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1220" w:type="dxa"/>
            <w:vAlign w:val="bottom"/>
            <w:shd w:val="clear" w:color="auto" w:fill="CCEEFF"/>
          </w:tcPr>
          <w:p>
            <w:pPr>
              <w:jc w:val="right"/>
              <w:ind w:right="10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4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32"/>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64"/>
        </w:trPr>
        <w:tc>
          <w:tcPr>
            <w:tcW w:w="6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1220" w:type="dxa"/>
            <w:vAlign w:val="bottom"/>
            <w:tcBorders>
              <w:bottom w:val="single" w:sz="8" w:color="auto"/>
            </w:tcBorders>
            <w:shd w:val="clear" w:color="auto" w:fill="CCEEFF"/>
          </w:tcPr>
          <w:p>
            <w:pPr>
              <w:jc w:val="right"/>
              <w:ind w:right="10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millions; unaudited)</w:t>
      </w:r>
    </w:p>
    <w:p>
      <w:pPr>
        <w:spacing w:after="0" w:line="315"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33020</wp:posOffset>
            </wp:positionV>
            <wp:extent cx="23641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51" w:lineRule="exact"/>
        <w:rPr>
          <w:sz w:val="20"/>
          <w:szCs w:val="20"/>
          <w:color w:val="auto"/>
        </w:rPr>
      </w:pPr>
    </w:p>
    <w:p>
      <w:pPr>
        <w:ind w:left="8240"/>
        <w:spacing w:after="0"/>
        <w:tabs>
          <w:tab w:leader="none" w:pos="101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33020</wp:posOffset>
            </wp:positionV>
            <wp:extent cx="2364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
        </w:trPr>
        <w:tc>
          <w:tcPr>
            <w:tcW w:w="7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Realized gain on settlement of cash flow hedges</w:t>
            </w:r>
          </w:p>
        </w:tc>
        <w:tc>
          <w:tcPr>
            <w:tcW w:w="7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6"/>
        </w:trPr>
        <w:tc>
          <w:tcPr>
            <w:tcW w:w="7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7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losses related to the dedesignated Interest Rate Swap</w:t>
            </w:r>
          </w:p>
        </w:tc>
        <w:tc>
          <w:tcPr>
            <w:tcW w:w="7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3"/>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76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5"/>
        </w:trPr>
        <w:tc>
          <w:tcPr>
            <w:tcW w:w="7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75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Tax effect</w:t>
            </w:r>
          </w:p>
        </w:tc>
        <w:tc>
          <w:tcPr>
            <w:tcW w:w="7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3"/>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6"/>
        </w:trPr>
        <w:tc>
          <w:tcPr>
            <w:tcW w:w="7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share data; 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 2024</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gridSpan w:val="6"/>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tcBorders>
              <w:bottom w:val="single" w:sz="8" w:color="auto"/>
            </w:tcBorders>
            <w:gridSpan w:val="6"/>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00"/>
              <w:spacing w:after="0" w:line="193"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1420" w:type="dxa"/>
            <w:vAlign w:val="bottom"/>
            <w:gridSpan w:val="3"/>
          </w:tcPr>
          <w:p>
            <w:pPr>
              <w:jc w:val="center"/>
              <w:ind w:right="80"/>
              <w:spacing w:after="0" w:line="193"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6"/>
                <w:szCs w:val="16"/>
                <w:color w:val="auto"/>
              </w:rPr>
            </w:pPr>
          </w:p>
        </w:tc>
        <w:tc>
          <w:tcPr>
            <w:tcW w:w="98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6"/>
                <w:szCs w:val="16"/>
                <w:color w:val="auto"/>
              </w:rPr>
            </w:pPr>
          </w:p>
        </w:tc>
        <w:tc>
          <w:tcPr>
            <w:tcW w:w="1120" w:type="dxa"/>
            <w:vAlign w:val="bottom"/>
          </w:tcPr>
          <w:p>
            <w:pPr>
              <w:jc w:val="center"/>
              <w:ind w:right="32"/>
              <w:spacing w:after="0" w:line="193" w:lineRule="exact"/>
              <w:rPr>
                <w:sz w:val="20"/>
                <w:szCs w:val="20"/>
                <w:color w:val="auto"/>
              </w:rPr>
            </w:pPr>
            <w:r>
              <w:rPr>
                <w:rFonts w:ascii="Times New Roman" w:cs="Times New Roman" w:eastAsia="Times New Roman" w:hAnsi="Times New Roman"/>
                <w:sz w:val="18"/>
                <w:szCs w:val="18"/>
                <w:b w:val="1"/>
                <w:bCs w:val="1"/>
                <w:color w:val="auto"/>
                <w:w w:val="97"/>
              </w:rPr>
              <w:t>stockholders'</w:t>
            </w:r>
          </w:p>
        </w:tc>
        <w:tc>
          <w:tcPr>
            <w:tcW w:w="0" w:type="dxa"/>
            <w:vAlign w:val="bottom"/>
          </w:tcPr>
          <w:p>
            <w:pPr>
              <w:spacing w:after="0"/>
              <w:rPr>
                <w:sz w:val="1"/>
                <w:szCs w:val="1"/>
                <w:color w:val="auto"/>
              </w:rPr>
            </w:pPr>
          </w:p>
        </w:tc>
      </w:tr>
      <w:tr>
        <w:trPr>
          <w:trHeight w:val="233"/>
        </w:trPr>
        <w:tc>
          <w:tcPr>
            <w:tcW w:w="3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paid-in capital</w:t>
            </w:r>
          </w:p>
        </w:tc>
        <w:tc>
          <w:tcPr>
            <w:tcW w:w="14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0"/>
                <w:szCs w:val="20"/>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r>
        <w:trPr>
          <w:trHeight w:val="25"/>
        </w:trPr>
        <w:tc>
          <w:tcPr>
            <w:tcW w:w="3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384,830,529</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2,119.3</w:t>
            </w:r>
          </w:p>
        </w:tc>
        <w:tc>
          <w:tcPr>
            <w:tcW w:w="0" w:type="dxa"/>
            <w:vAlign w:val="bottom"/>
          </w:tcPr>
          <w:p>
            <w:pPr>
              <w:spacing w:after="0"/>
              <w:rPr>
                <w:sz w:val="1"/>
                <w:szCs w:val="1"/>
                <w:color w:val="auto"/>
              </w:rPr>
            </w:pPr>
          </w:p>
        </w:tc>
      </w:tr>
      <w:tr>
        <w:trPr>
          <w:trHeight w:val="240"/>
        </w:trPr>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1,359,913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(410,537)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0"/>
        </w:trPr>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(9,623,255)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0"/>
        </w:trPr>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8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58"/>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376,156,650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1,676.3</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298.4</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2,005.9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gridSpan w:val="10"/>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ZoomInfo Technologies Inc.</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0" w:type="dxa"/>
            <w:vAlign w:val="bottom"/>
            <w:gridSpan w:val="10"/>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Changes in Equity</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0" w:type="dxa"/>
            <w:vAlign w:val="bottom"/>
            <w:gridSpan w:val="10"/>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7"/>
              </w:rPr>
              <w:t>(in millions, except share data; unaudited)</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2"/>
        </w:trPr>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 2023</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gridSpan w:val="5"/>
            <w:vMerge w:val="restart"/>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3"/>
        </w:trPr>
        <w:tc>
          <w:tcPr>
            <w:tcW w:w="3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line="193"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1420" w:type="dxa"/>
            <w:vAlign w:val="bottom"/>
            <w:gridSpan w:val="3"/>
          </w:tcPr>
          <w:p>
            <w:pPr>
              <w:jc w:val="center"/>
              <w:ind w:right="80"/>
              <w:spacing w:after="0" w:line="193"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6"/>
                <w:szCs w:val="16"/>
                <w:color w:val="auto"/>
              </w:rPr>
            </w:pPr>
          </w:p>
        </w:tc>
        <w:tc>
          <w:tcPr>
            <w:tcW w:w="980" w:type="dxa"/>
            <w:vAlign w:val="bottom"/>
            <w:gridSpan w:val="2"/>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6"/>
                <w:szCs w:val="16"/>
                <w:color w:val="auto"/>
              </w:rPr>
            </w:pPr>
          </w:p>
        </w:tc>
        <w:tc>
          <w:tcPr>
            <w:tcW w:w="1120" w:type="dxa"/>
            <w:vAlign w:val="bottom"/>
          </w:tcPr>
          <w:p>
            <w:pPr>
              <w:jc w:val="center"/>
              <w:ind w:right="32"/>
              <w:spacing w:after="0" w:line="193" w:lineRule="exact"/>
              <w:rPr>
                <w:sz w:val="20"/>
                <w:szCs w:val="20"/>
                <w:color w:val="auto"/>
              </w:rPr>
            </w:pPr>
            <w:r>
              <w:rPr>
                <w:rFonts w:ascii="Times New Roman" w:cs="Times New Roman" w:eastAsia="Times New Roman" w:hAnsi="Times New Roman"/>
                <w:sz w:val="18"/>
                <w:szCs w:val="18"/>
                <w:b w:val="1"/>
                <w:bCs w:val="1"/>
                <w:color w:val="auto"/>
                <w:w w:val="97"/>
              </w:rPr>
              <w:t>stockholders'</w:t>
            </w:r>
          </w:p>
        </w:tc>
        <w:tc>
          <w:tcPr>
            <w:tcW w:w="0" w:type="dxa"/>
            <w:vAlign w:val="bottom"/>
          </w:tcPr>
          <w:p>
            <w:pPr>
              <w:spacing w:after="0"/>
              <w:rPr>
                <w:sz w:val="1"/>
                <w:szCs w:val="1"/>
                <w:color w:val="auto"/>
              </w:rPr>
            </w:pPr>
          </w:p>
        </w:tc>
      </w:tr>
      <w:tr>
        <w:trPr>
          <w:trHeight w:val="233"/>
        </w:trPr>
        <w:tc>
          <w:tcPr>
            <w:tcW w:w="3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4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0"/>
                <w:szCs w:val="20"/>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r>
        <w:trPr>
          <w:trHeight w:val="25"/>
        </w:trPr>
        <w:tc>
          <w:tcPr>
            <w:tcW w:w="3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404,083,262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0" w:type="dxa"/>
            <w:vAlign w:val="bottom"/>
          </w:tcPr>
          <w:p>
            <w:pPr>
              <w:spacing w:after="0"/>
              <w:rPr>
                <w:sz w:val="1"/>
                <w:szCs w:val="1"/>
                <w:color w:val="auto"/>
              </w:rPr>
            </w:pPr>
          </w:p>
        </w:tc>
      </w:tr>
      <w:tr>
        <w:trPr>
          <w:trHeight w:val="240"/>
        </w:trPr>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648,570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 and</w:t>
            </w: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0"/>
        </w:trPr>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Forfeitures / cancellations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8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40"/>
        </w:trPr>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5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403,514,079</w:t>
            </w: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2,061.6</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20" w:type="dxa"/>
            <w:vAlign w:val="bottom"/>
          </w:tcPr>
          <w:p>
            <w:pPr>
              <w:spacing w:after="0"/>
              <w:rPr>
                <w:sz w:val="20"/>
                <w:szCs w:val="20"/>
                <w:color w:val="auto"/>
              </w:rPr>
            </w:pP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60" w:type="dxa"/>
            <w:vAlign w:val="bottom"/>
          </w:tcPr>
          <w:p>
            <w:pPr>
              <w:spacing w:after="0"/>
              <w:rPr>
                <w:sz w:val="20"/>
                <w:szCs w:val="20"/>
                <w:color w:val="auto"/>
              </w:rPr>
            </w:pPr>
          </w:p>
        </w:tc>
      </w:tr>
      <w:tr>
        <w:trPr>
          <w:trHeight w:val="25"/>
        </w:trPr>
        <w:tc>
          <w:tcPr>
            <w:tcW w:w="7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3"/>
        </w:trPr>
        <w:tc>
          <w:tcPr>
            <w:tcW w:w="7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0"/>
                <w:szCs w:val="20"/>
                <w:color w:val="auto"/>
              </w:rPr>
            </w:pPr>
          </w:p>
        </w:tc>
      </w:tr>
      <w:tr>
        <w:trPr>
          <w:trHeight w:val="25"/>
        </w:trPr>
        <w:tc>
          <w:tcPr>
            <w:tcW w:w="7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86"/>
        </w:trPr>
        <w:tc>
          <w:tcPr>
            <w:tcW w:w="75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39"/>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0"/>
                <w:szCs w:val="20"/>
                <w:color w:val="auto"/>
              </w:rPr>
            </w:pPr>
          </w:p>
        </w:tc>
        <w:tc>
          <w:tcPr>
            <w:tcW w:w="124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6"/>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39"/>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6"/>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9"/>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commissions costs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6"/>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1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9"/>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40"/>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receivable agreement remeasurement</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0"/>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0"/>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0"/>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receivable</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40"/>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65"/>
        </w:trPr>
        <w:tc>
          <w:tcPr>
            <w:tcW w:w="7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Unearned revenue</w:t>
            </w:r>
          </w:p>
        </w:tc>
        <w:tc>
          <w:tcPr>
            <w:tcW w:w="1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3"/>
        </w:trPr>
        <w:tc>
          <w:tcPr>
            <w:tcW w:w="7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60" w:type="dxa"/>
            <w:vAlign w:val="bottom"/>
            <w:tcBorders>
              <w:top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5"/>
        </w:trPr>
        <w:tc>
          <w:tcPr>
            <w:tcW w:w="7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79"/>
        </w:trPr>
        <w:tc>
          <w:tcPr>
            <w:tcW w:w="75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4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16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40"/>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6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 and other assets</w:t>
            </w:r>
          </w:p>
        </w:tc>
        <w:tc>
          <w:tcPr>
            <w:tcW w:w="1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3"/>
        </w:trPr>
        <w:tc>
          <w:tcPr>
            <w:tcW w:w="7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60" w:type="dxa"/>
            <w:vAlign w:val="bottom"/>
            <w:tcBorders>
              <w:top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5"/>
        </w:trPr>
        <w:tc>
          <w:tcPr>
            <w:tcW w:w="7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79"/>
        </w:trPr>
        <w:tc>
          <w:tcPr>
            <w:tcW w:w="75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4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deferred consideration</w:t>
            </w:r>
          </w:p>
        </w:tc>
        <w:tc>
          <w:tcPr>
            <w:tcW w:w="116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debt</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debt issuance and modification costs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0"/>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1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0"/>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receivable agreement payments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6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3"/>
        </w:trPr>
        <w:tc>
          <w:tcPr>
            <w:tcW w:w="7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60" w:type="dxa"/>
            <w:vAlign w:val="bottom"/>
            <w:tcBorders>
              <w:top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5"/>
        </w:trPr>
        <w:tc>
          <w:tcPr>
            <w:tcW w:w="7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79"/>
        </w:trPr>
        <w:tc>
          <w:tcPr>
            <w:tcW w:w="75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4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16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0"/>
                <w:szCs w:val="20"/>
                <w:color w:val="auto"/>
              </w:rPr>
            </w:pPr>
          </w:p>
        </w:tc>
        <w:tc>
          <w:tcPr>
            <w:tcW w:w="124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5"/>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6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3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160" w:type="dxa"/>
            <w:vAlign w:val="bottom"/>
            <w:tcBorders>
              <w:top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w:t>
            </w:r>
          </w:p>
        </w:tc>
      </w:tr>
      <w:tr>
        <w:trPr>
          <w:trHeight w:val="26"/>
        </w:trPr>
        <w:tc>
          <w:tcPr>
            <w:tcW w:w="7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65"/>
        </w:trPr>
        <w:tc>
          <w:tcPr>
            <w:tcW w:w="75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192405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unaudited) (continued)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20" w:type="dxa"/>
            <w:vAlign w:val="bottom"/>
          </w:tcPr>
          <w:p>
            <w:pPr>
              <w:spacing w:after="0"/>
              <w:rPr>
                <w:sz w:val="20"/>
                <w:szCs w:val="20"/>
                <w:color w:val="auto"/>
              </w:rPr>
            </w:pP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75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52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52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0" w:type="dxa"/>
            <w:vAlign w:val="bottom"/>
          </w:tcPr>
          <w:p>
            <w:pPr>
              <w:spacing w:after="0"/>
              <w:rPr>
                <w:sz w:val="1"/>
                <w:szCs w:val="1"/>
                <w:color w:val="auto"/>
              </w:rPr>
            </w:pPr>
          </w:p>
        </w:tc>
      </w:tr>
      <w:tr>
        <w:trPr>
          <w:trHeight w:val="239"/>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6"/>
        </w:trPr>
        <w:tc>
          <w:tcPr>
            <w:tcW w:w="75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0" w:type="dxa"/>
            <w:vAlign w:val="bottom"/>
            <w:tcBorders>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paid in cash</w:t>
            </w:r>
          </w:p>
        </w:tc>
        <w:tc>
          <w:tcPr>
            <w:tcW w:w="120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0"/>
                <w:szCs w:val="20"/>
                <w:color w:val="auto"/>
              </w:rPr>
            </w:pPr>
          </w:p>
        </w:tc>
        <w:tc>
          <w:tcPr>
            <w:tcW w:w="124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6"/>
        </w:trPr>
        <w:tc>
          <w:tcPr>
            <w:tcW w:w="7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taxes</w:t>
            </w: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9"/>
        </w:trPr>
        <w:tc>
          <w:tcPr>
            <w:tcW w:w="7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 and other current</w:t>
            </w: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liabilities</w:t>
            </w:r>
          </w:p>
        </w:tc>
        <w:tc>
          <w:tcPr>
            <w:tcW w:w="120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124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5"/>
        </w:trPr>
        <w:tc>
          <w:tcPr>
            <w:tcW w:w="7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 included in capitalized software</w:t>
            </w:r>
          </w:p>
        </w:tc>
        <w:tc>
          <w:tcPr>
            <w:tcW w:w="1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75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1"/>
          <w:szCs w:val="21"/>
          <w:b w:val="1"/>
          <w:bCs w:val="1"/>
          <w:color w:val="auto"/>
        </w:rPr>
        <w:t>ZoomInfo Technologies Inc.</w:t>
      </w:r>
    </w:p>
    <w:p>
      <w:pPr>
        <w:spacing w:after="0" w:line="3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(Unaudited)</w:t>
      </w:r>
    </w:p>
    <w:p>
      <w:pPr>
        <w:spacing w:after="0" w:line="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millions, except share/unit data and per share/unit amounts, unless otherwise noted)</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Note 1</w:t>
            </w:r>
          </w:p>
        </w:tc>
        <w:tc>
          <w:tcPr>
            <w:tcW w:w="828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Business, Basis of Presentation and Summary of Significant Accounting Policies</w:t>
            </w:r>
          </w:p>
        </w:tc>
        <w:tc>
          <w:tcPr>
            <w:tcW w:w="2100" w:type="dxa"/>
            <w:vAlign w:val="bottom"/>
            <w:gridSpan w:val="3"/>
          </w:tcPr>
          <w:p>
            <w:pPr>
              <w:jc w:val="center"/>
              <w:ind w:left="1852"/>
              <w:spacing w:after="0"/>
              <w:rPr>
                <w:sz w:val="20"/>
                <w:szCs w:val="20"/>
                <w:color w:val="auto"/>
              </w:rPr>
            </w:pPr>
            <w:r>
              <w:rPr>
                <w:rFonts w:ascii="Times New Roman" w:cs="Times New Roman" w:eastAsia="Times New Roman" w:hAnsi="Times New Roman"/>
                <w:sz w:val="18"/>
                <w:szCs w:val="18"/>
                <w:color w:val="0000FF"/>
                <w:w w:val="88"/>
              </w:rPr>
              <w:t>9</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2</w:t>
            </w:r>
          </w:p>
        </w:tc>
        <w:tc>
          <w:tcPr>
            <w:tcW w:w="80" w:type="dxa"/>
            <w:vAlign w:val="bottom"/>
          </w:tcPr>
          <w:p>
            <w:pPr>
              <w:spacing w:after="0"/>
              <w:rPr>
                <w:sz w:val="21"/>
                <w:szCs w:val="21"/>
                <w:color w:val="auto"/>
              </w:rPr>
            </w:pPr>
          </w:p>
        </w:tc>
        <w:tc>
          <w:tcPr>
            <w:tcW w:w="828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Revenue from Contracts with Customers</w:t>
            </w:r>
          </w:p>
        </w:tc>
        <w:tc>
          <w:tcPr>
            <w:tcW w:w="2100" w:type="dxa"/>
            <w:vAlign w:val="bottom"/>
            <w:gridSpan w:val="3"/>
          </w:tcPr>
          <w:p>
            <w:pPr>
              <w:jc w:val="center"/>
              <w:ind w:left="1832"/>
              <w:spacing w:after="0"/>
              <w:rPr>
                <w:sz w:val="20"/>
                <w:szCs w:val="20"/>
                <w:color w:val="auto"/>
              </w:rPr>
            </w:pPr>
            <w:r>
              <w:rPr>
                <w:rFonts w:ascii="Times New Roman" w:cs="Times New Roman" w:eastAsia="Times New Roman" w:hAnsi="Times New Roman"/>
                <w:sz w:val="18"/>
                <w:szCs w:val="18"/>
                <w:color w:val="0000FF"/>
                <w:w w:val="99"/>
              </w:rPr>
              <w:t>18</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9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3</w:t>
            </w:r>
          </w:p>
        </w:tc>
        <w:tc>
          <w:tcPr>
            <w:tcW w:w="80" w:type="dxa"/>
            <w:vAlign w:val="bottom"/>
          </w:tcPr>
          <w:p>
            <w:pPr>
              <w:spacing w:after="0"/>
              <w:rPr>
                <w:sz w:val="21"/>
                <w:szCs w:val="21"/>
                <w:color w:val="auto"/>
              </w:rPr>
            </w:pPr>
          </w:p>
        </w:tc>
        <w:tc>
          <w:tcPr>
            <w:tcW w:w="828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Cash, Cash Equivalents, and Short-term Investments</w:t>
            </w:r>
          </w:p>
        </w:tc>
        <w:tc>
          <w:tcPr>
            <w:tcW w:w="2100" w:type="dxa"/>
            <w:vAlign w:val="bottom"/>
            <w:gridSpan w:val="3"/>
          </w:tcPr>
          <w:p>
            <w:pPr>
              <w:jc w:val="center"/>
              <w:ind w:left="1832"/>
              <w:spacing w:after="0"/>
              <w:rPr>
                <w:sz w:val="20"/>
                <w:szCs w:val="20"/>
                <w:color w:val="auto"/>
              </w:rPr>
            </w:pPr>
            <w:r>
              <w:rPr>
                <w:rFonts w:ascii="Times New Roman" w:cs="Times New Roman" w:eastAsia="Times New Roman" w:hAnsi="Times New Roman"/>
                <w:sz w:val="18"/>
                <w:szCs w:val="18"/>
                <w:color w:val="0000FF"/>
                <w:w w:val="99"/>
              </w:rPr>
              <w:t>20</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Note 4</w:t>
            </w:r>
          </w:p>
        </w:tc>
        <w:tc>
          <w:tcPr>
            <w:tcW w:w="828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Property and Equipment</w:t>
            </w:r>
          </w:p>
        </w:tc>
        <w:tc>
          <w:tcPr>
            <w:tcW w:w="2100" w:type="dxa"/>
            <w:vAlign w:val="bottom"/>
            <w:gridSpan w:val="3"/>
          </w:tcPr>
          <w:p>
            <w:pPr>
              <w:jc w:val="center"/>
              <w:ind w:left="1832"/>
              <w:spacing w:after="0"/>
              <w:rPr>
                <w:sz w:val="20"/>
                <w:szCs w:val="20"/>
                <w:color w:val="auto"/>
              </w:rPr>
            </w:pPr>
            <w:r>
              <w:rPr>
                <w:rFonts w:ascii="Times New Roman" w:cs="Times New Roman" w:eastAsia="Times New Roman" w:hAnsi="Times New Roman"/>
                <w:sz w:val="18"/>
                <w:szCs w:val="18"/>
                <w:color w:val="0000FF"/>
                <w:w w:val="99"/>
              </w:rPr>
              <w:t>21</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Note 5</w:t>
            </w:r>
          </w:p>
        </w:tc>
        <w:tc>
          <w:tcPr>
            <w:tcW w:w="828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Goodwill and Acquired Intangible Assets</w:t>
            </w:r>
          </w:p>
        </w:tc>
        <w:tc>
          <w:tcPr>
            <w:tcW w:w="2100" w:type="dxa"/>
            <w:vAlign w:val="bottom"/>
            <w:gridSpan w:val="3"/>
          </w:tcPr>
          <w:p>
            <w:pPr>
              <w:jc w:val="center"/>
              <w:ind w:left="1832"/>
              <w:spacing w:after="0"/>
              <w:rPr>
                <w:sz w:val="20"/>
                <w:szCs w:val="20"/>
                <w:color w:val="auto"/>
              </w:rPr>
            </w:pPr>
            <w:r>
              <w:rPr>
                <w:rFonts w:ascii="Times New Roman" w:cs="Times New Roman" w:eastAsia="Times New Roman" w:hAnsi="Times New Roman"/>
                <w:sz w:val="18"/>
                <w:szCs w:val="18"/>
                <w:color w:val="0000FF"/>
                <w:w w:val="99"/>
              </w:rPr>
              <w:t>21</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Note 6</w:t>
            </w:r>
          </w:p>
        </w:tc>
        <w:tc>
          <w:tcPr>
            <w:tcW w:w="828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Financing Arrangements</w:t>
            </w:r>
          </w:p>
        </w:tc>
        <w:tc>
          <w:tcPr>
            <w:tcW w:w="2100" w:type="dxa"/>
            <w:vAlign w:val="bottom"/>
            <w:gridSpan w:val="3"/>
          </w:tcPr>
          <w:p>
            <w:pPr>
              <w:jc w:val="center"/>
              <w:ind w:left="1832"/>
              <w:spacing w:after="0"/>
              <w:rPr>
                <w:sz w:val="20"/>
                <w:szCs w:val="20"/>
                <w:color w:val="auto"/>
              </w:rPr>
            </w:pPr>
            <w:r>
              <w:rPr>
                <w:rFonts w:ascii="Times New Roman" w:cs="Times New Roman" w:eastAsia="Times New Roman" w:hAnsi="Times New Roman"/>
                <w:sz w:val="18"/>
                <w:szCs w:val="18"/>
                <w:color w:val="0000FF"/>
                <w:w w:val="99"/>
              </w:rPr>
              <w:t>22</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Note 7</w:t>
            </w:r>
          </w:p>
        </w:tc>
        <w:tc>
          <w:tcPr>
            <w:tcW w:w="828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Derivatives and Hedging Activities</w:t>
            </w:r>
          </w:p>
        </w:tc>
        <w:tc>
          <w:tcPr>
            <w:tcW w:w="2100" w:type="dxa"/>
            <w:vAlign w:val="bottom"/>
            <w:gridSpan w:val="3"/>
          </w:tcPr>
          <w:p>
            <w:pPr>
              <w:jc w:val="center"/>
              <w:ind w:left="1832"/>
              <w:spacing w:after="0"/>
              <w:rPr>
                <w:sz w:val="20"/>
                <w:szCs w:val="20"/>
                <w:color w:val="auto"/>
              </w:rPr>
            </w:pPr>
            <w:r>
              <w:rPr>
                <w:rFonts w:ascii="Times New Roman" w:cs="Times New Roman" w:eastAsia="Times New Roman" w:hAnsi="Times New Roman"/>
                <w:sz w:val="18"/>
                <w:szCs w:val="18"/>
                <w:color w:val="0000FF"/>
                <w:w w:val="99"/>
              </w:rPr>
              <w:t>24</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8</w:t>
            </w:r>
          </w:p>
        </w:tc>
        <w:tc>
          <w:tcPr>
            <w:tcW w:w="80" w:type="dxa"/>
            <w:vAlign w:val="bottom"/>
          </w:tcPr>
          <w:p>
            <w:pPr>
              <w:spacing w:after="0"/>
              <w:rPr>
                <w:sz w:val="21"/>
                <w:szCs w:val="21"/>
                <w:color w:val="auto"/>
              </w:rPr>
            </w:pPr>
          </w:p>
        </w:tc>
        <w:tc>
          <w:tcPr>
            <w:tcW w:w="828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Fair Value</w:t>
            </w:r>
          </w:p>
        </w:tc>
        <w:tc>
          <w:tcPr>
            <w:tcW w:w="2100" w:type="dxa"/>
            <w:vAlign w:val="bottom"/>
            <w:gridSpan w:val="3"/>
          </w:tcPr>
          <w:p>
            <w:pPr>
              <w:jc w:val="center"/>
              <w:ind w:left="1832"/>
              <w:spacing w:after="0"/>
              <w:rPr>
                <w:sz w:val="20"/>
                <w:szCs w:val="20"/>
                <w:color w:val="auto"/>
              </w:rPr>
            </w:pPr>
            <w:r>
              <w:rPr>
                <w:rFonts w:ascii="Times New Roman" w:cs="Times New Roman" w:eastAsia="Times New Roman" w:hAnsi="Times New Roman"/>
                <w:sz w:val="18"/>
                <w:szCs w:val="18"/>
                <w:color w:val="0000FF"/>
                <w:w w:val="99"/>
              </w:rPr>
              <w:t>25</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19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9</w:t>
            </w:r>
          </w:p>
        </w:tc>
        <w:tc>
          <w:tcPr>
            <w:tcW w:w="80" w:type="dxa"/>
            <w:vAlign w:val="bottom"/>
          </w:tcPr>
          <w:p>
            <w:pPr>
              <w:spacing w:after="0"/>
              <w:rPr>
                <w:sz w:val="21"/>
                <w:szCs w:val="21"/>
                <w:color w:val="auto"/>
              </w:rPr>
            </w:pPr>
          </w:p>
        </w:tc>
        <w:tc>
          <w:tcPr>
            <w:tcW w:w="828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2100" w:type="dxa"/>
            <w:vAlign w:val="bottom"/>
            <w:gridSpan w:val="3"/>
          </w:tcPr>
          <w:p>
            <w:pPr>
              <w:jc w:val="center"/>
              <w:ind w:left="1832"/>
              <w:spacing w:after="0"/>
              <w:rPr>
                <w:sz w:val="20"/>
                <w:szCs w:val="20"/>
                <w:color w:val="auto"/>
              </w:rPr>
            </w:pPr>
            <w:r>
              <w:rPr>
                <w:rFonts w:ascii="Times New Roman" w:cs="Times New Roman" w:eastAsia="Times New Roman" w:hAnsi="Times New Roman"/>
                <w:sz w:val="18"/>
                <w:szCs w:val="18"/>
                <w:color w:val="0000FF"/>
                <w:w w:val="99"/>
              </w:rPr>
              <w:t>27</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10</w:t>
            </w:r>
          </w:p>
        </w:tc>
        <w:tc>
          <w:tcPr>
            <w:tcW w:w="828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Earnings Per Share</w:t>
            </w:r>
          </w:p>
        </w:tc>
        <w:tc>
          <w:tcPr>
            <w:tcW w:w="2100" w:type="dxa"/>
            <w:vAlign w:val="bottom"/>
            <w:gridSpan w:val="3"/>
          </w:tcPr>
          <w:p>
            <w:pPr>
              <w:jc w:val="center"/>
              <w:ind w:left="1832"/>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11</w:t>
            </w:r>
          </w:p>
        </w:tc>
        <w:tc>
          <w:tcPr>
            <w:tcW w:w="828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Leases</w:t>
            </w:r>
          </w:p>
        </w:tc>
        <w:tc>
          <w:tcPr>
            <w:tcW w:w="2100" w:type="dxa"/>
            <w:vAlign w:val="bottom"/>
            <w:gridSpan w:val="3"/>
          </w:tcPr>
          <w:p>
            <w:pPr>
              <w:jc w:val="center"/>
              <w:ind w:left="1832"/>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19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12</w:t>
            </w:r>
          </w:p>
        </w:tc>
        <w:tc>
          <w:tcPr>
            <w:tcW w:w="828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Equity-based Compensation</w:t>
            </w:r>
          </w:p>
        </w:tc>
        <w:tc>
          <w:tcPr>
            <w:tcW w:w="2100" w:type="dxa"/>
            <w:vAlign w:val="bottom"/>
            <w:gridSpan w:val="3"/>
          </w:tcPr>
          <w:p>
            <w:pPr>
              <w:jc w:val="center"/>
              <w:ind w:left="1832"/>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660" w:type="dxa"/>
            <w:vAlign w:val="bottom"/>
            <w:tcBorders>
              <w:left w:val="single" w:sz="8" w:color="0000FF"/>
            </w:tcBorders>
            <w:gridSpan w:val="7"/>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13</w:t>
            </w:r>
          </w:p>
        </w:tc>
        <w:tc>
          <w:tcPr>
            <w:tcW w:w="828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Tax Receivable Agreements</w:t>
            </w:r>
          </w:p>
        </w:tc>
        <w:tc>
          <w:tcPr>
            <w:tcW w:w="2100" w:type="dxa"/>
            <w:vAlign w:val="bottom"/>
            <w:gridSpan w:val="3"/>
          </w:tcPr>
          <w:p>
            <w:pPr>
              <w:jc w:val="center"/>
              <w:ind w:left="1832"/>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14</w:t>
            </w:r>
          </w:p>
        </w:tc>
        <w:tc>
          <w:tcPr>
            <w:tcW w:w="828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Income Taxes</w:t>
            </w:r>
          </w:p>
        </w:tc>
        <w:tc>
          <w:tcPr>
            <w:tcW w:w="2100" w:type="dxa"/>
            <w:vAlign w:val="bottom"/>
            <w:gridSpan w:val="3"/>
          </w:tcPr>
          <w:p>
            <w:pPr>
              <w:jc w:val="center"/>
              <w:ind w:left="1832"/>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9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15</w:t>
            </w:r>
          </w:p>
        </w:tc>
        <w:tc>
          <w:tcPr>
            <w:tcW w:w="828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0000FF"/>
              </w:rPr>
              <w:t>Subsequent Events</w:t>
            </w:r>
          </w:p>
        </w:tc>
        <w:tc>
          <w:tcPr>
            <w:tcW w:w="2100" w:type="dxa"/>
            <w:vAlign w:val="bottom"/>
            <w:gridSpan w:val="3"/>
          </w:tcPr>
          <w:p>
            <w:pPr>
              <w:jc w:val="center"/>
              <w:ind w:left="1832"/>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80"/>
          </w:cols>
          <w:pgMar w:left="320" w:top="118"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ZoomInfo Technologies Inc., through its operating subsidiaries, (the “Company”, “we”, “us”, “our”, and “ZoomInfo”) provides a go-to-market intelligence and engagement platform for sales and marketing teams. The Company’s cloud-based platform provides workflow tools with integrated,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of America (“U.S. GAAP”) has been condensed or omitted pursuant to those rules and regulations. The financial statements included in this report should be read in conjunction with the Company’s 2023 Form 10-K.</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2024 are not necessarily indicative of the operating results that may be expected for the full fiscal year ending December 31, 2024 or any future period.</w:t>
      </w:r>
    </w:p>
    <w:p>
      <w:pPr>
        <w:spacing w:after="0" w:line="110"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contain all adjustments necessary for a fair statement of financial position as of March 31, 2024, and results of operations for the three months ended March 31, 2024 and 2023, and cash flows for the three months ended March 31, 2024 and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ZoomInfo Technologies Inc. and its subsidiaries. All significant intercompany transactions and balances have been eliminated in consolidation.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derives revenue primarily from subscription services. Our subscription services consist of our SaaS applications and related access to our platform. Subscription contracts are generally based on the number of users that access our applications, the level of functionality that they can access, and the amount of data that a customer integrates with their systems. Our subscription contracts typically have a term of one to three years and are non-cancelable. We typically bill for services annually, semi-annually, or quarterly in advance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accounts for revenue contracts with customers through the following steps:</w:t>
      </w:r>
    </w:p>
    <w:p>
      <w:pPr>
        <w:spacing w:after="0" w:line="164"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 and making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adjusts revenue recognized.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Short-term Investments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Unrealized gains and losses, net of taxes, are included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which is reflected as a separate component of stockholders’ equity on our Consolidated Balance Sheets. Gains and losses are determined using the specific identification method and recognized when realized on our Consolidated Statements of Operations. If we were to determine that an other-than-temporary decline in fair value has occurred, the amount of the decline related to a credit loss will be recognized in income.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inputs or methodology used for valuing financial assets and liabilities are not necessarily an indication of the risk associated with investing in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credit losses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three months ended March 31, 2024 and 2023, or accounted for more than 10% of accounts receivable as of March 31, 2024 and December 31, 2023.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Contract Assets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Accounts receivable is comprised of invoices of revenue, net of allowance for expected credit losses, and does not bear interest. We consider receivables past due based on the contractual payment terms. Management’s evaluation of the adequacy of the allowance for credit losses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As of March 31, 2024 and December 31, 2023, the allowance for expected credit losses was not significant to the accompanying consolidated financial statements.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Contract assets represent a contractual right to consideration in the future. Contract assets are generated when contractual billing schedules differ from revenue recognition timing.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personnel costs (including equity-based compensation), and purchased software license costs, are capitalized and amortized over the estimated useful life of the asset. Estimated useful lives range from three to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Certain sales commissions earned by our sales force are considered incremental and recoverable costs of obtaining a contract with a customer. These sales commissions for initial contracts are capitalized and included 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Consolidated Balance Sheets. Deferred sales commissions are amortized on a straight-line basis over the estimated period of benefit from the customer relationship which we have determined to be one and three years for renewals and new clients, respectively. We determined the period of benefit by taking into consideration our customer contracts, our technology, and other factors. Amortization expense related to these capitalized commissions is included in </w:t>
      </w: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xml:space="preserve"> on our Consolidated Statements of Operations.</w:t>
      </w:r>
    </w:p>
    <w:p>
      <w:pPr>
        <w:spacing w:after="0" w:line="13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Commissions payable at March 31, 2024 were $32.3 million, of which the current portion of $29.0 million was included in </w:t>
      </w:r>
      <w:r>
        <w:rPr>
          <w:rFonts w:ascii="Times New Roman" w:cs="Times New Roman" w:eastAsia="Times New Roman" w:hAnsi="Times New Roman"/>
          <w:sz w:val="18"/>
          <w:szCs w:val="18"/>
          <w:i w:val="1"/>
          <w:iCs w:val="1"/>
          <w:color w:val="auto"/>
        </w:rPr>
        <w:t>Accrued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on our Consolidated Balance Sheets, and the long-term portion of $3.3 million was included in</w:t>
      </w:r>
      <w:r>
        <w:rPr>
          <w:rFonts w:ascii="Times New Roman" w:cs="Times New Roman" w:eastAsia="Times New Roman" w:hAnsi="Times New Roman"/>
          <w:sz w:val="18"/>
          <w:szCs w:val="18"/>
          <w:i w:val="1"/>
          <w:iCs w:val="1"/>
          <w:color w:val="auto"/>
        </w:rPr>
        <w:t xml:space="preserve"> Other long-term liabilities </w:t>
      </w:r>
      <w:r>
        <w:rPr>
          <w:rFonts w:ascii="Times New Roman" w:cs="Times New Roman" w:eastAsia="Times New Roman" w:hAnsi="Times New Roman"/>
          <w:sz w:val="18"/>
          <w:szCs w:val="18"/>
          <w:color w:val="auto"/>
        </w:rPr>
        <w:t>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Consolidated Balance Sheets. Commissions payable at December 31, 2023 were $37.7 million, of which the current portion of $34.4 million was included in </w:t>
      </w:r>
      <w:r>
        <w:rPr>
          <w:rFonts w:ascii="Times New Roman" w:cs="Times New Roman" w:eastAsia="Times New Roman" w:hAnsi="Times New Roman"/>
          <w:sz w:val="18"/>
          <w:szCs w:val="18"/>
          <w:i w:val="1"/>
          <w:iCs w:val="1"/>
          <w:color w:val="auto"/>
        </w:rPr>
        <w:t xml:space="preserve">Accrued expenses and other current liabilities </w:t>
      </w:r>
      <w:r>
        <w:rPr>
          <w:rFonts w:ascii="Times New Roman" w:cs="Times New Roman" w:eastAsia="Times New Roman" w:hAnsi="Times New Roman"/>
          <w:sz w:val="18"/>
          <w:szCs w:val="18"/>
          <w:color w:val="auto"/>
        </w:rPr>
        <w:t>on our Consolidated Balance Sheets, and the long-term portion of $3.3 million was included in</w:t>
      </w:r>
      <w:r>
        <w:rPr>
          <w:rFonts w:ascii="Times New Roman" w:cs="Times New Roman" w:eastAsia="Times New Roman" w:hAnsi="Times New Roman"/>
          <w:sz w:val="18"/>
          <w:szCs w:val="18"/>
          <w:i w:val="1"/>
          <w:iCs w:val="1"/>
          <w:color w:val="auto"/>
        </w:rPr>
        <w:t xml:space="preserve"> Other long-term liabilities </w:t>
      </w:r>
      <w:r>
        <w:rPr>
          <w:rFonts w:ascii="Times New Roman" w:cs="Times New Roman" w:eastAsia="Times New Roman" w:hAnsi="Times New Roman"/>
          <w:sz w:val="18"/>
          <w:szCs w:val="18"/>
          <w:color w:val="auto"/>
        </w:rPr>
        <w:t>on our Consolidated Balance Sheets.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commissions are not capitalized as they do not represent incremental costs of obtaining a contract. Such commissions are expensed as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Promotional Expenses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The Company expenses advertising costs as incurred. Advertising expenses of $10.4 million and $8.5 million were recorded for the three months ended March 31, 2024 and 2023, respectively. Advertising expenses are included in </w:t>
      </w: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xml:space="preserve"> on our Consolidated Statements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compensation expense for our employees, including employee benefits, certain IT program expenses, facilities and related overhead costs.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Transaction-Related Expenses</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The Company defines restructuring and transaction-related expenses as costs directly associated with restructuring,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expense is recorded when the employees are entitled to receive such benefits and the amount can be reasonably estimated. Transaction-related bonuses and related employee retention costs are recognized over the relevant service period. Contract termination fees and penalties and other exit and disposal costs are generally recorded when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during the fourth quarter of our fiscal year or when events and circumstances indicate that the fair value of a reporting unit may be below its carrying value. The company has one reporting unit.</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Acquired technology, customer relationships, trade names or brand portfolios, and other intangible assets are related to historical acquisitions (refer to Note 5 - Goodwill and Acquired Intangible Assets). Acquired intangible assets are amortized on a straight-line basis over the estimated period over which we expect to realize economic value related to the intangible asset. The amortization periods range from 2 years to 15 years. Any costs incurred to renew or extend the life of an intangible or long-lived asset are reviewed for capitalization.</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Indefinite-lived intangible assets consist of brand portfolios acquired from Pre-Acquisition ZI and represent costs paid to legally register phrases and graphic designs that identify and distinguish products sold by the Company. Indefinite-lived intangible assets are not subject to amortization. Instead, they are subject to an annual assessment for potential impairment, or more frequently upon the occurrence of a triggering event when circumstances indicate that the book value is greater than its fair value. The Company first assesses qualitative factors to determine whether it is more likely than not that the fair value of the indefinite-lived intangible asset is less than the carrying value as a basis to determine whether further impairment testing is necessary. The Company conducts its impairment assessment during the fourth quarter of each fiscal year. No impairment charges relating to acquired goodwill or indefinite lived intangible assets were recorded for the three month periods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Long-lived assets, such as property and equipment, acquired intangible assets, and right-of-use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 The estimated future cash flows associated with the right-of-use assets under Accounting Standards Codification (“ASC”) 842 were developed by incorporating current market data and forecasts provided by reputable external real estate brokers and data sources. These projections consider prevailing rental rates, anticipated lease renewals, expected vacancy periods, and other relevant market factors that contribute to the estimation of recoverable cash flows for the impaired office spaces we do not intend to occupy. No impairment charges were recorded for the three month periods ended March 31, 2024 and 2023.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Long-lived assets by geographical region are based on the location of the legal entity that owns the assets, which includes property and equipment, net and operating lease right-of-use assets, net. As of March 31, 2024, long-lived assets held in the United States and Israel were $151.5 million and $24.1 million, respectively, representing approximately 97% of the consolidated total. As of December 31, 2023, long-lived assets held in the United States and Israel were $120.2 million and $20.2 million, respectively, representing approximately 96% of the consolidated total.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or contains a lease at contract inception. For these arrangements, primarily those related to our data center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do not have any finance leases. Operating leases are recorded on our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Short-term leases, defined as leases having an original lease term less than or equal to one year, are excluded from our right-of-use assets and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FASB’s ASC 815—Derivatives and Hedging (“ASC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credit-risk-related contingent features in derivative instruments.</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required by ASC 815, the Company records all derivatives as either assets or liabilities on our Consolidated Balance Sheets and measures them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To receive hedge accounting treatment, all hedging relationships are formally documented at the inception of the hedge, and the hedges must be highly effective in offsetting changes to future cash flows on hedged transactions.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Unearned revenue consists of customer payments and billings in advance of revenue being recognized from our subscription services. Unearned revenue that is anticipated to be recognized within the next 12 months is recorded as </w:t>
      </w:r>
      <w:r>
        <w:rPr>
          <w:rFonts w:ascii="Times New Roman" w:cs="Times New Roman" w:eastAsia="Times New Roman" w:hAnsi="Times New Roman"/>
          <w:sz w:val="18"/>
          <w:szCs w:val="18"/>
          <w:i w:val="1"/>
          <w:iCs w:val="1"/>
          <w:color w:val="auto"/>
        </w:rPr>
        <w:t>Unearned revenue, current portion</w:t>
      </w:r>
      <w:r>
        <w:rPr>
          <w:rFonts w:ascii="Times New Roman" w:cs="Times New Roman" w:eastAsia="Times New Roman" w:hAnsi="Times New Roman"/>
          <w:sz w:val="18"/>
          <w:szCs w:val="18"/>
          <w:color w:val="auto"/>
        </w:rPr>
        <w:t xml:space="preserve"> and the remaining portion is included in </w:t>
      </w:r>
      <w:r>
        <w:rPr>
          <w:rFonts w:ascii="Times New Roman" w:cs="Times New Roman" w:eastAsia="Times New Roman" w:hAnsi="Times New Roman"/>
          <w:sz w:val="18"/>
          <w:szCs w:val="18"/>
          <w:i w:val="1"/>
          <w:iCs w:val="1"/>
          <w:color w:val="auto"/>
        </w:rPr>
        <w:t xml:space="preserve">Unearned revenue, net of current portion </w:t>
      </w:r>
      <w:r>
        <w:rPr>
          <w:rFonts w:ascii="Times New Roman" w:cs="Times New Roman" w:eastAsia="Times New Roman" w:hAnsi="Times New Roman"/>
          <w:sz w:val="18"/>
          <w:szCs w:val="18"/>
          <w:color w:val="auto"/>
        </w:rPr>
        <w:t>on our Consolidated Balance Sheets.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Costs incurred in connection with the issuance of long-term debt are deferred and amortized as interest expense over the terms of the related debt using the effective interest method for term debt and on a straight-line basis for revolving debt. Debt issuance costs are generally presented on our Consolidated Balance Sheets as a direct deduction from the carrying amount of the outstanding borrowings, consistent with debt discounts. However, the Company classifies the debt issuance costs related to its first lien revolving credit facility within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Consolidated Balance Sheets regardless of whether the Company has any outstanding borrowings on our first lien revolving credit facility. Upon a refinancing or amendment, the Company evaluates the modified debt instrument in accordance with ASC 470-50-40-10. When the present value of the cash flows under the modified debt instrument has changed by greater than 10 percent from the present value of the remaining cash flows under the terms of the original debt instrument, the Company accounts for the amendment as a debt extinguishment and all previously-capitalized debt issuance costs are expensed and included in </w:t>
      </w:r>
      <w:r>
        <w:rPr>
          <w:rFonts w:ascii="Times New Roman" w:cs="Times New Roman" w:eastAsia="Times New Roman" w:hAnsi="Times New Roman"/>
          <w:sz w:val="18"/>
          <w:szCs w:val="18"/>
          <w:i w:val="1"/>
          <w:iCs w:val="1"/>
          <w:color w:val="auto"/>
        </w:rPr>
        <w:t>Loss on debt modification and extinguishment</w:t>
      </w:r>
      <w:r>
        <w:rPr>
          <w:rFonts w:ascii="Times New Roman" w:cs="Times New Roman" w:eastAsia="Times New Roman" w:hAnsi="Times New Roman"/>
          <w:sz w:val="18"/>
          <w:szCs w:val="18"/>
          <w:color w:val="auto"/>
        </w:rPr>
        <w:t>. If the change in the present value of cash flows is less than 10 percent,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our initial public offering, we entered into two Tax Receivable Agreements ("TRA" or “TRAs”)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We account for amounts payable under the TRA in accordance with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Amounts payable under the TRA are accrued by a charge to income when it is probable that a liability has been incurred and the amount is estimable. TRA related liabilities are classified as current or noncurrent based on the expected date of payment and are included on our Consolidated Balance Sheets under the captions </w:t>
      </w:r>
      <w:r>
        <w:rPr>
          <w:rFonts w:ascii="Times New Roman" w:cs="Times New Roman" w:eastAsia="Times New Roman" w:hAnsi="Times New Roman"/>
          <w:sz w:val="18"/>
          <w:szCs w:val="18"/>
          <w:i w:val="1"/>
          <w:iCs w:val="1"/>
          <w:color w:val="auto"/>
        </w:rPr>
        <w:t>Current portion of tax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liability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Tax receivable agreements liability, net of current portion, </w:t>
      </w:r>
      <w:r>
        <w:rPr>
          <w:rFonts w:ascii="Times New Roman" w:cs="Times New Roman" w:eastAsia="Times New Roman" w:hAnsi="Times New Roman"/>
          <w:sz w:val="18"/>
          <w:szCs w:val="18"/>
          <w:color w:val="auto"/>
        </w:rPr>
        <w:t>respectively. Subsequent changes to the measurement of the TRA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recognized on our Consolidated Statements of Operations as a component of </w:t>
      </w:r>
      <w:r>
        <w:rPr>
          <w:rFonts w:ascii="Times New Roman" w:cs="Times New Roman" w:eastAsia="Times New Roman" w:hAnsi="Times New Roman"/>
          <w:sz w:val="18"/>
          <w:szCs w:val="18"/>
          <w:i w:val="1"/>
          <w:iCs w:val="1"/>
          <w:color w:val="auto"/>
        </w:rPr>
        <w:t>Other loss (income), net</w:t>
      </w:r>
      <w:r>
        <w:rPr>
          <w:rFonts w:ascii="Times New Roman" w:cs="Times New Roman" w:eastAsia="Times New Roman" w:hAnsi="Times New Roman"/>
          <w:sz w:val="18"/>
          <w:szCs w:val="18"/>
          <w:color w:val="auto"/>
        </w:rPr>
        <w:t>. Refer to Note 13 - Tax Receivable Agreements for further details on the TRA liability.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temporary differences between the financial statement and tax basis of assets and liabilities. Deferred tax assets and liabilities are measured using enacted tax rates in effect for the year in which the differences are expected to reverse. The effect on deferred tax assets and liabilities of a change in tax law is recognized in the Consolidated Statements of Operations in the period that includes the enactment date.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need for valuation allowances is regularly evaluated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recognizes the tax benefit of an uncertain tax position only if it is more likely than not that the position is sustainable upon examination by the taxing authority, solely based on its technical merits. The tax benefit recognized is measured as the largest amount of benefit which is greater than 50 percent likely to be realized upon settlement with the taxing authority. The Company recognizes interest accrued and penalties related to unrecognized tax benefits within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on the Consolidated Statements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periodically grants incentive awards to employees and non-employees, which generally vest over periods of up to four years. Incentive awards may be in the form of various equity-based awards such as restricted stock and restricted stock units, and common stock options.</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Compensation expense for incentive awards is measured at the estimated fair value of the incentive units and is included as compensation expense over the vesting period during which an employee provides service in exchange for the award. Compensation expense for performance-based restricted stock units is measured at the estimated fair value of the units and is recognized using the accelerated attribution method over the service period when it is probable that the performance condition will be satisfied.</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term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differ.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Compensation expense related to the Company’s Employee Stock Purchase Plan is measured at the estimated fair value using the Black-Scholes option pricing model using the estimated number of awards as of the beginning of the offering period.</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has elected to account for forfeitures as they occur.</w:t>
      </w:r>
    </w:p>
    <w:p>
      <w:pPr>
        <w:spacing w:after="0" w:line="12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classifies equity-based compensation expense on our Consolidated Statements of Operations in the same manner in which the award recipient’s salary and related costs are classified or in which the award recipient’s service payments are classified.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In March 2023, the Board authorized a program to repurchase the Company’s common stock (the “Share Repurchase Program”). The total authorization in 2023 and 2024 was $600.0 million and $500.0 million, respectively, of which $546.8 million remained available and authorized for repurchases as of March 31, 2024.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spacing w:after="0" w:line="11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2024, the Company repurchased and subsequently retired 9,623,255 shares of common stock at an average price of $15.90, for an aggregate $153.1 million. During the three months ended March 31, 2023, the Company repurchased and subsequently retired 1,058,291 shares of common stock at an average price of $22.99, for an aggregate $24.3 million.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The amendments in this ASU are intended to increase transparency through improvements to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primarily related to the rate reconciliation and income taxes paid information. This standard is effective for annual periods beginning after December 15, 2024 (i.e., a January 1, 2025 effective date), with early adoption permitted. The Company is currently evaluating the disclosure impacts of ASU 2023-09 on its consolidated financial statements as well as the impacts to its financial reporting process and related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The amendments in this ASU incorporate into the FASB’s ASC certain SEC disclosure requirements that were referred to the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overlap with, but require incremental information to, U.S. GAAP. The effective date for each amendment will be the date on which the SEC’s removal of that related disclosure from Regulation S-X or Regulation S-K becomes effective, with early adoption prohibited, and applied prospectively. If by June 30, 2027, the SEC has not removed the applicable requirement from Regulation S-X or Regulation S-K, the pending content of the related amendment will be removed from FASB’s ASC and will not become effective for any entity. The Company does not expect this ASU to have a material impact on its consolidated financial statements.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this ASU are intended to improve reportable segment disclosure primarily through enhanced disclosures about significant segment expenses. This standard is effective for fiscal years beginning after December 15, 2023 (i.e., a January 1, 2024 effective date), and interim periods within fiscal years beginning after December 15, 2024 (i.e., the first quarter of 2025). The amendments in this ASU should be applied retrospectively to all prior periods presented in the financial statements. Early adoption is permitted. The Company adopted this standard beginning in 2024 and expects to provide incremental qualitative segment-related disclosures beginning with the Company’s Annual Report on Form 10-K for the fiscal year ended December 31, 2024. However, there was no impact to the consolidated financial statements upon adoption.</w:t>
      </w:r>
    </w:p>
    <w:p>
      <w:pPr>
        <w:sectPr>
          <w:pgSz w:w="11900" w:h="16838" w:orient="portrait"/>
          <w:cols w:equalWidth="0" w:num="1">
            <w:col w:w="11240"/>
          </w:cols>
          <w:pgMar w:left="320" w:top="118" w:right="339" w:bottom="1440"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from Contracts with Customers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Revenue comprised the following service offerings:</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76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Subscription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Usage-based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22129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1297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0" w:type="dxa"/>
            <w:vAlign w:val="bottom"/>
          </w:tcPr>
          <w:p>
            <w:pPr>
              <w:spacing w:after="0"/>
              <w:rPr>
                <w:sz w:val="20"/>
                <w:szCs w:val="20"/>
                <w:color w:val="auto"/>
              </w:rPr>
            </w:pPr>
          </w:p>
        </w:tc>
        <w:tc>
          <w:tcPr>
            <w:tcW w:w="130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r>
      <w:tr>
        <w:trPr>
          <w:trHeight w:val="265"/>
        </w:trPr>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5"/>
        </w:trPr>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5"/>
        </w:trPr>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5"/>
        </w:trPr>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40" w:space="720"/>
            <w:col w:w="3480"/>
          </w:cols>
          <w:pgMar w:left="320" w:top="118" w:right="339" w:bottom="1440" w:gutter="0" w:footer="0" w:header="0"/>
          <w:type w:val="continuous"/>
        </w:sectPr>
      </w:pPr>
    </w:p>
    <w:p>
      <w:pPr>
        <w:spacing w:after="0" w:line="3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Usage-based revenue is comprised largely of email verification and facilitation of online advertisements,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revenue is comprised largely of implementation and professional services fees. We recognize other revenue as services are delivered.</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total revenue recognized in the three months ended March 31, 2024, $245.2 million was included in the unearned revenue balance as of December 31, 2023. Of the total revenue recognized in the three months ended March 31, 2023, $213.3 million was included in the unearned revenue balance as of December 31, 2022. Revenue recognized from performance obligations satisfied (or partially satisfied) in previous periods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from Contracts with Customers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Revenues derived from customers and partners located outside the United States, as determined based on the address provided by our customers and partners, accounted for approximately 12% and 13% of our total revenues for the three months ended March 31, 2024 and 2023, respectively. Contracts denominated in currencies other than U.S. Dollar were not material for the three months ended March 31, 2024 and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Unearned Revenue</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As of March 31, 2024 and December 31, 2023, the Company had contract assets of $9.8 million and $5.9 million, respectively, which are recorded within </w:t>
      </w:r>
      <w:r>
        <w:rPr>
          <w:rFonts w:ascii="Times New Roman" w:cs="Times New Roman" w:eastAsia="Times New Roman" w:hAnsi="Times New Roman"/>
          <w:sz w:val="18"/>
          <w:szCs w:val="18"/>
          <w:i w:val="1"/>
          <w:iCs w:val="1"/>
          <w:color w:val="auto"/>
        </w:rPr>
        <w:t xml:space="preserve">Prepaid expenses and other current assets </w:t>
      </w:r>
      <w:r>
        <w:rPr>
          <w:rFonts w:ascii="Times New Roman" w:cs="Times New Roman" w:eastAsia="Times New Roman" w:hAnsi="Times New Roman"/>
          <w:sz w:val="18"/>
          <w:szCs w:val="18"/>
          <w:color w:val="auto"/>
        </w:rPr>
        <w:t>on our Consolidated Balance Sheets. As of March 31, 2024 and December 31, 2023, the Company had unearned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$444.3 million and $441.9 million, respectively.</w:t>
      </w:r>
    </w:p>
    <w:p>
      <w:pPr>
        <w:spacing w:after="0" w:line="12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03"/>
        </w:trPr>
        <w:tc>
          <w:tcPr>
            <w:tcW w:w="6320" w:type="dxa"/>
            <w:vAlign w:val="bottom"/>
          </w:tcPr>
          <w:p>
            <w:pPr>
              <w:spacing w:after="0"/>
              <w:rPr>
                <w:sz w:val="24"/>
                <w:szCs w:val="24"/>
                <w:color w:val="auto"/>
              </w:rPr>
            </w:pPr>
          </w:p>
        </w:tc>
        <w:tc>
          <w:tcPr>
            <w:tcW w:w="16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Recognized within</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2"/>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80" w:type="dxa"/>
            <w:vAlign w:val="bottom"/>
          </w:tcPr>
          <w:p>
            <w:pPr>
              <w:spacing w:after="0"/>
              <w:rPr>
                <w:sz w:val="21"/>
                <w:szCs w:val="21"/>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one year</w:t>
            </w:r>
          </w:p>
        </w:tc>
        <w:tc>
          <w:tcPr>
            <w:tcW w:w="220" w:type="dxa"/>
            <w:vAlign w:val="bottom"/>
          </w:tcPr>
          <w:p>
            <w:pPr>
              <w:spacing w:after="0"/>
              <w:rPr>
                <w:sz w:val="21"/>
                <w:szCs w:val="21"/>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340" w:type="dxa"/>
            <w:vAlign w:val="bottom"/>
          </w:tcPr>
          <w:p>
            <w:pPr>
              <w:spacing w:after="0"/>
              <w:rPr>
                <w:sz w:val="21"/>
                <w:szCs w:val="21"/>
                <w:color w:val="auto"/>
              </w:rPr>
            </w:pPr>
          </w:p>
        </w:tc>
        <w:tc>
          <w:tcPr>
            <w:tcW w:w="122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2024</w:t>
            </w:r>
          </w:p>
        </w:tc>
        <w:tc>
          <w:tcPr>
            <w:tcW w:w="2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1,133.4</w:t>
            </w:r>
          </w:p>
        </w:tc>
      </w:tr>
      <w:tr>
        <w:trPr>
          <w:trHeight w:val="24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Cash, Cash Equivalents, and Short-term Investments</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1"/>
        </w:trPr>
        <w:tc>
          <w:tcPr>
            <w:tcW w:w="77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Cash, cash equivalents, and short-term investments consisted of the following as of March 31, 2024:</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3"/>
        </w:trPr>
        <w:tc>
          <w:tcPr>
            <w:tcW w:w="5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Estimated Fair</w:t>
            </w:r>
          </w:p>
        </w:tc>
      </w:tr>
      <w:tr>
        <w:trPr>
          <w:trHeight w:val="252"/>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Unrealized Gains</w:t>
            </w:r>
          </w:p>
        </w:tc>
        <w:tc>
          <w:tcPr>
            <w:tcW w:w="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6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2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5"/>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r>
      <w:tr>
        <w:trPr>
          <w:trHeight w:val="233"/>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5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w:t>
            </w:r>
          </w:p>
        </w:tc>
      </w:tr>
      <w:tr>
        <w:trPr>
          <w:trHeight w:val="26"/>
        </w:trPr>
        <w:tc>
          <w:tcPr>
            <w:tcW w:w="55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5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39"/>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6"/>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9"/>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6"/>
        </w:trPr>
        <w:tc>
          <w:tcPr>
            <w:tcW w:w="55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5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5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w:t>
            </w:r>
          </w:p>
        </w:tc>
      </w:tr>
      <w:tr>
        <w:trPr>
          <w:trHeight w:val="20"/>
        </w:trPr>
        <w:tc>
          <w:tcPr>
            <w:tcW w:w="5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Cash, cash equivalents, and short-term investments consisted of the following as of December 31,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Estimated Fair</w:t>
            </w:r>
          </w:p>
        </w:tc>
      </w:tr>
      <w:tr>
        <w:trPr>
          <w:trHeight w:val="252"/>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Unrealized Gains</w:t>
            </w:r>
          </w:p>
        </w:tc>
        <w:tc>
          <w:tcPr>
            <w:tcW w:w="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6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2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5"/>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33"/>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5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tcPr>
          <w:p>
            <w:pPr>
              <w:spacing w:after="0"/>
              <w:rPr>
                <w:sz w:val="20"/>
                <w:szCs w:val="20"/>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w:t>
            </w:r>
          </w:p>
        </w:tc>
      </w:tr>
      <w:tr>
        <w:trPr>
          <w:trHeight w:val="25"/>
        </w:trPr>
        <w:tc>
          <w:tcPr>
            <w:tcW w:w="55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5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40"/>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5"/>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40"/>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government securities</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5"/>
        </w:trPr>
        <w:tc>
          <w:tcPr>
            <w:tcW w:w="55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5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5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w:t>
            </w:r>
          </w:p>
        </w:tc>
      </w:tr>
      <w:tr>
        <w:trPr>
          <w:trHeight w:val="20"/>
        </w:trPr>
        <w:tc>
          <w:tcPr>
            <w:tcW w:w="5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8 - Fair Value for further information regarding the fair value of our financial instruments.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Gross unrealized losses on our available-for sale securities were immaterial at March 31, 2024 and December 31, 2023.</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cost and estimated fair value of the securities classified as short-term investments based on stated effective maturities as of March 31, 2024 and December 31,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5"/>
          </w:tcPr>
          <w:p>
            <w:pPr>
              <w:ind w:left="1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0"/>
                <w:szCs w:val="20"/>
                <w:color w:val="auto"/>
              </w:rPr>
            </w:pPr>
          </w:p>
        </w:tc>
        <w:tc>
          <w:tcPr>
            <w:tcW w:w="3720" w:type="dxa"/>
            <w:vAlign w:val="bottom"/>
            <w:gridSpan w:val="4"/>
          </w:tcPr>
          <w:p>
            <w:pPr>
              <w:jc w:val="right"/>
              <w:ind w:right="117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1"/>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Pr>
          <w:p>
            <w:pPr>
              <w:spacing w:after="0"/>
              <w:rPr>
                <w:sz w:val="21"/>
                <w:szCs w:val="21"/>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240" w:type="dxa"/>
            <w:vAlign w:val="bottom"/>
          </w:tcPr>
          <w:p>
            <w:pPr>
              <w:spacing w:after="0"/>
              <w:rPr>
                <w:sz w:val="21"/>
                <w:szCs w:val="21"/>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Pr>
          <w:p>
            <w:pPr>
              <w:spacing w:after="0"/>
              <w:rPr>
                <w:sz w:val="21"/>
                <w:szCs w:val="21"/>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6"/>
              </w:rPr>
              <w:t>Estimated Fair Value</w:t>
            </w:r>
          </w:p>
        </w:tc>
      </w:tr>
      <w:tr>
        <w:trPr>
          <w:trHeight w:val="265"/>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5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Property and Equipment</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1"/>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Company’s property and equipment consist of the following:</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24"/>
        </w:trPr>
        <w:tc>
          <w:tcPr>
            <w:tcW w:w="8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84"/>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4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developed software</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5"/>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3"/>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6"/>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58"/>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expense was $5.2 million and $4.8 million for the three months ended March 31, 2024 and 2023,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Acquired Intangible Assets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Intangible assets, other than goodwill, consisted of the following as of March 31, 2024 and December 31, 2023,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212"/>
        </w:trPr>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52"/>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tcPr>
          <w:p>
            <w:pPr>
              <w:spacing w:after="0"/>
              <w:rPr>
                <w:sz w:val="21"/>
                <w:szCs w:val="21"/>
                <w:color w:val="auto"/>
              </w:rPr>
            </w:pP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Period in Years</w:t>
            </w:r>
          </w:p>
        </w:tc>
      </w:tr>
      <w:tr>
        <w:trPr>
          <w:trHeight w:val="232"/>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5"/>
              </w:rPr>
              <w:t>14.5</w:t>
            </w:r>
          </w:p>
        </w:tc>
      </w:tr>
      <w:tr>
        <w:trPr>
          <w:trHeight w:val="25"/>
        </w:trPr>
        <w:tc>
          <w:tcPr>
            <w:tcW w:w="4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5"/>
        </w:trPr>
        <w:tc>
          <w:tcPr>
            <w:tcW w:w="4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Acquired technology</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6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6.3</w:t>
            </w:r>
          </w:p>
        </w:tc>
      </w:tr>
      <w:tr>
        <w:trPr>
          <w:trHeight w:val="24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Brand portfolio</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7.8</w:t>
            </w:r>
          </w:p>
        </w:tc>
      </w:tr>
      <w:tr>
        <w:trPr>
          <w:trHeight w:val="25"/>
        </w:trPr>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5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5"/>
        </w:trPr>
        <w:tc>
          <w:tcPr>
            <w:tcW w:w="48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5"/>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
        </w:trPr>
        <w:tc>
          <w:tcPr>
            <w:tcW w:w="4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5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not subject to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5"/>
        </w:trPr>
        <w:tc>
          <w:tcPr>
            <w:tcW w:w="48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r>
      <w:tr>
        <w:trPr>
          <w:trHeight w:val="283"/>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Goodwill and Acquired Intangible Assets (continued)</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654"/>
        </w:trPr>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212"/>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52"/>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Pr>
          <w:p>
            <w:pPr>
              <w:spacing w:after="0"/>
              <w:rPr>
                <w:sz w:val="21"/>
                <w:szCs w:val="21"/>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40" w:type="dxa"/>
            <w:vAlign w:val="bottom"/>
          </w:tcPr>
          <w:p>
            <w:pPr>
              <w:spacing w:after="0"/>
              <w:rPr>
                <w:sz w:val="21"/>
                <w:szCs w:val="21"/>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Period in Years</w:t>
            </w:r>
          </w:p>
        </w:tc>
      </w:tr>
      <w:tr>
        <w:trPr>
          <w:trHeight w:val="232"/>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9"/>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5"/>
              </w:rPr>
              <w:t>14.5</w:t>
            </w:r>
          </w:p>
        </w:tc>
      </w:tr>
      <w:tr>
        <w:trPr>
          <w:trHeight w:val="26"/>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5"/>
        </w:trPr>
        <w:tc>
          <w:tcPr>
            <w:tcW w:w="4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Acquired technology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6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6.3</w:t>
            </w:r>
          </w:p>
        </w:tc>
      </w:tr>
      <w:tr>
        <w:trPr>
          <w:trHeight w:val="240"/>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Brand portfolio</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7.9</w:t>
            </w:r>
          </w:p>
        </w:tc>
      </w:tr>
      <w:tr>
        <w:trPr>
          <w:trHeight w:val="25"/>
        </w:trPr>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5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5"/>
        </w:trPr>
        <w:tc>
          <w:tcPr>
            <w:tcW w:w="49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9"/>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6"/>
        </w:trPr>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5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not subject to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5"/>
        </w:trPr>
        <w:tc>
          <w:tcPr>
            <w:tcW w:w="49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r>
      <w:tr>
        <w:trPr>
          <w:trHeight w:val="28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Amortization expense was $14.8 million and $16.1 million for the three months ended March 31, 2024 and 2023, respectively.</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Goodwill was $1,692.7 million as of March 31, 2024 and December 31, 2023.</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events or circumstances indicating that goodwill might be impaired as of March 31,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Financing Arrangements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March 31, 2024 and December 31, 2023, the carrying values of the Company’s borrowings were as follows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3"/>
        </w:trPr>
        <w:tc>
          <w:tcPr>
            <w:tcW w:w="25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2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Elected Interest Rate</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20"/>
                <w:szCs w:val="20"/>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8"/>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2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February 1, 2019</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28, 2030</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SOFR + 2.25%</w:t>
            </w: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r>
      <w:tr>
        <w:trPr>
          <w:trHeight w:val="240"/>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Lien Revolver</w:t>
            </w:r>
          </w:p>
        </w:tc>
        <w:tc>
          <w:tcPr>
            <w:tcW w:w="2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February 1, 2019</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28, 2028</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SOFR + 2.10%</w:t>
            </w:r>
          </w:p>
        </w:tc>
        <w:tc>
          <w:tcPr>
            <w:tcW w:w="4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February 2, 2021</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2029</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w:t>
            </w:r>
          </w:p>
        </w:tc>
      </w:tr>
      <w:tr>
        <w:trPr>
          <w:trHeight w:val="233"/>
        </w:trPr>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1,232.4</w:t>
            </w:r>
          </w:p>
        </w:tc>
      </w:tr>
      <w:tr>
        <w:trPr>
          <w:trHeight w:val="25"/>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8"/>
        </w:trPr>
        <w:tc>
          <w:tcPr>
            <w:tcW w:w="4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1,226.4</w:t>
            </w: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Agreement</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Performance of obligations under 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10"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Financing Arrangements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If the Company draws more than $87.5 million of the revolving credit loan,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Term Loan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December 2023, we entered into an amendment to our existing First Lien Credit Agreement (the "Sixth Amendment"), pursuant to which the Company completed a repricing of its First Lien Term Loan Facility, which decreased the applicable rate for Base Rate loans from 1.75% to 1.25% and SOFR based loans from 2.85% to 2.25%, and included the removal of the 0.1% credit spread adjustment.</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February 2023, we entered into an amendment to our existing First Lien Credit Agreement (the “Fifth Amendment”), pursuant to which the Company completed a repricing of its First Lien Term Loan Facility, which provided for an extension of the maturity date to February 28, 2030. The first lien term debt had a variable interest rate whereby the Company can elect to use a Base Rate or SOFR plus an applicable rate. Pursuant to the Fifth Amendment, the applicable rate decreased for Base Rate loans from 2.00% to 1.75% and from 3.10% to 2.85% for SOFR based loans. Under the terms of the Fifth Amendment, the Company is obligated to make principal payments in the amount of 0.25% of the aggregate initial outstanding amount.</w:t>
      </w:r>
    </w:p>
    <w:p>
      <w:pPr>
        <w:spacing w:after="0" w:line="130"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The Company recognized an immaterial loss in connection with the repricing in the fiscal year ending December 31, 2023 within </w:t>
      </w:r>
      <w:r>
        <w:rPr>
          <w:rFonts w:ascii="Times New Roman" w:cs="Times New Roman" w:eastAsia="Times New Roman" w:hAnsi="Times New Roman"/>
          <w:sz w:val="18"/>
          <w:szCs w:val="18"/>
          <w:i w:val="1"/>
          <w:iCs w:val="1"/>
          <w:color w:val="auto"/>
        </w:rPr>
        <w:t>Loss on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modification and extinguishment </w:t>
      </w:r>
      <w:r>
        <w:rPr>
          <w:rFonts w:ascii="Times New Roman" w:cs="Times New Roman" w:eastAsia="Times New Roman" w:hAnsi="Times New Roman"/>
          <w:sz w:val="18"/>
          <w:szCs w:val="18"/>
          <w:color w:val="auto"/>
        </w:rPr>
        <w:t>on the Consolidated Statements of Operations.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effective interest rate on the first lien debt was 7.81% and 7.83% as of March 31, 2024 and December 31,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Revolving Credit Facility</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Pursuant to the Fifth Amendment, the Company also extended the maturity date of $213.0 million of our $250.0 million existing commitments of the first lien revolving credit facility to February 28, 2028. Pursuant to the Sixth Amendment, $26.0 million of the non-extended commitments were extended to February 28, 2028. With respect to the $11.0 million commitments which were not extended, the maturity date is November 2, 2025. Debt issuance costs were incurred in connection with the repricing of the revolving credit facility. These debt issuance costs are amortized into interest expense over the expected life of the arrangement. Unamortized debt issuance costs are immaterial and included 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Consolidated Balance Sheets.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first lien revolving debt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Derivatives and Hedging Activities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exposed to risks from changes in interest rates related to the first lien term loan (See Note 6 - Financing Arrangements).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spacing w:after="0" w:line="13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As of March 31, 2024, the Company had the following outstanding interest rate derivatives that were designated as cash flow hedges of interest rate risk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60" w:type="dxa"/>
            <w:vAlign w:val="bottom"/>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Notional Aggregate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Interest Cap / Swap</w:t>
            </w: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3"/>
        </w:trPr>
        <w:tc>
          <w:tcPr>
            <w:tcW w:w="37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Interest Rate Derivatives (Level 2)</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Instruments</w:t>
            </w:r>
          </w:p>
        </w:tc>
        <w:tc>
          <w:tcPr>
            <w:tcW w:w="14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7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6"/>
        </w:trPr>
        <w:tc>
          <w:tcPr>
            <w:tcW w:w="37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20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One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3.500 %</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30,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4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Two</w:t>
            </w: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0.370 %</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30,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2026</w:t>
            </w:r>
          </w:p>
        </w:tc>
      </w:tr>
    </w:tbl>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derivative interest rate swaps are designated and qualify as cash flow hedges. Consequently, the change in the estimated fair value of the effective portion of the derivative is recognized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on our Consolidated Balance Sheets and reclassified to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when the underlying transaction has an impact on earnings. The Company expects to recognize approximately $22.5 million of net pre-tax gains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other comprehensive income as a reduction of interest expense in the next twelve months associated with its interest rate swap.</w:t>
      </w:r>
    </w:p>
    <w:p>
      <w:pPr>
        <w:spacing w:after="0" w:line="12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Refer to the Company’s Consolidated Statements of Comprehensive Income for amounts reclassified from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into earnings related to the Company’s Derivative Instruments designated as cash flow hedging instruments for each of the reporting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Hedges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changes in currency exchange rates, primarily relating to changes in the Israeli shekel. Consequently, from time to time, we may use foreign exchange forward contracts or other financial instruments to manage our exposure to foreign exchange rate movements. Our primary objective in holding derivatives is to reduce the volatility of cash flows associated with changes in foreign exchange rates. We do not enter into derivative transactions for speculative or trading purposes.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derivative foreign currency forward contracts are designated and qualify as cash flow hedges. Consequently, the change in the estimated fair value of the effective portion of the derivative is recognized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on our Consolidated Balance Sheets and reclassified to revenue or operating expenses depending on the nature of the underlying transaction, when the underlying transaction has an impact on earnings. Impacts on </w:t>
      </w: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are presented as operating cash flows on our Consolidated Statements of Cash Flows in the period contracts are settled.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2024, the Company did not have any outstanding foreign currency derivatives designated as cash flow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Derivatives and Hedging Activities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on our Consolidated Balance Sheets for derivatives as of March 31, 2024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20" w:type="dxa"/>
            <w:vAlign w:val="bottom"/>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352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6"/>
        </w:trPr>
        <w:tc>
          <w:tcPr>
            <w:tcW w:w="3760" w:type="dxa"/>
            <w:vAlign w:val="bottom"/>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7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20" w:type="dxa"/>
            <w:vAlign w:val="bottom"/>
          </w:tcPr>
          <w:p>
            <w:pPr>
              <w:spacing w:after="0"/>
              <w:rPr>
                <w:sz w:val="20"/>
                <w:szCs w:val="20"/>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8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20" w:type="dxa"/>
            <w:vAlign w:val="bottom"/>
          </w:tcPr>
          <w:p>
            <w:pPr>
              <w:spacing w:after="0"/>
              <w:rPr>
                <w:sz w:val="20"/>
                <w:szCs w:val="20"/>
                <w:color w:val="auto"/>
              </w:rPr>
            </w:pP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0" w:type="dxa"/>
            <w:vAlign w:val="bottom"/>
          </w:tcPr>
          <w:p>
            <w:pPr>
              <w:spacing w:after="0"/>
              <w:rPr>
                <w:sz w:val="1"/>
                <w:szCs w:val="1"/>
                <w:color w:val="auto"/>
              </w:rPr>
            </w:pPr>
          </w:p>
        </w:tc>
      </w:tr>
      <w:tr>
        <w:trPr>
          <w:trHeight w:val="25"/>
        </w:trPr>
        <w:tc>
          <w:tcPr>
            <w:tcW w:w="3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cap contract</w:t>
            </w:r>
            <w:r>
              <w:rPr>
                <w:rFonts w:ascii="Times New Roman" w:cs="Times New Roman" w:eastAsia="Times New Roman" w:hAnsi="Times New Roman"/>
                <w:sz w:val="22"/>
                <w:szCs w:val="22"/>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designated derivative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64"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Prepaid expenses and other current assets</w:t>
      </w:r>
      <w:r>
        <w:rPr>
          <w:rFonts w:ascii="Times New Roman" w:cs="Times New Roman" w:eastAsia="Times New Roman" w:hAnsi="Times New Roman"/>
          <w:sz w:val="16"/>
          <w:szCs w:val="16"/>
          <w:color w:val="auto"/>
        </w:rPr>
        <w:t xml:space="preserve"> on our Consolidated Balance Sheets.</w:t>
      </w:r>
    </w:p>
    <w:p>
      <w:pPr>
        <w:spacing w:after="0" w:line="25"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Deferred costs and other assets, net of current portion</w:t>
      </w:r>
      <w:r>
        <w:rPr>
          <w:rFonts w:ascii="Times New Roman" w:cs="Times New Roman" w:eastAsia="Times New Roman" w:hAnsi="Times New Roman"/>
          <w:sz w:val="16"/>
          <w:szCs w:val="16"/>
          <w:color w:val="auto"/>
        </w:rPr>
        <w:t xml:space="preserve"> on our Consolidated Balance Sheets.</w:t>
      </w:r>
    </w:p>
    <w:p>
      <w:pPr>
        <w:spacing w:after="0" w:line="14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Refer to the Company’s Consolidated Statements of Comprehensive Income for amounts reclassified from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into earnings related to the Company’s Derivative Instruments designated as cash flow hedging instruments for each of the reporting periods.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short-term investments,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money market mutual funds as Level 1 within the fair value hierarchy. We classify our corporate debt securities, securities guaranteed by the U.S. government and other governmental securities as Level 2 within the fair value hierarchy. The fair value of our first term lien debt and Senior Notes was $591.8 million and $583.4 million as of March 31, 2024, and $595.5 million and $588.3 million as of December 31, 2023, respectively, based on observable market prices in less active markets and categorized as Level 2 within the fair value measurement framework.</w:t>
      </w:r>
    </w:p>
    <w:p>
      <w:pPr>
        <w:spacing w:after="0" w:line="13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SOFR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SOFR rates unless they are fully collateralized. Fully collateralized derivatives are discounted to present value at the measurement date at OIS rates (short-term OIS rates and long-term OIS swap rates).</w:t>
      </w:r>
    </w:p>
    <w:p>
      <w:pPr>
        <w:spacing w:after="0" w:line="140"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Inputs are collected from SuperDerivatives, an independent third-party derivative pricing data provider, as of the close on the last day of the period. The valuation of the interest rate swaps also take into consideration estimates of our own, as well as our counterparty’s, risk of non-performance under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of our financial assets was determined using the following inputs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6"/>
        </w:trPr>
        <w:tc>
          <w:tcPr>
            <w:tcW w:w="6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8"/>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9"/>
        </w:trPr>
        <w:tc>
          <w:tcPr>
            <w:tcW w:w="6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6"/>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6"/>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3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6"/>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5"/>
        </w:trPr>
        <w:tc>
          <w:tcPr>
            <w:tcW w:w="6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0"/>
        </w:trPr>
        <w:tc>
          <w:tcPr>
            <w:tcW w:w="6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3"/>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30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12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5"/>
        </w:trPr>
        <w:tc>
          <w:tcPr>
            <w:tcW w:w="6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3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governmental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0"/>
        </w:trPr>
        <w:tc>
          <w:tcPr>
            <w:tcW w:w="6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Impaired lease-related assets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
        </w:trPr>
        <w:tc>
          <w:tcPr>
            <w:tcW w:w="6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3"/>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transfers between fair value measurements levels during the three months ended March 31, 2024.</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3 - Cash, Cash Equivalents, and Short-term Investments for further information regarding the fair value of our financial instruments. Refer to Note 7 - Derivatives and Hedging Activities for further information regarding the fair value of our derivative instruments.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information related to outstanding non-cancelable purchase obligations, refer to the amount disclosed in the audited financial statements in our 2023 Form 10-K. Amounts mainly relate to third-party cloud hosting and software-as-a-service arrangements. For information regarding financing-related obligations, refer to Note 6 - Financing Arrangements. For information regarding lease-related obligations, refer to Note 11 -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earnout payments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connection with the acquisition of Dogpatch Advisors, LLC in April 2022, the Company could be required to issue equity awards up to $2.6 million.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 has paid $0.3 million. Refer to Note 4 - Business Combinations in our 2023 Form 10-K for additional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acquisition-related payments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acquisition of Insent, the Company paid $2.0 million during the three months ended March 31, 2024 of which $0.7 million represents deferred consideration. Refer to Note 4 - Business Combinations in our 2023 Form 10-K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except where otherwise indicated, it is not possible to provide an estimated amount of any loss or range of loss that may occur with respect to these matters, including without limitation the matters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On April 15, 2021, a putative class action lawsuit was filed against ZoomInfo Technologies LLC in the United States District Court for the Northern District of Illinois (Eastern Division) alleging ZoomInfo’s use of Illinois residents’ names in public-facing web pages violates the Illinois Right of Publicity Act, and seeking statutory, compensatory and punitive damages, costs, and attorneys’ fees. Additionally, on September 30, 2021, a putative class action lawsuit was filed against ZoomInfo Technologies Inc. in the United States District Court for the Western District of Washington alleging ZoomInfo’s use of California residents’ names in public-facing web pages violates California statutory and common law regarding the right of publicity as well as misappropriation, and seeking compensatory and punitive damages, restitution, injunctive relief, declaratory relief, costs, and attorneys’ fees. Effective March 27, 2024, ZoomInfo entered into a settlement agreement with plaintiffs in the Illinois class action that, if approved, will resolve the Illinois class action, the California class action and similar, unfiled claims in the states of Indiana and Nevada (the “Class Actions”). Under the terms of settlement, ZoomInfo has agreed to pay an amount equal to 3% of the statutory damages to each eligible class member in the states of California, Illinois, Indiana, and Nevada. The estimated total settlement amount is approximately $29.5 million, based on the estimated size of each state’s settlement class, and the total settlement amount will be finalized based on confirmatory discovery, to be completed on or before May 24, 2024. The proposed settlement is subject to final approval by the Illinois District Court and certain other conditions. If approved, the settlement would release all claims by any class member against ZoomInfo based on the alleged use of such class member’s identity, persona, name, image, likeness, or personal information for any commercial purpose without consent, including any claims alleging a violation of any right of publicity law. The settlement is not an admission of fault or wrongdoing by ZoomInfo. However, it believes that a resolution of these claims at this time is in the best interest of the Company given the costs and risks inherent in litigation. During the three months ended March 31, 2024, the Company incurred charges of $30.2 million, which includes both the estimated settlement amount and other legal costs, of which $0.2 million of legal costs has been paid. The remaining accrual of $30.0 million as of March 31, 2024 is included in </w:t>
      </w:r>
      <w:r>
        <w:rPr>
          <w:rFonts w:ascii="Times New Roman" w:cs="Times New Roman" w:eastAsia="Times New Roman" w:hAnsi="Times New Roman"/>
          <w:sz w:val="18"/>
          <w:szCs w:val="18"/>
          <w:i w:val="1"/>
          <w:iCs w:val="1"/>
          <w:color w:val="auto"/>
        </w:rPr>
        <w:t>Accrued expenses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on our Consolidated Balance Sheets. Subsequent charges to settle the Class Actions, if any, will be recorded during the second quarter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confirmatory discovery. The total charges that the Company expects to incur are subject to a number of assumptions, including the number of class members in each state, and actual expenses may differ materially from the estimates disclosed.</w:t>
      </w:r>
    </w:p>
    <w:p>
      <w:pPr>
        <w:spacing w:after="0" w:line="13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February 10, 2023, a putative class action lawsuit was filed against Datanyze, LLC, one of the Company’s subsidiaries, in the Circuit Court of Cook County, Illinois alleging Datanyze's use of Illinois residents’ names in a free trial violates the Illinois Right of Publicity Act, and seeking statutory, compensatory and punitive damages, costs, and attorneys’ fees. The case is pending in the United States District Court for the Northern District of Illinois (Eastern Division). The Company intends to vigorously defend against this lawsuit.</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March 8, 2023, a putative class action lawsuit was filed against Datanyze, LLC in the United States District Court for the Northern District of Ohio alleging Datanyze's use of Ohio residents names in a free trial violates the Ohio Right of Publicity Statute, and seeking statutory damages, costs, and attorneys’ fees. On November 17, 2023, the court dismissed the plaintiffs’ claims with prejudice, and the plaintiffs have since appealed the dismissal. The Company intends to continue to vigorously defend against this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Per Share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computation of basic and diluted net income per share of </w:t>
      </w:r>
      <w:r>
        <w:rPr>
          <w:rFonts w:ascii="Times New Roman" w:cs="Times New Roman" w:eastAsia="Times New Roman" w:hAnsi="Times New Roman"/>
          <w:sz w:val="18"/>
          <w:szCs w:val="18"/>
          <w:color w:val="242424"/>
        </w:rPr>
        <w:t>common stock</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33020</wp:posOffset>
            </wp:positionV>
            <wp:extent cx="22129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1297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shares and per share amounts)</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2"/>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share attributable to common stockholders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3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5"/>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378,967,201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403,408,487</w:t>
            </w:r>
          </w:p>
        </w:tc>
      </w:tr>
      <w:tr>
        <w:trPr>
          <w:trHeight w:val="25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share attributable to common stockholders</w:t>
            </w: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2"/>
        </w:trPr>
        <w:tc>
          <w:tcPr>
            <w:tcW w:w="7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share attributable to common stockholders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9"/>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Allocation of undistributed earnings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6"/>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378,967,201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403,408,487</w:t>
            </w:r>
          </w:p>
        </w:tc>
      </w:tr>
      <w:tr>
        <w:trPr>
          <w:trHeight w:val="26"/>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weighted-average effect of dilutive securities exchangeable for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9"/>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awards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446,843</w:t>
            </w:r>
          </w:p>
        </w:tc>
      </w:tr>
      <w:tr>
        <w:trPr>
          <w:trHeight w:val="25"/>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66,687</w:t>
            </w:r>
          </w:p>
        </w:tc>
      </w:tr>
      <w:tr>
        <w:trPr>
          <w:trHeight w:val="240"/>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195,611</w:t>
            </w:r>
          </w:p>
        </w:tc>
      </w:tr>
      <w:tr>
        <w:trPr>
          <w:trHeight w:val="25"/>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shares of common stock outstanding used to calculate diluted net income per share</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379,307,483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404,117,628</w:t>
            </w:r>
          </w:p>
        </w:tc>
      </w:tr>
      <w:tr>
        <w:trPr>
          <w:trHeight w:val="25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attributable to common stockholders</w:t>
            </w: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242424"/>
        </w:rPr>
        <w:t>The following weighted-average potentially dilutive securities were evaluated under the treasury stock method for potentially dilutive effects and have been excluded from diluted net income per share in the periods presented due to their anti-dilutive effect: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60" w:type="dxa"/>
            <w:vAlign w:val="bottom"/>
          </w:tcPr>
          <w:p>
            <w:pPr>
              <w:spacing w:after="0"/>
              <w:rPr>
                <w:sz w:val="20"/>
                <w:szCs w:val="20"/>
                <w:color w:val="auto"/>
              </w:rPr>
            </w:pPr>
          </w:p>
        </w:tc>
        <w:tc>
          <w:tcPr>
            <w:tcW w:w="3480" w:type="dxa"/>
            <w:vAlign w:val="bottom"/>
            <w:gridSpan w:val="3"/>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5"/>
        </w:trPr>
        <w:tc>
          <w:tcPr>
            <w:tcW w:w="77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3"/>
        </w:trPr>
        <w:tc>
          <w:tcPr>
            <w:tcW w:w="7760" w:type="dxa"/>
            <w:vAlign w:val="bottom"/>
          </w:tcPr>
          <w:p>
            <w:pPr>
              <w:spacing w:after="0"/>
              <w:rPr>
                <w:sz w:val="20"/>
                <w:szCs w:val="20"/>
                <w:color w:val="auto"/>
              </w:rPr>
            </w:pPr>
          </w:p>
        </w:tc>
        <w:tc>
          <w:tcPr>
            <w:tcW w:w="168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8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77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15,474,470</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13,267,434</w:t>
            </w:r>
          </w:p>
        </w:tc>
      </w:tr>
      <w:tr>
        <w:trPr>
          <w:trHeight w:val="24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76,261</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77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3"/>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15,550,731</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13,267,434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16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one year or less, from our right-of-use assets and lease liabilities as well as the package of practical expedients relating to adoption of Topic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Company subleases two offices. The subleases have remaining lease terms of less than seven years. Sublease income, which is recorded as a reduction of rent expense and allocated to the appropriate financial statement line items to arrive at </w:t>
      </w: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xml:space="preserve"> on our Consolidated Statements of Operations, was immaterial for the three months ended March 31, 2024 and 2023.</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are additional details related to operating leases recorded on our Consolidated Balance Sheets as of March 31, 2024 and December 31,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8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2"/>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30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6"/>
        </w:trPr>
        <w:tc>
          <w:tcPr>
            <w:tcW w:w="7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2"/>
        </w:trPr>
        <w:tc>
          <w:tcPr>
            <w:tcW w:w="75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
        </w:trPr>
        <w:tc>
          <w:tcPr>
            <w:tcW w:w="7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300" w:type="dxa"/>
            <w:vAlign w:val="bottom"/>
            <w:tcBorders>
              <w:bottom w:val="single" w:sz="8" w:color="CCEEFF"/>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5"/>
        </w:trPr>
        <w:tc>
          <w:tcPr>
            <w:tcW w:w="75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3"/>
        </w:trPr>
        <w:tc>
          <w:tcPr>
            <w:tcW w:w="7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30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Rent expense was $5.6 million and $4.0 million for the three months ended March 31, 2024 and 2023, respectively.</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215"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33020</wp:posOffset>
            </wp:positionV>
            <wp:extent cx="23641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2"/>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
        </w:trPr>
        <w:tc>
          <w:tcPr>
            <w:tcW w:w="7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for tenant incentive reimbursement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7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 arising from obtaining right-of-use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new and existing lease agreements and modifications</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0"/>
                <w:szCs w:val="20"/>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300" w:type="dxa"/>
            <w:vAlign w:val="bottom"/>
          </w:tcPr>
          <w:p>
            <w:pPr>
              <w:spacing w:after="0"/>
              <w:rPr>
                <w:sz w:val="20"/>
                <w:szCs w:val="20"/>
                <w:color w:val="auto"/>
              </w:rPr>
            </w:pPr>
          </w:p>
        </w:tc>
        <w:tc>
          <w:tcPr>
            <w:tcW w:w="222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20" w:type="dxa"/>
            <w:vAlign w:val="bottom"/>
          </w:tcPr>
          <w:p>
            <w:pPr>
              <w:spacing w:after="0"/>
              <w:rPr>
                <w:sz w:val="20"/>
                <w:szCs w:val="20"/>
                <w:color w:val="auto"/>
              </w:rPr>
            </w:pPr>
          </w:p>
        </w:tc>
      </w:tr>
      <w:tr>
        <w:trPr>
          <w:trHeight w:val="25"/>
        </w:trPr>
        <w:tc>
          <w:tcPr>
            <w:tcW w:w="7300" w:type="dxa"/>
            <w:vAlign w:val="bottom"/>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3"/>
        </w:trPr>
        <w:tc>
          <w:tcPr>
            <w:tcW w:w="7300" w:type="dxa"/>
            <w:vAlign w:val="bottom"/>
          </w:tcPr>
          <w:p>
            <w:pPr>
              <w:spacing w:after="0"/>
              <w:rPr>
                <w:sz w:val="20"/>
                <w:szCs w:val="20"/>
                <w:color w:val="auto"/>
              </w:rPr>
            </w:pPr>
          </w:p>
        </w:tc>
        <w:tc>
          <w:tcPr>
            <w:tcW w:w="22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7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
        </w:trPr>
        <w:tc>
          <w:tcPr>
            <w:tcW w:w="73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4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under non-cancelable leases to the total lease liabilities recognized as of March 31, 2024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80" w:type="dxa"/>
            <w:vAlign w:val="bottom"/>
          </w:tcPr>
          <w:p>
            <w:pPr>
              <w:spacing w:after="0"/>
              <w:rPr>
                <w:sz w:val="20"/>
                <w:szCs w:val="20"/>
                <w:color w:val="auto"/>
              </w:rPr>
            </w:pP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5"/>
        </w:trPr>
        <w:tc>
          <w:tcPr>
            <w:tcW w:w="9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(excluding three months ended March 31, 2024)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5"/>
        </w:trPr>
        <w:tc>
          <w:tcPr>
            <w:tcW w:w="9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5"/>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5"/>
        </w:trPr>
        <w:tc>
          <w:tcPr>
            <w:tcW w:w="9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5"/>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5"/>
        </w:trPr>
        <w:tc>
          <w:tcPr>
            <w:tcW w:w="9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8"/>
        </w:trPr>
        <w:tc>
          <w:tcPr>
            <w:tcW w:w="9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3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6"/>
        </w:trPr>
        <w:tc>
          <w:tcPr>
            <w:tcW w:w="9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3"/>
        </w:trPr>
        <w:tc>
          <w:tcPr>
            <w:tcW w:w="9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table above does not include any legally binding minimum lease payments for leases signed but not yet commenced. Included in the undiscounted future minimum lease payments for the year ended December 31, 2024 are future tenant improvement allowance reimbursements related to our Ra’anana, Israel, new Vancouver, Washington, and Waltham, Massachusetts leases.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Expense associated with short term leases and variable lease costs were immaterial for the three months ended March 31, 2024 and 2023. The expense related to short-term leases reasonably reflected our short-term lease commitments.</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Undiscounted lease payments under all leases executed and not yet commenced are anticipated to be $228.1 million, of which $157.9 million relate to leases expected to commence in the three months ended June 30, 2024 and $200.6 million relate to leases expected to commence in 2024 (excluding the three months ended March 31, 2024). These payments are not included in the tabular disclosure of undiscounted future minimum lease payments under non-cancelable leases above.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Leasing Activity</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Relating to our new corporate headquarters in Vancouver, Washington, the first and second phase of the lease commenced in March 2024. The commencement of these phases resulted in additional lease liabilities arising from obtaining right-of-use assets of $12.5 million and $15.0 million, respectively. As the commencement of the remaining subsequent phases of this lease are expected to occur between April and October 2024, the Company has not recorded operating lease right-of-use assets or lease liabilities for these phases as of March 31, 2024.</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2020 Omnibus Incentive Plan </w:t>
      </w:r>
      <w:r>
        <w:rPr>
          <w:rFonts w:ascii="Times New Roman" w:cs="Times New Roman" w:eastAsia="Times New Roman" w:hAnsi="Times New Roman"/>
          <w:sz w:val="18"/>
          <w:szCs w:val="18"/>
          <w:color w:val="auto"/>
        </w:rPr>
        <w:t>- On May 26, 2020, the Board adopted the Omnibus Plan. The Omnibus Plan provides for potential grants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awards with respect to shares of the Company’s common stock or securities valued by reference to, or otherwise determined by reference to or based on, shares of common stock: (i) incentive stock options qualified as such under U.S. federal income tax laws; (ii) non-qualified stock options or any other form of stock options; (iii) stock appreciation rights; (iv) restricted stock; (v) restricted stock units; (vi) interests in a limited liability company that is a subsidiary of the Company, and (vii) other equity-based and cash-based incentive awards as determined by the compensation committee of the Board or any properly delegated subcommittee.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maximum aggregate number of shares of common stock that could be issued pursuant to awards under the Omnibus Plan was 18,650,000 shares (including other securities which have been issued under the plan and were converted into awards based on shares of common stock) (the “Plan Share Reserve”). The Omnibus Plan also contains a provision that will add an additional number of shares of common stock to the Plan Share Reserve on the first day of each year starting with January 1, 2021, equal to the lesser of (i) the positive difference between (x) 5% of the number of shares of common stock outstanding on the last day of the immediately preceding year, and (y) the Plan Share Reserve on the last day of the immediately preceding year, and (ii) a lower number of shares of common stock as may be determined by the Board.</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currently has equity-based compensation awards outstanding as follows: restricted stock units, common stock options, and restricted stock. In addition, the Company recognizes equity-based compensation expense from awards granted to employees as further described below under HSKB Phantom Units.</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Except where indicated otherwise, the equity-based compensation awards described below are subject to time-based service requirements. For all grants issued, the service vesting condition is generally four years with 25% vesting on the one-year anniversary of the grant date of the award and 6.25% vesting quarterly thereafter; or three years with 33% vesting on the one-year anniversary of the grant date of the award and 8.375% vesting quarterly thereafter.</w:t>
      </w:r>
    </w:p>
    <w:p>
      <w:pPr>
        <w:spacing w:after="0" w:line="10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During the year ended December 31, 2023, the Company issued PRSUs, which were recommended by the Compensation Committee of the Board and approved by the full Board. The service vesting condition for one of the issued awards is one year. Each of the remaining PRSUs will vest in annual tranches over a three-year service period. Total PRSUs earned for grants made in 2023 may vary between 0% and 200% of the PRSUs granted based on the attainment of company-specific performance targets during the related performance period and continued service. All of the PRSUs earned will be settled through the issuance of an equivalent number of shares of the Company’s common stock based on the payout level achieved. Certain additional grants have other vesting periods approved by the Compensation Committee of the Board.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Restricted stock unit activity was as follows during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Three Months Ended March</w:t>
            </w:r>
          </w:p>
        </w:tc>
      </w:tr>
      <w:tr>
        <w:trPr>
          <w:trHeight w:val="233"/>
        </w:trPr>
        <w:tc>
          <w:tcPr>
            <w:tcW w:w="4560" w:type="dxa"/>
            <w:vAlign w:val="bottom"/>
          </w:tcPr>
          <w:p>
            <w:pPr>
              <w:spacing w:after="0"/>
              <w:rPr>
                <w:sz w:val="20"/>
                <w:szCs w:val="20"/>
                <w:color w:val="auto"/>
              </w:rPr>
            </w:pPr>
          </w:p>
        </w:tc>
        <w:tc>
          <w:tcPr>
            <w:tcW w:w="430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31, 2023</w:t>
            </w:r>
          </w:p>
        </w:tc>
      </w:tr>
      <w:tr>
        <w:trPr>
          <w:trHeight w:val="25"/>
        </w:trPr>
        <w:tc>
          <w:tcPr>
            <w:tcW w:w="456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11"/>
        </w:trPr>
        <w:tc>
          <w:tcPr>
            <w:tcW w:w="4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Weighted Average Grant</w:t>
            </w:r>
          </w:p>
        </w:tc>
        <w:tc>
          <w:tcPr>
            <w:tcW w:w="2380" w:type="dxa"/>
            <w:vAlign w:val="bottom"/>
          </w:tcPr>
          <w:p>
            <w:pPr>
              <w:spacing w:after="0"/>
              <w:rPr>
                <w:sz w:val="18"/>
                <w:szCs w:val="18"/>
                <w:color w:val="auto"/>
              </w:rPr>
            </w:pPr>
          </w:p>
        </w:tc>
      </w:tr>
      <w:tr>
        <w:trPr>
          <w:trHeight w:val="233"/>
        </w:trPr>
        <w:tc>
          <w:tcPr>
            <w:tcW w:w="4560" w:type="dxa"/>
            <w:vAlign w:val="bottom"/>
          </w:tcPr>
          <w:p>
            <w:pPr>
              <w:spacing w:after="0"/>
              <w:rPr>
                <w:sz w:val="20"/>
                <w:szCs w:val="20"/>
                <w:color w:val="auto"/>
              </w:rPr>
            </w:pPr>
          </w:p>
        </w:tc>
        <w:tc>
          <w:tcPr>
            <w:tcW w:w="20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Restricted Stock Units</w:t>
            </w:r>
          </w:p>
        </w:tc>
      </w:tr>
      <w:tr>
        <w:trPr>
          <w:trHeight w:val="25"/>
        </w:trPr>
        <w:tc>
          <w:tcPr>
            <w:tcW w:w="45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3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12,636,460</w:t>
            </w:r>
          </w:p>
        </w:tc>
        <w:tc>
          <w:tcPr>
            <w:tcW w:w="380" w:type="dxa"/>
            <w:vAlign w:val="bottom"/>
            <w:tcBorders>
              <w:bottom w:val="single" w:sz="8" w:color="CCEEFF"/>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10,377,568</w:t>
            </w:r>
          </w:p>
        </w:tc>
      </w:tr>
      <w:tr>
        <w:trPr>
          <w:trHeight w:val="24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5,543,344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4,452,672</w:t>
            </w:r>
          </w:p>
        </w:tc>
      </w:tr>
      <w:tr>
        <w:trPr>
          <w:trHeight w:val="25"/>
        </w:trPr>
        <w:tc>
          <w:tcPr>
            <w:tcW w:w="4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5"/>
        </w:trPr>
        <w:tc>
          <w:tcPr>
            <w:tcW w:w="4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(633,337)</w:t>
            </w:r>
          </w:p>
        </w:tc>
      </w:tr>
      <w:tr>
        <w:trPr>
          <w:trHeight w:val="24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(1,345,421)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(929,469)</w:t>
            </w:r>
          </w:p>
        </w:tc>
      </w:tr>
      <w:tr>
        <w:trPr>
          <w:trHeight w:val="25"/>
        </w:trPr>
        <w:tc>
          <w:tcPr>
            <w:tcW w:w="45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8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15,474,470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tcBorders>
              <w:bottom w:val="single" w:sz="8" w:color="CCEEFF"/>
            </w:tcBorders>
            <w:shd w:val="clear" w:color="auto" w:fill="CCEEFF"/>
          </w:tcPr>
          <w:p>
            <w:pPr>
              <w:spacing w:after="0"/>
              <w:rPr>
                <w:sz w:val="24"/>
                <w:szCs w:val="24"/>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13,267,434</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6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Restricted stock activity was as follows during the periods indicated: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Three Months Ended March</w:t>
            </w:r>
          </w:p>
        </w:tc>
        <w:tc>
          <w:tcPr>
            <w:tcW w:w="0" w:type="dxa"/>
            <w:vAlign w:val="bottom"/>
          </w:tcPr>
          <w:p>
            <w:pPr>
              <w:spacing w:after="0"/>
              <w:rPr>
                <w:sz w:val="1"/>
                <w:szCs w:val="1"/>
                <w:color w:val="auto"/>
              </w:rPr>
            </w:pPr>
          </w:p>
        </w:tc>
      </w:tr>
      <w:tr>
        <w:trPr>
          <w:trHeight w:val="233"/>
        </w:trPr>
        <w:tc>
          <w:tcPr>
            <w:tcW w:w="4560" w:type="dxa"/>
            <w:vAlign w:val="bottom"/>
          </w:tcPr>
          <w:p>
            <w:pPr>
              <w:spacing w:after="0"/>
              <w:rPr>
                <w:sz w:val="20"/>
                <w:szCs w:val="20"/>
                <w:color w:val="auto"/>
              </w:rPr>
            </w:pPr>
          </w:p>
        </w:tc>
        <w:tc>
          <w:tcPr>
            <w:tcW w:w="430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0" w:type="dxa"/>
            <w:vAlign w:val="bottom"/>
          </w:tcPr>
          <w:p>
            <w:pPr>
              <w:spacing w:after="0"/>
              <w:rPr>
                <w:sz w:val="1"/>
                <w:szCs w:val="1"/>
                <w:color w:val="auto"/>
              </w:rPr>
            </w:pPr>
          </w:p>
        </w:tc>
      </w:tr>
      <w:tr>
        <w:trPr>
          <w:trHeight w:val="25"/>
        </w:trPr>
        <w:tc>
          <w:tcPr>
            <w:tcW w:w="456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Weighted Average Grant</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60" w:type="dxa"/>
            <w:vAlign w:val="bottom"/>
          </w:tcPr>
          <w:p>
            <w:pPr>
              <w:spacing w:after="0"/>
              <w:rPr>
                <w:sz w:val="20"/>
                <w:szCs w:val="20"/>
                <w:color w:val="auto"/>
              </w:rPr>
            </w:pPr>
          </w:p>
        </w:tc>
        <w:tc>
          <w:tcPr>
            <w:tcW w:w="20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Restricted Stock</w:t>
            </w:r>
          </w:p>
        </w:tc>
        <w:tc>
          <w:tcPr>
            <w:tcW w:w="0" w:type="dxa"/>
            <w:vAlign w:val="bottom"/>
          </w:tcPr>
          <w:p>
            <w:pPr>
              <w:spacing w:after="0"/>
              <w:rPr>
                <w:sz w:val="1"/>
                <w:szCs w:val="1"/>
                <w:color w:val="auto"/>
              </w:rPr>
            </w:pPr>
          </w:p>
        </w:tc>
      </w:tr>
      <w:tr>
        <w:trPr>
          <w:trHeight w:val="25"/>
        </w:trPr>
        <w:tc>
          <w:tcPr>
            <w:tcW w:w="45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347,976</w:t>
            </w:r>
          </w:p>
        </w:tc>
        <w:tc>
          <w:tcPr>
            <w:tcW w:w="34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858,560</w:t>
            </w:r>
          </w:p>
        </w:tc>
        <w:tc>
          <w:tcPr>
            <w:tcW w:w="0" w:type="dxa"/>
            <w:vAlign w:val="bottom"/>
          </w:tcPr>
          <w:p>
            <w:pPr>
              <w:spacing w:after="0"/>
              <w:rPr>
                <w:sz w:val="1"/>
                <w:szCs w:val="1"/>
                <w:color w:val="auto"/>
              </w:rPr>
            </w:pPr>
          </w:p>
        </w:tc>
      </w:tr>
      <w:tr>
        <w:trPr>
          <w:trHeight w:val="239"/>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(242,680)</w:t>
            </w:r>
          </w:p>
        </w:tc>
        <w:tc>
          <w:tcPr>
            <w:tcW w:w="0" w:type="dxa"/>
            <w:vAlign w:val="bottom"/>
          </w:tcPr>
          <w:p>
            <w:pPr>
              <w:spacing w:after="0"/>
              <w:rPr>
                <w:sz w:val="1"/>
                <w:szCs w:val="1"/>
                <w:color w:val="auto"/>
              </w:rPr>
            </w:pPr>
          </w:p>
        </w:tc>
      </w:tr>
      <w:tr>
        <w:trPr>
          <w:trHeight w:val="26"/>
        </w:trPr>
        <w:tc>
          <w:tcPr>
            <w:tcW w:w="4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0" w:type="dxa"/>
            <w:vAlign w:val="bottom"/>
          </w:tcPr>
          <w:p>
            <w:pPr>
              <w:spacing w:after="0"/>
              <w:rPr>
                <w:sz w:val="1"/>
                <w:szCs w:val="1"/>
                <w:color w:val="auto"/>
              </w:rPr>
            </w:pPr>
          </w:p>
        </w:tc>
      </w:tr>
      <w:tr>
        <w:trPr>
          <w:trHeight w:val="25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Pr>
          <w:p>
            <w:pPr>
              <w:spacing w:after="0"/>
              <w:rPr>
                <w:sz w:val="22"/>
                <w:szCs w:val="22"/>
                <w:color w:val="auto"/>
              </w:rPr>
            </w:pPr>
          </w:p>
        </w:tc>
        <w:tc>
          <w:tcPr>
            <w:tcW w:w="2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609,147</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Options</w:t>
            </w: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56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Options activity was as follows during the period indicated:</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Three Months Ended March</w:t>
            </w:r>
          </w:p>
        </w:tc>
        <w:tc>
          <w:tcPr>
            <w:tcW w:w="0" w:type="dxa"/>
            <w:vAlign w:val="bottom"/>
          </w:tcPr>
          <w:p>
            <w:pPr>
              <w:spacing w:after="0"/>
              <w:rPr>
                <w:sz w:val="1"/>
                <w:szCs w:val="1"/>
                <w:color w:val="auto"/>
              </w:rPr>
            </w:pPr>
          </w:p>
        </w:tc>
      </w:tr>
      <w:tr>
        <w:trPr>
          <w:trHeight w:val="233"/>
        </w:trPr>
        <w:tc>
          <w:tcPr>
            <w:tcW w:w="4560" w:type="dxa"/>
            <w:vAlign w:val="bottom"/>
          </w:tcPr>
          <w:p>
            <w:pPr>
              <w:spacing w:after="0"/>
              <w:rPr>
                <w:sz w:val="20"/>
                <w:szCs w:val="20"/>
                <w:color w:val="auto"/>
              </w:rPr>
            </w:pPr>
          </w:p>
        </w:tc>
        <w:tc>
          <w:tcPr>
            <w:tcW w:w="430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0" w:type="dxa"/>
            <w:vAlign w:val="bottom"/>
          </w:tcPr>
          <w:p>
            <w:pPr>
              <w:spacing w:after="0"/>
              <w:rPr>
                <w:sz w:val="1"/>
                <w:szCs w:val="1"/>
                <w:color w:val="auto"/>
              </w:rPr>
            </w:pPr>
          </w:p>
        </w:tc>
      </w:tr>
      <w:tr>
        <w:trPr>
          <w:trHeight w:val="26"/>
        </w:trPr>
        <w:tc>
          <w:tcPr>
            <w:tcW w:w="456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60" w:type="dxa"/>
            <w:vAlign w:val="bottom"/>
          </w:tcPr>
          <w:p>
            <w:pPr>
              <w:spacing w:after="0"/>
              <w:rPr>
                <w:sz w:val="20"/>
                <w:szCs w:val="20"/>
                <w:color w:val="auto"/>
              </w:rPr>
            </w:pPr>
          </w:p>
        </w:tc>
        <w:tc>
          <w:tcPr>
            <w:tcW w:w="202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Options</w:t>
            </w:r>
          </w:p>
        </w:tc>
        <w:tc>
          <w:tcPr>
            <w:tcW w:w="0" w:type="dxa"/>
            <w:vAlign w:val="bottom"/>
          </w:tcPr>
          <w:p>
            <w:pPr>
              <w:spacing w:after="0"/>
              <w:rPr>
                <w:sz w:val="1"/>
                <w:szCs w:val="1"/>
                <w:color w:val="auto"/>
              </w:rPr>
            </w:pPr>
          </w:p>
        </w:tc>
      </w:tr>
      <w:tr>
        <w:trPr>
          <w:trHeight w:val="25"/>
        </w:trPr>
        <w:tc>
          <w:tcPr>
            <w:tcW w:w="45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279,553</w:t>
            </w:r>
          </w:p>
        </w:tc>
        <w:tc>
          <w:tcPr>
            <w:tcW w:w="34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323,002</w:t>
            </w:r>
          </w:p>
        </w:tc>
        <w:tc>
          <w:tcPr>
            <w:tcW w:w="0" w:type="dxa"/>
            <w:vAlign w:val="bottom"/>
          </w:tcPr>
          <w:p>
            <w:pPr>
              <w:spacing w:after="0"/>
              <w:rPr>
                <w:sz w:val="1"/>
                <w:szCs w:val="1"/>
                <w:color w:val="auto"/>
              </w:rPr>
            </w:pPr>
          </w:p>
        </w:tc>
      </w:tr>
      <w:tr>
        <w:trPr>
          <w:trHeight w:val="24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0" w:type="dxa"/>
            <w:vAlign w:val="bottom"/>
          </w:tcPr>
          <w:p>
            <w:pPr>
              <w:spacing w:after="0"/>
              <w:rPr>
                <w:sz w:val="1"/>
                <w:szCs w:val="1"/>
                <w:color w:val="auto"/>
              </w:rPr>
            </w:pPr>
          </w:p>
        </w:tc>
      </w:tr>
      <w:tr>
        <w:trPr>
          <w:trHeight w:val="25"/>
        </w:trPr>
        <w:tc>
          <w:tcPr>
            <w:tcW w:w="4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0" w:type="dxa"/>
            <w:vAlign w:val="bottom"/>
          </w:tcPr>
          <w:p>
            <w:pPr>
              <w:spacing w:after="0"/>
              <w:rPr>
                <w:sz w:val="1"/>
                <w:szCs w:val="1"/>
                <w:color w:val="auto"/>
              </w:rPr>
            </w:pPr>
          </w:p>
        </w:tc>
      </w:tr>
      <w:tr>
        <w:trPr>
          <w:trHeight w:val="24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5"/>
        </w:trPr>
        <w:tc>
          <w:tcPr>
            <w:tcW w:w="45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273,079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shd w:val="clear" w:color="auto" w:fill="CCEEFF"/>
          </w:tcPr>
          <w:p>
            <w:pPr>
              <w:spacing w:after="0"/>
              <w:rPr>
                <w:sz w:val="24"/>
                <w:szCs w:val="24"/>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298,565</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Options have a maximum contractual term of ten years. The aggregate intrinsic value and weighted average remaining contractual terms of Options outstanding and Options exercisable were as follows as of March 31,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5"/>
        </w:trPr>
        <w:tc>
          <w:tcPr>
            <w:tcW w:w="8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5"/>
        </w:trPr>
        <w:tc>
          <w:tcPr>
            <w:tcW w:w="8840" w:type="dxa"/>
            <w:vAlign w:val="bottom"/>
            <w:shd w:val="clear" w:color="auto" w:fill="CCEEFF"/>
          </w:tcPr>
          <w:p>
            <w:pPr>
              <w:ind w:left="20"/>
              <w:spacing w:after="0" w:line="245" w:lineRule="exact"/>
              <w:rPr>
                <w:sz w:val="20"/>
                <w:szCs w:val="20"/>
                <w:color w:val="auto"/>
              </w:rPr>
            </w:pPr>
            <w:r>
              <w:rPr>
                <w:rFonts w:ascii="Times New Roman" w:cs="Times New Roman" w:eastAsia="Times New Roman" w:hAnsi="Times New Roman"/>
                <w:sz w:val="18"/>
                <w:szCs w:val="18"/>
                <w:color w:val="auto"/>
              </w:rPr>
              <w:t>Aggregate intrinsic value (in millions)</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r>
      <w:tr>
        <w:trPr>
          <w:trHeight w:val="240"/>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outstanding</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5"/>
        </w:trPr>
        <w:tc>
          <w:tcPr>
            <w:tcW w:w="8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exercisable</w:t>
            </w: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contractual term (in years)</w:t>
            </w: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5"/>
        </w:trPr>
        <w:tc>
          <w:tcPr>
            <w:tcW w:w="8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5"/>
        </w:trPr>
        <w:tc>
          <w:tcPr>
            <w:tcW w:w="8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98"/>
              </w:rPr>
              <w:t>6.0 years</w:t>
            </w:r>
          </w:p>
        </w:tc>
      </w:tr>
      <w:tr>
        <w:trPr>
          <w:trHeight w:val="240"/>
        </w:trPr>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exercisable</w:t>
            </w:r>
          </w:p>
        </w:tc>
        <w:tc>
          <w:tcPr>
            <w:tcW w:w="360" w:type="dxa"/>
            <w:vAlign w:val="bottom"/>
          </w:tcPr>
          <w:p>
            <w:pPr>
              <w:spacing w:after="0"/>
              <w:rPr>
                <w:sz w:val="20"/>
                <w:szCs w:val="20"/>
                <w:color w:val="auto"/>
              </w:rPr>
            </w:pPr>
          </w:p>
        </w:tc>
        <w:tc>
          <w:tcPr>
            <w:tcW w:w="20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8"/>
              </w:rPr>
              <w:t>6.0 years</w:t>
            </w:r>
          </w:p>
        </w:tc>
      </w:tr>
      <w:tr>
        <w:trPr>
          <w:trHeight w:val="280"/>
        </w:trPr>
        <w:tc>
          <w:tcPr>
            <w:tcW w:w="88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pacing w:after="0" w:line="156"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intrinsic value of options outstanding and exercisable is zero, as all options are out of the money.</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7"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June 3, 2020, the Board adopted the ZoomInfo Technologies Inc. 2020 Employee Stock Purchase Plan (the “ESPP”) that allows eligible employees to purchase shares of the Company's common stock at a discounted price, through payroll deductions of up to 15% of their eligible compensation and the IRS allowable limit per calendar year. The Compensation Committee of the Board administers the ESPP, including with respect to the frequency and duration of offering periods, the maximum number of shares that an eligible employee may purchase during an offering period, and, subject to certain limitations set forth in the ESPP, the per-share purchase price. Currently, the maximum number of shares that can be purchased by an eligible employee under the ESPP is 1,500 shares per offering period and there are two six-month offering periods that begin in the second and fourth quarter of each fiscal year. The purchase price for one share of common stock under the ESPP is currently equal to 90% of the fair market value of one share of common stock on the first trading day of the offering period or the purchase date, whichever is lower.</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maximum aggregate number of shares of the common stock that may be issued under the ESPP is no more than 7,500,000 shares (the “ESPP Plan Share Reserve”). The ESPP plan also contains a provision that will add an additional number of shares of common stock to the ESPP Plan Reserve on the first day of each year starting with January 1, 2021, equal to the lesser of (i) the positive difference between (x) 1% of the number of shares of common stock outstanding on the last day of the immediately preceding fiscal year, and (y) the ESPP Plan Share Reserve on the last day of the immediately preceding fiscal year, and (ii) a lower number of shares of common stock as may be determined by the Board.</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fair value of the ESPP purchase was determined using the Black-Scholes option pricing model. The expected term for the purchases was based on the six-month offering period. We estimate the future stock price volatility based on the historical volatility of the Company with a lookback period commensurate with the expected term of the ESPP purchases. The risk-free rate is the implied yield available on U.S. Treasury zero-coupon bonds issued with a remaining term equal to the expected term.</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 xml:space="preserve">The Company withheld $2.1 million and $3.0 million worth of ESPP contributions for the three months ended March 31, 2024 and 2023, respectively, on behalf of participating employees through payroll deductions included in </w:t>
      </w:r>
      <w:r>
        <w:rPr>
          <w:rFonts w:ascii="Times New Roman" w:cs="Times New Roman" w:eastAsia="Times New Roman" w:hAnsi="Times New Roman"/>
          <w:sz w:val="17"/>
          <w:szCs w:val="17"/>
          <w:i w:val="1"/>
          <w:iCs w:val="1"/>
          <w:color w:val="auto"/>
        </w:rPr>
        <w:t>Accrued expenses and other current liabilities</w:t>
      </w:r>
      <w:r>
        <w:rPr>
          <w:rFonts w:ascii="Times New Roman" w:cs="Times New Roman" w:eastAsia="Times New Roman" w:hAnsi="Times New Roman"/>
          <w:sz w:val="17"/>
          <w:szCs w:val="17"/>
          <w:color w:val="auto"/>
        </w:rPr>
        <w:t xml:space="preserve"> on our Consolidated Balance Sheets. No shares of common stock were purchased under the ESPP for the three months ended March 31, 2024 and 2023, respectively. The Company recognized $0.8 million and $1.2 million of equity-based compensation expense related to the ESPP for the three months ended March 31, 2024 and 2023,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HSKB Phantom Units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information related to the HSKB Phantom Units, refer to Note 15 — Equity-based Compensation in our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Unamortized Equity-based Compensation</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March 31, 2024, unamortized equity-based compensation costs related to each equity-based incentive award described above is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212"/>
        </w:trPr>
        <w:tc>
          <w:tcPr>
            <w:tcW w:w="7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 Service</w:t>
            </w:r>
          </w:p>
        </w:tc>
      </w:tr>
      <w:tr>
        <w:trPr>
          <w:trHeight w:val="252"/>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Period (in years)</w:t>
            </w:r>
          </w:p>
        </w:tc>
      </w:tr>
      <w:tr>
        <w:trPr>
          <w:trHeight w:val="245"/>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86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r>
      <w:tr>
        <w:trPr>
          <w:trHeight w:val="24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r>
      <w:tr>
        <w:trPr>
          <w:trHeight w:val="25"/>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HSKB Phantom Units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6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r>
      <w:tr>
        <w:trPr>
          <w:trHeight w:val="24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r>
      <w:tr>
        <w:trPr>
          <w:trHeight w:val="25"/>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83"/>
        </w:trPr>
        <w:tc>
          <w:tcPr>
            <w:tcW w:w="7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unamortized equity-based compensation cost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86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Tax Receivable Agreements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information related to our TRAs, refer to Note 17 - Tax Receivable Agreements in our 2023 Form 10-K.</w:t>
      </w:r>
    </w:p>
    <w:p>
      <w:pPr>
        <w:spacing w:after="0" w:line="16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As of March 31, 2024 and December 31, 2023, the Company had a liability of $2,796.0 million and $2,818.0 million, respectively, related to its projected obligations under the TRAs. This liability, or a portion thereof, becomes payable once the tax attributes under the TRAs reduce the Company’s current income tax liability which would have been otherwise due absent such tax attributes. The liability will be reduced to the extent the tax attributes are expected to expire or otherwise cannot be applied to reduce the Company’s tax liabilities. The liability is classified as current or noncurrent based on the expected date of payment and are included on our Consolidated Balance Sheets under the captions </w:t>
      </w:r>
      <w:r>
        <w:rPr>
          <w:rFonts w:ascii="Times New Roman" w:cs="Times New Roman" w:eastAsia="Times New Roman" w:hAnsi="Times New Roman"/>
          <w:sz w:val="18"/>
          <w:szCs w:val="18"/>
          <w:i w:val="1"/>
          <w:iCs w:val="1"/>
          <w:color w:val="auto"/>
        </w:rPr>
        <w:t>Current portion of tax receivable agreements liability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Tax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liability, net of current portion</w:t>
      </w:r>
      <w:r>
        <w:rPr>
          <w:rFonts w:ascii="Times New Roman" w:cs="Times New Roman" w:eastAsia="Times New Roman" w:hAnsi="Times New Roman"/>
          <w:sz w:val="18"/>
          <w:szCs w:val="18"/>
          <w:color w:val="auto"/>
        </w:rPr>
        <w:t>, respectively. During the three months ended March 31, 2024, $31.6 million was paid to TRA holders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TRA. No payment was made during the three months ended March 31, 2023. During the three months ended March 31, 2024, we recognized a TRA measurement loss of $9.6 million, principally due to revaluation for the blended state tax rate applied to the current portion of TRA liability and an increase to the cumulative liability due to TRA Holders resulting from a reduction in the management allocation percent withheld, within </w:t>
      </w:r>
      <w:r>
        <w:rPr>
          <w:rFonts w:ascii="Times New Roman" w:cs="Times New Roman" w:eastAsia="Times New Roman" w:hAnsi="Times New Roman"/>
          <w:sz w:val="18"/>
          <w:szCs w:val="18"/>
          <w:i w:val="1"/>
          <w:iCs w:val="1"/>
          <w:color w:val="auto"/>
        </w:rPr>
        <w:t>Other loss (income), net</w:t>
      </w:r>
      <w:r>
        <w:rPr>
          <w:rFonts w:ascii="Times New Roman" w:cs="Times New Roman" w:eastAsia="Times New Roman" w:hAnsi="Times New Roman"/>
          <w:sz w:val="18"/>
          <w:szCs w:val="18"/>
          <w:color w:val="auto"/>
        </w:rPr>
        <w:t xml:space="preserve"> on our Consolidated Statements of Operations. During the three months ended March 31, 2023, we recognized a TRA measurement gain of $10.1 million, principally due to updates to tax attributes as well as movements in our blended state tax rate resulting from legislation enacted in the first quarter of 2023 and changes in the apportionment of payroll, property and sales in the states in which we operate, within </w:t>
      </w:r>
      <w:r>
        <w:rPr>
          <w:rFonts w:ascii="Times New Roman" w:cs="Times New Roman" w:eastAsia="Times New Roman" w:hAnsi="Times New Roman"/>
          <w:sz w:val="18"/>
          <w:szCs w:val="18"/>
          <w:i w:val="1"/>
          <w:iCs w:val="1"/>
          <w:color w:val="auto"/>
        </w:rPr>
        <w:t>Other loss (income), net</w:t>
      </w:r>
      <w:r>
        <w:rPr>
          <w:rFonts w:ascii="Times New Roman" w:cs="Times New Roman" w:eastAsia="Times New Roman" w:hAnsi="Times New Roman"/>
          <w:sz w:val="18"/>
          <w:szCs w:val="18"/>
          <w:color w:val="auto"/>
        </w:rPr>
        <w:t xml:space="preserve"> on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provision for income taxes for the three months ended March 31, 2024 and March 31, 2023 was based on our projected annual effective tax rate for fiscal year 2024 and 2023, adjusted for specific items that are required to be recognized in the period in which they occur.</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effective tax rate, inclusive of items specific to the period, for the three months ended March 31, 2024 and 2023 was 48.8% and 34.8%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income tax expense of $14.4 million and $23.7 million for the three months ended March 31, 2024 and 2023, respectively.</w:t>
      </w:r>
    </w:p>
    <w:p>
      <w:pPr>
        <w:spacing w:after="0" w:line="1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projected 2024 annual effective tax rate differed from the U.S. federal statutory rate of 21.0% due to U.S. state taxes, foreign taxes and non-deductible equity compensation expense, offset by research and development credits. Further, the Company’s annual effective tax rate included period specific costs associated with non-deductible executive compensation and shortfalls in tax-deductible equity compensation compared to amounts recognized in our financial accounts.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gross liabilities for unrecognized tax benefits, which is reflected as a reduction of deferred tax assets, were $12.9 million and $12.6 million as of March 31, 2024 and December 31, 2023, respectively. No interest or penalties are accrued with respect to the unrecognized tax benefits. If the unrecognized tax benefits as of March 31, 2024 were recognized, the entire balance would impact the effective tax rate. It is not anticipated any of the unrecognized tax benefit will be recognized within the next twelve months.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Management has evaluated subsequent events from March 31, 2024 through the date the financial statement was available to be issued and has determined there are no material subsequent events that require disclosure other than those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Subsequent to March 31, 2024 and up through May 3, 2024, the Company repurchased and subsequently retired approximately 3,249,791 shares of the Company’s common stock in the open market at a cost of approximately $51.5 million, for an average price of $15.86 per share, under the Share Repurchase Program described further in Note 1 - Business, Basis of Presentation, and Summary of Significant Accounting Policies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financial statements and related notes included in our 2023 Form 10-K, the information included under “Management’s Discussion and Analysis of Financial Condition and Results of Operations” in Part II, Item 7 of our 2023 Form 10-K,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 Item 1A of our 2023 Form 10-K. Numerical figures included in this Form 10-Q have been subject to rounding adjustments. Accordingly, numerical figures shown as totals in various tables may not be arithmetic aggregations of the figures that precede them.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ZoomInfo is a global leader in modern go-to-market software, data, and intelligence for sales, marketing, operations, and recruiting teams. Our cloud-based platform delivers comprehensive and high-quality intelligence and analytics to provide sales, marketing, operations, and recruiting professionals accurate information and insights on the organizations and professionals they target. This enables our customers to shorten sales cycles and increase win rates by empowering sellers, marketers, and recruiters to deliver the right message to the right person at the right time in the right way.</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ZoomInfo defines the modern go-to-market technology stack across three distinct layers that build upon each other:</w:t>
      </w:r>
    </w:p>
    <w:p>
      <w:pPr>
        <w:spacing w:after="0" w:line="164" w:lineRule="exact"/>
        <w:rPr>
          <w:sz w:val="20"/>
          <w:szCs w:val="20"/>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Intelligence Layer is the foundation of our data-driven strategy. Our best-in-class data, curated through first- and third-party sources, includes billions of data points about companies and contacts, such as intent, hierarchy, location, and financial information.</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Orchestration Layer integrates and enriches our data sources. At this stage, our products assign and route data, leads, and insights to the appropriate people. This creates a dataset that is continuously updated and can be used to power automated business workflows. Our services connect with major CRM providers.</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49"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Engagement Layer allows sales, marketing, operations, and recruiting professionals to put data-driven insights into action to identify and communicate with prospects and customers. In ZoomInfo Sales, frontline teams, managers, and leaders use Engage for multi-touch and multi-channel sales engagement, as well as Chorus for call and web meeting recording, transcription, insight generation, and coaching. In ZoomInfo Marketing, marketers drive awareness, lead generation, and deal acceleration campaigns through account-based marketing, advertising, and onsite conversion optimization solutions, along with ZoomInfo Chat for intelligent onsite experiences through live conversation and chatbots. In ZoomInfo Talent, recruiters and talent acquisition professionals access a platform that helps them efficiently find candidates. Recruiters can filter and reach more good-fit candidates, use pipeline management tools to collaborate and organize the hiring process, and automate the candidate outreach process. In ZoomInfo Operations, our sales operations customers use a suite of products, services, and solutions to ingest, match, enrich, and connect data feeds into multiple systems.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generate substantially all of our revenue from sales of subscriptions to our platform. Subscriptions include the use of our platform and access to customer support. Subscriptions generally range from one to three years in length. Over 45% of customer contracts (based on annualized value) are multi-year agreements. We typically bill our customers at the beginning of each annual, semi-annual, or quarterly period and recognize revenue ratably over the term of the subscription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sell access to our platform to both new and existing customers. We price our subscriptions based on the functionality, users, and records under management that are included in each product edition. Our paid products are ZoomInfo Sales, ZoomInfo Marketing, ZoomInfo Operations, and ZoomInfo Talent (with add-on options for some products). Additionally, customers can gain free access to ZoomInfo through ZoomInfo Lite (formerly Community Edition).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Conditions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business and financial condition have and may continue to be impacted by adverse macroeconomic conditions. See “Risk Factors - Geopolitical Risks” in Part I, Item 1A of our 2023 Form 10-K for further discussion of the possible impact of these issues on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In March 2023, the Board authorized a program to repurchase the Company’s common stock (the “Share Repurchase Program”). The total authorization in 2023 and 2024 was $600.0 million and $500.0 million, respectively, of which $546.8 million remained available and authorized for repurchases as of March 31, 2024.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spacing w:after="0" w:line="11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March 31, 2024, the Company repurchased and subsequently retired 9,623,255 shares of common stock at an average price of $15.90, for an aggregate $153.1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including the following: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to Acquire New Customers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are focused on continuing to grow the number of customers that use our platform in the United States and around the world. The majority of revenue growth when comparing the three months ended March 31, 2024 to the three months ended March 31, 2023 was the result of new customers added over the last 24 months. Our operating results and growth prospects will depend in part on our ability to continue to attract new customers. Additionally, acquiring new customers strengthens the power of our contributory networks. We plan to continue to invest in our efficient go-to-market effort to acquire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Usage of Our Platform</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believe that expanding the value that we provide to our customers and the corresponding revenue generated as a result is an important measure of the health of our business. We monitor net revenue retention to measure that growth. Net revenue retention is a metric that we calculate based on customers of ZoomInfo at the beginning of the twelve-month period, and is calculated as: (a) the total annual contract value ("ACV") for those customers at the end of the twelve-month period, divided by (b) the total ACV for those customers at the beginning of the twelve-month period. Our net revenue retention rate was 85% as of March 31, 2024. In the near term, we expect our net retention rate to be impacted by macroeconomic conditions. See section "Recent Developments - Impact of Macroeconomic Conditions." We also measure our success in expanding relationships with existing customers by the number of customers that contract for more than $100,000 in ACV. As of March 31, 2024, we had 1,760 customers with over $100,000 in ACV.</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derive primarily all of our revenue from subscription services and the remainder from recurring usage-based services and other revenue. Our subscription services consist of our SaaS applications. Pricing of our subscription contracts are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Subscription revenue is generally recognized ratably over the contract term starting with when our service is made available to the customer. Recurring usage-based revenue is recognized in the period services are utilized by our customers. Other revenue, comprised largely of implementation and professional services fees, is recognized as services are delivered. The amount of revenue recognized reflects the consideration we expect to be entitled to receive in exchange for these services. We record a contract asset when revenue recognized on a contract exceeds the billings to date for that contract.</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contract timing within the period. The unearned revenue balance does not represent the total contract value of annual or multi-year, non-cancelable subscription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w:t>
      </w:r>
    </w:p>
    <w:p>
      <w:pPr>
        <w:spacing w:after="0" w:line="16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service, excluding amortization of acquired technology. </w:t>
      </w:r>
      <w:r>
        <w:rPr>
          <w:rFonts w:ascii="Times New Roman" w:cs="Times New Roman" w:eastAsia="Times New Roman" w:hAnsi="Times New Roman"/>
          <w:sz w:val="18"/>
          <w:szCs w:val="18"/>
          <w:color w:val="auto"/>
        </w:rPr>
        <w:t>Cost of service, excluding amortization of acquired technology, includes direct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support and operations of our services and research teams including salaries, benefits, equity-based compensation, and related expenses, such as employer taxes, allocated overhead for facilities, technology, third-party hosting fees, third-party data costs, and amortization of internally developed capitalized software.</w:t>
      </w:r>
    </w:p>
    <w:p>
      <w:pPr>
        <w:spacing w:after="0" w:line="1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we will continue to invest in cost of service and that cost of service as a percentage of revenue will remain consistent or modestly decrease as we realize operating leverage in the business.</w:t>
      </w:r>
    </w:p>
    <w:p>
      <w:pPr>
        <w:spacing w:after="0" w:line="108"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Amortization of acquired technology. </w:t>
      </w:r>
      <w:r>
        <w:rPr>
          <w:rFonts w:ascii="Times New Roman" w:cs="Times New Roman" w:eastAsia="Times New Roman" w:hAnsi="Times New Roman"/>
          <w:sz w:val="18"/>
          <w:szCs w:val="18"/>
          <w:color w:val="auto"/>
        </w:rPr>
        <w:t>Amortization of acquired technology includes amortization expense for technology acquired in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acquired technology will increase if we make additional acquisitions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general and administrative, amortization of other acquired intangibles, and restructuring and transaction-related expenses.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and marketing.</w:t>
      </w:r>
    </w:p>
    <w:p>
      <w:pPr>
        <w:spacing w:after="0" w:line="125"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primarily consist of employee compensation such as salaries, bonuses, sales commissions, equity-based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2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anticipate that we will continue to invest in sales and marketing capacity to enable future growth. We anticipate that sales and marketing expense excluding equity-based compensation as a percentage of revenue will fluctuate from period to period depending on the interplay of our growing investments in sales and marketing capacity excluding equity-based compensation, the recognition of revenue, and the amortization of contract acquisition costs.</w:t>
      </w:r>
    </w:p>
    <w:p>
      <w:pPr>
        <w:spacing w:after="0" w:line="10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support our efforts to enhance our existing platform and develop new software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expenses primarily consist of employee compensation such as salaries, bonuses, equity-based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w:t>
      </w:r>
    </w:p>
    <w:p>
      <w:pPr>
        <w:spacing w:after="0" w:line="13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short-term, but will modestly decrease in the long-term as we drive efficiencies in that organization.</w:t>
      </w:r>
    </w:p>
    <w:p>
      <w:pPr>
        <w:spacing w:after="0" w:line="123"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primarily consist of employee-related costs such as salaries, bonuses, equity-based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compensation, and other employee related benefits for our executive, finance, legal, human resources, IT, and business operations and administrative teams, as well as overhead costs. Additionally, we incur expenses related to bad debt and collections, as well as for professional fees including legal services, accounting, banking, and other consulting services. We also incur charges associated with litigation settlements, such as the Class Action settlement previously disclosed, which are presented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w:t>
      </w:r>
    </w:p>
    <w:p>
      <w:pPr>
        <w:spacing w:after="0" w:line="13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general and administrative expenses as a percentage of revenue to remain consistent or modestly decrease as we realize operating leverage in the business.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Amortization of other acquired intangibles</w:t>
      </w:r>
      <w:r>
        <w:rPr>
          <w:rFonts w:ascii="Times New Roman" w:cs="Times New Roman" w:eastAsia="Times New Roman" w:hAnsi="Times New Roman"/>
          <w:sz w:val="17"/>
          <w:szCs w:val="17"/>
          <w:color w:val="auto"/>
        </w:rPr>
        <w:t>. Amortization of acquired intangibles consists of amortization of customer relationships and brand portfolios.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other acquired intangibles will increase if we make additional acquisitions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and transaction-related expenses. </w:t>
      </w:r>
      <w:r>
        <w:rPr>
          <w:rFonts w:ascii="Times New Roman" w:cs="Times New Roman" w:eastAsia="Times New Roman" w:hAnsi="Times New Roman"/>
          <w:sz w:val="18"/>
          <w:szCs w:val="18"/>
          <w:color w:val="auto"/>
        </w:rPr>
        <w:t>Restructuring and transaction-related expenses primarily consist of various restructuring and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we 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12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anticipate that restructuring and transaction expenses, including potential impairments, will be influenced by future acquisition activity, strategic restructuring activities, and the commencement of new leases. Specifically, as new leases commence, we may face increased impairment expenses for spaces that we do not intend to occupy and/or that we plan to sublease, which could cause these costs to vary, potentially significantly, from our historic levels. Refer to Note 11 - Leases for further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represents the interest payable on our debt obligations and the amortization of debt discounts and debt issuance costs, less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interest expense could be impacted by changes in variable interest rates or the issuance of additional debt.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modification and extinguishment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Loss on debt modification and extinguishment </w:t>
      </w:r>
      <w:r>
        <w:rPr>
          <w:rFonts w:ascii="Times New Roman" w:cs="Times New Roman" w:eastAsia="Times New Roman" w:hAnsi="Times New Roman"/>
          <w:sz w:val="18"/>
          <w:szCs w:val="18"/>
          <w:color w:val="auto"/>
        </w:rPr>
        <w:t>consists of prepayment penalties and impairment of deferred financing costs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 or extinguishment of debt, as well as new fees incurred with third parties in connection with debt modifications.</w:t>
      </w:r>
    </w:p>
    <w:p>
      <w:pPr>
        <w:spacing w:after="0" w:line="10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losses related to debt modification and extinguishment will only occur if we extinguish indebtedness before the contractual repayment dates or amend our existing financing arrangements.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 (income), net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Other loss (income), net </w:t>
      </w:r>
      <w:r>
        <w:rPr>
          <w:rFonts w:ascii="Times New Roman" w:cs="Times New Roman" w:eastAsia="Times New Roman" w:hAnsi="Times New Roman"/>
          <w:sz w:val="18"/>
          <w:szCs w:val="18"/>
          <w:color w:val="auto"/>
        </w:rPr>
        <w:t>consists primarily of the revaluation of TRA liabilities, investment income, and foreign currency realized and unrealized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losses related to the impact of transactions denominated in a foreign currency.</w:t>
      </w:r>
    </w:p>
    <w:p>
      <w:pPr>
        <w:spacing w:after="0" w:line="10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Changes to existing tax law including changes to the corporate income tax rates and the Company’s state tax footprint could lead to substantial revaluations of the TRA liability recorded through </w:t>
      </w:r>
      <w:r>
        <w:rPr>
          <w:rFonts w:ascii="Times New Roman" w:cs="Times New Roman" w:eastAsia="Times New Roman" w:hAnsi="Times New Roman"/>
          <w:sz w:val="18"/>
          <w:szCs w:val="18"/>
          <w:i w:val="1"/>
          <w:iCs w:val="1"/>
          <w:color w:val="auto"/>
        </w:rPr>
        <w:t>Other loss (income), net</w:t>
      </w:r>
      <w:r>
        <w:rPr>
          <w:rFonts w:ascii="Times New Roman" w:cs="Times New Roman" w:eastAsia="Times New Roman" w:hAnsi="Times New Roman"/>
          <w:sz w:val="18"/>
          <w:szCs w:val="18"/>
          <w:color w:val="auto"/>
        </w:rPr>
        <w:t xml:space="preserve">. Additionally, the magnitude of </w:t>
      </w:r>
      <w:r>
        <w:rPr>
          <w:rFonts w:ascii="Times New Roman" w:cs="Times New Roman" w:eastAsia="Times New Roman" w:hAnsi="Times New Roman"/>
          <w:sz w:val="18"/>
          <w:szCs w:val="18"/>
          <w:i w:val="1"/>
          <w:iCs w:val="1"/>
          <w:color w:val="auto"/>
        </w:rPr>
        <w:t>Other loss (income), net</w:t>
      </w:r>
      <w:r>
        <w:rPr>
          <w:rFonts w:ascii="Times New Roman" w:cs="Times New Roman" w:eastAsia="Times New Roman" w:hAnsi="Times New Roman"/>
          <w:sz w:val="18"/>
          <w:szCs w:val="18"/>
          <w:color w:val="auto"/>
        </w:rPr>
        <w:t xml:space="preserve"> may increase as we expand operations internationally and add complexity to our operations. Refer to the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section below for further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temporary differences between the financial statement and tax basis of assets and liabilities, as well as from net operating loss and tax credit carryforwards. We evaluate the recoverability of these future deductible temporary differences, net operating losses and credits by assessing the carryforward period and adequacy of future expected taxable income from all sources, including reversing taxable temporary differences, future growth, and forecasted earnings, as well as historical earnings, taxable income in prior years, if carryback is permitted under the law, and prudent and feasible tax planning strategies. A valuation allowance is established if it is more likely than not that all or a portion of the deferred tax asset will not be realized.</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significant U.S. deferred tax assets, including deferred tax assets created by various historical restructuring events. The preponderance of our deferred tax assets have long lives or are otherwise indefinite. We regularly review whether it is more likely than not that our U.S. deferred tax assets will be realizable. As of March 31, 2024, a valuation allowance continues to be recorded against certain state-level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value of our deferred tax assets are regularly remeasured to consider the impact of statutory changes and other guidance, as well as changes in our state income apportionment factors. Given the amount of our deferred tax assets, minor changes can materially affect our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A significant portion of our deferred tax assets are associated with our TRA, and upon a remeasurement of our deferred tax assets, the TRA liability is typically concurrently remeasured with a partially offsetting impact within </w:t>
      </w:r>
      <w:r>
        <w:rPr>
          <w:rFonts w:ascii="Times New Roman" w:cs="Times New Roman" w:eastAsia="Times New Roman" w:hAnsi="Times New Roman"/>
          <w:sz w:val="18"/>
          <w:szCs w:val="18"/>
          <w:i w:val="1"/>
          <w:iCs w:val="1"/>
          <w:color w:val="auto"/>
        </w:rPr>
        <w:t>Other loss (income), net</w:t>
      </w:r>
      <w:r>
        <w:rPr>
          <w:rFonts w:ascii="Times New Roman" w:cs="Times New Roman" w:eastAsia="Times New Roman" w:hAnsi="Times New Roman"/>
          <w:sz w:val="18"/>
          <w:szCs w:val="18"/>
          <w:color w:val="auto"/>
        </w:rPr>
        <w:t xml:space="preserve"> on the Consolidated Statements of Operations.</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We have regularly taken tax positions, including with respect to our various corporate events and restructurings in the ordinary course of determining our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We recognize the tax benefit of an uncertain tax position only if it is more likely than not the position is sustainable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examination by the taxing authority based on the technical merits. We regularly review our tax positions with consideration of a number of factors, including changes in facts or circumstances, changes in tax law or guidance, correspondence with tax authorities during the course of audits and effective settlement of audit issues. Changes in the recognition or measurement of uncertain tax positions could result in material increases or decreases in our </w:t>
      </w:r>
      <w:r>
        <w:rPr>
          <w:rFonts w:ascii="Times New Roman" w:cs="Times New Roman" w:eastAsia="Times New Roman" w:hAnsi="Times New Roman"/>
          <w:sz w:val="18"/>
          <w:szCs w:val="18"/>
          <w:i w:val="1"/>
          <w:iCs w:val="1"/>
          <w:color w:val="auto"/>
        </w:rPr>
        <w:t>Provision for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in the period in which we make the change, which could have a material impact on our effective tax rate and operating results.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three months ended March 31, 2024 and 2023:</w:t>
      </w:r>
    </w:p>
    <w:p>
      <w:pPr>
        <w:spacing w:after="0" w:line="21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33020</wp:posOffset>
            </wp:positionV>
            <wp:extent cx="22129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1297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5"/>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9"/>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6"/>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5"/>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5"/>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65"/>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65"/>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4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5"/>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transaction-related expenses</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3"/>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5"/>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33"/>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5"/>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loss (income), net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5"/>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4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5"/>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3"/>
        </w:trPr>
        <w:tc>
          <w:tcPr>
            <w:tcW w:w="7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Amounts include equity-based compensation expense, as follows:</w:t>
      </w:r>
    </w:p>
    <w:p>
      <w:pPr>
        <w:spacing w:after="0" w:line="41"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8"/>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730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48"/>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32"/>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63"/>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equity-based compensation expense</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and March 31, 2023</w:t>
      </w:r>
    </w:p>
    <w:p>
      <w:pPr>
        <w:spacing w:after="0" w:line="16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was $310.1 million for the three months ended March 31, 2024, an increase of $9.4 million, or 3%, as compared to $300.7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2023. This increase was primarily due to the addition of new customers over the past 12 months partially offset by cancellations and reduction in spend among certain existing customers.</w:t>
      </w:r>
    </w:p>
    <w:p>
      <w:pPr>
        <w:spacing w:after="0" w:line="12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Service. </w:t>
      </w:r>
      <w:r>
        <w:rPr>
          <w:rFonts w:ascii="Times New Roman" w:cs="Times New Roman" w:eastAsia="Times New Roman" w:hAnsi="Times New Roman"/>
          <w:sz w:val="18"/>
          <w:szCs w:val="18"/>
          <w:color w:val="auto"/>
        </w:rPr>
        <w:t>Cost of service was $43.4 million for the three months ended March 31, 2024, a decrease of $2.1 million, or 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$45.5 million for the three months ended March 31, 2023. Excluding equity-based compensation expenses, cost of service was $40.9 million for three months ended March 31, 2024, a decrease of $0.5 million, or 1%, as compared to $41.4 million for three months ended March 31, 2023.</w:t>
      </w:r>
    </w:p>
    <w:p>
      <w:pPr>
        <w:spacing w:after="0" w:line="12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for three months ended March 31, 2024 was $266.7 million and represented a gross margin of 86%. Gross profit for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2023 was $255.2 million and represented a gross margin of 85%. The increase in gross profit in the three months ended March 31, 2024 relative to the three months ended March 31, 2023 was $11.5 million, or 5%, primarily due to higher revenues. The gross margin improvement in the three months ended March 31, 2024 was due to efficiencies in cost of service.</w:t>
      </w:r>
    </w:p>
    <w:p>
      <w:pPr>
        <w:spacing w:after="0" w:line="12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were $223.7 million for the three months ended March 31, 2024, an increase of $34.8 million, or 18%,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$188.9 million for the three months ended March 31, 2023. Excluding equity-based compensation expenses, operating expenses were $195.0 million for the three months ended March 31, 2024, an increase of $39.7 million, or 26%, as compared to $155.3 million for the three months ended March 31, 2023.</w:t>
      </w:r>
    </w:p>
    <w:p>
      <w:pPr>
        <w:spacing w:after="0" w:line="126" w:lineRule="exact"/>
        <w:rPr>
          <w:sz w:val="20"/>
          <w:szCs w:val="20"/>
          <w:color w:val="auto"/>
        </w:rPr>
      </w:pPr>
    </w:p>
    <w:p>
      <w:pPr>
        <w:jc w:val="both"/>
        <w:ind w:left="640" w:hanging="316"/>
        <w:spacing w:after="0" w:line="255" w:lineRule="auto"/>
        <w:tabs>
          <w:tab w:leader="none" w:pos="63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Sales and marketing for the three months ended March 31, 2024 was $99.4 million, representing a decrease of $3.8 million, or 4%, as compared to $103.2 million for the three months ended March 31, 2023. Sales and marketing, excluding equity-based compensation, for the three months ended March 31, 2024 was $87.6 million, representing an increase of $3.9 million, or 5%, as compared to $83.7 million for the three months ended March 31, 2023, primarily due to additional marketing, benefits, facilities, and technology expenses.</w:t>
      </w:r>
    </w:p>
    <w:p>
      <w:pPr>
        <w:spacing w:after="0" w:line="127" w:lineRule="exact"/>
        <w:rPr>
          <w:rFonts w:ascii="Times New Roman" w:cs="Times New Roman" w:eastAsia="Times New Roman" w:hAnsi="Times New Roman"/>
          <w:sz w:val="18"/>
          <w:szCs w:val="18"/>
          <w:i w:val="1"/>
          <w:iCs w:val="1"/>
          <w:color w:val="auto"/>
        </w:rPr>
      </w:pPr>
    </w:p>
    <w:p>
      <w:pPr>
        <w:jc w:val="both"/>
        <w:ind w:left="640" w:hanging="316"/>
        <w:spacing w:after="0" w:line="255" w:lineRule="auto"/>
        <w:tabs>
          <w:tab w:leader="none" w:pos="63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Research and development for the three months ended March 31, 2024 was $43.7 million representing an increase of $1.4 million, or 3%, as compared to $42.3 million for the three months ended March 31, 2023. Research and development, excluding equity-based compensation, for the three months ended March 31, 2024 was $34.9 million, representing a decrease of $0.5 million, or 1%, as compared to $35.4 million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40" w:hanging="316"/>
        <w:spacing w:after="0" w:line="252" w:lineRule="auto"/>
        <w:tabs>
          <w:tab w:leader="none" w:pos="629" w:val="left"/>
        </w:tabs>
        <w:numPr>
          <w:ilvl w:val="0"/>
          <w:numId w:val="1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General and administrative for the three months ended March 31, 2024 was $75.1 million representing an increase of $37.4 million, or 99%, as compared to $37.7 million for the three months ended March 31, 2023. General and administrative, excluding equity-based compensation, for the three months ended March 31, 2024 was $67.0 million, representing an increase of $36.5 million, or 120%, as compared to $30.5 million for the three months ended March 31, 2023, primarily due to charges incurred related to the Class Actions (See Note 9 - Commitments and Contingencies for further information) as well as incremental bad debt accruals.</w:t>
      </w:r>
    </w:p>
    <w:p>
      <w:pPr>
        <w:spacing w:after="0" w:line="132" w:lineRule="exact"/>
        <w:rPr>
          <w:rFonts w:ascii="Times New Roman" w:cs="Times New Roman" w:eastAsia="Times New Roman" w:hAnsi="Times New Roman"/>
          <w:sz w:val="16"/>
          <w:szCs w:val="16"/>
          <w:b w:val="1"/>
          <w:bCs w:val="1"/>
          <w:i w:val="1"/>
          <w:iCs w:val="1"/>
          <w:color w:val="auto"/>
        </w:rPr>
      </w:pPr>
    </w:p>
    <w:p>
      <w:pPr>
        <w:ind w:left="640" w:right="2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other acquired intangibles were $5.3 million, representing a decrease of $0.3 million, or 5%, for the three months ended March 31, 2024 as compared to $5.6 million for the three months ended March 31, 2023.</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Restructuring and transaction-related expenses were $0.2 million for the three months ended March 31, 2024 as compared to $0.1 million for the three months ended March 31, 2023.</w:t>
      </w:r>
    </w:p>
    <w:p>
      <w:pPr>
        <w:spacing w:after="0" w:line="10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Equity-based compensation expense</w:t>
      </w:r>
      <w:r>
        <w:rPr>
          <w:rFonts w:ascii="Times New Roman" w:cs="Times New Roman" w:eastAsia="Times New Roman" w:hAnsi="Times New Roman"/>
          <w:sz w:val="18"/>
          <w:szCs w:val="18"/>
          <w:color w:val="auto"/>
        </w:rPr>
        <w:t>. Equity-based compensation expense was $31.2 million for the three months ended March 31, 2024,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$6.5 million, or 17%, as compared to $37.7 million for the three months ended March 31, 2023, due to lower grant date fair values of grants being amortized in the current period compared to those that were amortized in the prior year, capitalization of equity-based compensations, and terminations.</w:t>
      </w:r>
    </w:p>
    <w:p>
      <w:pPr>
        <w:spacing w:after="0" w:line="12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Income from operations was $43.0 million for the three months ended March 31, 2024, a decrease of $23.3 million, or 35%,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$66.3 million for the three months ended March 31, 2023. The decrease was primarily due to costs incurred related to the Class Actions, partially offset by higher revenues. Operating income margin was 14% for three months ended March 31, 2024 as compared to 22% for the three months ended March 31, 2023 primarily due to higher operating expenses.</w:t>
      </w:r>
    </w:p>
    <w:p>
      <w:pPr>
        <w:spacing w:after="0" w:line="12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Other loss (income), net</w:t>
      </w:r>
      <w:r>
        <w:rPr>
          <w:rFonts w:ascii="Times New Roman" w:cs="Times New Roman" w:eastAsia="Times New Roman" w:hAnsi="Times New Roman"/>
          <w:sz w:val="18"/>
          <w:szCs w:val="18"/>
          <w:color w:val="auto"/>
        </w:rPr>
        <w:t>. Other loss, net was $3.4 million for the three months ended March 31, 2024, which consists of $9.4 million of TRA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remeasurement loss, partially offset by $3.7 million of investment income and $2.3 million of gain on foreign currency transactions, as compared to other income of $14.0 million for the three months ended March 31, 2023, which consists of $10.1 million of TRA remeasurement gain and $4.0 million of investment income, offset by $0.1 million of loss on foreign currency transactions.</w:t>
      </w:r>
    </w:p>
    <w:p>
      <w:pPr>
        <w:spacing w:after="0" w:line="12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was $10.1 million for the three months ended March 31, 2024, an increase of $0.2 million, or 2%,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$9.9 million for the three months ended March 31, 2023.</w:t>
      </w:r>
    </w:p>
    <w:p>
      <w:pPr>
        <w:spacing w:after="0" w:line="107"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w:t>
      </w:r>
      <w:r>
        <w:rPr>
          <w:rFonts w:ascii="Times New Roman" w:cs="Times New Roman" w:eastAsia="Times New Roman" w:hAnsi="Times New Roman"/>
          <w:sz w:val="17"/>
          <w:szCs w:val="17"/>
          <w:color w:val="auto"/>
        </w:rPr>
        <w:t>The Company is subject to income taxes in the United States and various foreign jurisdictions. Provision for income taxes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March 31, 2024 was $14.4 million, representing an effective tax rate of 48.8%, as compared to provision for income taxes of $23.7 million, representing an effective tax rate of 34.8%, for the three months ended March 31, 2023. The decrease in income tax expense was primarily due to a reduction in income before taxes. The annual effective tax rate differed from the U.S. federal statutory rate due to non-deductible equity compensation costs, U.S. state taxes including the remeasurement of deferred tax assets for the effect of state law changes, foreign taxes, tax costs accrued for future repatriations of foreign earnings; partially offset by research and development credits. Refer to Note 14 - Income Taxes of our unaudited consolidated financial statements included in Part I, Item 1 of this Form 10-Q for additional information related to the components of our income tax provision.</w:t>
      </w:r>
    </w:p>
    <w:p>
      <w:pPr>
        <w:spacing w:after="0" w:line="11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was $15.1 million for three months ended March 31, 2024, a decrease of $29.4 million or 66%, as compared to $44.5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2023. The decrease was primarily due to costs incurred related to the Class Actions and TRA remeasurement loss, partially offset by higher revenues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and Adjusted Net Income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view Adjusted Operating Income, Adjusted Operating Income Margin, Adjusted EBITDA, and Adjusted Net Income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U.S. GAAP. There are limitations to these non-GAAP financial measures because they are not prepared in accordance with U.S.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U.S. GAAP.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Adjusted Operating Income Margin, and Adjusted Net Income</w:t>
      </w:r>
    </w:p>
    <w:p>
      <w:pPr>
        <w:spacing w:after="0" w:line="16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We define Adjusted Operating Income as income (loss) from operations adjusted for, as applicable, (i) the impact of fair value adjustments to acquired unearned revenue, (ii) amortization of acquired technology and other acquired intangibles, (iii) equity-based compensation expense, (iv) restructuring and transaction-related expenses, (v) integration costs and acquisition-related expenses, and (vi) legal settlement.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We have also excluded charges associated with the litigation settlement related to the Class Actions previously disclosed because we believe it represents an extraordinary litigation expense outside of our ordinary course of business and is not indicative of our operative performance.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define Adjusted Net Income as net income (loss) adjusted for, as applicable, (i) the impact of fair value adjustments to acquired unearned revenue, (ii) loss on debt modification and extinguishment, (iii) amortization of acquired technology and other acquired intangibles, (iv) equity-based compensation expense, (v) restructuring and transaction-related expenses, (vi) integration costs and acquisition-related expenses, (vii) legal settlement, (viii) TRA liability remeasurement (benefit) expense and (ix) tax impacts of adjustments to net income (loss).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xml:space="preserve"> to Adjusted Operating Income for the periods presented:</w:t>
      </w:r>
    </w:p>
    <w:p>
      <w:pPr>
        <w:spacing w:after="0" w:line="21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33020</wp:posOffset>
            </wp:positionV>
            <wp:extent cx="23723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7236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 (GAAP)</w:t>
            </w: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66.3</w:t>
            </w:r>
          </w:p>
        </w:tc>
      </w:tr>
      <w:tr>
        <w:trPr>
          <w:trHeight w:val="265"/>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Impact of fair value adjustments to acquired unearned revenue</w:t>
            </w:r>
            <w:r>
              <w:rPr>
                <w:rFonts w:ascii="Times New Roman" w:cs="Times New Roman" w:eastAsia="Times New Roman" w:hAnsi="Times New Roman"/>
                <w:sz w:val="22"/>
                <w:szCs w:val="22"/>
                <w:color w:val="auto"/>
                <w:vertAlign w:val="superscript"/>
              </w:rPr>
              <w:t>(1)</w:t>
            </w:r>
          </w:p>
        </w:tc>
        <w:tc>
          <w:tcPr>
            <w:tcW w:w="420" w:type="dxa"/>
            <w:vAlign w:val="bottom"/>
          </w:tcPr>
          <w:p>
            <w:pPr>
              <w:spacing w:after="0"/>
              <w:rPr>
                <w:sz w:val="23"/>
                <w:szCs w:val="23"/>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r>
      <w:tr>
        <w:trPr>
          <w:trHeight w:val="245"/>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r>
      <w:tr>
        <w:trPr>
          <w:trHeight w:val="239"/>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4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r>
      <w:tr>
        <w:trPr>
          <w:trHeight w:val="26"/>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37.7</w:t>
            </w:r>
          </w:p>
        </w:tc>
      </w:tr>
      <w:tr>
        <w:trPr>
          <w:trHeight w:val="265"/>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(2)</w:t>
            </w:r>
          </w:p>
        </w:tc>
        <w:tc>
          <w:tcPr>
            <w:tcW w:w="420" w:type="dxa"/>
            <w:vAlign w:val="bottom"/>
          </w:tcPr>
          <w:p>
            <w:pPr>
              <w:spacing w:after="0"/>
              <w:rPr>
                <w:sz w:val="23"/>
                <w:szCs w:val="23"/>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r>
      <w:tr>
        <w:trPr>
          <w:trHeight w:val="265"/>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(3)</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(Non-GAAP)</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119.4</w:t>
            </w:r>
          </w:p>
        </w:tc>
        <w:tc>
          <w:tcPr>
            <w:tcW w:w="16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120.3</w:t>
            </w:r>
          </w:p>
        </w:tc>
      </w:tr>
      <w:tr>
        <w:trPr>
          <w:trHeight w:val="25"/>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2"/>
        </w:trPr>
        <w:tc>
          <w:tcPr>
            <w:tcW w:w="75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4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(GAAP)</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310.1</w:t>
            </w:r>
          </w:p>
        </w:tc>
        <w:tc>
          <w:tcPr>
            <w:tcW w:w="16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300.7</w:t>
            </w:r>
          </w:p>
        </w:tc>
      </w:tr>
      <w:tr>
        <w:trPr>
          <w:trHeight w:val="25"/>
        </w:trPr>
        <w:tc>
          <w:tcPr>
            <w:tcW w:w="7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5"/>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of fair value adjustments to acquired unearned revenue</w:t>
            </w:r>
          </w:p>
        </w:tc>
        <w:tc>
          <w:tcPr>
            <w:tcW w:w="4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r>
      <w:tr>
        <w:trPr>
          <w:trHeight w:val="25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for adjusted operating margin calculation (Non-GAAP)</w:t>
            </w:r>
          </w:p>
        </w:tc>
        <w:tc>
          <w:tcPr>
            <w:tcW w:w="4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310.1</w:t>
            </w:r>
          </w:p>
        </w:tc>
        <w:tc>
          <w:tcPr>
            <w:tcW w:w="16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300.8</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Margin (Non-GAAP)</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5"/>
        </w:trPr>
        <w:tc>
          <w:tcPr>
            <w:tcW w:w="75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jc w:val="both"/>
        <w:ind w:left="320" w:hanging="314"/>
        <w:spacing w:after="0" w:line="250"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line="247"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three months ended March 31, 2024, this expense is primarily related to the accelerated expense of obsolete software purchase commitments. For the three months ended March 31, 2023, this expense is primarily related to costs pursuant to the 2021 and 2022 acquisitions.</w:t>
      </w:r>
    </w:p>
    <w:p>
      <w:pPr>
        <w:spacing w:after="0" w:line="1" w:lineRule="exact"/>
        <w:rPr>
          <w:rFonts w:ascii="Times New Roman" w:cs="Times New Roman" w:eastAsia="Times New Roman" w:hAnsi="Times New Roman"/>
          <w:sz w:val="16"/>
          <w:szCs w:val="16"/>
          <w:color w:val="auto"/>
        </w:rPr>
      </w:pPr>
    </w:p>
    <w:p>
      <w:pPr>
        <w:ind w:left="320" w:hanging="314"/>
        <w:spacing w:after="0" w:line="261"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three months ended March 31, 2024, these charges are related to costs incurred due to the Class Actions. See Note 9 - Commitments and Contingencies for further information.</w:t>
      </w:r>
    </w:p>
    <w:p>
      <w:pPr>
        <w:spacing w:after="0" w:line="13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8"/>
          <w:szCs w:val="18"/>
          <w:color w:val="auto"/>
        </w:rPr>
        <w:t>Adjusted Operating Income for the three months ended March 31, 2024 was $119.4 million and represented an Adjusted Operating Income Margin of 39%. Adjusted Operating Income for the three months ended March 31, 2023 was $120.3 million and represented an Adjusted Operating Income Margin of</w:t>
      </w:r>
    </w:p>
    <w:p>
      <w:pPr>
        <w:jc w:val="both"/>
        <w:spacing w:after="0" w:line="248" w:lineRule="auto"/>
        <w:rPr>
          <w:sz w:val="20"/>
          <w:szCs w:val="20"/>
          <w:color w:val="auto"/>
        </w:rPr>
      </w:pPr>
      <w:r>
        <w:rPr>
          <w:rFonts w:ascii="Times New Roman" w:cs="Times New Roman" w:eastAsia="Times New Roman" w:hAnsi="Times New Roman"/>
          <w:sz w:val="18"/>
          <w:szCs w:val="18"/>
          <w:color w:val="auto"/>
        </w:rPr>
        <w:t>40%. The decrease of $0.9 million, or 1%, in Adjusted Operating Income was primarily due to increased general and administrative expenses due to higher bad debt accruals. Adjusted Operating Income Margin decreased to 39% in the three months ended March 31, 2024 from 40% in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xml:space="preserve"> to Adjusted Net Income for the periods presented:</w:t>
      </w:r>
    </w:p>
    <w:p>
      <w:pPr>
        <w:spacing w:after="0" w:line="21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33020</wp:posOffset>
            </wp:positionV>
            <wp:extent cx="22377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3774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65"/>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Impact of fair value adjustments to acquired unearned revenue</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23"/>
                <w:szCs w:val="23"/>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5"/>
        </w:trPr>
        <w:tc>
          <w:tcPr>
            <w:tcW w:w="7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0"/>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5"/>
        </w:trPr>
        <w:tc>
          <w:tcPr>
            <w:tcW w:w="7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0"/>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5"/>
        </w:trPr>
        <w:tc>
          <w:tcPr>
            <w:tcW w:w="7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5"/>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(2)</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65"/>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(3)</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7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 liability remeasurement expense (benefit)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65"/>
        </w:trPr>
        <w:tc>
          <w:tcPr>
            <w:tcW w:w="7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Tax impacts of adjustments to net income</w:t>
            </w:r>
            <w:r>
              <w:rPr>
                <w:rFonts w:ascii="Times New Roman" w:cs="Times New Roman" w:eastAsia="Times New Roman" w:hAnsi="Times New Roman"/>
                <w:sz w:val="22"/>
                <w:szCs w:val="22"/>
                <w:color w:val="auto"/>
                <w:vertAlign w:val="superscript"/>
              </w:rPr>
              <w:t>(4)</w:t>
            </w: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8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(Non-GAAP)</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100.5</w:t>
            </w: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jc w:val="both"/>
        <w:ind w:left="320" w:hanging="314"/>
        <w:spacing w:after="0" w:line="250"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line="247"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three months ended March 31, 2024, this expense is primarily related to the accelerated expense of obsolete software purchase commitments. For the three months ended March 31, 2023, this expense is primarily related to costs pursuant to the 2021 and 2022 acquisitions.</w:t>
      </w:r>
    </w:p>
    <w:p>
      <w:pPr>
        <w:spacing w:after="0" w:line="1" w:lineRule="exact"/>
        <w:rPr>
          <w:rFonts w:ascii="Times New Roman" w:cs="Times New Roman" w:eastAsia="Times New Roman" w:hAnsi="Times New Roman"/>
          <w:sz w:val="16"/>
          <w:szCs w:val="16"/>
          <w:color w:val="auto"/>
        </w:rPr>
      </w:pPr>
    </w:p>
    <w:p>
      <w:pPr>
        <w:ind w:left="320" w:hanging="314"/>
        <w:spacing w:after="0" w:line="250"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three months ended March 31, 2024, these charges related to costs incurred due to the Class Actions. See Note 9 - Commitments and Contingencies for further information.</w:t>
      </w:r>
    </w:p>
    <w:p>
      <w:pPr>
        <w:ind w:left="320" w:hanging="314"/>
        <w:spacing w:after="0" w:line="261"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tax expense associated with GAAP Net income excluded from Adjusted Net Income (Non-GAAP). This includes the tax effects associated with equity compensation, remeasurement of deferred tax assets for the effect of state law changes, and TRA liability remeasurement.</w:t>
      </w:r>
    </w:p>
    <w:p>
      <w:pPr>
        <w:spacing w:after="0" w:line="19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Adjusted Net Income for the three months ended March 31, 2024 was $100.5 million compared to $99.5 million, representing an increase of $1.0 million, or 1%, primarily due to higher operating expenses, partially offset by higher revenues.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EBITDA is defined as earnings before interest, taxes, depreciation, and amortization. Management further adjusts EBITDA to exclude certain items of a significant or unusual nature, as applicable, including other (income) expense, net, loss on debt modification and extinguishment, impact of certain non-cash items, such as fair value adjustments to acquired unearned revenue and equity-based compensation, restructuring and transaction-related expenses, integration costs and acquisition-related compensation, and legal settlement.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to Adjusted EBITDA for the periods presented:</w:t>
      </w:r>
    </w:p>
    <w:p>
      <w:pPr>
        <w:spacing w:after="0" w:line="21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33020</wp:posOffset>
            </wp:positionV>
            <wp:extent cx="22129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1297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5"/>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5"/>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65"/>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loss (income), net</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65"/>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Impact of fair value adjustments to acquired unearned revenue</w:t>
            </w:r>
            <w:r>
              <w:rPr>
                <w:rFonts w:ascii="Times New Roman" w:cs="Times New Roman" w:eastAsia="Times New Roman" w:hAnsi="Times New Roman"/>
                <w:sz w:val="22"/>
                <w:szCs w:val="22"/>
                <w:color w:val="auto"/>
                <w:vertAlign w:val="superscript"/>
              </w:rPr>
              <w:t>(2)</w:t>
            </w:r>
          </w:p>
        </w:tc>
        <w:tc>
          <w:tcPr>
            <w:tcW w:w="3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5"/>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5"/>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(3)</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65"/>
        </w:trPr>
        <w:tc>
          <w:tcPr>
            <w:tcW w:w="7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(4)</w:t>
            </w: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(Non-GAAP)</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represents revaluations on TRA liability and foreign exchange remeasurement gains and losses.</w:t>
      </w:r>
    </w:p>
    <w:p>
      <w:pPr>
        <w:spacing w:after="0" w:line="7" w:lineRule="exact"/>
        <w:rPr>
          <w:rFonts w:ascii="Times New Roman" w:cs="Times New Roman" w:eastAsia="Times New Roman" w:hAnsi="Times New Roman"/>
          <w:sz w:val="16"/>
          <w:szCs w:val="16"/>
          <w:color w:val="auto"/>
        </w:rPr>
      </w:pPr>
    </w:p>
    <w:p>
      <w:pPr>
        <w:jc w:val="both"/>
        <w:ind w:left="320" w:hanging="314"/>
        <w:spacing w:after="0" w:line="251"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47"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three months ended March 31, 2024, this expense is primarily related to the accelerated expense of obsolete software purchase commitments. For the three months ended March 31, 2023, this expense is primarily related to costs pursuant to the 2021 and 2022 acquisitions.</w:t>
      </w:r>
    </w:p>
    <w:p>
      <w:pPr>
        <w:spacing w:after="0" w:line="1" w:lineRule="exact"/>
        <w:rPr>
          <w:rFonts w:ascii="Times New Roman" w:cs="Times New Roman" w:eastAsia="Times New Roman" w:hAnsi="Times New Roman"/>
          <w:sz w:val="16"/>
          <w:szCs w:val="16"/>
          <w:color w:val="auto"/>
        </w:rPr>
      </w:pPr>
    </w:p>
    <w:p>
      <w:pPr>
        <w:ind w:left="320" w:hanging="314"/>
        <w:spacing w:after="0" w:line="266"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three months ended March 31, 2024, these charges related to costs incurred due to the Class Actions. See Note 9 - Commitments and Contingencies for further information.</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Adjusted EBITDA for the three months ended March 31, 2024 was $124.5 million, a decrease of $0.6 million, or 0.5%, relative to the three months ended March 31, 2023. This decrease was primarily due to increased operating expenses, partially offset by higher revenues.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March 31, 2024, we had $405.9 million of cash and cash equivalents, $34.3 million of short-term investments, and $250.0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spacing w:after="0" w:line="10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generally invoice our subscription customers annually, semi-annually, or quarterly in advance of our subscription services. Therefore, a substantial source of our cash is from such prepayments, which are included on our Consolidated Balance Sheets as unearned revenue. Unearned revenue consists of billed fees for our subscriptions, prior to satisfying the criteria for revenue recognition, which are subsequently recognized as revenue in accordance with our revenue recognition policy. As of March 31, 2024, we had unearned revenue of $444.3 million, of which $443.0 million was recorded as a current liability and is expected to be recorded as revenue in the next 12 months, provided all other revenue recognition criteria have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our 2023 Form 10-K.</w:t>
      </w:r>
    </w:p>
    <w:p>
      <w:pPr>
        <w:sectPr>
          <w:pgSz w:w="11900" w:h="16838" w:orient="portrait"/>
          <w:cols w:equalWidth="0" w:num="1">
            <w:col w:w="11240"/>
          </w:cols>
          <w:pgMar w:left="320" w:top="118" w:right="3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176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22129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1297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0" w:type="dxa"/>
            <w:vAlign w:val="bottom"/>
          </w:tcPr>
          <w:p>
            <w:pPr>
              <w:spacing w:after="0"/>
              <w:rPr>
                <w:sz w:val="20"/>
                <w:szCs w:val="20"/>
                <w:color w:val="auto"/>
              </w:rPr>
            </w:pPr>
          </w:p>
        </w:tc>
        <w:tc>
          <w:tcPr>
            <w:tcW w:w="130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65"/>
        </w:trPr>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65"/>
        </w:trPr>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6"/>
        </w:trPr>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5"/>
        </w:trPr>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10" w:lineRule="exact"/>
        <w:rPr>
          <w:sz w:val="20"/>
          <w:szCs w:val="20"/>
          <w:color w:val="auto"/>
        </w:rPr>
      </w:pPr>
    </w:p>
    <w:p>
      <w:pPr>
        <w:sectPr>
          <w:pgSz w:w="11900" w:h="16838" w:orient="portrait"/>
          <w:cols w:equalWidth="0" w:num="2">
            <w:col w:w="7040" w:space="720"/>
            <w:col w:w="3480"/>
          </w:cols>
          <w:pgMar w:left="320" w:top="118" w:right="339" w:bottom="1440" w:gutter="0" w:footer="0" w:header="0"/>
          <w:type w:val="continuous"/>
        </w:sect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was $115.9 million for the three months ended March 31, 2024 as a result of net income of $15.1 million, adjusted by non-cash charges of $101.1 million and the net change in our operating and liabilities of $0.3 million. The non-cash charges are comprised of equity-based compensation of $31.2 million, depreciation and amortization of $20.0 million, amortization of deferred commission costs of $17.4 million, a decrease in deferred tax assets net of deferred tax liabilities of $13.2 million, TRA remeasurement of $9.6 million, and provision for bad debt expense of $9.2 million. The net change in operating assets and liabilities was primarily the result of an increase in deferred costs and other assets of $17.6 million, a decrease in accounts payable of $16.9 million, an increase in prepaid expenses and other current assets of $11.9 million, partially offset by a decrease in accounts receivable of $39.3 million and an increase in accrued expenses and other liabilities of $5.5 million.</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Net cash provided by operations was $108.6 million for the three months ended March 31, 2023 as a result of net income of $44.5 million, adjusted by non-cash charges of $104.2 million and the net change in our operating assets and liabilities of $40.1 million. The non-cash charges are primarily comprised of equity-based compensation of $37.7 million, a decrease in deferred tax assets net of deferred tax liabilities of $27.9 million, depreciation and amortization of $20.9 million, amortization of deferred commission costs of $18.8 million, and provision for bad debt expense of $6.1 million, partially offset by TRA remeasurement of $10.1 million. The net change in operating assets and liabilities was primarily the result of a decrease in accrued expenses and other liabilities of $34.0 million, an increase in deferred costs and other assets of $16.4 million, a decrease in accounts payable of $10.3 million, an increase in prepaid expenses and other current assets of $9.9 million, partially offset by an increase in unearned revenue of $31.5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may make future acquisitions as part of our business strategy which may require the use of capital resources and drive additional future restructuring and transaction-related cash expenditures as well as integration and acquisition-related compensation cash costs. During the three months ended March 31, 2024, and 2023, we incurred the following cash expenditures:</w:t>
      </w:r>
    </w:p>
    <w:p>
      <w:pPr>
        <w:spacing w:after="0" w:line="17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33020</wp:posOffset>
            </wp:positionV>
            <wp:extent cx="22129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1297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in cash</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65"/>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transaction-related expenses paid in cash</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6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Integration costs and acquisition-related compensation paid in cash</w:t>
            </w:r>
            <w:r>
              <w:rPr>
                <w:rFonts w:ascii="Times New Roman" w:cs="Times New Roman" w:eastAsia="Times New Roman" w:hAnsi="Times New Roman"/>
                <w:sz w:val="22"/>
                <w:szCs w:val="22"/>
                <w:color w:val="auto"/>
                <w:vertAlign w:val="superscript"/>
              </w:rPr>
              <w:t>(2)</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settlement payments</w:t>
            </w:r>
            <w:r>
              <w:rPr>
                <w:rFonts w:ascii="Times New Roman" w:cs="Times New Roman" w:eastAsia="Times New Roman" w:hAnsi="Times New Roman"/>
                <w:sz w:val="22"/>
                <w:szCs w:val="22"/>
                <w:color w:val="auto"/>
                <w:vertAlign w:val="superscript"/>
              </w:rPr>
              <w:t>(3)</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jc w:val="both"/>
        <w:ind w:left="320" w:hanging="314"/>
        <w:spacing w:after="0" w:line="251"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directly associated with acquisition or disposal activities, including employee severance and termination benefits, contract termination fees and penalties, and other exit or disposal costs. For the three months ended March 31, 2024, these payments related primarily to obsolete software purchase commitments, Waltham sublease cost and Israel lease impairment charges. For the three months ended March 31, 2023, these payments related primarily to legal costs paid related to 2021 and 2022 acquisitions and Waltham sublease cost.</w:t>
      </w:r>
    </w:p>
    <w:p>
      <w:pPr>
        <w:ind w:left="320" w:hanging="314"/>
        <w:spacing w:after="0" w:line="244"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directly associated with integration activities for acquisitions and acquisition-related compensation, which includes transaction bonuses and retention awards. For the three months ended March 31, 2024, these payments related to deferred compensation from the acquisition of Insent.</w:t>
      </w:r>
    </w:p>
    <w:p>
      <w:pPr>
        <w:spacing w:after="0" w:line="1" w:lineRule="exact"/>
        <w:rPr>
          <w:rFonts w:ascii="Times New Roman" w:cs="Times New Roman" w:eastAsia="Times New Roman" w:hAnsi="Times New Roman"/>
          <w:sz w:val="16"/>
          <w:szCs w:val="16"/>
          <w:color w:val="auto"/>
        </w:rPr>
      </w:pPr>
    </w:p>
    <w:p>
      <w:pPr>
        <w:ind w:left="320" w:hanging="314"/>
        <w:spacing w:after="0" w:line="261"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associated with legal settlements and associated legal fees. For the three months ended March 31, 2024, these payments related to legal costs incurred due to the Class Actions. See Note 9 - Commitments and Contingencies for further information.</w:t>
      </w:r>
    </w:p>
    <w:p>
      <w:pPr>
        <w:spacing w:after="0" w:line="20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2024 was $35.4 million, consisting of maturities of short-term investments of $48.2 million, partially offset by purchases of property and equipment and other assets of $12.8 million.</w:t>
      </w:r>
    </w:p>
    <w:p>
      <w:pPr>
        <w:spacing w:after="0" w:line="110"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Net cash used in investing activities for the three months ended March 31, 2023 was $19.6 million, consisting of purchases of short-term investments of $63.6 million, purchases of property and equipment and other assets of $6.4 million, partially offset by maturities of short-term investments of $50.4 million.</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we continue to grow and invest in our business, we expect to continue to invest in property and equipment and opportunistically pursue acquisitions.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Net cash used in financing activities for the three months ended March 31, 2024 was $192.7 million and comprised of payments relating to the repurchase of common stock of $151.0 million, TRA payments of $31.6 million, payments of taxes related to net share settlement of equity awards of $7.1 million, repayment of debt of $1.5 million, payments of debt issuance and modification costs of $0.8 million, and payments of deferred consideration of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2023 was $29.3 million, comprised of payments relating to the repurchase of common stock of $21.9 million, payments of taxes related to net share settlement of equity awards of $4.1 million, payments of debt issuance and modification costs of $2.0 million, repayment of debt of $1.5 million, partially offset by proceeds from exercise of stock options of $0.2 million.</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6 - Financing Arrangements of our consolidated financial statements for additional information related to each of our borrowings.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6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As of March 31, 2024, the aggregate remaining balance of $650.0 million of 3.875% Senior Notes is due, in its entirety, at the contractual maturity date of February 1, 2029. Interest on the Senior Notes is payable semi-annually in arrears beginning on August 1, 2021. As of March 31, 2024, the Company has a remaining balance of $592.5 million with respect to its first lien term loans. The Company is obligated to make principal payments each quarter in the amount of 0.25% of the aggregate initial outstanding amount, with the remaining balance due at the contractual maturity date of February 28, 2030. The foregoing currently represent the only existing required future debt principal repayment obligations that will require future uses of the Company’s cash.</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first lien term debt has a variable interest rate whereby the Company can elect to use a Base Rate or SOFR plus an applicable rate. The applicable rate is 1.25% for Base Rate loans or 2.25% for SOFR loans. The effective interest rate on the first lien debt was 7.81% and 7.83% as of March 31, 2024 and December 31, 2023, respectively.</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first lien revolving credit facility, which had no amount outstanding as of March 31, 2024,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total net leverage ratio to Adjusted EBITDA is defined as total contractual maturity of outstanding indebtedness less cash and cash equivalents, restricted cash, and short-term investments, divided by trailing twelve months Adjusted EBITDA. Adjusted EBITDA for the 12 months ended March 31, 2024 was $517.6 million. Our total net leverage ratio to Adjusted EBITDA as of March 31, 2024 was 1.5x.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leverage ratios)</w:t>
            </w:r>
          </w:p>
        </w:tc>
        <w:tc>
          <w:tcPr>
            <w:tcW w:w="1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4"/>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outstanding indebtedness</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r>
      <w:tr>
        <w:trPr>
          <w:trHeight w:val="24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restricted cash, and short-term investments</w:t>
            </w:r>
          </w:p>
        </w:tc>
        <w:tc>
          <w:tcPr>
            <w:tcW w:w="1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r>
      <w:tr>
        <w:trPr>
          <w:trHeight w:val="25"/>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Debt</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Twelve Months (TTM) Adjusted EBITDA</w:t>
            </w:r>
          </w:p>
        </w:tc>
        <w:tc>
          <w:tcPr>
            <w:tcW w:w="1180" w:type="dxa"/>
            <w:vAlign w:val="bottom"/>
            <w:tcBorders>
              <w:top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5"/>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leverage ratio to Adjusted EBITDA</w:t>
            </w:r>
          </w:p>
        </w:tc>
        <w:tc>
          <w:tcPr>
            <w:tcW w:w="1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consolidated first lien net leverage ratio is defined in the agreement governing our existing first lien credit facilities (the “First Lien Credit Agreement”) as total contractual maturity of outstanding First Lien indebtedness less cash and cash equivalents and short-term investments,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12 months ended March 31, 2024 was $512.5 million. Our consolidated first lien net leverage ratio as of March 31, 2024 was 0.3x.</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leverage ratios)</w:t>
            </w:r>
          </w:p>
        </w:tc>
        <w:tc>
          <w:tcPr>
            <w:tcW w:w="12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4"/>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First Lien indebtedness</w:t>
            </w: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r>
      <w:tr>
        <w:trPr>
          <w:trHeight w:val="23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and short-term investments</w:t>
            </w:r>
          </w:p>
        </w:tc>
        <w:tc>
          <w:tcPr>
            <w:tcW w:w="1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r>
      <w:tr>
        <w:trPr>
          <w:trHeight w:val="26"/>
        </w:trPr>
        <w:tc>
          <w:tcPr>
            <w:tcW w:w="8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Debt</w:t>
            </w: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Twelve Months (TTM) Cash EBITDA</w:t>
            </w:r>
          </w:p>
        </w:tc>
        <w:tc>
          <w:tcPr>
            <w:tcW w:w="1240" w:type="dxa"/>
            <w:vAlign w:val="bottom"/>
            <w:tcBorders>
              <w:top w:val="single" w:sz="8" w:color="auto"/>
            </w:tcBorders>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w:t>
            </w:r>
          </w:p>
        </w:tc>
      </w:tr>
      <w:tr>
        <w:trPr>
          <w:trHeight w:val="25"/>
        </w:trPr>
        <w:tc>
          <w:tcPr>
            <w:tcW w:w="8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Consolidated first lien net leverage ratio</w:t>
            </w:r>
          </w:p>
        </w:tc>
        <w:tc>
          <w:tcPr>
            <w:tcW w:w="12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total net leverage ratio to Cash EBITDA (defined as Consolidated EBITDA in our Credit Agreements) is defined as total contractual maturity of outstanding indebtedness less cash and cash equivalents, restricted cash, and short-term investments, divided by trailing twelve months Cash EBITDA. Cash EBITDA for the 12 months ended March 31, 2024 was $512.5 million. Our total net leverage ratio to Cash EBITDA as of March 31, 2024 was 1.5x.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leverage ratios)</w:t>
            </w: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54"/>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outstanding indebtedness</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r>
      <w:tr>
        <w:trPr>
          <w:trHeight w:val="23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restricted cash, and short-term investments</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r>
      <w:tr>
        <w:trPr>
          <w:trHeight w:val="26"/>
        </w:trPr>
        <w:tc>
          <w:tcPr>
            <w:tcW w:w="8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Debt</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Twelve Months (TTM) Cash EBITDA</w:t>
            </w:r>
          </w:p>
        </w:tc>
        <w:tc>
          <w:tcPr>
            <w:tcW w:w="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w:t>
            </w:r>
          </w:p>
        </w:tc>
      </w:tr>
      <w:tr>
        <w:trPr>
          <w:trHeight w:val="25"/>
        </w:trPr>
        <w:tc>
          <w:tcPr>
            <w:tcW w:w="8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leverage ratio to Cash EBITDA</w:t>
            </w:r>
          </w:p>
        </w:tc>
        <w:tc>
          <w:tcPr>
            <w:tcW w:w="220" w:type="dxa"/>
            <w:vAlign w:val="bottom"/>
            <w:tcBorders>
              <w:bottom w:val="single" w:sz="8" w:color="auto"/>
            </w:tcBorders>
            <w:shd w:val="clear" w:color="auto" w:fill="CCEEFF"/>
          </w:tcPr>
          <w:p>
            <w:pPr>
              <w:spacing w:after="0"/>
              <w:rPr>
                <w:sz w:val="24"/>
                <w:szCs w:val="24"/>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r>
        <w:trPr>
          <w:trHeight w:val="478"/>
        </w:trPr>
        <w:tc>
          <w:tcPr>
            <w:tcW w:w="8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Trailing Twelve Months as of</w:t>
            </w:r>
          </w:p>
        </w:tc>
      </w:tr>
      <w:tr>
        <w:trPr>
          <w:trHeight w:val="284"/>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45"/>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r>
      <w:tr>
        <w:trPr>
          <w:trHeight w:val="25"/>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5"/>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5"/>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6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23"/>
                <w:szCs w:val="23"/>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6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Impact of fair value adjustments to acquired unearned revenue</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23"/>
                <w:szCs w:val="23"/>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r>
      <w:tr>
        <w:trPr>
          <w:trHeight w:val="25"/>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6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(3)</w:t>
            </w:r>
          </w:p>
        </w:tc>
        <w:tc>
          <w:tcPr>
            <w:tcW w:w="220" w:type="dxa"/>
            <w:vAlign w:val="bottom"/>
            <w:shd w:val="clear" w:color="auto" w:fill="CCEEFF"/>
          </w:tcPr>
          <w:p>
            <w:pPr>
              <w:spacing w:after="0"/>
              <w:rPr>
                <w:sz w:val="23"/>
                <w:szCs w:val="23"/>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65"/>
        </w:trPr>
        <w:tc>
          <w:tcPr>
            <w:tcW w:w="8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(4)</w:t>
            </w:r>
          </w:p>
        </w:tc>
        <w:tc>
          <w:tcPr>
            <w:tcW w:w="22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Unearned revenue adjustment</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rent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9"/>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lender adjustments</w:t>
            </w:r>
          </w:p>
        </w:tc>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5"/>
        </w:trPr>
        <w:tc>
          <w:tcPr>
            <w:tcW w:w="8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EBITDA (Non-GAAP)</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represents revaluations on TRA liability and foreign exchange remeasurement gains and losses.</w:t>
      </w:r>
    </w:p>
    <w:p>
      <w:pPr>
        <w:spacing w:after="0" w:line="16" w:lineRule="exact"/>
        <w:rPr>
          <w:rFonts w:ascii="Times New Roman" w:cs="Times New Roman" w:eastAsia="Times New Roman" w:hAnsi="Times New Roman"/>
          <w:sz w:val="16"/>
          <w:szCs w:val="16"/>
          <w:color w:val="auto"/>
        </w:rPr>
      </w:pPr>
    </w:p>
    <w:p>
      <w:pPr>
        <w:jc w:val="both"/>
        <w:ind w:left="320" w:hanging="314"/>
        <w:spacing w:after="0" w:line="247" w:lineRule="auto"/>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49" w:lineRule="auto"/>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trailing twelve months ended March 31, 2024, this expense related primarily to cost associated with a June 2023 reduction in force, impairment charges related to the Ra’anana office and other offices, and obsolete software purchase commitments.</w:t>
      </w:r>
    </w:p>
    <w:p>
      <w:pPr>
        <w:spacing w:after="0" w:line="1" w:lineRule="exact"/>
        <w:rPr>
          <w:rFonts w:ascii="Times New Roman" w:cs="Times New Roman" w:eastAsia="Times New Roman" w:hAnsi="Times New Roman"/>
          <w:sz w:val="16"/>
          <w:szCs w:val="16"/>
          <w:color w:val="auto"/>
        </w:rPr>
      </w:pPr>
    </w:p>
    <w:p>
      <w:pPr>
        <w:ind w:left="320" w:hanging="314"/>
        <w:spacing w:after="0" w:line="261" w:lineRule="auto"/>
        <w:tabs>
          <w:tab w:leader="none" w:pos="3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trailing twelve months ended March 31, 2024, these charges related to costs incurred due to the Class Actions. See Note 9 - Commitments and Contingencies for further information.</w:t>
      </w:r>
    </w:p>
    <w:p>
      <w:pPr>
        <w:spacing w:after="0" w:line="11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the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Capital expenditures increased by $6.4 million, or 100%, to $12.8 million for three months ended March 31, 2024 compared to the three months ended March 31, 2023, as a result of increased capitalization of development expenses and variability of timing with respect to facilities projects.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information related to our TRA, refer to Note 17 - Tax Receivable Agreements in our 2023 Form 10-K.</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March 31, 2024, the Company had a liability of $2,796.0 million related to its projected obligations under the TRA. During the three months ended March 31, 2024, $31.6 million was paid to TRA holders pursuant to the TRA. During the three months ended March 31, 2023, no payment was made pursuant to the TRA.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March 31, 2024, we had additional operating leases for office space that have not yet commenced with anticipated undiscounted future lease payments of $228.1 million. Refer to Note 11 - Leases of the notes to our unaudited consolidated financial statements included elsewhere in this Quarterly Report on Form 10-Q for further details.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Except as set forth above and in Note 9 - Commitments and Contingencies of the notes to our unaudited consolidated financial statements included elsewhere in this Quarterly Report on Form 10-Q, there have been no material changes outside of the ordinary course of business in the contractual obligations and commitments disclosed in our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is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under “Management's Discussion and Analysis of Financial Condition and Results of Operations” in Part II, Item 7 of our 2023 Form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1 - Business, Basis of Presentation, and Summary of Significant Accounting Policies of our consolidated financial statements included in Part I, Item 1 of this Form 10-Q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market risk in the ordinary course of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do not believe that inflation has had a material direct effect on our business, financial condition, or results of operations. Our business, financial condition, or results of operations may be impacted by macroeconomic conditions, including underlying factors such as inflation. See “Risk Factors - Geopolitical Risks” in Part I, Item 1A of our 2023 Form 10-K for further discussion of the possible impact of these issues on our business.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operating results are subject to market risk from interest rate fluctuations on our first lien term loan, which bears a variable interest rate based on SOFR. As of March 31, 2024, the total principal balance outstanding was $592.5 million. We have implemented a hedging strategy to mitigate the interest rate risk by entering into certain derivative instruments (refer to Note 6 - Financing Arrangements of our consolidated financial statements included in Part I, Item 1 of this Form 10-Q). Based on the outstanding balances and interest rates of our debt as of March 31, 2024, a hypothetical relative increase or decrease in our effective interest rate by 100 basis points or 1% would have caused an immaterial corresponding change over the next 12 months.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Additionally, from time to time, we have dedesignated certain cash flow hedging relationships due to repricing of the terms and partial prepayment of the outstanding principal of our first lien term loan since loan inception. As of March 31, 2024, all cash flow hedging relationships are designated as accounting hedges.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date, our sales contracts have primarily been denominated in U.S. dollars. We have foreign entities established in Israel, Canada, United Kingdom, India, and Australia. The functional currency of these foreign subsidiaries is the U.S. dollar. A stronger U.S. dollar could make our solution more expensive outside the United States and therefore reduce demand, while a weaker U.S. dollar could have the opposite effect. Such economic exposure to currency fluctuations is difficult to measure or predict because our sales are influenced by many factors in addition to the impact of currency fluctuations.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manage the foreign currency exchange rate risk and to reduce the volatility associated with the fluctuation of foreign currencies, we initiated a foreign currency hedging program during the third quarter of 2023, which subsequently settled during the fourth quarter of 2023. This program aimed to mitigate potential adverse effects on our financial results from significant currency movements.</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w:t>
      </w:r>
      <w:r>
        <w:rPr>
          <w:rFonts w:ascii="Times New Roman" w:cs="Times New Roman" w:eastAsia="Times New Roman" w:hAnsi="Times New Roman"/>
          <w:sz w:val="18"/>
          <w:szCs w:val="18"/>
          <w:i w:val="1"/>
          <w:iCs w:val="1"/>
          <w:color w:val="auto"/>
        </w:rPr>
        <w:t>Other loss (income), net</w:t>
      </w:r>
      <w:r>
        <w:rPr>
          <w:rFonts w:ascii="Times New Roman" w:cs="Times New Roman" w:eastAsia="Times New Roman" w:hAnsi="Times New Roman"/>
          <w:sz w:val="18"/>
          <w:szCs w:val="18"/>
          <w:color w:val="auto"/>
        </w:rPr>
        <w:t>. Although the impact of currency fluctuations on our financial results has been immaterial in the past and we believe that for the reasons cited above, currency fluctuations will not be significant in the future, there can be no guarantee that the impact of currency fluctuations or our hedging activities will not be material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multiple high-quality financial institutions and periodically evaluating the credit quality of those institutions.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March 31, 2024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March 31, 2024 that have materially affected, or are reasonably likely to materially affect, our internal control over financial reporting.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4" w:lineRule="exact"/>
        <w:rPr>
          <w:sz w:val="20"/>
          <w:szCs w:val="20"/>
          <w:color w:val="auto"/>
        </w:rPr>
      </w:pPr>
    </w:p>
    <w:p>
      <w:pPr>
        <w:jc w:val="both"/>
        <w:ind w:firstLine="318"/>
        <w:spacing w:after="0" w:line="291" w:lineRule="auto"/>
        <w:rPr>
          <w:sz w:val="20"/>
          <w:szCs w:val="20"/>
          <w:color w:val="auto"/>
        </w:rPr>
      </w:pPr>
      <w:r>
        <w:rPr>
          <w:rFonts w:ascii="Times New Roman" w:cs="Times New Roman" w:eastAsia="Times New Roman" w:hAnsi="Times New Roman"/>
          <w:sz w:val="18"/>
          <w:szCs w:val="18"/>
          <w:color w:val="auto"/>
        </w:rPr>
        <w:t xml:space="preserve">For a description of certain legal and regulatory proceedings, please read “Legal Matters” in </w:t>
      </w:r>
      <w:r>
        <w:rPr>
          <w:rFonts w:ascii="Times New Roman" w:cs="Times New Roman" w:eastAsia="Times New Roman" w:hAnsi="Times New Roman"/>
          <w:sz w:val="18"/>
          <w:szCs w:val="18"/>
          <w:i w:val="1"/>
          <w:iCs w:val="1"/>
          <w:color w:val="auto"/>
        </w:rPr>
        <w:t>Note 9 - Commitments and Contingencies</w:t>
      </w:r>
      <w:r>
        <w:rPr>
          <w:rFonts w:ascii="Times New Roman" w:cs="Times New Roman" w:eastAsia="Times New Roman" w:hAnsi="Times New Roman"/>
          <w:sz w:val="18"/>
          <w:szCs w:val="18"/>
          <w:color w:val="auto"/>
        </w:rPr>
        <w:t xml:space="preserve"> to our unaudited consolidated financial statements included in Part I, Item 1 of this Form 10-Q, which is incorporated herein by reference.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Part I, Item 1A of our 2023 Form 10-K. Additional risks and uncertainties not currently known to us or that we currently deem to be immaterial may also materially adversely affect our financial position, results of operations or cash flows. There have been no material changes to the risk factors included in our 2023 Form 10-K.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shares of common stock purchased by the Company during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Maximum Number (or</w:t>
            </w:r>
          </w:p>
        </w:tc>
      </w:tr>
      <w:tr>
        <w:trPr>
          <w:trHeight w:val="212"/>
        </w:trPr>
        <w:tc>
          <w:tcPr>
            <w:tcW w:w="1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r>
      <w:tr>
        <w:trPr>
          <w:trHeight w:val="212"/>
        </w:trPr>
        <w:tc>
          <w:tcPr>
            <w:tcW w:w="1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 Shares</w:t>
            </w:r>
          </w:p>
        </w:tc>
        <w:tc>
          <w:tcPr>
            <w:tcW w:w="120" w:type="dxa"/>
            <w:vAlign w:val="bottom"/>
          </w:tcPr>
          <w:p>
            <w:pPr>
              <w:spacing w:after="0"/>
              <w:rPr>
                <w:sz w:val="18"/>
                <w:szCs w:val="18"/>
                <w:color w:val="auto"/>
              </w:rPr>
            </w:pP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 that May Yet be Purchased</w:t>
            </w:r>
          </w:p>
        </w:tc>
      </w:tr>
      <w:tr>
        <w:trPr>
          <w:trHeight w:val="209"/>
        </w:trPr>
        <w:tc>
          <w:tcPr>
            <w:tcW w:w="1920" w:type="dxa"/>
            <w:vAlign w:val="bottom"/>
          </w:tcPr>
          <w:p>
            <w:pPr>
              <w:spacing w:after="0"/>
              <w:rPr>
                <w:sz w:val="18"/>
                <w:szCs w:val="18"/>
                <w:color w:val="auto"/>
              </w:rPr>
            </w:pPr>
          </w:p>
        </w:tc>
        <w:tc>
          <w:tcPr>
            <w:tcW w:w="21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Price Paid Per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Purchased as Part of Publicly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Under the Plan or Programs (in</w:t>
            </w:r>
          </w:p>
        </w:tc>
      </w:tr>
      <w:tr>
        <w:trPr>
          <w:trHeight w:val="262"/>
        </w:trPr>
        <w:tc>
          <w:tcPr>
            <w:tcW w:w="1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2"/>
                <w:szCs w:val="22"/>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0" w:type="dxa"/>
            <w:vAlign w:val="bottom"/>
            <w:tcBorders>
              <w:bottom w:val="single" w:sz="8" w:color="CCEEFF"/>
            </w:tcBorders>
          </w:tcPr>
          <w:p>
            <w:pPr>
              <w:spacing w:after="0"/>
              <w:rPr>
                <w:sz w:val="22"/>
                <w:szCs w:val="22"/>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Announced Plans or Programs</w:t>
            </w:r>
            <w:r>
              <w:rPr>
                <w:rFonts w:ascii="Times New Roman" w:cs="Times New Roman" w:eastAsia="Times New Roman" w:hAnsi="Times New Roman"/>
                <w:sz w:val="22"/>
                <w:szCs w:val="22"/>
                <w:b w:val="1"/>
                <w:bCs w:val="1"/>
                <w:color w:val="auto"/>
                <w:w w:val="96"/>
                <w:vertAlign w:val="superscript"/>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millions)</w:t>
            </w:r>
          </w:p>
        </w:tc>
      </w:tr>
      <w:tr>
        <w:trPr>
          <w:trHeight w:val="238"/>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2024</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5,330,167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4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2024</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2,399,072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2,396,896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r>
      <w:tr>
        <w:trPr>
          <w:trHeight w:val="25"/>
        </w:trPr>
        <w:tc>
          <w:tcPr>
            <w:tcW w:w="1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65"/>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1,906,662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2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1,901,359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r>
      <w:tr>
        <w:trPr>
          <w:trHeight w:val="258"/>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9,635,901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9,623,255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0" w:type="dxa"/>
            <w:vAlign w:val="bottom"/>
          </w:tcPr>
          <w:p>
            <w:pPr>
              <w:spacing w:after="0"/>
              <w:rPr>
                <w:sz w:val="22"/>
                <w:szCs w:val="22"/>
                <w:color w:val="auto"/>
              </w:rPr>
            </w:pPr>
          </w:p>
        </w:tc>
      </w:tr>
      <w:tr>
        <w:trPr>
          <w:trHeight w:val="20"/>
        </w:trPr>
        <w:tc>
          <w:tcPr>
            <w:tcW w:w="19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line="251"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that were not purchased as part of publicly announced plans or programs were acquired through the withholding of shares to satisfy tax withholding obligations incurred upon the vesting of HSKB phantom units awarded under the HSKB Funds, LLC 2019 Phantom Unit Plan.</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50"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2023, the Board authorized a program to repurchase the Company’s common stock (the “Share Repurchase Program”). The total authorization in 2023 and 2024 was $600.0 million and $500.0 million, respectively, of which $546.8 million remained available and authorized for repurchases as of March 31, 2024.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March 14, 2024, Peter Cameron Hyzer, the Chief Financial Officer of the Company, adopted a Rule 10b5-1 trading arrangement. The duration of the trading arrangement begins on June 13, 2024, and ends on May 15, 2025. The volume of sales will be determined, in part, based on pricing triggers outlined in the trading arrangement, with a maximum potential sale under the plan of 330,000 shares of common stock. Mr. Hyzer's trading arrangement was entered into during an open insider trading window and is intended to satisfy the affirmative defense of Rule 10b5-1(c) under the Exchange Act and the Company’s policies regarding insider transactions.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March 14, 2024, Mark Mader, a Director of the Company, adopted a Rule 10b5-1 trading arrangement. The duration of the trading arrangement begins on June 13, 2024, and ends on May 31, 2025. The volume of sales will be determined, in part, based on pricing triggers outlined in the trading arrangement, with a maximum potential sale under the plan of 3,112 shares of common stock. Mr. Mader's trading arrangement was entered into during an open insider trading window and is intended to satisfy the affirmative defense of Rule 10b5-1(c) under the Exchange Act and the Company’s policies regarding insider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70"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80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gridSpan w:val="13"/>
          </w:tcPr>
          <w:p>
            <w:pPr>
              <w:ind w:left="8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00" w:type="dxa"/>
            <w:vAlign w:val="bottom"/>
          </w:tcPr>
          <w:p>
            <w:pPr>
              <w:jc w:val="center"/>
              <w:ind w:right="4"/>
              <w:spacing w:after="0"/>
              <w:rPr>
                <w:sz w:val="20"/>
                <w:szCs w:val="20"/>
                <w:color w:val="auto"/>
              </w:rPr>
            </w:pPr>
            <w:r>
              <w:rPr>
                <w:rFonts w:ascii="Times New Roman" w:cs="Times New Roman" w:eastAsia="Times New Roman" w:hAnsi="Times New Roman"/>
                <w:sz w:val="18"/>
                <w:szCs w:val="18"/>
                <w:b w:val="1"/>
                <w:bCs w:val="1"/>
                <w:color w:val="auto"/>
                <w:w w:val="98"/>
              </w:rPr>
              <w:t>Report or Registration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 File or</w:t>
            </w:r>
          </w:p>
        </w:tc>
        <w:tc>
          <w:tcPr>
            <w:tcW w:w="960" w:type="dxa"/>
            <w:vAlign w:val="bottom"/>
          </w:tcPr>
          <w:p>
            <w:pPr>
              <w:jc w:val="center"/>
              <w:ind w:left="124"/>
              <w:spacing w:after="0"/>
              <w:rPr>
                <w:sz w:val="20"/>
                <w:szCs w:val="20"/>
                <w:color w:val="auto"/>
              </w:rPr>
            </w:pPr>
            <w:r>
              <w:rPr>
                <w:rFonts w:ascii="Times New Roman" w:cs="Times New Roman" w:eastAsia="Times New Roman" w:hAnsi="Times New Roman"/>
                <w:sz w:val="18"/>
                <w:szCs w:val="18"/>
                <w:b w:val="1"/>
                <w:bCs w:val="1"/>
                <w:color w:val="auto"/>
                <w:w w:val="98"/>
              </w:rPr>
              <w:t>Exhibit</w:t>
            </w:r>
          </w:p>
        </w:tc>
      </w:tr>
      <w:tr>
        <w:trPr>
          <w:trHeight w:val="212"/>
        </w:trPr>
        <w:tc>
          <w:tcPr>
            <w:tcW w:w="80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center"/>
              <w:ind w:right="4"/>
              <w:spacing w:after="0"/>
              <w:rPr>
                <w:sz w:val="20"/>
                <w:szCs w:val="20"/>
                <w:color w:val="auto"/>
              </w:rPr>
            </w:pPr>
            <w:r>
              <w:rPr>
                <w:rFonts w:ascii="Times New Roman" w:cs="Times New Roman" w:eastAsia="Times New Roman" w:hAnsi="Times New Roman"/>
                <w:sz w:val="18"/>
                <w:szCs w:val="18"/>
                <w:b w:val="1"/>
                <w:bCs w:val="1"/>
                <w:color w:val="auto"/>
                <w:w w:val="97"/>
              </w:rPr>
              <w:t>Statement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Registration</w:t>
            </w:r>
          </w:p>
        </w:tc>
        <w:tc>
          <w:tcPr>
            <w:tcW w:w="960" w:type="dxa"/>
            <w:vAlign w:val="bottom"/>
          </w:tcPr>
          <w:p>
            <w:pPr>
              <w:jc w:val="center"/>
              <w:ind w:left="124"/>
              <w:spacing w:after="0"/>
              <w:rPr>
                <w:sz w:val="20"/>
                <w:szCs w:val="20"/>
                <w:color w:val="auto"/>
              </w:rPr>
            </w:pPr>
            <w:r>
              <w:rPr>
                <w:rFonts w:ascii="Times New Roman" w:cs="Times New Roman" w:eastAsia="Times New Roman" w:hAnsi="Times New Roman"/>
                <w:sz w:val="18"/>
                <w:szCs w:val="18"/>
                <w:b w:val="1"/>
                <w:bCs w:val="1"/>
                <w:color w:val="auto"/>
                <w:w w:val="98"/>
              </w:rPr>
              <w:t>Reference</w:t>
            </w:r>
          </w:p>
        </w:tc>
      </w:tr>
      <w:tr>
        <w:trPr>
          <w:trHeight w:val="233"/>
        </w:trPr>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60" w:type="dxa"/>
            <w:vAlign w:val="bottom"/>
          </w:tcPr>
          <w:p>
            <w:pPr>
              <w:spacing w:after="0"/>
              <w:rPr>
                <w:sz w:val="20"/>
                <w:szCs w:val="20"/>
                <w:color w:val="auto"/>
              </w:rPr>
            </w:pPr>
          </w:p>
        </w:tc>
      </w:tr>
      <w:tr>
        <w:trPr>
          <w:trHeight w:val="184"/>
        </w:trPr>
        <w:tc>
          <w:tcPr>
            <w:tcW w:w="80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rPr>
              <w:t>3.1</w:t>
            </w:r>
          </w:p>
        </w:tc>
        <w:tc>
          <w:tcPr>
            <w:tcW w:w="516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Second Amended and Restated Certificate of Incorporation of ZoomInfo Technologies Inc.</w:t>
              </w:r>
            </w:hyperlink>
          </w:p>
        </w:tc>
        <w:tc>
          <w:tcPr>
            <w:tcW w:w="660" w:type="dxa"/>
            <w:vAlign w:val="bottom"/>
            <w:gridSpan w:val="8"/>
          </w:tcPr>
          <w:p>
            <w:pPr>
              <w:spacing w:after="0"/>
              <w:rPr>
                <w:sz w:val="16"/>
                <w:szCs w:val="16"/>
                <w:color w:val="auto"/>
              </w:rPr>
            </w:pPr>
          </w:p>
        </w:tc>
        <w:tc>
          <w:tcPr>
            <w:tcW w:w="2000" w:type="dxa"/>
            <w:vAlign w:val="bottom"/>
          </w:tcPr>
          <w:p>
            <w:pPr>
              <w:jc w:val="center"/>
              <w:ind w:right="24"/>
              <w:spacing w:after="0"/>
              <w:rPr>
                <w:sz w:val="20"/>
                <w:szCs w:val="20"/>
                <w:color w:val="auto"/>
              </w:rPr>
            </w:pPr>
            <w:r>
              <w:rPr>
                <w:rFonts w:ascii="Times New Roman" w:cs="Times New Roman" w:eastAsia="Times New Roman" w:hAnsi="Times New Roman"/>
                <w:sz w:val="14"/>
                <w:szCs w:val="14"/>
                <w:color w:val="auto"/>
              </w:rPr>
              <w:t>8-K filed May 19, 2022</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001-39310</w:t>
            </w:r>
          </w:p>
        </w:tc>
        <w:tc>
          <w:tcPr>
            <w:tcW w:w="960" w:type="dxa"/>
            <w:vAlign w:val="bottom"/>
          </w:tcPr>
          <w:p>
            <w:pPr>
              <w:jc w:val="center"/>
              <w:ind w:left="144"/>
              <w:spacing w:after="0"/>
              <w:rPr>
                <w:sz w:val="20"/>
                <w:szCs w:val="20"/>
                <w:color w:val="auto"/>
              </w:rPr>
            </w:pPr>
            <w:r>
              <w:rPr>
                <w:rFonts w:ascii="Times New Roman" w:cs="Times New Roman" w:eastAsia="Times New Roman" w:hAnsi="Times New Roman"/>
                <w:sz w:val="14"/>
                <w:szCs w:val="14"/>
                <w:color w:val="auto"/>
              </w:rPr>
              <w:t>3.1</w:t>
            </w:r>
          </w:p>
        </w:tc>
      </w:tr>
      <w:tr>
        <w:trPr>
          <w:trHeight w:val="205"/>
        </w:trPr>
        <w:tc>
          <w:tcPr>
            <w:tcW w:w="80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rPr>
              <w:t>3.2</w:t>
            </w:r>
          </w:p>
        </w:tc>
        <w:tc>
          <w:tcPr>
            <w:tcW w:w="358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Amended and Restated Bylaws of ZoomInfo Technologies Inc.</w:t>
              </w:r>
            </w:hyperlink>
          </w:p>
        </w:tc>
        <w:tc>
          <w:tcPr>
            <w:tcW w:w="2240" w:type="dxa"/>
            <w:vAlign w:val="bottom"/>
            <w:gridSpan w:val="12"/>
          </w:tcPr>
          <w:p>
            <w:pPr>
              <w:spacing w:after="0"/>
              <w:rPr>
                <w:sz w:val="17"/>
                <w:szCs w:val="17"/>
                <w:color w:val="auto"/>
              </w:rPr>
            </w:pPr>
          </w:p>
        </w:tc>
        <w:tc>
          <w:tcPr>
            <w:tcW w:w="2000" w:type="dxa"/>
            <w:vAlign w:val="bottom"/>
          </w:tcPr>
          <w:p>
            <w:pPr>
              <w:jc w:val="center"/>
              <w:ind w:right="4"/>
              <w:spacing w:after="0"/>
              <w:rPr>
                <w:sz w:val="20"/>
                <w:szCs w:val="20"/>
                <w:color w:val="auto"/>
              </w:rPr>
            </w:pPr>
            <w:r>
              <w:rPr>
                <w:rFonts w:ascii="Times New Roman" w:cs="Times New Roman" w:eastAsia="Times New Roman" w:hAnsi="Times New Roman"/>
                <w:sz w:val="14"/>
                <w:szCs w:val="14"/>
                <w:color w:val="auto"/>
              </w:rPr>
              <w:t>10-Q filed October 30, 2023</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001-39310</w:t>
            </w:r>
          </w:p>
        </w:tc>
        <w:tc>
          <w:tcPr>
            <w:tcW w:w="960" w:type="dxa"/>
            <w:vAlign w:val="bottom"/>
          </w:tcPr>
          <w:p>
            <w:pPr>
              <w:jc w:val="center"/>
              <w:ind w:left="144"/>
              <w:spacing w:after="0"/>
              <w:rPr>
                <w:sz w:val="20"/>
                <w:szCs w:val="20"/>
                <w:color w:val="auto"/>
              </w:rPr>
            </w:pPr>
            <w:r>
              <w:rPr>
                <w:rFonts w:ascii="Times New Roman" w:cs="Times New Roman" w:eastAsia="Times New Roman" w:hAnsi="Times New Roman"/>
                <w:sz w:val="14"/>
                <w:szCs w:val="14"/>
                <w:color w:val="auto"/>
              </w:rPr>
              <w:t>3.2</w:t>
            </w:r>
          </w:p>
        </w:tc>
      </w:tr>
      <w:tr>
        <w:trPr>
          <w:trHeight w:val="205"/>
        </w:trPr>
        <w:tc>
          <w:tcPr>
            <w:tcW w:w="80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rPr>
              <w:t>4.1</w:t>
            </w:r>
          </w:p>
        </w:tc>
        <w:tc>
          <w:tcPr>
            <w:tcW w:w="5820" w:type="dxa"/>
            <w:vAlign w:val="bottom"/>
            <w:gridSpan w:val="15"/>
          </w:tcPr>
          <w:p>
            <w:pPr>
              <w:spacing w:after="0"/>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Indenture, dated as of February 2, 2021, by and among ZoomInfo Technologies LLC, ZoomInfo</w:t>
              </w:r>
            </w:hyperlink>
          </w:p>
        </w:tc>
        <w:tc>
          <w:tcPr>
            <w:tcW w:w="2000" w:type="dxa"/>
            <w:vAlign w:val="bottom"/>
          </w:tcPr>
          <w:p>
            <w:pPr>
              <w:jc w:val="center"/>
              <w:ind w:right="4"/>
              <w:spacing w:after="0"/>
              <w:rPr>
                <w:sz w:val="20"/>
                <w:szCs w:val="20"/>
                <w:color w:val="auto"/>
              </w:rPr>
            </w:pPr>
            <w:r>
              <w:rPr>
                <w:rFonts w:ascii="Times New Roman" w:cs="Times New Roman" w:eastAsia="Times New Roman" w:hAnsi="Times New Roman"/>
                <w:sz w:val="14"/>
                <w:szCs w:val="14"/>
                <w:color w:val="auto"/>
              </w:rPr>
              <w:t>8-K filed July 15, 2021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001-39310</w:t>
            </w:r>
          </w:p>
        </w:tc>
        <w:tc>
          <w:tcPr>
            <w:tcW w:w="960" w:type="dxa"/>
            <w:vAlign w:val="bottom"/>
          </w:tcPr>
          <w:p>
            <w:pPr>
              <w:jc w:val="center"/>
              <w:ind w:left="144"/>
              <w:spacing w:after="0"/>
              <w:rPr>
                <w:sz w:val="20"/>
                <w:szCs w:val="20"/>
                <w:color w:val="auto"/>
              </w:rPr>
            </w:pPr>
            <w:r>
              <w:rPr>
                <w:rFonts w:ascii="Times New Roman" w:cs="Times New Roman" w:eastAsia="Times New Roman" w:hAnsi="Times New Roman"/>
                <w:sz w:val="14"/>
                <w:szCs w:val="14"/>
                <w:color w:val="auto"/>
              </w:rPr>
              <w:t>4.1</w:t>
            </w:r>
          </w:p>
        </w:tc>
      </w:tr>
      <w:tr>
        <w:trPr>
          <w:trHeight w:val="139"/>
        </w:trPr>
        <w:tc>
          <w:tcPr>
            <w:tcW w:w="800" w:type="dxa"/>
            <w:vAlign w:val="bottom"/>
          </w:tcPr>
          <w:p>
            <w:pPr>
              <w:spacing w:after="0"/>
              <w:rPr>
                <w:sz w:val="12"/>
                <w:szCs w:val="12"/>
                <w:color w:val="auto"/>
              </w:rPr>
            </w:pPr>
          </w:p>
        </w:tc>
        <w:tc>
          <w:tcPr>
            <w:tcW w:w="5440" w:type="dxa"/>
            <w:vAlign w:val="bottom"/>
            <w:tcBorders>
              <w:top w:val="single" w:sz="8" w:color="0000FF"/>
            </w:tcBorders>
            <w:gridSpan w:val="11"/>
          </w:tcPr>
          <w:p>
            <w:pPr>
              <w:spacing w:after="0" w:line="139" w:lineRule="exact"/>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Finance Corp., the guarantors named on the signature pages thereto, and Wells Fargo National</w:t>
              </w:r>
            </w:hyperlink>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52"/>
        </w:trPr>
        <w:tc>
          <w:tcPr>
            <w:tcW w:w="800" w:type="dxa"/>
            <w:vAlign w:val="bottom"/>
          </w:tcPr>
          <w:p>
            <w:pPr>
              <w:spacing w:after="0"/>
              <w:rPr>
                <w:sz w:val="13"/>
                <w:szCs w:val="13"/>
                <w:color w:val="auto"/>
              </w:rPr>
            </w:pPr>
          </w:p>
        </w:tc>
        <w:tc>
          <w:tcPr>
            <w:tcW w:w="128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Association, as trustee</w:t>
              </w:r>
            </w:hyperlink>
          </w:p>
        </w:tc>
        <w:tc>
          <w:tcPr>
            <w:tcW w:w="4040" w:type="dxa"/>
            <w:vAlign w:val="bottom"/>
            <w:tcBorders>
              <w:top w:val="single" w:sz="8" w:color="0000FF"/>
            </w:tcBorders>
            <w:gridSpan w:val="7"/>
          </w:tcPr>
          <w:p>
            <w:pPr>
              <w:spacing w:after="0"/>
              <w:rPr>
                <w:sz w:val="13"/>
                <w:szCs w:val="13"/>
                <w:color w:val="auto"/>
              </w:rPr>
            </w:pPr>
          </w:p>
        </w:tc>
        <w:tc>
          <w:tcPr>
            <w:tcW w:w="500" w:type="dxa"/>
            <w:vAlign w:val="bottom"/>
            <w:gridSpan w:val="7"/>
          </w:tcPr>
          <w:p>
            <w:pPr>
              <w:spacing w:after="0"/>
              <w:rPr>
                <w:sz w:val="13"/>
                <w:szCs w:val="13"/>
                <w:color w:val="auto"/>
              </w:rPr>
            </w:pPr>
          </w:p>
        </w:tc>
        <w:tc>
          <w:tcPr>
            <w:tcW w:w="20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5"/>
        </w:trPr>
        <w:tc>
          <w:tcPr>
            <w:tcW w:w="80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rPr>
              <w:t>4.2</w:t>
            </w:r>
          </w:p>
        </w:tc>
        <w:tc>
          <w:tcPr>
            <w:tcW w:w="5820" w:type="dxa"/>
            <w:vAlign w:val="bottom"/>
            <w:gridSpan w:val="15"/>
          </w:tcPr>
          <w:p>
            <w:pPr>
              <w:spacing w:after="0"/>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Supplemental Indenture, dated as of July 15, 2021, by and among ZoomInfo Technologies LLC,</w:t>
              </w:r>
            </w:hyperlink>
          </w:p>
        </w:tc>
        <w:tc>
          <w:tcPr>
            <w:tcW w:w="2000" w:type="dxa"/>
            <w:vAlign w:val="bottom"/>
          </w:tcPr>
          <w:p>
            <w:pPr>
              <w:jc w:val="center"/>
              <w:ind w:right="4"/>
              <w:spacing w:after="0"/>
              <w:rPr>
                <w:sz w:val="20"/>
                <w:szCs w:val="20"/>
                <w:color w:val="auto"/>
              </w:rPr>
            </w:pPr>
            <w:r>
              <w:rPr>
                <w:rFonts w:ascii="Times New Roman" w:cs="Times New Roman" w:eastAsia="Times New Roman" w:hAnsi="Times New Roman"/>
                <w:sz w:val="14"/>
                <w:szCs w:val="14"/>
                <w:color w:val="auto"/>
              </w:rPr>
              <w:t>8-K filed July 15, 2021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001-39310</w:t>
            </w:r>
          </w:p>
        </w:tc>
        <w:tc>
          <w:tcPr>
            <w:tcW w:w="960" w:type="dxa"/>
            <w:vAlign w:val="bottom"/>
          </w:tcPr>
          <w:p>
            <w:pPr>
              <w:jc w:val="center"/>
              <w:ind w:left="144"/>
              <w:spacing w:after="0"/>
              <w:rPr>
                <w:sz w:val="20"/>
                <w:szCs w:val="20"/>
                <w:color w:val="auto"/>
              </w:rPr>
            </w:pPr>
            <w:r>
              <w:rPr>
                <w:rFonts w:ascii="Times New Roman" w:cs="Times New Roman" w:eastAsia="Times New Roman" w:hAnsi="Times New Roman"/>
                <w:sz w:val="14"/>
                <w:szCs w:val="14"/>
                <w:color w:val="auto"/>
              </w:rPr>
              <w:t>4.2</w:t>
            </w:r>
          </w:p>
        </w:tc>
      </w:tr>
      <w:tr>
        <w:trPr>
          <w:trHeight w:val="139"/>
        </w:trPr>
        <w:tc>
          <w:tcPr>
            <w:tcW w:w="800" w:type="dxa"/>
            <w:vAlign w:val="bottom"/>
          </w:tcPr>
          <w:p>
            <w:pPr>
              <w:spacing w:after="0"/>
              <w:rPr>
                <w:sz w:val="12"/>
                <w:szCs w:val="12"/>
                <w:color w:val="auto"/>
              </w:rPr>
            </w:pPr>
          </w:p>
        </w:tc>
        <w:tc>
          <w:tcPr>
            <w:tcW w:w="5460" w:type="dxa"/>
            <w:vAlign w:val="bottom"/>
            <w:tcBorders>
              <w:top w:val="single" w:sz="8" w:color="0000FF"/>
            </w:tcBorders>
            <w:gridSpan w:val="12"/>
          </w:tcPr>
          <w:p>
            <w:pPr>
              <w:spacing w:after="0" w:line="139" w:lineRule="exact"/>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ZoomInfo Finance Corp., the guarantors named on the signature pages thereto, and Wells Fargo</w:t>
              </w:r>
            </w:hyperlink>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52"/>
        </w:trPr>
        <w:tc>
          <w:tcPr>
            <w:tcW w:w="80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National Association, as trustee</w:t>
              </w:r>
            </w:hyperlink>
          </w:p>
        </w:tc>
        <w:tc>
          <w:tcPr>
            <w:tcW w:w="3600" w:type="dxa"/>
            <w:vAlign w:val="bottom"/>
            <w:tcBorders>
              <w:top w:val="single" w:sz="8" w:color="0000FF"/>
            </w:tcBorders>
            <w:gridSpan w:val="7"/>
          </w:tcPr>
          <w:p>
            <w:pPr>
              <w:spacing w:after="0"/>
              <w:rPr>
                <w:sz w:val="13"/>
                <w:szCs w:val="13"/>
                <w:color w:val="auto"/>
              </w:rPr>
            </w:pPr>
          </w:p>
        </w:tc>
        <w:tc>
          <w:tcPr>
            <w:tcW w:w="420" w:type="dxa"/>
            <w:vAlign w:val="bottom"/>
            <w:gridSpan w:val="6"/>
          </w:tcPr>
          <w:p>
            <w:pPr>
              <w:spacing w:after="0"/>
              <w:rPr>
                <w:sz w:val="13"/>
                <w:szCs w:val="13"/>
                <w:color w:val="auto"/>
              </w:rPr>
            </w:pPr>
          </w:p>
        </w:tc>
        <w:tc>
          <w:tcPr>
            <w:tcW w:w="20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34"/>
        </w:trPr>
        <w:tc>
          <w:tcPr>
            <w:tcW w:w="80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rPr>
              <w:t>4.3</w:t>
            </w:r>
          </w:p>
        </w:tc>
        <w:tc>
          <w:tcPr>
            <w:tcW w:w="5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Form of 3.875% Senior Note due 2029 (included in Exhibit 4.1)</w:t>
            </w:r>
          </w:p>
        </w:tc>
        <w:tc>
          <w:tcPr>
            <w:tcW w:w="2000" w:type="dxa"/>
            <w:vAlign w:val="bottom"/>
          </w:tcPr>
          <w:p>
            <w:pPr>
              <w:jc w:val="center"/>
              <w:ind w:right="4"/>
              <w:spacing w:after="0"/>
              <w:rPr>
                <w:sz w:val="20"/>
                <w:szCs w:val="20"/>
                <w:color w:val="auto"/>
              </w:rPr>
            </w:pPr>
            <w:r>
              <w:rPr>
                <w:rFonts w:ascii="Times New Roman" w:cs="Times New Roman" w:eastAsia="Times New Roman" w:hAnsi="Times New Roman"/>
                <w:sz w:val="14"/>
                <w:szCs w:val="14"/>
                <w:color w:val="auto"/>
              </w:rPr>
              <w:t>8-K filed July 15, 2021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001-39310</w:t>
            </w:r>
          </w:p>
        </w:tc>
        <w:tc>
          <w:tcPr>
            <w:tcW w:w="960" w:type="dxa"/>
            <w:vAlign w:val="bottom"/>
          </w:tcPr>
          <w:p>
            <w:pPr>
              <w:jc w:val="center"/>
              <w:ind w:left="144"/>
              <w:spacing w:after="0"/>
              <w:rPr>
                <w:sz w:val="20"/>
                <w:szCs w:val="20"/>
                <w:color w:val="auto"/>
              </w:rPr>
            </w:pPr>
            <w:r>
              <w:rPr>
                <w:rFonts w:ascii="Times New Roman" w:cs="Times New Roman" w:eastAsia="Times New Roman" w:hAnsi="Times New Roman"/>
                <w:sz w:val="14"/>
                <w:szCs w:val="14"/>
                <w:color w:val="auto"/>
              </w:rPr>
              <w:t>4.3</w:t>
            </w:r>
          </w:p>
        </w:tc>
      </w:tr>
      <w:tr>
        <w:trPr>
          <w:trHeight w:val="197"/>
        </w:trPr>
        <w:tc>
          <w:tcPr>
            <w:tcW w:w="800" w:type="dxa"/>
            <w:vAlign w:val="bottom"/>
          </w:tcPr>
          <w:p>
            <w:pPr>
              <w:jc w:val="center"/>
              <w:ind w:right="87"/>
              <w:spacing w:after="0"/>
              <w:rPr>
                <w:sz w:val="20"/>
                <w:szCs w:val="20"/>
                <w:color w:val="auto"/>
              </w:rPr>
            </w:pPr>
            <w:r>
              <w:rPr>
                <w:rFonts w:ascii="Times New Roman" w:cs="Times New Roman" w:eastAsia="Times New Roman" w:hAnsi="Times New Roman"/>
                <w:sz w:val="14"/>
                <w:szCs w:val="14"/>
                <w:color w:val="auto"/>
                <w:w w:val="98"/>
              </w:rPr>
              <w:t>+31.1</w:t>
            </w:r>
          </w:p>
        </w:tc>
        <w:tc>
          <w:tcPr>
            <w:tcW w:w="58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Exchange Act Rules 13a-14(a) and 15d-</w:t>
            </w: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39"/>
        </w:trPr>
        <w:tc>
          <w:tcPr>
            <w:tcW w:w="800" w:type="dxa"/>
            <w:vAlign w:val="bottom"/>
          </w:tcPr>
          <w:p>
            <w:pPr>
              <w:spacing w:after="0"/>
              <w:rPr>
                <w:sz w:val="12"/>
                <w:szCs w:val="12"/>
                <w:color w:val="auto"/>
              </w:rPr>
            </w:pPr>
          </w:p>
        </w:tc>
        <w:tc>
          <w:tcPr>
            <w:tcW w:w="5420" w:type="dxa"/>
            <w:vAlign w:val="bottom"/>
            <w:tcBorders>
              <w:top w:val="single" w:sz="8" w:color="0000FF"/>
            </w:tcBorders>
            <w:gridSpan w:val="10"/>
          </w:tcPr>
          <w:p>
            <w:pPr>
              <w:spacing w:after="0" w:line="139" w:lineRule="exact"/>
              <w:rPr>
                <w:sz w:val="20"/>
                <w:szCs w:val="20"/>
                <w:color w:val="auto"/>
              </w:rPr>
            </w:pPr>
            <w:r>
              <w:rPr>
                <w:rFonts w:ascii="Times New Roman" w:cs="Times New Roman" w:eastAsia="Times New Roman" w:hAnsi="Times New Roman"/>
                <w:sz w:val="14"/>
                <w:szCs w:val="14"/>
                <w:color w:val="0000FF"/>
              </w:rPr>
              <w:t>14(a), as adopted pursuant to Section 302 of the Sarbanes-Oxley Act of 2002.</w:t>
            </w:r>
          </w:p>
        </w:tc>
        <w:tc>
          <w:tcPr>
            <w:tcW w:w="14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40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8"/>
        </w:trPr>
        <w:tc>
          <w:tcPr>
            <w:tcW w:w="800" w:type="dxa"/>
            <w:vAlign w:val="bottom"/>
          </w:tcPr>
          <w:p>
            <w:pPr>
              <w:jc w:val="center"/>
              <w:ind w:right="87"/>
              <w:spacing w:after="0"/>
              <w:rPr>
                <w:sz w:val="20"/>
                <w:szCs w:val="20"/>
                <w:color w:val="auto"/>
              </w:rPr>
            </w:pPr>
            <w:r>
              <w:rPr>
                <w:rFonts w:ascii="Times New Roman" w:cs="Times New Roman" w:eastAsia="Times New Roman" w:hAnsi="Times New Roman"/>
                <w:sz w:val="14"/>
                <w:szCs w:val="14"/>
                <w:color w:val="auto"/>
                <w:w w:val="98"/>
              </w:rPr>
              <w:t>+31.2</w:t>
            </w:r>
          </w:p>
        </w:tc>
        <w:tc>
          <w:tcPr>
            <w:tcW w:w="58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Exchange Act Rules 13a-14(a) and 15d-14(a),</w:t>
            </w:r>
          </w:p>
        </w:tc>
        <w:tc>
          <w:tcPr>
            <w:tcW w:w="2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39"/>
        </w:trPr>
        <w:tc>
          <w:tcPr>
            <w:tcW w:w="800" w:type="dxa"/>
            <w:vAlign w:val="bottom"/>
          </w:tcPr>
          <w:p>
            <w:pPr>
              <w:spacing w:after="0"/>
              <w:rPr>
                <w:sz w:val="12"/>
                <w:szCs w:val="12"/>
                <w:color w:val="auto"/>
              </w:rPr>
            </w:pPr>
          </w:p>
        </w:tc>
        <w:tc>
          <w:tcPr>
            <w:tcW w:w="4020" w:type="dxa"/>
            <w:vAlign w:val="bottom"/>
            <w:tcBorders>
              <w:top w:val="single" w:sz="8" w:color="0000FF"/>
              <w:bottom w:val="single" w:sz="8" w:color="0000FF"/>
            </w:tcBorders>
            <w:gridSpan w:val="4"/>
          </w:tcPr>
          <w:p>
            <w:pPr>
              <w:spacing w:after="0" w:line="139" w:lineRule="exact"/>
              <w:rPr>
                <w:sz w:val="20"/>
                <w:szCs w:val="20"/>
                <w:color w:val="auto"/>
              </w:rPr>
            </w:pPr>
            <w:r>
              <w:rPr>
                <w:rFonts w:ascii="Times New Roman" w:cs="Times New Roman" w:eastAsia="Times New Roman" w:hAnsi="Times New Roman"/>
                <w:sz w:val="14"/>
                <w:szCs w:val="14"/>
                <w:color w:val="0000FF"/>
              </w:rPr>
              <w:t>as adopted pursuant to Section 302 of the Sarbanes-Oxley Act of 2002.</w:t>
            </w:r>
          </w:p>
        </w:tc>
        <w:tc>
          <w:tcPr>
            <w:tcW w:w="1700" w:type="dxa"/>
            <w:vAlign w:val="bottom"/>
            <w:tcBorders>
              <w:top w:val="single" w:sz="8" w:color="0000FF"/>
            </w:tcBorders>
            <w:gridSpan w:val="10"/>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8"/>
        </w:trPr>
        <w:tc>
          <w:tcPr>
            <w:tcW w:w="800" w:type="dxa"/>
            <w:vAlign w:val="bottom"/>
          </w:tcPr>
          <w:p>
            <w:pPr>
              <w:jc w:val="center"/>
              <w:ind w:right="87"/>
              <w:spacing w:after="0"/>
              <w:rPr>
                <w:sz w:val="20"/>
                <w:szCs w:val="20"/>
                <w:color w:val="auto"/>
              </w:rPr>
            </w:pPr>
            <w:r>
              <w:rPr>
                <w:rFonts w:ascii="Times New Roman" w:cs="Times New Roman" w:eastAsia="Times New Roman" w:hAnsi="Times New Roman"/>
                <w:sz w:val="14"/>
                <w:szCs w:val="14"/>
                <w:color w:val="auto"/>
              </w:rPr>
              <w:t>+32.1*</w:t>
            </w:r>
          </w:p>
        </w:tc>
        <w:tc>
          <w:tcPr>
            <w:tcW w:w="58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Certifications of Principal Executive Officer and Principal Financial Officer pursuant to 18 U.S.C.</w:t>
            </w:r>
          </w:p>
        </w:tc>
        <w:tc>
          <w:tcPr>
            <w:tcW w:w="2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39"/>
        </w:trPr>
        <w:tc>
          <w:tcPr>
            <w:tcW w:w="800" w:type="dxa"/>
            <w:vAlign w:val="bottom"/>
          </w:tcPr>
          <w:p>
            <w:pPr>
              <w:spacing w:after="0"/>
              <w:rPr>
                <w:sz w:val="12"/>
                <w:szCs w:val="12"/>
                <w:color w:val="auto"/>
              </w:rPr>
            </w:pPr>
          </w:p>
        </w:tc>
        <w:tc>
          <w:tcPr>
            <w:tcW w:w="4840" w:type="dxa"/>
            <w:vAlign w:val="bottom"/>
            <w:tcBorders>
              <w:top w:val="single" w:sz="8" w:color="0000FF"/>
              <w:bottom w:val="single" w:sz="8" w:color="0000FF"/>
            </w:tcBorders>
            <w:gridSpan w:val="6"/>
          </w:tcPr>
          <w:p>
            <w:pPr>
              <w:spacing w:after="0" w:line="139" w:lineRule="exact"/>
              <w:rPr>
                <w:sz w:val="20"/>
                <w:szCs w:val="20"/>
                <w:color w:val="auto"/>
              </w:rPr>
            </w:pPr>
            <w:r>
              <w:rPr>
                <w:rFonts w:ascii="Times New Roman" w:cs="Times New Roman" w:eastAsia="Times New Roman" w:hAnsi="Times New Roman"/>
                <w:sz w:val="14"/>
                <w:szCs w:val="14"/>
                <w:color w:val="0000FF"/>
              </w:rPr>
              <w:t>Section 1350, as adopted pursuant to Section 906 of the Sarbanes-Oxley Act of 2002.</w:t>
            </w:r>
          </w:p>
        </w:tc>
        <w:tc>
          <w:tcPr>
            <w:tcW w:w="720" w:type="dxa"/>
            <w:vAlign w:val="bottom"/>
            <w:tcBorders>
              <w:top w:val="single" w:sz="8" w:color="0000FF"/>
            </w:tcBorders>
            <w:gridSpan w:val="7"/>
          </w:tcPr>
          <w:p>
            <w:pPr>
              <w:spacing w:after="0"/>
              <w:rPr>
                <w:sz w:val="12"/>
                <w:szCs w:val="12"/>
                <w:color w:val="auto"/>
              </w:rPr>
            </w:pPr>
          </w:p>
        </w:tc>
        <w:tc>
          <w:tcPr>
            <w:tcW w:w="260" w:type="dxa"/>
            <w:vAlign w:val="bottom"/>
            <w:gridSpan w:val="2"/>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47"/>
        </w:trPr>
        <w:tc>
          <w:tcPr>
            <w:tcW w:w="800" w:type="dxa"/>
            <w:vAlign w:val="bottom"/>
          </w:tcPr>
          <w:p>
            <w:pPr>
              <w:jc w:val="center"/>
              <w:ind w:right="87"/>
              <w:spacing w:after="0"/>
              <w:rPr>
                <w:sz w:val="20"/>
                <w:szCs w:val="20"/>
                <w:color w:val="auto"/>
              </w:rPr>
            </w:pPr>
            <w:r>
              <w:rPr>
                <w:rFonts w:ascii="Times New Roman" w:cs="Times New Roman" w:eastAsia="Times New Roman" w:hAnsi="Times New Roman"/>
                <w:sz w:val="14"/>
                <w:szCs w:val="14"/>
                <w:color w:val="auto"/>
              </w:rPr>
              <w:t>+101.INS</w:t>
            </w:r>
          </w:p>
        </w:tc>
        <w:tc>
          <w:tcPr>
            <w:tcW w:w="5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20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5"/>
        </w:trPr>
        <w:tc>
          <w:tcPr>
            <w:tcW w:w="800" w:type="dxa"/>
            <w:vAlign w:val="bottom"/>
          </w:tcPr>
          <w:p>
            <w:pPr>
              <w:jc w:val="center"/>
              <w:ind w:right="87"/>
              <w:spacing w:after="0"/>
              <w:rPr>
                <w:sz w:val="20"/>
                <w:szCs w:val="20"/>
                <w:color w:val="auto"/>
              </w:rPr>
            </w:pPr>
            <w:r>
              <w:rPr>
                <w:rFonts w:ascii="Times New Roman" w:cs="Times New Roman" w:eastAsia="Times New Roman" w:hAnsi="Times New Roman"/>
                <w:sz w:val="14"/>
                <w:szCs w:val="14"/>
                <w:color w:val="auto"/>
              </w:rPr>
              <w:t>+101.SCH</w:t>
            </w:r>
          </w:p>
        </w:tc>
        <w:tc>
          <w:tcPr>
            <w:tcW w:w="5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2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5"/>
        </w:trPr>
        <w:tc>
          <w:tcPr>
            <w:tcW w:w="800" w:type="dxa"/>
            <w:vAlign w:val="bottom"/>
          </w:tcPr>
          <w:p>
            <w:pPr>
              <w:jc w:val="center"/>
              <w:ind w:right="87"/>
              <w:spacing w:after="0"/>
              <w:rPr>
                <w:sz w:val="20"/>
                <w:szCs w:val="20"/>
                <w:color w:val="auto"/>
              </w:rPr>
            </w:pPr>
            <w:r>
              <w:rPr>
                <w:rFonts w:ascii="Times New Roman" w:cs="Times New Roman" w:eastAsia="Times New Roman" w:hAnsi="Times New Roman"/>
                <w:sz w:val="14"/>
                <w:szCs w:val="14"/>
                <w:color w:val="auto"/>
                <w:w w:val="99"/>
              </w:rPr>
              <w:t>+101.CAL</w:t>
            </w:r>
          </w:p>
        </w:tc>
        <w:tc>
          <w:tcPr>
            <w:tcW w:w="5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2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5"/>
        </w:trPr>
        <w:tc>
          <w:tcPr>
            <w:tcW w:w="800" w:type="dxa"/>
            <w:vAlign w:val="bottom"/>
          </w:tcPr>
          <w:p>
            <w:pPr>
              <w:jc w:val="center"/>
              <w:ind w:right="87"/>
              <w:spacing w:after="0"/>
              <w:rPr>
                <w:sz w:val="20"/>
                <w:szCs w:val="20"/>
                <w:color w:val="auto"/>
              </w:rPr>
            </w:pPr>
            <w:r>
              <w:rPr>
                <w:rFonts w:ascii="Times New Roman" w:cs="Times New Roman" w:eastAsia="Times New Roman" w:hAnsi="Times New Roman"/>
                <w:sz w:val="14"/>
                <w:szCs w:val="14"/>
                <w:color w:val="auto"/>
              </w:rPr>
              <w:t>+101.DEF</w:t>
            </w:r>
          </w:p>
        </w:tc>
        <w:tc>
          <w:tcPr>
            <w:tcW w:w="5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2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5"/>
        </w:trPr>
        <w:tc>
          <w:tcPr>
            <w:tcW w:w="800" w:type="dxa"/>
            <w:vAlign w:val="bottom"/>
          </w:tcPr>
          <w:p>
            <w:pPr>
              <w:jc w:val="center"/>
              <w:ind w:right="87"/>
              <w:spacing w:after="0"/>
              <w:rPr>
                <w:sz w:val="20"/>
                <w:szCs w:val="20"/>
                <w:color w:val="auto"/>
              </w:rPr>
            </w:pPr>
            <w:r>
              <w:rPr>
                <w:rFonts w:ascii="Times New Roman" w:cs="Times New Roman" w:eastAsia="Times New Roman" w:hAnsi="Times New Roman"/>
                <w:sz w:val="14"/>
                <w:szCs w:val="14"/>
                <w:color w:val="auto"/>
                <w:w w:val="99"/>
              </w:rPr>
              <w:t>+101.LAB</w:t>
            </w:r>
          </w:p>
        </w:tc>
        <w:tc>
          <w:tcPr>
            <w:tcW w:w="5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2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5"/>
        </w:trPr>
        <w:tc>
          <w:tcPr>
            <w:tcW w:w="800" w:type="dxa"/>
            <w:vAlign w:val="bottom"/>
          </w:tcPr>
          <w:p>
            <w:pPr>
              <w:jc w:val="center"/>
              <w:ind w:right="107"/>
              <w:spacing w:after="0"/>
              <w:rPr>
                <w:sz w:val="20"/>
                <w:szCs w:val="20"/>
                <w:color w:val="auto"/>
              </w:rPr>
            </w:pPr>
            <w:r>
              <w:rPr>
                <w:rFonts w:ascii="Times New Roman" w:cs="Times New Roman" w:eastAsia="Times New Roman" w:hAnsi="Times New Roman"/>
                <w:sz w:val="14"/>
                <w:szCs w:val="14"/>
                <w:color w:val="auto"/>
                <w:w w:val="99"/>
              </w:rPr>
              <w:t>+101.PRE</w:t>
            </w:r>
          </w:p>
        </w:tc>
        <w:tc>
          <w:tcPr>
            <w:tcW w:w="5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2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41" w:lineRule="exact"/>
        <w:rPr>
          <w:sz w:val="20"/>
          <w:szCs w:val="20"/>
          <w:color w:val="auto"/>
        </w:rPr>
      </w:pPr>
    </w:p>
    <w:p>
      <w:pPr>
        <w:ind w:left="960" w:hanging="590"/>
        <w:spacing w:after="0"/>
        <w:tabs>
          <w:tab w:leader="none" w:pos="96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170" w:lineRule="exact"/>
        <w:rPr>
          <w:rFonts w:ascii="Times New Roman" w:cs="Times New Roman" w:eastAsia="Times New Roman" w:hAnsi="Times New Roman"/>
          <w:sz w:val="14"/>
          <w:szCs w:val="14"/>
          <w:color w:val="auto"/>
        </w:rPr>
      </w:pPr>
    </w:p>
    <w:p>
      <w:pPr>
        <w:jc w:val="both"/>
        <w:spacing w:after="0" w:line="27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certifications attached as Exhibit 32.1 that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257" w:lineRule="exact"/>
        <w:rPr>
          <w:sz w:val="20"/>
          <w:szCs w:val="20"/>
          <w:color w:val="auto"/>
        </w:rPr>
      </w:pPr>
    </w:p>
    <w:p>
      <w:pPr>
        <w:ind w:left="6920"/>
        <w:spacing w:after="0"/>
        <w:tabs>
          <w:tab w:leader="none" w:pos="7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31750</wp:posOffset>
            </wp:positionV>
            <wp:extent cx="24314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5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Name: P. Cameron Hyzer</w:t>
      </w:r>
    </w:p>
    <w:p>
      <w:pPr>
        <w:spacing w:after="0" w:line="2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Financial Officer and Authorized</w:t>
      </w:r>
    </w:p>
    <w:p>
      <w:pPr>
        <w:spacing w:after="0" w:line="1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Signatory)</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May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18"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Henry Schuck, certify that:</w:t>
      </w:r>
    </w:p>
    <w:p>
      <w:pPr>
        <w:spacing w:after="0" w:line="244" w:lineRule="exact"/>
        <w:rPr>
          <w:sz w:val="20"/>
          <w:szCs w:val="20"/>
          <w:color w:val="auto"/>
        </w:rPr>
      </w:pPr>
    </w:p>
    <w:p>
      <w:pPr>
        <w:ind w:left="180" w:hanging="174"/>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ZoomInfo Technologies Inc.;</w:t>
      </w:r>
    </w:p>
    <w:p>
      <w:pPr>
        <w:spacing w:after="0" w:line="243" w:lineRule="exact"/>
        <w:rPr>
          <w:rFonts w:ascii="Times New Roman" w:cs="Times New Roman" w:eastAsia="Times New Roman" w:hAnsi="Times New Roman"/>
          <w:sz w:val="18"/>
          <w:szCs w:val="18"/>
          <w:color w:val="auto"/>
        </w:rPr>
      </w:pPr>
    </w:p>
    <w:p>
      <w:pPr>
        <w:ind w:right="460" w:firstLine="6"/>
        <w:spacing w:after="0" w:line="304" w:lineRule="auto"/>
        <w:tabs>
          <w:tab w:leader="none" w:pos="17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right="80" w:firstLine="6"/>
        <w:spacing w:after="0" w:line="274" w:lineRule="auto"/>
        <w:tabs>
          <w:tab w:leader="none" w:pos="1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60" w:firstLine="6"/>
        <w:spacing w:after="0" w:line="259" w:lineRule="auto"/>
        <w:tabs>
          <w:tab w:leader="none" w:pos="1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960" w:right="340" w:hanging="318"/>
        <w:spacing w:after="0" w:line="259" w:lineRule="auto"/>
        <w:tabs>
          <w:tab w:leader="none" w:pos="88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89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960" w:right="740" w:hanging="318"/>
        <w:spacing w:after="0" w:line="304" w:lineRule="auto"/>
        <w:tabs>
          <w:tab w:leader="none" w:pos="882"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960" w:right="320" w:hanging="318"/>
        <w:spacing w:after="0" w:line="259" w:lineRule="auto"/>
        <w:tabs>
          <w:tab w:leader="none" w:pos="89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680" w:firstLine="6"/>
        <w:spacing w:after="0" w:line="274" w:lineRule="auto"/>
        <w:tabs>
          <w:tab w:leader="none" w:pos="1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960" w:right="120" w:hanging="318"/>
        <w:spacing w:after="0" w:line="274" w:lineRule="auto"/>
        <w:tabs>
          <w:tab w:leader="none" w:pos="9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9" w:right="339" w:bottom="1440" w:gutter="0" w:footer="0" w:header="0"/>
        </w:sectPr>
      </w:pPr>
    </w:p>
    <w:bookmarkStart w:id="66" w:name="page67"/>
    <w:bookmarkEnd w:id="66"/>
    <w:p>
      <w:pPr>
        <w:spacing w:after="0" w:line="200" w:lineRule="exact"/>
        <w:rPr>
          <w:sz w:val="20"/>
          <w:szCs w:val="20"/>
          <w:color w:val="auto"/>
        </w:rPr>
      </w:pPr>
    </w:p>
    <w:p>
      <w:pPr>
        <w:spacing w:after="0" w:line="3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40005</wp:posOffset>
            </wp:positionV>
            <wp:extent cx="30791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51"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7"/>
          <w:szCs w:val="17"/>
          <w:color w:val="auto"/>
        </w:rPr>
        <w:t>Henry Schuck</w:t>
      </w:r>
    </w:p>
    <w:p>
      <w:pPr>
        <w:spacing w:after="0" w:line="8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0119"/>
          </w:cols>
          <w:pgMar w:left="340" w:top="1440" w:right="1440"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 Cameron Hyzer, certify that:</w:t>
      </w:r>
    </w:p>
    <w:p>
      <w:pPr>
        <w:spacing w:after="0" w:line="244" w:lineRule="exact"/>
        <w:rPr>
          <w:sz w:val="20"/>
          <w:szCs w:val="20"/>
          <w:color w:val="auto"/>
        </w:rPr>
      </w:pPr>
    </w:p>
    <w:p>
      <w:pPr>
        <w:ind w:left="180" w:hanging="174"/>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ZoomInfo Technologies Inc.;</w:t>
      </w:r>
    </w:p>
    <w:p>
      <w:pPr>
        <w:spacing w:after="0" w:line="243" w:lineRule="exact"/>
        <w:rPr>
          <w:rFonts w:ascii="Times New Roman" w:cs="Times New Roman" w:eastAsia="Times New Roman" w:hAnsi="Times New Roman"/>
          <w:sz w:val="18"/>
          <w:szCs w:val="18"/>
          <w:color w:val="auto"/>
        </w:rPr>
      </w:pPr>
    </w:p>
    <w:p>
      <w:pPr>
        <w:ind w:right="460" w:firstLine="6"/>
        <w:spacing w:after="0" w:line="304" w:lineRule="auto"/>
        <w:tabs>
          <w:tab w:leader="none" w:pos="17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right="80" w:firstLine="6"/>
        <w:spacing w:after="0" w:line="274" w:lineRule="auto"/>
        <w:tabs>
          <w:tab w:leader="none" w:pos="17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60" w:firstLine="6"/>
        <w:spacing w:after="0" w:line="259" w:lineRule="auto"/>
        <w:tabs>
          <w:tab w:leader="none" w:pos="17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960" w:right="340" w:hanging="318"/>
        <w:spacing w:after="0" w:line="259" w:lineRule="auto"/>
        <w:tabs>
          <w:tab w:leader="none" w:pos="88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8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960" w:right="740" w:hanging="318"/>
        <w:spacing w:after="0" w:line="304" w:lineRule="auto"/>
        <w:tabs>
          <w:tab w:leader="none" w:pos="882"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960" w:right="320" w:hanging="318"/>
        <w:spacing w:after="0" w:line="259" w:lineRule="auto"/>
        <w:tabs>
          <w:tab w:leader="none" w:pos="8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680" w:firstLine="6"/>
        <w:spacing w:after="0" w:line="274" w:lineRule="auto"/>
        <w:tabs>
          <w:tab w:leader="none" w:pos="17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960" w:right="200" w:hanging="318"/>
        <w:spacing w:after="0" w:line="274" w:lineRule="auto"/>
        <w:tabs>
          <w:tab w:leader="none" w:pos="8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9" w:right="339" w:bottom="1440" w:gutter="0" w:footer="0" w:header="0"/>
        </w:sectPr>
      </w:pPr>
    </w:p>
    <w:bookmarkStart w:id="68" w:name="page69"/>
    <w:bookmarkEnd w:id="68"/>
    <w:p>
      <w:pPr>
        <w:spacing w:after="0" w:line="200" w:lineRule="exact"/>
        <w:rPr>
          <w:sz w:val="20"/>
          <w:szCs w:val="20"/>
          <w:color w:val="auto"/>
        </w:rPr>
      </w:pPr>
    </w:p>
    <w:p>
      <w:pPr>
        <w:spacing w:after="0" w:line="337"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7"/>
          <w:szCs w:val="17"/>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40005</wp:posOffset>
            </wp:positionV>
            <wp:extent cx="30791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6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 Cameron Hyzer</w:t>
      </w:r>
    </w:p>
    <w:p>
      <w:pPr>
        <w:spacing w:after="0" w:line="7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1900" w:h="16838" w:orient="portrait"/>
          <w:cols w:equalWidth="0" w:num="1">
            <w:col w:w="10119"/>
          </w:cols>
          <w:pgMar w:left="340" w:top="1440" w:right="1440"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64" w:lineRule="exact"/>
        <w:rPr>
          <w:sz w:val="20"/>
          <w:szCs w:val="20"/>
          <w:color w:val="auto"/>
        </w:rPr>
      </w:pPr>
    </w:p>
    <w:p>
      <w:pPr>
        <w:ind w:right="40" w:firstLine="636"/>
        <w:spacing w:after="0" w:line="291" w:lineRule="auto"/>
        <w:rPr>
          <w:sz w:val="20"/>
          <w:szCs w:val="20"/>
          <w:color w:val="auto"/>
        </w:rPr>
      </w:pPr>
      <w:r>
        <w:rPr>
          <w:rFonts w:ascii="Times New Roman" w:cs="Times New Roman" w:eastAsia="Times New Roman" w:hAnsi="Times New Roman"/>
          <w:sz w:val="18"/>
          <w:szCs w:val="18"/>
          <w:color w:val="auto"/>
        </w:rPr>
        <w:t>In connection with the Quarterly Report on Form 10-Q of ZoomInfo Technologies Inc. (the “Company”) for the quarterly period ended March 31, 2024 as filed with the Securities and Exchange Commission on the date hereof (the “Report”), Henry Schuck, as Chief Executive Officer of the Company, and P. Cameron Hyzer, as Chief Financial Officer of the Company, each hereby certifies, pursuant to 18 U.S.C. § 1350, as adopted pursuant to § 906 of the Sarbanes-Oxley Act of 2002, that, to the best of his knowledge:</w:t>
      </w:r>
    </w:p>
    <w:p>
      <w:pPr>
        <w:spacing w:after="0" w:line="202" w:lineRule="exact"/>
        <w:rPr>
          <w:sz w:val="20"/>
          <w:szCs w:val="20"/>
          <w:color w:val="auto"/>
        </w:rPr>
      </w:pPr>
    </w:p>
    <w:p>
      <w:pPr>
        <w:ind w:left="900" w:hanging="25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83"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40005</wp:posOffset>
            </wp:positionV>
            <wp:extent cx="30962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6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Henry Schuck</w:t>
      </w:r>
    </w:p>
    <w:p>
      <w:pPr>
        <w:spacing w:after="0" w:line="7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40005</wp:posOffset>
            </wp:positionV>
            <wp:extent cx="30962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6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 Cameron Hyzer</w:t>
      </w:r>
    </w:p>
    <w:p>
      <w:pPr>
        <w:spacing w:after="0" w:line="7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lvl w:ilvl="1">
      <w:lvlJc w:val="left"/>
      <w:lvlText w:val="%2"/>
      <w:numFmt w:val="decimal"/>
      <w:start w:val="104"/>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95" Type="http://schemas.openxmlformats.org/officeDocument/2006/relationships/hyperlink" Target="https://www.sec.gov/Archives/edgar/data/1794515/000179451522000095/zi-ex31x20220518.htm" TargetMode="External"/><Relationship Id="rId96" Type="http://schemas.openxmlformats.org/officeDocument/2006/relationships/hyperlink" Target="https://www.sec.gov/Archives/edgar/data/1794515/000179451523000169/zi-ex32x20231030.htm" TargetMode="External"/><Relationship Id="rId97" Type="http://schemas.openxmlformats.org/officeDocument/2006/relationships/hyperlink" Target="https://www.sec.gov/Archives/edgar/data/0001794515/000179451521000034/exhibit041xclosingxindent.htm" TargetMode="External"/><Relationship Id="rId98" Type="http://schemas.openxmlformats.org/officeDocument/2006/relationships/hyperlink" Target="https://www.sec.gov/Archives/edgar/data/0001794515/000179451521000174/zi-8kex42x202107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2024-05-07T16:59:45Z</dcterms:created>
  <dcterms:modified xsi:type="dcterms:W3CDTF">2024-05-07T16:59:45Z</dcterms:modified>
</cp:coreProperties>
</file>