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 xml:space="preserve">As filed with the Securities and Exchange Commission on August 5, 2026 </w: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Registration No. 333-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32"/>
        </w:rPr>
      </w:pPr>
      <w:r>
        <w:rPr>
          <w:rFonts w:ascii="Times New Roman;serif" w:hAnsi="Times New Roman;serif"/>
          <w:b/>
          <w:color w:val="000000"/>
          <w:sz w:val="32"/>
        </w:rPr>
        <w:t xml:space="preserve">UNITED STATES </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SECURITIES AND EXCHANGE COMMISSION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Washington, D.C. 20549 </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FORM S-8</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REGISTRATION STATEMENT </w:t>
      </w:r>
    </w:p>
    <w:p>
      <w:pPr>
        <w:pStyle w:val="TextBody"/>
        <w:bidi w:val="0"/>
        <w:spacing w:lineRule="auto" w:line="288" w:before="0" w:after="0"/>
        <w:jc w:val="center"/>
        <w:rPr>
          <w:rFonts w:ascii="Times New Roman;serif" w:hAnsi="Times New Roman;serif"/>
          <w:b/>
          <w:i/>
          <w:color w:val="000000"/>
          <w:sz w:val="22"/>
        </w:rPr>
      </w:pPr>
      <w:r>
        <w:rPr>
          <w:rFonts w:ascii="Times New Roman;serif" w:hAnsi="Times New Roman;serif"/>
          <w:b/>
          <w:i/>
          <w:color w:val="000000"/>
          <w:sz w:val="22"/>
        </w:rPr>
        <w:t xml:space="preserve">UNDER </w:t>
      </w:r>
    </w:p>
    <w:p>
      <w:pPr>
        <w:pStyle w:val="TextBody"/>
        <w:bidi w:val="0"/>
        <w:spacing w:lineRule="auto" w:line="288" w:before="0" w:after="0"/>
        <w:jc w:val="center"/>
        <w:rPr>
          <w:rFonts w:ascii="Times New Roman;serif" w:hAnsi="Times New Roman;serif"/>
          <w:b/>
          <w:i/>
          <w:color w:val="000000"/>
          <w:sz w:val="22"/>
        </w:rPr>
      </w:pPr>
      <w:r>
        <w:rPr>
          <w:rFonts w:ascii="Times New Roman;serif" w:hAnsi="Times New Roman;serif"/>
          <w:b/>
          <w:i/>
          <w:color w:val="000000"/>
          <w:sz w:val="22"/>
        </w:rPr>
        <w:t xml:space="preserve">THE SECURITIES ACT OF 1933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44"/>
        </w:rPr>
      </w:pPr>
      <w:r>
        <w:rPr>
          <w:rFonts w:ascii="Times New Roman;serif" w:hAnsi="Times New Roman;serif"/>
          <w:b/>
          <w:color w:val="000000"/>
          <w:sz w:val="44"/>
        </w:rPr>
        <w:t xml:space="preserve">ZoomInfo Technologies Inc.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(Exact name of registrant as specified in its charter)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332" w:type="dxa"/>
        <w:jc w:val="center"/>
        <w:tblInd w:w="0" w:type="dxa"/>
        <w:tblLayout w:type="fixed"/>
        <w:tblCellMar>
          <w:top w:w="28" w:type="dxa"/>
          <w:left w:w="28" w:type="dxa"/>
          <w:bottom w:w="28" w:type="dxa"/>
          <w:right w:w="28" w:type="dxa"/>
        </w:tblCellMar>
      </w:tblPr>
      <w:tblGrid>
        <w:gridCol w:w="883"/>
        <w:gridCol w:w="779"/>
        <w:gridCol w:w="783"/>
        <w:gridCol w:w="109"/>
        <w:gridCol w:w="109"/>
        <w:gridCol w:w="109"/>
        <w:gridCol w:w="455"/>
        <w:gridCol w:w="455"/>
        <w:gridCol w:w="650"/>
      </w:tblGrid>
      <w:tr>
        <w:trPr/>
        <w:tc>
          <w:tcPr>
            <w:tcW w:w="883"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87-3037521</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(I.R.S. Employer</w:t>
              <w:br/>
              <w:t>Identification No.)</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330 W Columbia Way, Floor 8</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Vancouver, Washington 98660</w:t>
      </w:r>
    </w:p>
    <w:p>
      <w:pPr>
        <w:pStyle w:val="TextBody"/>
        <w:bidi w:val="0"/>
        <w:spacing w:lineRule="auto" w:line="288" w:before="0" w:after="240"/>
        <w:jc w:val="center"/>
        <w:rPr>
          <w:rFonts w:ascii="Times New Roman;serif" w:hAnsi="Times New Roman;serif"/>
          <w:b/>
          <w:color w:val="000000"/>
          <w:sz w:val="18"/>
        </w:rPr>
      </w:pPr>
      <w:r>
        <w:rPr>
          <w:rFonts w:ascii="Times New Roman;serif" w:hAnsi="Times New Roman;serif"/>
          <w:b/>
          <w:color w:val="000000"/>
          <w:sz w:val="18"/>
        </w:rPr>
        <w:t>(Address of Principal Executive Offices) (Zip Code)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ZoomInfo Technologies Inc. Inducement Equity Incentive Plan</w:t>
      </w:r>
    </w:p>
    <w:p>
      <w:pPr>
        <w:pStyle w:val="TextBody"/>
        <w:bidi w:val="0"/>
        <w:spacing w:lineRule="auto" w:line="288" w:before="0" w:after="240"/>
        <w:jc w:val="center"/>
        <w:rPr>
          <w:rFonts w:ascii="Times New Roman;serif" w:hAnsi="Times New Roman;serif"/>
          <w:b/>
          <w:color w:val="000000"/>
          <w:sz w:val="18"/>
        </w:rPr>
      </w:pPr>
      <w:r>
        <w:rPr>
          <w:rFonts w:ascii="Times New Roman;serif" w:hAnsi="Times New Roman;serif"/>
          <w:b/>
          <w:color w:val="000000"/>
          <w:sz w:val="18"/>
        </w:rPr>
        <w:t>(Full title of the Plan)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Ashley McGrane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General Counsel and Corporate Secretary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ZoomInfo Technologies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330 W Columbia Way, Floor 8</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Vancouver, Washington 98660</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Telephone: (800) 914-1220</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(Name and address and telephone number, including area code, of agent for service)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i/>
          <w:color w:val="000000"/>
          <w:sz w:val="18"/>
        </w:rPr>
      </w:pPr>
      <w:r>
        <w:rPr>
          <w:rFonts w:ascii="Times New Roman;serif" w:hAnsi="Times New Roman;serif"/>
          <w:b/>
          <w:i/>
          <w:color w:val="000000"/>
          <w:sz w:val="18"/>
        </w:rPr>
        <w:t xml:space="preserve">With copies to: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Jay H. Knight</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Taylor K. Wirth</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Barnes &amp; Thornburg LLP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1600 West End Avenue, Suite 800</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Nashville, TN 37203-3494</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(615) 621-6100</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406" w:type="dxa"/>
        <w:jc w:val="left"/>
        <w:tblInd w:w="0" w:type="dxa"/>
        <w:tblLayout w:type="fixed"/>
        <w:tblCellMar>
          <w:top w:w="28" w:type="dxa"/>
          <w:left w:w="28" w:type="dxa"/>
          <w:bottom w:w="28" w:type="dxa"/>
          <w:right w:w="28" w:type="dxa"/>
        </w:tblCellMar>
      </w:tblPr>
      <w:tblGrid>
        <w:gridCol w:w="604"/>
        <w:gridCol w:w="530"/>
        <w:gridCol w:w="532"/>
        <w:gridCol w:w="109"/>
        <w:gridCol w:w="109"/>
        <w:gridCol w:w="109"/>
        <w:gridCol w:w="678"/>
        <w:gridCol w:w="678"/>
        <w:gridCol w:w="685"/>
        <w:gridCol w:w="109"/>
        <w:gridCol w:w="109"/>
        <w:gridCol w:w="154"/>
      </w:tblGrid>
      <w:tr>
        <w:trPr/>
        <w:tc>
          <w:tcPr>
            <w:tcW w:w="60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240" w:after="283"/>
        <w:jc w:val="left"/>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7(a)(2)(B) of the Securities Act.  </w:t>
      </w:r>
      <w:r>
        <w:rPr>
          <w:color w:val="000000"/>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This Registration Statement on Form S-8 (the “Registration Statement”) is filed by ZoomInfo Technologies Inc., a Delaware corporation (the “Registrant”), for the purpose of registering 2,000,000 shares of common stock, par value $0.01 (the “common stock”), reserved and available for issuance under the ZoomInfo Technologies Inc. Inducement Equity Incentive Plan (the “Inducement Plan”).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August 4, 2026, the Board of Directors of the Company (the “Board”) adopted the Inducement Plan, which will be administered by the Board and/or the Compensation Committee of the Board. The Inducement Plan was adopted without stockholder approval pursuant to Nasdaq Listing Rule 5635(c)(4). Any awards issued pursuant to the Inducement Plan will be issued pursuant to the “inducement” grant exception under 5635(c)(4) of the Marketplace Rules of the Nasdaq Stock Market LLC, as inducements that are material to employees entering into employment with the Company.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PART I</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INFORMATION REQUIRED IN THE SECTION 10(a) PROSPECTUS</w:t>
      </w:r>
    </w:p>
    <w:p>
      <w:pPr>
        <w:pStyle w:val="TextBody"/>
        <w:bidi w:val="0"/>
        <w:spacing w:lineRule="auto" w:line="288" w:before="240" w:after="120"/>
        <w:jc w:val="both"/>
        <w:rPr>
          <w:rFonts w:ascii="Times New Roman;serif" w:hAnsi="Times New Roman;serif"/>
          <w:b w:val="false"/>
          <w:color w:val="000000"/>
          <w:sz w:val="20"/>
        </w:rPr>
      </w:pPr>
      <w:r>
        <w:rPr>
          <w:rFonts w:ascii="Times New Roman;serif" w:hAnsi="Times New Roman;serif"/>
          <w:b w:val="false"/>
          <w:color w:val="000000"/>
          <w:sz w:val="20"/>
        </w:rPr>
        <w:t>The information specified in Item 1 and Item 2 of Part I of Form S-8 is omitted from this Registration Statement in accordance with the provisions of Rule 428 promulgated by the Securities and Exchange Commission (the “Commission”) under the Securities Act of 1933, as amended (the “Securities Act”) and the introductory note to Part I of Form S-8. The documents containing the information specified in Part I of Form S-8 will be delivered to the participants in the plan covered by this Registration Statement as specified by Rule 428(b)(1) under the Securities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INFORMATION REQUIRED IN THE REGISTRATION STATEMENT</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3.    Incorporation of Documents by Reference.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documents filed with the Commission by the Registrant are hereby incorporated herein by reference:</w:t>
      </w:r>
    </w:p>
    <w:p>
      <w:pPr>
        <w:pStyle w:val="TextBody"/>
        <w:bidi w:val="0"/>
        <w:spacing w:lineRule="auto" w:line="288" w:before="0" w:after="240"/>
        <w:jc w:val="both"/>
        <w:rPr/>
      </w:pPr>
      <w:r>
        <w:rPr>
          <w:rFonts w:ascii="Times New Roman;serif" w:hAnsi="Times New Roman;serif"/>
          <w:b w:val="false"/>
          <w:color w:val="000000"/>
          <w:sz w:val="20"/>
        </w:rPr>
        <w:t>(a)</w:t>
      </w:r>
      <w:r>
        <w:rPr>
          <w:rFonts w:ascii="Times New Roman;serif" w:hAnsi="Times New Roman;serif"/>
          <w:b w:val="false"/>
          <w:color w:val="000000"/>
          <w:sz w:val="20"/>
        </w:rPr>
        <w:t xml:space="preserve">the Registrant’s </w:t>
      </w:r>
      <w:hyperlink r:id="rId2">
        <w:r>
          <w:rPr>
            <w:rStyle w:val="InternetLink"/>
            <w:rFonts w:ascii="Times New Roman;serif" w:hAnsi="Times New Roman;serif"/>
            <w:b w:val="false"/>
            <w:color w:val="0000FF"/>
            <w:sz w:val="20"/>
            <w:u w:val="single"/>
          </w:rPr>
          <w:t>Annual Report on Form 10-K</w:t>
        </w:r>
      </w:hyperlink>
      <w:r>
        <w:rPr>
          <w:color w:val="000000"/>
        </w:rPr>
        <w:t xml:space="preserve"> </w:t>
      </w:r>
      <w:r>
        <w:rPr>
          <w:rFonts w:ascii="Times New Roman;serif" w:hAnsi="Times New Roman;serif"/>
          <w:b w:val="false"/>
          <w:color w:val="000000"/>
          <w:sz w:val="20"/>
        </w:rPr>
        <w:t xml:space="preserve">for the year ended December 31, 2025 (including information specifically incorporated by reference from the Registrant’s </w:t>
      </w:r>
      <w:hyperlink r:id="rId3">
        <w:r>
          <w:rPr>
            <w:rStyle w:val="InternetLink"/>
            <w:rFonts w:ascii="Times New Roman;serif" w:hAnsi="Times New Roman;serif"/>
            <w:b w:val="false"/>
            <w:color w:val="0000FF"/>
            <w:sz w:val="20"/>
            <w:u w:val="single"/>
          </w:rPr>
          <w:t>Definitive Proxy Statement on Schedule 14A</w:t>
        </w:r>
      </w:hyperlink>
      <w:r>
        <w:rPr>
          <w:color w:val="000000"/>
        </w:rPr>
        <w:t xml:space="preserve"> </w:t>
      </w:r>
      <w:r>
        <w:rPr>
          <w:rFonts w:ascii="Times New Roman;serif" w:hAnsi="Times New Roman;serif"/>
          <w:b w:val="false"/>
          <w:color w:val="000000"/>
          <w:sz w:val="20"/>
        </w:rPr>
        <w:t>filed with the Commission on March 26, 2026) filed with the Commission on February 12, 2026 (the “Annual Report”) pursuant to Section 13(a) of the Securities Exchange Act of 1934, as amended (the “Exchange Act”);</w:t>
      </w:r>
    </w:p>
    <w:p>
      <w:pPr>
        <w:pStyle w:val="TextBody"/>
        <w:bidi w:val="0"/>
        <w:spacing w:lineRule="auto" w:line="288" w:before="0" w:after="240"/>
        <w:jc w:val="both"/>
        <w:rPr/>
      </w:pPr>
      <w:r>
        <w:rPr>
          <w:rFonts w:ascii="Times New Roman;serif" w:hAnsi="Times New Roman;serif"/>
          <w:b w:val="false"/>
          <w:color w:val="000000"/>
          <w:sz w:val="20"/>
        </w:rPr>
        <w:t>(b)</w:t>
      </w:r>
      <w:r>
        <w:rPr>
          <w:rFonts w:ascii="Times New Roman;serif" w:hAnsi="Times New Roman;serif"/>
          <w:b w:val="false"/>
          <w:color w:val="000000"/>
          <w:sz w:val="20"/>
        </w:rPr>
        <w:t>all other reports filed with the Commission pursuant to Section 13(a) or 15(d) of the Exchange Act (other than the reports, or portions thereof, deemed to have been furnished and not filed with the Commission) since the end of the fiscal year covered by the Annual Report referred to in (a) above; and</w:t>
      </w:r>
    </w:p>
    <w:p>
      <w:pPr>
        <w:pStyle w:val="TextBody"/>
        <w:bidi w:val="0"/>
        <w:spacing w:lineRule="auto" w:line="288" w:before="0" w:after="240"/>
        <w:jc w:val="both"/>
        <w:rPr/>
      </w:pPr>
      <w:r>
        <w:rPr>
          <w:rFonts w:ascii="Times New Roman;serif" w:hAnsi="Times New Roman;serif"/>
          <w:b w:val="false"/>
          <w:color w:val="000000"/>
          <w:sz w:val="20"/>
        </w:rPr>
        <w:t>(c)</w:t>
      </w:r>
      <w:r>
        <w:rPr>
          <w:rFonts w:ascii="Times New Roman;serif" w:hAnsi="Times New Roman;serif"/>
          <w:b w:val="false"/>
          <w:color w:val="000000"/>
          <w:sz w:val="20"/>
        </w:rPr>
        <w:t xml:space="preserve">the description of the Registrant’s common stock under Section 12 of the Exchange Act contained in the Registrant’s Registration Statement on Form 8-A/A (File No. </w:t>
      </w:r>
      <w:hyperlink r:id="rId4">
        <w:r>
          <w:rPr>
            <w:rStyle w:val="InternetLink"/>
            <w:rFonts w:ascii="Times New Roman;serif" w:hAnsi="Times New Roman;serif"/>
            <w:b w:val="false"/>
            <w:color w:val="0000FF"/>
            <w:sz w:val="20"/>
            <w:u w:val="single"/>
          </w:rPr>
          <w:t>001-39310</w:t>
        </w:r>
      </w:hyperlink>
      <w:r>
        <w:rPr>
          <w:rFonts w:ascii="Times New Roman;serif" w:hAnsi="Times New Roman;serif"/>
          <w:b w:val="false"/>
          <w:color w:val="000000"/>
          <w:sz w:val="20"/>
        </w:rPr>
        <w:t>) filed with the Commission on May 23, 2022, which updates the description of the Registrant’s common stock contained in the Registrant’s Registration Statement on Form 8-A filed with the Commission on June 4, 2020, including all other amendments and reports filed for the purpose of updating such description.</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All documents filed by the Registrant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a part hereof from the date of filing of such documents; provided, however, that documents or information deemed to have been furnished and not filed in accordance with the rules of the Commission shall not be deemed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Item 4.     Description of Securities.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Item 5.     Interests of Named Experts and Counsel.</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76" w:before="240" w:after="120"/>
        <w:jc w:val="left"/>
        <w:rPr>
          <w:rFonts w:ascii="Times New Roman;serif" w:hAnsi="Times New Roman;serif"/>
          <w:b/>
          <w:color w:val="000000"/>
          <w:sz w:val="20"/>
        </w:rPr>
      </w:pPr>
      <w:r>
        <w:rPr>
          <w:rFonts w:ascii="Times New Roman;serif" w:hAnsi="Times New Roman;serif"/>
          <w:b/>
          <w:color w:val="000000"/>
          <w:sz w:val="20"/>
        </w:rPr>
        <w:t>Item 6.     Indemnification of Directors and Officers.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Section 102(b)(7) of the Delaware General Corporation Law (the “DGCL”) allows a corporation to provide in its certificate of incorporation that a director of the corporation will not be personally liable to the corporation or its stockholders for monetary damages for breach of fiduciary duty as a director, except where the director breached the duty of loyalty, failed to act in good faith, engaged in intentional misconduct or knowingly violated a law, authorized the payment of a dividend or approved a stock repurchase or redemption in violation of Delaware corporate law or obtained an improper personal benefit. The Registrant’s amended and restated certificate of incorporation provides for this limitation of liability.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Section 145 of the DGCL (“Section 145”) provides, among other things,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against expenses (including attorneys’ fees), judgments, fines, and amounts paid in settlement actually and reasonably incurred by such person in connection with such action, suit, or proceeding, provided such person acted in good faith and in a manner he or she reasonably believed to be in or not opposed to the corporation’s best interests and, with respect to any criminal action or proceeding, had no reasonable cause to believe that his or her conduct was illegal. A Delaware corporation may indemnify any persons who were or are a party to any threatened, pending, or completed action or suit by or in the right of the corporation by reason of the fact that such person is or was a director, officer, employee, or agent of another corporation or enterprise against expenses (including attorneys’ fees) actually and reasonably incurred by such person in connection with the defense or settlement of such action or suit, provided such person acted in good faith and in a manner he or she reasonably believed to be in or not opposed to the corporation’s best interests, provided further that no indemnification is permitted without judicial approval if the officer, director, employee, or agent is adjudged to be liable to the corporation. Where an officer or director is successful on the merits or otherwise in the defense of any action referred to above, the corporation must indemnify him or her against the expenses such officer or director has actually and reasonably incurred.</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Section 145 also provides that the expenses incurred by a director, officer, employee, or agent of the corporation or a person serving at the request of the corporation as a director, officer, employee, or agent of another corporation or enterprise in defending any action, suit, or proceeding may be paid in advance of the final disposition of the action, suit, or proceeding, subject, in the case of current officers and directors, to the corporation’s receipt of an undertaking by or on behalf of such officer or director to repay the amount so advanced if it shall be ultimately determined that such person is not entitled to be indemnified.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such person and incurred by such person in any such capacity, or arising out of his or her status as such, whether or not the corporation would otherwise have the power to indemnify him or her under Section 145.</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Registrant’s amended and restated bylaws provide that the Registrant must indemnify its directors and officers to the fullest extent authorized by the DGCL and must also pay expenses incurred in defending any such proceeding in advance of its final disposition upon delivery of an undertaking, by or on behalf of an indemnified person, to repay all amounts so advanced if it should be determined ultimately that such person is not entitled to be indemnified under the Registrant’s amended and restated bylaws or otherwise.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indemnification rights set forth above shall not be exclusive of any other right which an indemnified person may have or hereafter acquire under any statute, provision of the Registrant’s amended and restated certificate of incorporation, the Registrant’s amended and restated bylaws, agreement, vote of stockholders or disinterested directors, or otherwise.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Registrant expects to maintain standard policies of insurance that provide coverage (1) to its directors and officers against loss arising from claims made by reason of breach of duty or other wrongful act and (2) to the Registrant with respect to indemnification payments that it may make to such directors and officers.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Registrant has entered into a separate Indemnification Agreement (the “Indemnification Agreement”) with each of its directors and executive officers (each, an “Indemnitee”). Under the Indemnification Agreement, each Indemnitee is entitled to be indemnified against all expenses, judgments, penalties, fines and amounts paid in settlement actually and reasonably incurred by or on behalf of such Indemnitee in connection with any claims, proceedings or other actions brought against such Indemnitee as a result of the Indemnitee’s service to the Registrant. Additionally, the Indemnification Agreement entitles the Indemnitee to contribution of expenses from the Registrant in any proceeding in which the Registrant is jointly liable with such Indemnitee, but for which indemnification is not otherwise available.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Indemnification Agreement also entitles each Indemnitee to advancement of expenses incurred by an Indemnitee in connection with any claim, proceeding or other action in advance of the final adjudication of any such claim, proceeding or other action, provided that the Indemnitee agrees to reimburse the Registrant for all such advances if it shall ultimately be determined that the Indemnitee is not entitled to indemnification.</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     Exemption from Registration Claimed.</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Item 8.     Exhibits.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exhibits are filed as part of this Registration Statement: </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806"/>
        <w:gridCol w:w="2624"/>
        <w:gridCol w:w="3742"/>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6" w:type="dxa"/>
            <w:tcBorders/>
            <w:vAlign w:val="center"/>
          </w:tcPr>
          <w:p>
            <w:pPr>
              <w:pStyle w:val="TableContents"/>
              <w:bidi w:val="0"/>
              <w:spacing w:before="0" w:after="283"/>
              <w:jc w:val="left"/>
              <w:rPr>
                <w:sz w:val="4"/>
                <w:szCs w:val="4"/>
              </w:rPr>
            </w:pPr>
            <w:r>
              <w:rPr>
                <w:sz w:val="4"/>
                <w:szCs w:val="4"/>
              </w:rPr>
            </w:r>
          </w:p>
        </w:tc>
        <w:tc>
          <w:tcPr>
            <w:tcW w:w="2624" w:type="dxa"/>
            <w:tcBorders/>
            <w:vAlign w:val="center"/>
          </w:tcPr>
          <w:p>
            <w:pPr>
              <w:pStyle w:val="TableContents"/>
              <w:bidi w:val="0"/>
              <w:spacing w:before="0" w:after="283"/>
              <w:jc w:val="left"/>
              <w:rPr>
                <w:sz w:val="4"/>
                <w:szCs w:val="4"/>
              </w:rPr>
            </w:pPr>
            <w:r>
              <w:rPr>
                <w:sz w:val="4"/>
                <w:szCs w:val="4"/>
              </w:rPr>
            </w:r>
          </w:p>
        </w:tc>
        <w:tc>
          <w:tcPr>
            <w:tcW w:w="3742"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 of Document</w:t>
            </w:r>
          </w:p>
        </w:tc>
      </w:tr>
      <w:tr>
        <w:trPr/>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Second Amended and Restated Certificate of Incorporation of ZoomInfo Technologies Inc. (incorporated by reference to Exhibit 3.1 to the Registrant’s Current Report on Form 8-K (File No. 001-39310) filed with the Securities and Exchange Commission on May 19, 2022).</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Amended and Restated Bylaws of ZoomInfo Technologies Inc. (incorporated by reference to Exhibit 3.2 to the Registrant’s Quarterly Report on Form 10-Q (File No. 001-39310) filed with the Securities and Exchange Commission on October 30, 2023).</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ZoomInfo Technologies Inc. Inducement Equity Incentive Plan (incorporated by reference to Exhibit 10.2 to the Registrant's Quarterly Report on Form 10-Q (File No. 001-39310) filed with the Securities and Exchange Commission on August 5, 2026).</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 xml:space="preserve">Form of Restricted Stock Unit Agreement under the Inducement Equity Incentive Plan (incorporated by reference to Exhibit 10.3 to the Registrant's Quarterly Report on Form 10-Q (File No. 001-39310) filed with the Securities and Exchange Commission on August 5, 2026). </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 xml:space="preserve">Form of Performance Restricted Stock Unit Agreement under the Inducement Equity Incentive Plan (incorporated by reference to Exhibit 10.4 to the Registrant's Quarterly Report on Form 10-Q (File No. 001-39310) filed with the Securities and Exchange Commission on August 5, 2026). </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512026s-8inducement.htm">
              <w:r>
                <w:rPr>
                  <w:rStyle w:val="InternetLink"/>
                  <w:rFonts w:ascii="Times New Roman;serif" w:hAnsi="Times New Roman;serif"/>
                  <w:b w:val="false"/>
                  <w:color w:val="0000FF"/>
                  <w:sz w:val="20"/>
                  <w:u w:val="single"/>
                </w:rPr>
                <w:t>Opinion of Barnes &amp; Thornburg LLP.</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12026s-8inducement.htm">
              <w:r>
                <w:rPr>
                  <w:rStyle w:val="InternetLink"/>
                  <w:rFonts w:ascii="Times New Roman;serif" w:hAnsi="Times New Roman;serif"/>
                  <w:b w:val="false"/>
                  <w:color w:val="0000FF"/>
                  <w:sz w:val="20"/>
                  <w:u w:val="single"/>
                </w:rPr>
                <w:t>Consent of KPMG LLP</w:t>
              </w:r>
            </w:hyperlink>
            <w:r>
              <w:rPr>
                <w:rFonts w:ascii="Times New Roman;serif" w:hAnsi="Times New Roman;serif"/>
                <w:b w:val="false"/>
                <w:color w:val="000000"/>
                <w:sz w:val="20"/>
              </w:rPr>
              <w:t>.</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Consent of Barnes &amp; Thornburg LLP (included as part of Exhibit 5.1).</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27ff01529d47829cd5162b0f4f5eaf_10">
              <w:r>
                <w:rPr>
                  <w:rStyle w:val="InternetLink"/>
                  <w:rFonts w:ascii="Times New Roman;serif" w:hAnsi="Times New Roman;serif"/>
                  <w:b w:val="false"/>
                  <w:color w:val="0000FF"/>
                  <w:sz w:val="20"/>
                  <w:u w:val="single"/>
                </w:rPr>
                <w:t>Powers of Attorney (included in the signature pages to this Registration Statement).</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filingfees.htm">
              <w:r>
                <w:rPr>
                  <w:rStyle w:val="InternetLink"/>
                  <w:rFonts w:ascii="Times New Roman;serif" w:hAnsi="Times New Roman;serif"/>
                  <w:b w:val="false"/>
                  <w:color w:val="0000FF"/>
                  <w:sz w:val="20"/>
                  <w:u w:val="single"/>
                </w:rPr>
                <w:t>Filing Fee Table.</w:t>
              </w:r>
            </w:hyperlink>
          </w:p>
        </w:tc>
      </w:tr>
    </w:tbl>
    <w:p>
      <w:pPr>
        <w:pStyle w:val="TextBody"/>
        <w:bidi w:val="0"/>
        <w:spacing w:lineRule="auto" w:line="240" w:before="0" w:after="4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40" w:before="0" w:after="24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    Filed herewith</w:t>
      </w:r>
    </w:p>
    <w:p>
      <w:pPr>
        <w:pStyle w:val="TextBody"/>
        <w:bidi w:val="0"/>
        <w:spacing w:lineRule="auto" w:line="276" w:before="240" w:after="120"/>
        <w:ind w:left="0" w:right="0" w:hanging="180"/>
        <w:jc w:val="left"/>
        <w:rPr>
          <w:rFonts w:ascii="Times New Roman;serif" w:hAnsi="Times New Roman;serif"/>
          <w:b/>
          <w:color w:val="000000"/>
          <w:sz w:val="20"/>
        </w:rPr>
      </w:pPr>
      <w:r>
        <w:rPr>
          <w:rFonts w:ascii="Times New Roman;serif" w:hAnsi="Times New Roman;serif"/>
          <w:b/>
          <w:color w:val="000000"/>
          <w:sz w:val="20"/>
        </w:rPr>
        <w:t>Item 9.     Undertakings.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 The undersigned Registrant hereby undertakes: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(1) To file, during any period in which offers or sales are being made, a post-effective amendment to this registration statement: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 To include any prospectus required by Section 10(a)(3) of the Securities Act;</w:t>
      </w:r>
    </w:p>
    <w:p>
      <w:pPr>
        <w:pStyle w:val="TextBody"/>
        <w:bidi w:val="0"/>
        <w:spacing w:lineRule="auto" w:line="268" w:before="240" w:after="240"/>
        <w:jc w:val="both"/>
        <w:rPr>
          <w:rFonts w:ascii="Times New Roman;serif" w:hAnsi="Times New Roman;serif"/>
          <w:b w:val="false"/>
          <w:color w:val="000000"/>
          <w:sz w:val="20"/>
        </w:rPr>
      </w:pPr>
      <w:r>
        <w:rPr>
          <w:rFonts w:ascii="Times New Roman;serif" w:hAnsi="Times New Roman;serif"/>
          <w:b w:val="false"/>
          <w:color w:val="000000"/>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240" w:after="240"/>
        <w:jc w:val="both"/>
        <w:rPr>
          <w:rFonts w:ascii="Times New Roman;serif" w:hAnsi="Times New Roman;serif"/>
          <w:b w:val="false"/>
          <w:color w:val="000000"/>
          <w:sz w:val="20"/>
        </w:rPr>
      </w:pPr>
      <w:r>
        <w:rPr>
          <w:rFonts w:ascii="Times New Roman;serif" w:hAnsi="Times New Roman;serif"/>
          <w:b w:val="false"/>
          <w:color w:val="000000"/>
          <w:sz w:val="20"/>
        </w:rPr>
        <w:t>(iii) To include any material information with respect to the plan of distribution not previously disclosed in the registration statement or any material change to such information in the registration statement;</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provided, however, that paragraphs (a)(1)(i) and (a)(1)(ii) do not apply if the information required to be included in a post-effective amendment by those paragraphs is contained in reports filed with or furnished to the Commission by the Registrant pursuant to Section 13 or 15(d) of the Securities Exchange Act of 1934 that are incorporated by reference in the registration statement.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(3) To remove from registration by means of a post-effective amendment any of the securities being registered which remain unsold at the termination of the offering.</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(b) The undersigned Registrant hereby undertakes that, for purposes of determining any liability under the Securities Act,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(c) 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Waltham, Commonwealth of Massachusetts, on the 5th day of August, 2026.</w:t>
      </w:r>
    </w:p>
    <w:tbl>
      <w:tblPr>
        <w:tblW w:w="3545" w:type="dxa"/>
        <w:jc w:val="right"/>
        <w:tblInd w:w="0" w:type="dxa"/>
        <w:tblLayout w:type="fixed"/>
        <w:tblCellMar>
          <w:top w:w="28" w:type="dxa"/>
          <w:left w:w="28" w:type="dxa"/>
          <w:bottom w:w="28" w:type="dxa"/>
          <w:right w:w="28" w:type="dxa"/>
        </w:tblCellMar>
      </w:tblPr>
      <w:tblGrid>
        <w:gridCol w:w="535"/>
        <w:gridCol w:w="470"/>
        <w:gridCol w:w="470"/>
        <w:gridCol w:w="604"/>
        <w:gridCol w:w="604"/>
        <w:gridCol w:w="862"/>
      </w:tblGrid>
      <w:tr>
        <w:trPr/>
        <w:tc>
          <w:tcPr>
            <w:tcW w:w="535"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r>
      <w:tr>
        <w:trPr/>
        <w:tc>
          <w:tcPr>
            <w:tcW w:w="354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ZOOMINFO TECHNOLOGIES INC.</w:t>
            </w:r>
          </w:p>
        </w:tc>
      </w:tr>
      <w:tr>
        <w:trPr/>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/s/ Henry Schuck</w:t>
            </w:r>
          </w:p>
        </w:tc>
      </w:tr>
      <w:tr>
        <w:trPr/>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Henry Schuck</w:t>
            </w:r>
          </w:p>
        </w:tc>
      </w:tr>
      <w:tr>
        <w:trPr/>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POWER OF ATTORNEY</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KNOW ALL PERSONS BY THESE PRESENTS, that each person whose signature appears below hereby constitutes and appoints Henry Schuck, M. Graham O'Brien, Ashley McGrane, and Meredith Weisshaar, and each of them, any of whom may act without joinder of the other, the individual’s true and lawful attorneys-in-fact and agents, with full power of substitution and resubstitution, for the person and in his or her name, place and stead, in any and all capacities, to sign any and all amendments (including post-effective amendments) to this Registration Statement, and to file the same, with all exhibits thereto and all documents in connection therewith, with the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his or her substitute or substitutes, may lawfully do or cause to be done by virtue hereof. This power of attorney shall be governed by and construed with the laws of the State of Delaware and applicable federal securities laws.</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as amended, this Registration Statement and powers of attorney have been signed by the following persons in the capacities indicated on the 5th day of August, 2026.</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669"/>
        <w:gridCol w:w="566"/>
        <w:gridCol w:w="569"/>
        <w:gridCol w:w="109"/>
        <w:gridCol w:w="109"/>
        <w:gridCol w:w="109"/>
        <w:gridCol w:w="2160"/>
        <w:gridCol w:w="2137"/>
        <w:gridCol w:w="2164"/>
        <w:gridCol w:w="109"/>
        <w:gridCol w:w="109"/>
        <w:gridCol w:w="109"/>
        <w:gridCol w:w="372"/>
        <w:gridCol w:w="372"/>
        <w:gridCol w:w="542"/>
      </w:tblGrid>
      <w:tr>
        <w:trPr/>
        <w:tc>
          <w:tcPr>
            <w:tcW w:w="66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c>
          <w:tcPr>
            <w:tcW w:w="2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1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w:t>
            </w:r>
          </w:p>
        </w:tc>
      </w:tr>
      <w:tr>
        <w:trPr/>
        <w:tc>
          <w:tcPr>
            <w:tcW w:w="18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Henry Schuck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 and Chairman of the Board of Directors (principal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5, 2026</w:t>
            </w:r>
          </w:p>
        </w:tc>
      </w:tr>
      <w:tr>
        <w:trPr/>
        <w:tc>
          <w:tcPr>
            <w:tcW w:w="1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Henry Schuck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Keith Enright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5, 2026</w:t>
            </w:r>
          </w:p>
        </w:tc>
      </w:tr>
      <w:tr>
        <w:trPr/>
        <w:tc>
          <w:tcPr>
            <w:tcW w:w="1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Keith Enright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Ashley Evans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5, 2026</w:t>
            </w:r>
          </w:p>
        </w:tc>
      </w:tr>
      <w:tr>
        <w:trPr/>
        <w:tc>
          <w:tcPr>
            <w:tcW w:w="1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Ashley Evans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Robert Giglio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5, 2026</w:t>
            </w:r>
          </w:p>
        </w:tc>
      </w:tr>
      <w:tr>
        <w:trPr/>
        <w:tc>
          <w:tcPr>
            <w:tcW w:w="1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Robert Giglio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Alison Gleeson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5, 2026</w:t>
            </w:r>
          </w:p>
        </w:tc>
      </w:tr>
      <w:tr>
        <w:trPr/>
        <w:tc>
          <w:tcPr>
            <w:tcW w:w="1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Alison Gleeson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Mark Mader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5, 2026</w:t>
            </w:r>
          </w:p>
        </w:tc>
      </w:tr>
      <w:tr>
        <w:trPr/>
        <w:tc>
          <w:tcPr>
            <w:tcW w:w="1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Mark Mader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Domenic Maida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5, 2026</w:t>
            </w:r>
          </w:p>
        </w:tc>
      </w:tr>
      <w:tr>
        <w:trPr/>
        <w:tc>
          <w:tcPr>
            <w:tcW w:w="1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Domenic Maida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Katie Rooney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5, 2026</w:t>
            </w:r>
          </w:p>
        </w:tc>
      </w:tr>
      <w:tr>
        <w:trPr/>
        <w:tc>
          <w:tcPr>
            <w:tcW w:w="1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Katie Rooney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 Randall Winn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5, 2026</w:t>
            </w:r>
          </w:p>
        </w:tc>
      </w:tr>
      <w:tr>
        <w:trPr/>
        <w:tc>
          <w:tcPr>
            <w:tcW w:w="1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 Randall Winn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Owen Wurzbacher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5, 2026</w:t>
            </w:r>
          </w:p>
        </w:tc>
      </w:tr>
      <w:tr>
        <w:trPr/>
        <w:tc>
          <w:tcPr>
            <w:tcW w:w="1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Owen Wurzbacher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 Graham O’Brien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Chief Financial Officer (Principal Financial Officer and 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5, 2026</w:t>
            </w:r>
          </w:p>
        </w:tc>
      </w:tr>
      <w:tr>
        <w:trPr/>
        <w:tc>
          <w:tcPr>
            <w:tcW w:w="1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 Graham O’Brien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Normal"/>
        <w:bidi w:val="0"/>
        <w:spacing w:before="0" w:after="0"/>
        <w:jc w:val="left"/>
        <w:rPr>
          <w:sz w:val="4"/>
          <w:szCs w:val="4"/>
        </w:rPr>
      </w:pPr>
      <w:r>
        <w:rPr>
          <w:sz w:val="4"/>
          <w:szCs w:val="4"/>
        </w:rPr>
      </w:r>
      <w:bookmarkStart w:id="0" w:name="exfilingfees.htm"/>
      <w:bookmarkStart w:id="1" w:name="ksexfilingfees"/>
      <w:bookmarkStart w:id="2" w:name="exfilingfees.htm"/>
      <w:bookmarkStart w:id="3" w:name="ksexfilingfees"/>
      <w:bookmarkEnd w:id="2"/>
      <w:bookmarkEnd w:id="3"/>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579" w:type="dxa"/>
        <w:jc w:val="left"/>
        <w:tblInd w:w="0" w:type="dxa"/>
        <w:tblLayout w:type="fixed"/>
        <w:tblCellMar>
          <w:top w:w="28" w:type="dxa"/>
          <w:left w:w="28" w:type="dxa"/>
          <w:bottom w:w="28" w:type="dxa"/>
          <w:right w:w="28" w:type="dxa"/>
        </w:tblCellMar>
      </w:tblPr>
      <w:tblGrid>
        <w:gridCol w:w="3425"/>
        <w:gridCol w:w="154"/>
      </w:tblGrid>
      <w:tr>
        <w:trPr/>
        <w:tc>
          <w:tcPr>
            <w:tcW w:w="3579"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5"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25" w:type="dxa"/>
            <w:tcBorders/>
            <w:vAlign w:val="center"/>
          </w:tcPr>
          <w:p>
            <w:pPr>
              <w:pStyle w:val="TableContents"/>
              <w:bidi w:val="0"/>
              <w:spacing w:before="0" w:after="283"/>
              <w:jc w:val="left"/>
              <w:rPr>
                <w:b/>
              </w:rPr>
            </w:pPr>
            <w:r>
              <w:rPr>
                <w:b/>
              </w:rPr>
              <w:t xml:space="preserve">ZoomInfo Technologies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2"/>
        <w:gridCol w:w="962"/>
        <w:gridCol w:w="1071"/>
        <w:gridCol w:w="1302"/>
        <w:gridCol w:w="1210"/>
        <w:gridCol w:w="1245"/>
        <w:gridCol w:w="1604"/>
        <w:gridCol w:w="1127"/>
        <w:gridCol w:w="1442"/>
      </w:tblGrid>
      <w:tr>
        <w:trPr/>
        <w:tc>
          <w:tcPr>
            <w:tcW w:w="242" w:type="dxa"/>
            <w:tcBorders/>
            <w:shd w:fill="9ADAF6" w:val="clear"/>
            <w:vAlign w:val="center"/>
          </w:tcPr>
          <w:p>
            <w:pPr>
              <w:pStyle w:val="TableHeading"/>
              <w:bidi w:val="0"/>
              <w:spacing w:before="0" w:after="283"/>
              <w:rPr>
                <w:sz w:val="4"/>
                <w:szCs w:val="4"/>
              </w:rPr>
            </w:pPr>
            <w:r>
              <w:rPr>
                <w:sz w:val="4"/>
                <w:szCs w:val="4"/>
              </w:rPr>
            </w:r>
          </w:p>
        </w:tc>
        <w:tc>
          <w:tcPr>
            <w:tcW w:w="96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7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302"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10"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45"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04"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7"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42"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2" w:type="dxa"/>
            <w:tcBorders/>
            <w:shd w:fill="E7E7E2" w:val="clear"/>
            <w:vAlign w:val="center"/>
          </w:tcPr>
          <w:p>
            <w:pPr>
              <w:pStyle w:val="TableContents"/>
              <w:bidi w:val="0"/>
              <w:spacing w:before="0" w:after="283"/>
              <w:jc w:val="center"/>
              <w:rPr/>
            </w:pPr>
            <w:r>
              <w:rPr/>
              <w:t xml:space="preserve">1 </w:t>
            </w:r>
          </w:p>
        </w:tc>
        <w:tc>
          <w:tcPr>
            <w:tcW w:w="962" w:type="dxa"/>
            <w:tcBorders/>
            <w:shd w:fill="E7E7E2" w:val="clear"/>
            <w:vAlign w:val="center"/>
          </w:tcPr>
          <w:p>
            <w:pPr>
              <w:pStyle w:val="TableContents"/>
              <w:bidi w:val="0"/>
              <w:spacing w:before="0" w:after="283"/>
              <w:jc w:val="left"/>
              <w:rPr/>
            </w:pPr>
            <w:r>
              <w:rPr/>
              <w:t xml:space="preserve">Equity </w:t>
            </w:r>
          </w:p>
        </w:tc>
        <w:tc>
          <w:tcPr>
            <w:tcW w:w="1071" w:type="dxa"/>
            <w:tcBorders/>
            <w:shd w:fill="E7E7E2" w:val="clear"/>
            <w:vAlign w:val="center"/>
          </w:tcPr>
          <w:p>
            <w:pPr>
              <w:pStyle w:val="TableContents"/>
              <w:bidi w:val="0"/>
              <w:spacing w:before="0" w:after="283"/>
              <w:jc w:val="left"/>
              <w:rPr/>
            </w:pPr>
            <w:r>
              <w:rPr/>
              <w:t xml:space="preserve">Common Stock, par value $0.01 per share </w:t>
            </w:r>
          </w:p>
        </w:tc>
        <w:tc>
          <w:tcPr>
            <w:tcW w:w="1302" w:type="dxa"/>
            <w:tcBorders/>
            <w:shd w:fill="E7E7E2" w:val="clear"/>
            <w:vAlign w:val="center"/>
          </w:tcPr>
          <w:p>
            <w:pPr>
              <w:pStyle w:val="TableContents"/>
              <w:bidi w:val="0"/>
              <w:spacing w:before="0" w:after="283"/>
              <w:jc w:val="center"/>
              <w:rPr/>
            </w:pPr>
            <w:r>
              <w:rPr/>
              <w:t xml:space="preserve">Other </w:t>
            </w:r>
          </w:p>
        </w:tc>
        <w:tc>
          <w:tcPr>
            <w:tcW w:w="1210" w:type="dxa"/>
            <w:tcBorders/>
            <w:shd w:fill="E7E7E2" w:val="clear"/>
            <w:vAlign w:val="center"/>
          </w:tcPr>
          <w:p>
            <w:pPr>
              <w:pStyle w:val="TableContents"/>
              <w:bidi w:val="0"/>
              <w:spacing w:before="0" w:after="283"/>
              <w:jc w:val="right"/>
              <w:rPr/>
            </w:pPr>
            <w:r>
              <w:rPr/>
              <w:t xml:space="preserve">2,000,000 </w:t>
            </w:r>
          </w:p>
        </w:tc>
        <w:tc>
          <w:tcPr>
            <w:tcW w:w="1245" w:type="dxa"/>
            <w:tcBorders/>
            <w:shd w:fill="E7E7E2" w:val="clear"/>
            <w:vAlign w:val="center"/>
          </w:tcPr>
          <w:p>
            <w:pPr>
              <w:pStyle w:val="TableContents"/>
              <w:bidi w:val="0"/>
              <w:spacing w:before="0" w:after="283"/>
              <w:jc w:val="right"/>
              <w:rPr/>
            </w:pPr>
            <w:r>
              <w:rPr/>
              <w:t xml:space="preserve">$ 3.32 </w:t>
            </w:r>
          </w:p>
        </w:tc>
        <w:tc>
          <w:tcPr>
            <w:tcW w:w="1604" w:type="dxa"/>
            <w:tcBorders/>
            <w:shd w:fill="E7E7E2" w:val="clear"/>
            <w:vAlign w:val="center"/>
          </w:tcPr>
          <w:p>
            <w:pPr>
              <w:pStyle w:val="TableContents"/>
              <w:bidi w:val="0"/>
              <w:spacing w:before="0" w:after="283"/>
              <w:jc w:val="right"/>
              <w:rPr/>
            </w:pPr>
            <w:r>
              <w:rPr/>
              <w:t xml:space="preserve">$ 6,640,000.00 </w:t>
            </w:r>
          </w:p>
        </w:tc>
        <w:tc>
          <w:tcPr>
            <w:tcW w:w="1127" w:type="dxa"/>
            <w:tcBorders/>
            <w:shd w:fill="E7E7E2" w:val="clear"/>
            <w:vAlign w:val="center"/>
          </w:tcPr>
          <w:p>
            <w:pPr>
              <w:pStyle w:val="TableContents"/>
              <w:bidi w:val="0"/>
              <w:spacing w:before="0" w:after="283"/>
              <w:jc w:val="right"/>
              <w:rPr/>
            </w:pPr>
            <w:r>
              <w:rPr/>
              <w:t xml:space="preserve">0.0001381 </w:t>
            </w:r>
          </w:p>
        </w:tc>
        <w:tc>
          <w:tcPr>
            <w:tcW w:w="1442" w:type="dxa"/>
            <w:tcBorders/>
            <w:shd w:fill="E7E7E2" w:val="clear"/>
            <w:vAlign w:val="center"/>
          </w:tcPr>
          <w:p>
            <w:pPr>
              <w:pStyle w:val="TableContents"/>
              <w:bidi w:val="0"/>
              <w:spacing w:before="0" w:after="283"/>
              <w:jc w:val="right"/>
              <w:rPr/>
            </w:pPr>
            <w:r>
              <w:rPr/>
              <w:t xml:space="preserve">$ 916.98 </w:t>
            </w:r>
          </w:p>
        </w:tc>
      </w:tr>
      <w:tr>
        <w:trPr/>
        <w:tc>
          <w:tcPr>
            <w:tcW w:w="4787" w:type="dxa"/>
            <w:gridSpan w:val="5"/>
            <w:tcBorders/>
            <w:vAlign w:val="center"/>
          </w:tcPr>
          <w:p>
            <w:pPr>
              <w:pStyle w:val="TableContents"/>
              <w:bidi w:val="0"/>
              <w:spacing w:before="0" w:after="0"/>
              <w:ind w:left="0" w:right="0" w:hanging="0"/>
              <w:jc w:val="right"/>
              <w:rPr/>
            </w:pPr>
            <w:r>
              <w:rPr/>
              <w:t>Total Offering Amounts:</w:t>
            </w:r>
          </w:p>
        </w:tc>
        <w:tc>
          <w:tcPr>
            <w:tcW w:w="1245"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0"/>
              <w:ind w:left="0" w:right="0" w:hanging="0"/>
              <w:jc w:val="right"/>
              <w:rPr/>
            </w:pPr>
            <w:bookmarkStart w:id="4" w:name="MaxAggtOfferingPrice"/>
            <w:bookmarkEnd w:id="4"/>
            <w:r>
              <w:rPr/>
              <w:t xml:space="preserve">$ 6,640,000.00 </w:t>
            </w:r>
          </w:p>
        </w:tc>
        <w:tc>
          <w:tcPr>
            <w:tcW w:w="1127" w:type="dxa"/>
            <w:tcBorders/>
            <w:vAlign w:val="center"/>
          </w:tcPr>
          <w:p>
            <w:pPr>
              <w:pStyle w:val="TableContents"/>
              <w:bidi w:val="0"/>
              <w:spacing w:before="0" w:after="283"/>
              <w:jc w:val="left"/>
              <w:rPr>
                <w:sz w:val="4"/>
                <w:szCs w:val="4"/>
              </w:rPr>
            </w:pPr>
            <w:r>
              <w:rPr>
                <w:sz w:val="4"/>
                <w:szCs w:val="4"/>
              </w:rPr>
            </w:r>
          </w:p>
        </w:tc>
        <w:tc>
          <w:tcPr>
            <w:tcW w:w="1442"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5" w:name="TotalFeeAmt"/>
            <w:bookmarkEnd w:id="5"/>
            <w:r>
              <w:rPr/>
              <w:t xml:space="preserve">$ 916.98 </w:t>
            </w:r>
          </w:p>
        </w:tc>
      </w:tr>
      <w:tr>
        <w:trPr/>
        <w:tc>
          <w:tcPr>
            <w:tcW w:w="4787" w:type="dxa"/>
            <w:gridSpan w:val="5"/>
            <w:tcBorders/>
            <w:vAlign w:val="center"/>
          </w:tcPr>
          <w:p>
            <w:pPr>
              <w:pStyle w:val="TableContents"/>
              <w:bidi w:val="0"/>
              <w:spacing w:before="0" w:after="0"/>
              <w:ind w:left="0" w:right="0" w:hanging="0"/>
              <w:jc w:val="right"/>
              <w:rPr/>
            </w:pPr>
            <w:r>
              <w:rPr/>
              <w:t xml:space="preserve">Total Fee Offsets: </w:t>
            </w:r>
          </w:p>
        </w:tc>
        <w:tc>
          <w:tcPr>
            <w:tcW w:w="1245"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0"/>
              <w:ind w:left="0" w:right="0" w:hanging="0"/>
              <w:jc w:val="right"/>
              <w:rPr/>
            </w:pPr>
            <w:bookmarkStart w:id="6" w:name="TotalOffsetAmt"/>
            <w:bookmarkEnd w:id="6"/>
            <w:r>
              <w:rPr/>
              <w:t xml:space="preserve">$ 0.00 </w:t>
            </w:r>
          </w:p>
        </w:tc>
      </w:tr>
      <w:tr>
        <w:trPr/>
        <w:tc>
          <w:tcPr>
            <w:tcW w:w="4787" w:type="dxa"/>
            <w:gridSpan w:val="5"/>
            <w:tcBorders/>
            <w:vAlign w:val="center"/>
          </w:tcPr>
          <w:p>
            <w:pPr>
              <w:pStyle w:val="TableContents"/>
              <w:bidi w:val="0"/>
              <w:spacing w:before="0" w:after="0"/>
              <w:ind w:left="0" w:right="0" w:hanging="0"/>
              <w:jc w:val="right"/>
              <w:rPr/>
            </w:pPr>
            <w:r>
              <w:rPr/>
              <w:t xml:space="preserve">Net Fee Due: </w:t>
            </w:r>
          </w:p>
        </w:tc>
        <w:tc>
          <w:tcPr>
            <w:tcW w:w="1245"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0"/>
              <w:ind w:left="0" w:right="0" w:hanging="0"/>
              <w:jc w:val="right"/>
              <w:rPr/>
            </w:pPr>
            <w:bookmarkStart w:id="7" w:name="NetFeeAmt"/>
            <w:bookmarkEnd w:id="7"/>
            <w:r>
              <w:rPr/>
              <w:t xml:space="preserve">$ 916.98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297"/>
        <w:gridCol w:w="8708"/>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gridSpan w:val="2"/>
            <w:tcBorders/>
            <w:vAlign w:val="center"/>
          </w:tcPr>
          <w:p>
            <w:pPr>
              <w:pStyle w:val="TableContents"/>
              <w:bidi w:val="0"/>
              <w:spacing w:before="0" w:after="283"/>
              <w:jc w:val="left"/>
              <w:rPr/>
            </w:pPr>
            <w:r>
              <w:rPr/>
              <w:t xml:space="preserve">Pursuant to Rule 416(a) under the Securities Act of 1933, as amended (the "Securities Act"), this Registration Statement on Form S-8 (this "Registration Statement") shall also cover any additional shares of common stock, par value $0.01 per share ("Common Stock"), of ZoomInfo Technologies Inc. (the "Registrant") that become issuable under the plan referenced herein by reason of any stock split, stock dividend, recapitalization, or other similar transaction effected without the receipt of consideration which results in an increase in the number of shares of outstanding Common Stock. Estimated solely for the purpose of calculating the registration fee in accordance with Rule 457(c) and Rule 457(h) of the Securities Act. The proposed maximum offering price per share is calculated on the basis of $3.32, the average of the high and low price of the Registrant's Common Stock on July 30, 2026, as reported on the Nasdaq Global Select Market, which is within five business days prior to filing this Registration Statement. Represents 2,000,000 shares of Common Stock issuable pursuant to the ZoomInfo Technologies Inc. Inducement Equity Incentive Plan.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left"/>
        <w:rPr/>
      </w:pPr>
      <w:r>
        <w:rPr>
          <w:color w:val="000000"/>
        </w:rPr>
        <w:t>    </w:t>
      </w:r>
      <w:r>
        <w:rPr/>
        <w:drawing>
          <wp:inline distT="0" distB="0" distL="0" distR="0">
            <wp:extent cx="1323975" cy="542925"/>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10"/>
                    <a:stretch>
                      <a:fillRect/>
                    </a:stretch>
                  </pic:blipFill>
                  <pic:spPr bwMode="auto">
                    <a:xfrm>
                      <a:off x="0" y="0"/>
                      <a:ext cx="1323975" cy="542925"/>
                    </a:xfrm>
                    <a:prstGeom prst="rect">
                      <a:avLst/>
                    </a:prstGeom>
                  </pic:spPr>
                </pic:pic>
              </a:graphicData>
            </a:graphic>
          </wp:inline>
        </w:drawing>
      </w:r>
      <w:r>
        <w:rPr>
          <w:color w:val="000000"/>
        </w:rPr>
        <w:t xml:space="preserve">                                       </w:t>
      </w:r>
      <w:r>
        <w:rPr>
          <w:rFonts w:ascii="Times New Roman;serif" w:hAnsi="Times New Roman;serif"/>
          <w:b/>
          <w:color w:val="000000"/>
          <w:sz w:val="20"/>
        </w:rPr>
        <w:t>Exhibit 5.1</w:t>
      </w:r>
    </w:p>
    <w:p>
      <w:pPr>
        <w:pStyle w:val="TextBody"/>
        <w:bidi w:val="0"/>
        <w:spacing w:before="0" w:after="0"/>
        <w:jc w:val="righ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August 5, 2026</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ZoomInfo Technologies Inc.</w:t>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330 W Columbia Way, Floor 8</w:t>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Vancouver, Washington 98660</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Re: Registration Statement on Form S-8</w:t>
      </w:r>
    </w:p>
    <w:p>
      <w:pPr>
        <w:pStyle w:val="TextBody"/>
        <w:bidi w:val="0"/>
        <w:spacing w:before="0" w:after="0"/>
        <w:ind w:left="0" w:right="0" w:hanging="720"/>
        <w:jc w:val="left"/>
        <w:rPr/>
      </w:pPr>
      <w:r>
        <w:rPr/>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Ladies and Gentlemen:</w:t>
      </w:r>
    </w:p>
    <w:p>
      <w:pPr>
        <w:pStyle w:val="TextBody"/>
        <w:bidi w:val="0"/>
        <w:spacing w:lineRule="auto" w:line="268" w:before="0" w:after="0"/>
        <w:ind w:left="0" w:right="0" w:firstLine="720"/>
        <w:jc w:val="both"/>
        <w:rPr/>
      </w:pPr>
      <w:r>
        <w:rPr>
          <w:rFonts w:ascii="Times New Roman;serif" w:hAnsi="Times New Roman;serif"/>
          <w:b w:val="false"/>
          <w:color w:val="000000"/>
          <w:sz w:val="22"/>
        </w:rPr>
        <w:t>We have acted as counsel to ZoomInfo Technologies Inc., a Delaware corporation (the “</w:t>
      </w:r>
      <w:r>
        <w:rPr>
          <w:rFonts w:ascii="Times New Roman;serif" w:hAnsi="Times New Roman;serif"/>
          <w:b/>
          <w:i/>
          <w:color w:val="000000"/>
          <w:sz w:val="22"/>
        </w:rPr>
        <w:t>Company</w:t>
      </w:r>
      <w:r>
        <w:rPr>
          <w:color w:val="000000"/>
        </w:rPr>
        <w:t>”</w:t>
      </w:r>
      <w:r>
        <w:rPr>
          <w:rFonts w:ascii="Times New Roman;serif" w:hAnsi="Times New Roman;serif"/>
          <w:b w:val="false"/>
          <w:color w:val="000000"/>
          <w:sz w:val="22"/>
        </w:rPr>
        <w:t>), in connection with the preparation and filing of a Registration Statement on Form S-8 (the “</w:t>
      </w:r>
      <w:r>
        <w:rPr>
          <w:rFonts w:ascii="Times New Roman;serif" w:hAnsi="Times New Roman;serif"/>
          <w:b/>
          <w:i/>
          <w:color w:val="000000"/>
          <w:sz w:val="22"/>
        </w:rPr>
        <w:t>Registration Statement</w:t>
      </w:r>
      <w:r>
        <w:rPr>
          <w:color w:val="000000"/>
        </w:rPr>
        <w:t>”</w:t>
      </w:r>
      <w:r>
        <w:rPr>
          <w:rFonts w:ascii="Times New Roman;serif" w:hAnsi="Times New Roman;serif"/>
          <w:b w:val="false"/>
          <w:color w:val="000000"/>
          <w:sz w:val="22"/>
        </w:rPr>
        <w:t>) relating to 2,000,000 shares (the “</w:t>
      </w:r>
      <w:r>
        <w:rPr>
          <w:rFonts w:ascii="Times New Roman;serif" w:hAnsi="Times New Roman;serif"/>
          <w:b/>
          <w:i/>
          <w:color w:val="000000"/>
          <w:sz w:val="22"/>
        </w:rPr>
        <w:t>Shares</w:t>
      </w:r>
      <w:r>
        <w:rPr>
          <w:color w:val="000000"/>
        </w:rPr>
        <w:t>”</w:t>
      </w:r>
      <w:r>
        <w:rPr>
          <w:rFonts w:ascii="Times New Roman;serif" w:hAnsi="Times New Roman;serif"/>
          <w:b w:val="false"/>
          <w:color w:val="000000"/>
          <w:sz w:val="22"/>
        </w:rPr>
        <w:t>) of the Company’s common stock, par value $0.01 per share (the “</w:t>
      </w:r>
      <w:r>
        <w:rPr>
          <w:rFonts w:ascii="Times New Roman;serif" w:hAnsi="Times New Roman;serif"/>
          <w:b/>
          <w:i/>
          <w:color w:val="000000"/>
          <w:sz w:val="22"/>
        </w:rPr>
        <w:t>Common Stock</w:t>
      </w:r>
      <w:r>
        <w:rPr>
          <w:color w:val="000000"/>
        </w:rPr>
        <w:t>”</w:t>
      </w:r>
      <w:r>
        <w:rPr>
          <w:rFonts w:ascii="Times New Roman;serif" w:hAnsi="Times New Roman;serif"/>
          <w:b w:val="false"/>
          <w:color w:val="000000"/>
          <w:sz w:val="22"/>
        </w:rPr>
        <w:t>) that may be issued pursuant to the Company’s Inducement Equity Incentive Plan (the “</w:t>
      </w:r>
      <w:r>
        <w:rPr>
          <w:rFonts w:ascii="Times New Roman;serif" w:hAnsi="Times New Roman;serif"/>
          <w:b/>
          <w:i/>
          <w:color w:val="000000"/>
          <w:sz w:val="22"/>
        </w:rPr>
        <w:t>Plan</w:t>
      </w:r>
      <w:r>
        <w:rPr>
          <w:color w:val="000000"/>
        </w:rPr>
        <w:t>”</w:t>
      </w:r>
      <w:r>
        <w:rPr>
          <w:rFonts w:ascii="Times New Roman;serif" w:hAnsi="Times New Roman;serif"/>
          <w:b w:val="false"/>
          <w:color w:val="000000"/>
          <w:sz w:val="22"/>
        </w:rPr>
        <w:t>).</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connection with this opinion, we have examined and relied upon such records, documents, certificates, and other instruments as we have deemed necessary or appropriate in order to express the opinions hereinafter set forth. We have also assumed the legal capacity of all natural persons, the genuineness of all signatures, the authenticity of all documents submitted to us as originals, the conformity to original documents of all documents submitted to us as copies, the authenticity of the originals of such latter documents, the legal competence of all signatories to such documents, and, except to the extent we express an opinion as to due authorization below, the due authorization, execution and delivery of all documents by the parties thereto. As to various questions of fact relevant to the opinion expressed herein, we have relied upon, and assume the accuracy of, certificates and oral or written statements and other information of or from public officials and officers and representatives of the Company.</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For purposes of the opinion set forth below, we have assumed that no event occurs that causes the number of authorized shares of Common Stock available for issuance by the Company to be less than the number of then unissued Shares.</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Based upon and subject to the qualifications, assumptions and limitations set forth herein, we are of the opinion that the Shares have been duly authorized and, when issued and delivered in accordance with the terms of the Plan, will be validly issued, fully paid and non-assessable.</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The opinions expressed above are limited to the General Corporation Law of the State of Delaware (which includes applicable provisions of the Delaware Constitution and reported judicial decisions interpreting the General Corporation Law of the State of Delaware and the Delaware Constitution).</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pPr>
      <w:r>
        <w:rPr>
          <w:rFonts w:ascii="Times New Roman;serif" w:hAnsi="Times New Roman;serif"/>
          <w:b w:val="false"/>
          <w:color w:val="000000"/>
          <w:sz w:val="22"/>
        </w:rPr>
        <w:t>We hereby consent to the filing of this opinion with the Securities and Exchange Commission (the “</w:t>
      </w:r>
      <w:r>
        <w:rPr>
          <w:rFonts w:ascii="Times New Roman;serif" w:hAnsi="Times New Roman;serif"/>
          <w:b/>
          <w:i/>
          <w:color w:val="000000"/>
          <w:sz w:val="22"/>
        </w:rPr>
        <w:t>Commission</w:t>
      </w:r>
      <w:r>
        <w:rPr>
          <w:color w:val="000000"/>
        </w:rPr>
        <w:t>”</w:t>
      </w:r>
      <w:r>
        <w:rPr>
          <w:rFonts w:ascii="Times New Roman;serif" w:hAnsi="Times New Roman;serif"/>
          <w:b w:val="false"/>
          <w:color w:val="000000"/>
          <w:sz w:val="22"/>
        </w:rPr>
        <w:t>) as Exhibit 5.1 to the Registration Statement. In giving this consent, we do not thereby admit that we are in the category of persons whose consent is required under Section 7 of the Securities Act of 1933, as amended, or the rules and regulations of the Commission.</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This opinion is limited to the specific issues addressed herein, and no opinion may be inferred or implied beyond that expressly stated herein.</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This opinion is furnished to you in connection with the filing of the Registration Statement. Our opinion is rendered as of the date hereof, and we assume no obligation to advise you of changes in law or fact (or the effect thereof on the opinions expressed herein) that hereafter may come to our attention.</w:t>
      </w:r>
    </w:p>
    <w:p>
      <w:pPr>
        <w:pStyle w:val="TextBody"/>
        <w:bidi w:val="0"/>
        <w:spacing w:before="0" w:after="0"/>
        <w:ind w:left="0" w:right="0" w:firstLine="360"/>
        <w:jc w:val="both"/>
        <w:rPr/>
      </w:pPr>
      <w:r>
        <w:rPr/>
      </w:r>
    </w:p>
    <w:p>
      <w:pPr>
        <w:pStyle w:val="TextBody"/>
        <w:bidi w:val="0"/>
        <w:spacing w:lineRule="auto" w:line="240"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Very truly yours,</w:t>
      </w:r>
    </w:p>
    <w:p>
      <w:pPr>
        <w:pStyle w:val="TextBody"/>
        <w:bidi w:val="0"/>
        <w:spacing w:before="0" w:after="0"/>
        <w:ind w:left="0" w:right="0" w:firstLine="720"/>
        <w:jc w:val="both"/>
        <w:rPr/>
      </w:pPr>
      <w:r>
        <w:rPr/>
      </w:r>
    </w:p>
    <w:p>
      <w:pPr>
        <w:pStyle w:val="TextBody"/>
        <w:bidi w:val="0"/>
        <w:spacing w:lineRule="auto" w:line="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 Barnes &amp; Thornburg LLP</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23.1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58775"/>
                <wp:effectExtent l="0" t="0" r="0" b="0"/>
                <wp:wrapNone/>
                <wp:docPr id="10" name="Frame9"/>
                <a:graphic xmlns:a="http://schemas.openxmlformats.org/drawingml/2006/main">
                  <a:graphicData uri="http://schemas.microsoft.com/office/word/2010/wordprocessingShape">
                    <wps:wsp>
                      <wps:cNvSpPr txBox="1"/>
                      <wps:spPr>
                        <a:xfrm>
                          <a:off x="0" y="0"/>
                          <a:ext cx="6480175" cy="358775"/>
                        </a:xfrm>
                        <a:prstGeom prst="rect"/>
                        <a:solidFill>
                          <a:srgbClr val="FFFFFF"/>
                        </a:solidFill>
                      </wps:spPr>
                      <wps:txbx>
                        <w:txbxContent>
                          <w:p>
                            <w:pPr>
                              <w:pStyle w:val="TextBody"/>
                              <w:bidi w:val="0"/>
                              <w:spacing w:before="0" w:after="0"/>
                              <w:jc w:val="center"/>
                              <w:rPr/>
                            </w:pPr>
                            <w:r>
                              <w:rPr/>
                              <w:drawing>
                                <wp:inline distT="0" distB="0" distL="0" distR="0">
                                  <wp:extent cx="4524375" cy="295275"/>
                                  <wp:effectExtent l="0" t="0" r="0" b="0"/>
                                  <wp:docPr id="1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2" descr=""/>
                                          <pic:cNvPicPr>
                                            <a:picLocks noChangeAspect="1" noChangeArrowheads="1"/>
                                          </pic:cNvPicPr>
                                        </pic:nvPicPr>
                                        <pic:blipFill>
                                          <a:blip r:embed="rId11"/>
                                          <a:stretch>
                                            <a:fillRect/>
                                          </a:stretch>
                                        </pic:blipFill>
                                        <pic:spPr bwMode="auto">
                                          <a:xfrm>
                                            <a:off x="0" y="0"/>
                                            <a:ext cx="4524375" cy="295275"/>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2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center"/>
                        <w:rPr/>
                      </w:pPr>
                      <w:r>
                        <w:rPr/>
                        <w:drawing>
                          <wp:inline distT="0" distB="0" distL="0" distR="0">
                            <wp:extent cx="4524375" cy="295275"/>
                            <wp:effectExtent l="0" t="0" r="0" b="0"/>
                            <wp:docPr id="1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 descr=""/>
                                    <pic:cNvPicPr>
                                      <a:picLocks noChangeAspect="1" noChangeArrowheads="1"/>
                                    </pic:cNvPicPr>
                                  </pic:nvPicPr>
                                  <pic:blipFill>
                                    <a:blip r:embed="rId12"/>
                                    <a:stretch>
                                      <a:fillRect/>
                                    </a:stretch>
                                  </pic:blipFill>
                                  <pic:spPr bwMode="auto">
                                    <a:xfrm>
                                      <a:off x="0" y="0"/>
                                      <a:ext cx="4524375" cy="295275"/>
                                    </a:xfrm>
                                    <a:prstGeom prst="rect">
                                      <a:avLst/>
                                    </a:prstGeom>
                                  </pic:spPr>
                                </pic:pic>
                              </a:graphicData>
                            </a:graphic>
                          </wp:inline>
                        </w:drawing>
                      </w:r>
                    </w:p>
                  </w:txbxContent>
                </v:textbox>
                <w10:wrap type="none"/>
              </v:rect>
            </w:pict>
          </mc:Fallback>
        </mc:AlternateContent>
      </w:r>
    </w:p>
    <w:p>
      <w:pPr>
        <w:pStyle w:val="TextBody"/>
        <w:bidi w:val="0"/>
        <w:spacing w:lineRule="auto" w:line="288" w:before="0" w:after="36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consent to the use of our report dated February 12, 2026, with respect to the consolidated financial statements of ZoomInfo Technologies Inc., and the effectiveness of internal control over financial reporting, incorporated herein by reference.</w: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/s/ KPMG LLP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Portland, Oregon </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August 5, 2026</w:t>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3"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94515/000179451526000012/zi-20251231.htm" TargetMode="External"/><Relationship Id="rId3" Type="http://schemas.openxmlformats.org/officeDocument/2006/relationships/hyperlink" Target="https://www.sec.gov/Archives/edgar/data/1794515/000179451526000020/zi-20260326.htm" TargetMode="External"/><Relationship Id="rId4" Type="http://schemas.openxmlformats.org/officeDocument/2006/relationships/hyperlink" Target="https://www.sec.gov/Archives/edgar/data/1794515/000179451522000102/zi-8aa20220523.htm" TargetMode="External"/><Relationship Id="rId5" Type="http://schemas.openxmlformats.org/officeDocument/2006/relationships/hyperlink" Target="https://www.sec.gov/Archives/edgar/data/1794515/000179451522000095/zi-ex31x20220518.htm" TargetMode="External"/><Relationship Id="rId6" Type="http://schemas.openxmlformats.org/officeDocument/2006/relationships/hyperlink" Target="https://www.sec.gov/Archives/edgar/data/1794515/000179451523000169/zi-ex32x20231030.htm" TargetMode="External"/><Relationship Id="rId7" Type="http://schemas.openxmlformats.org/officeDocument/2006/relationships/hyperlink" Target="https://www.sec.gov/Archives/edgar/data/1794515/000179451526000056/gtm-ex102x20260630.htm" TargetMode="External"/><Relationship Id="rId8" Type="http://schemas.openxmlformats.org/officeDocument/2006/relationships/hyperlink" Target="https://www.sec.gov/Archives/edgar/data/1794515/000179451526000056/gtm-ex103x20260630.htm" TargetMode="External"/><Relationship Id="rId9" Type="http://schemas.openxmlformats.org/officeDocument/2006/relationships/hyperlink" Target="https://www.sec.gov/Archives/edgar/data/1794515/000179451526000056/gtm-ex104x20260630.htm" TargetMode="External"/><Relationship Id="rId10" Type="http://schemas.openxmlformats.org/officeDocument/2006/relationships/image" Target="media/image1.jpeg"/><Relationship Id="rId11" Type="http://schemas.openxmlformats.org/officeDocument/2006/relationships/image" Target="media/image2.jpeg"/><Relationship Id="rId12" Type="http://schemas.openxmlformats.org/officeDocument/2006/relationships/image" Target="media/image2.jpe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4235</Words>
  <Characters>22914</Characters>
  <CharactersWithSpaces>27058</CharactersWithSpaces>
  <Paragraphs>244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