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341630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366395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52705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6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70485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4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4120" w:right="2080" w:hanging="3796"/>
        <w:spacing w:after="0" w:line="430" w:lineRule="auto"/>
        <w:tabs>
          <w:tab w:leader="none" w:pos="5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-442595</wp:posOffset>
            </wp:positionV>
            <wp:extent cx="85090" cy="86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090" cy="86360"/>
                    </a:xfrm>
                    <a:prstGeom prst="rect">
                      <a:avLst/>
                    </a:prstGeom>
                    <a:noFill/>
                  </pic:spPr>
                </pic:pic>
              </a:graphicData>
            </a:graphic>
          </wp:anchor>
        </w:drawing>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860" w:right="1720" w:hanging="3536"/>
        <w:spacing w:after="0" w:line="430" w:lineRule="auto"/>
        <w:tabs>
          <w:tab w:leader="none" w:pos="5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from________to________</w:t>
      </w: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-574675</wp:posOffset>
            </wp:positionV>
            <wp:extent cx="85090" cy="86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090" cy="8636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167640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1900" w:type="dxa"/>
        <w:tblCellMar>
          <w:top w:w="0" w:type="dxa"/>
          <w:left w:w="0" w:type="dxa"/>
          <w:bottom w:w="0" w:type="dxa"/>
          <w:right w:w="0" w:type="dxa"/>
        </w:tblCellMar>
      </w:tblPr>
      <w:tr>
        <w:trPr>
          <w:trHeight w:val="385"/>
        </w:trPr>
        <w:tc>
          <w:tcPr>
            <w:tcW w:w="1980" w:type="dxa"/>
            <w:vAlign w:val="bottom"/>
          </w:tcPr>
          <w:p>
            <w:pPr>
              <w:spacing w:after="0"/>
              <w:rPr>
                <w:sz w:val="24"/>
                <w:szCs w:val="24"/>
                <w:color w:val="auto"/>
              </w:rPr>
            </w:pPr>
          </w:p>
        </w:tc>
        <w:tc>
          <w:tcPr>
            <w:tcW w:w="5220" w:type="dxa"/>
            <w:vAlign w:val="bottom"/>
            <w:gridSpan w:val="3"/>
          </w:tcPr>
          <w:p>
            <w:pPr>
              <w:jc w:val="center"/>
              <w:ind w:right="1329"/>
              <w:spacing w:after="0"/>
              <w:rPr>
                <w:sz w:val="20"/>
                <w:szCs w:val="20"/>
                <w:color w:val="auto"/>
              </w:rPr>
            </w:pPr>
            <w:r>
              <w:rPr>
                <w:rFonts w:ascii="Times New Roman" w:cs="Times New Roman" w:eastAsia="Times New Roman" w:hAnsi="Times New Roman"/>
                <w:sz w:val="32"/>
                <w:szCs w:val="32"/>
                <w:b w:val="1"/>
                <w:bCs w:val="1"/>
                <w:color w:val="auto"/>
                <w:w w:val="98"/>
              </w:rPr>
              <w:t>ZoomInfo Technologies Inc.</w:t>
            </w:r>
          </w:p>
        </w:tc>
      </w:tr>
      <w:tr>
        <w:trPr>
          <w:trHeight w:val="162"/>
        </w:trPr>
        <w:tc>
          <w:tcPr>
            <w:tcW w:w="1980" w:type="dxa"/>
            <w:vAlign w:val="bottom"/>
          </w:tcPr>
          <w:p>
            <w:pPr>
              <w:spacing w:after="0"/>
              <w:rPr>
                <w:sz w:val="14"/>
                <w:szCs w:val="14"/>
                <w:color w:val="auto"/>
              </w:rPr>
            </w:pPr>
          </w:p>
        </w:tc>
        <w:tc>
          <w:tcPr>
            <w:tcW w:w="5220" w:type="dxa"/>
            <w:vAlign w:val="bottom"/>
            <w:gridSpan w:val="3"/>
          </w:tcPr>
          <w:p>
            <w:pPr>
              <w:jc w:val="center"/>
              <w:ind w:right="134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36"/>
        </w:trPr>
        <w:tc>
          <w:tcPr>
            <w:tcW w:w="1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r>
      <w:tr>
        <w:trPr>
          <w:trHeight w:val="386"/>
        </w:trPr>
        <w:tc>
          <w:tcPr>
            <w:tcW w:w="1980" w:type="dxa"/>
            <w:vAlign w:val="bottom"/>
          </w:tcPr>
          <w:p>
            <w:pPr>
              <w:jc w:val="center"/>
              <w:ind w:left="10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220" w:type="dxa"/>
            <w:vAlign w:val="bottom"/>
            <w:gridSpan w:val="3"/>
          </w:tcPr>
          <w:p>
            <w:pPr>
              <w:jc w:val="right"/>
              <w:ind w:right="49"/>
              <w:spacing w:after="0"/>
              <w:rPr>
                <w:sz w:val="20"/>
                <w:szCs w:val="20"/>
                <w:color w:val="auto"/>
              </w:rPr>
            </w:pPr>
            <w:r>
              <w:rPr>
                <w:rFonts w:ascii="Times New Roman" w:cs="Times New Roman" w:eastAsia="Times New Roman" w:hAnsi="Times New Roman"/>
                <w:sz w:val="16"/>
                <w:szCs w:val="16"/>
                <w:b w:val="1"/>
                <w:bCs w:val="1"/>
                <w:color w:val="auto"/>
              </w:rPr>
              <w:t>84-3721253</w:t>
            </w:r>
          </w:p>
        </w:tc>
      </w:tr>
      <w:tr>
        <w:trPr>
          <w:trHeight w:val="179"/>
        </w:trPr>
        <w:tc>
          <w:tcPr>
            <w:tcW w:w="1980" w:type="dxa"/>
            <w:vAlign w:val="bottom"/>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4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116205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6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805 Broadway Street, Suite 900</w:t>
      </w:r>
    </w:p>
    <w:p>
      <w:pPr>
        <w:spacing w:after="0" w:line="2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Vancouver, Washington 98660</w:t>
      </w:r>
    </w:p>
    <w:p>
      <w:pPr>
        <w:jc w:val="center"/>
        <w:ind w:right="-319"/>
        <w:spacing w:after="0" w:line="230" w:lineRule="auto"/>
        <w:rPr>
          <w:sz w:val="20"/>
          <w:szCs w:val="20"/>
          <w:color w:val="auto"/>
        </w:rPr>
      </w:pPr>
      <w:r>
        <w:rPr>
          <w:rFonts w:ascii="Times New Roman" w:cs="Times New Roman" w:eastAsia="Times New Roman" w:hAnsi="Times New Roman"/>
          <w:sz w:val="16"/>
          <w:szCs w:val="16"/>
          <w:b w:val="1"/>
          <w:bCs w:val="1"/>
          <w:color w:val="auto"/>
        </w:rPr>
        <w:t>Telephone: (800) 914-1220</w:t>
      </w: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4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2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ZI</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7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66675</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jc w:val="both"/>
        <w:ind w:firstLine="318"/>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firstLine="318"/>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right="20" w:firstLine="318"/>
        <w:spacing w:after="0" w:line="30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0"/>
        </w:trPr>
        <w:tc>
          <w:tcPr>
            <w:tcW w:w="16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08" w:lineRule="exact"/>
        <w:rPr>
          <w:sz w:val="24"/>
          <w:szCs w:val="24"/>
          <w:color w:val="auto"/>
        </w:rPr>
      </w:pPr>
    </w:p>
    <w:p>
      <w:pPr>
        <w:ind w:right="460" w:firstLine="318"/>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right="100" w:firstLine="318"/>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3"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June 30, 2020, the aggregate market value of the registrant’s voting and non-voting common equity held by non-affiliates was approximately $2.7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245110</wp:posOffset>
            </wp:positionV>
            <wp:extent cx="71348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p>
      <w:pPr>
        <w:ind w:left="320"/>
        <w:spacing w:after="0"/>
        <w:rPr>
          <w:sz w:val="20"/>
          <w:szCs w:val="20"/>
          <w:color w:val="auto"/>
        </w:rPr>
      </w:pPr>
      <w:r>
        <w:rPr>
          <w:rFonts w:ascii="Times New Roman" w:cs="Times New Roman" w:eastAsia="Times New Roman" w:hAnsi="Times New Roman"/>
          <w:sz w:val="16"/>
          <w:szCs w:val="16"/>
          <w:color w:val="auto"/>
        </w:rPr>
        <w:t>As of February 19, 2021, the number of outstanding shares of the registrant's common stock was: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93,428,060 shares of Class A common stock, par value $0.01 per share.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212,276,824 shares of Class B common stock, par value $0.01 per share.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84,955,178 shares of Class C common stock, par value $0.01 per share.</w:t>
      </w:r>
    </w:p>
    <w:p>
      <w:pPr>
        <w:spacing w:after="0" w:line="15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2021 Annual Meeting of Stockholders of ZoomInfo Technologies Inc., which will be filed with the Securities and Exchange Commission within 120 days of December 31, 2020, are incorporated by reference in Item 10, Item 11, Item 12, Item 13 and Item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385445</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1060" w:type="dxa"/>
            <w:vAlign w:val="bottom"/>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1"/>
        </w:trPr>
        <w:tc>
          <w:tcPr>
            <w:tcW w:w="920" w:type="dxa"/>
            <w:vAlign w:val="bottom"/>
          </w:tcPr>
          <w:p>
            <w:pPr>
              <w:spacing w:after="0"/>
              <w:rPr>
                <w:sz w:val="20"/>
                <w:szCs w:val="20"/>
                <w:color w:val="auto"/>
              </w:rPr>
            </w:pP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Glossary</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4">
              <w:r>
                <w:rPr>
                  <w:rFonts w:ascii="Times New Roman" w:cs="Times New Roman" w:eastAsia="Times New Roman" w:hAnsi="Times New Roman"/>
                  <w:sz w:val="18"/>
                  <w:szCs w:val="18"/>
                  <w:u w:val="single" w:color="auto"/>
                  <w:color w:val="0000FF"/>
                  <w:w w:val="99"/>
                </w:rPr>
                <w:t>ii</w:t>
              </w:r>
            </w:hyperlink>
          </w:p>
        </w:tc>
      </w:tr>
      <w:tr>
        <w:trPr>
          <w:trHeight w:val="231"/>
        </w:trPr>
        <w:tc>
          <w:tcPr>
            <w:tcW w:w="920" w:type="dxa"/>
            <w:vAlign w:val="bottom"/>
          </w:tcPr>
          <w:p>
            <w:pPr>
              <w:spacing w:after="0"/>
              <w:rPr>
                <w:sz w:val="20"/>
                <w:szCs w:val="20"/>
                <w:color w:val="auto"/>
              </w:rPr>
            </w:pP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Cautionary Statement Regarding Forward-Looking Statements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6">
              <w:r>
                <w:rPr>
                  <w:rFonts w:ascii="Times New Roman" w:cs="Times New Roman" w:eastAsia="Times New Roman" w:hAnsi="Times New Roman"/>
                  <w:sz w:val="18"/>
                  <w:szCs w:val="18"/>
                  <w:u w:val="single" w:color="auto"/>
                  <w:color w:val="0000FF"/>
                  <w:w w:val="99"/>
                </w:rPr>
                <w:t>iv</w:t>
              </w:r>
            </w:hyperlink>
          </w:p>
        </w:tc>
      </w:tr>
      <w:tr>
        <w:trPr>
          <w:trHeight w:val="431"/>
        </w:trPr>
        <w:tc>
          <w:tcPr>
            <w:tcW w:w="920" w:type="dxa"/>
            <w:vAlign w:val="bottom"/>
          </w:tcPr>
          <w:p>
            <w:pPr>
              <w:spacing w:after="0"/>
              <w:rPr>
                <w:sz w:val="24"/>
                <w:szCs w:val="24"/>
                <w:color w:val="auto"/>
              </w:rPr>
            </w:pPr>
          </w:p>
        </w:tc>
        <w:tc>
          <w:tcPr>
            <w:tcW w:w="9000" w:type="dxa"/>
            <w:vAlign w:val="bottom"/>
          </w:tcPr>
          <w:p>
            <w:pPr>
              <w:jc w:val="center"/>
              <w:ind w:left="292"/>
              <w:spacing w:after="0"/>
              <w:rPr>
                <w:rFonts w:ascii="Times New Roman" w:cs="Times New Roman" w:eastAsia="Times New Roman" w:hAnsi="Times New Roman"/>
                <w:sz w:val="18"/>
                <w:szCs w:val="18"/>
                <w:u w:val="single" w:color="auto"/>
                <w:color w:val="0000FF"/>
                <w:w w:val="96"/>
              </w:rPr>
            </w:pPr>
            <w:hyperlink w:anchor="page8">
              <w:r>
                <w:rPr>
                  <w:rFonts w:ascii="Times New Roman" w:cs="Times New Roman" w:eastAsia="Times New Roman" w:hAnsi="Times New Roman"/>
                  <w:sz w:val="18"/>
                  <w:szCs w:val="18"/>
                  <w:u w:val="single" w:color="auto"/>
                  <w:color w:val="0000FF"/>
                  <w:w w:val="96"/>
                </w:rPr>
                <w:t>Part I</w:t>
              </w:r>
            </w:hyperlink>
          </w:p>
        </w:tc>
        <w:tc>
          <w:tcPr>
            <w:tcW w:w="1060" w:type="dxa"/>
            <w:vAlign w:val="bottom"/>
          </w:tcPr>
          <w:p>
            <w:pPr>
              <w:spacing w:after="0"/>
              <w:rPr>
                <w:sz w:val="24"/>
                <w:szCs w:val="24"/>
                <w:color w:val="auto"/>
              </w:rPr>
            </w:pPr>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Business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1</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Risk Factors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6</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Unresolved Staff Comments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50</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Properties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51</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Legal Proceedings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59">
              <w:r>
                <w:rPr>
                  <w:rFonts w:ascii="Times New Roman" w:cs="Times New Roman" w:eastAsia="Times New Roman" w:hAnsi="Times New Roman"/>
                  <w:sz w:val="18"/>
                  <w:szCs w:val="18"/>
                  <w:u w:val="single" w:color="auto"/>
                  <w:color w:val="0000FF"/>
                  <w:w w:val="99"/>
                </w:rPr>
                <w:t>51</w:t>
              </w:r>
            </w:hyperlink>
          </w:p>
        </w:tc>
      </w:tr>
      <w:tr>
        <w:trPr>
          <w:trHeight w:val="2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Mine Safety Disclosures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59">
              <w:r>
                <w:rPr>
                  <w:rFonts w:ascii="Times New Roman" w:cs="Times New Roman" w:eastAsia="Times New Roman" w:hAnsi="Times New Roman"/>
                  <w:sz w:val="18"/>
                  <w:szCs w:val="18"/>
                  <w:u w:val="single" w:color="auto"/>
                  <w:color w:val="0000FF"/>
                  <w:w w:val="99"/>
                </w:rPr>
                <w:t>51</w:t>
              </w:r>
            </w:hyperlink>
          </w:p>
        </w:tc>
      </w:tr>
      <w:tr>
        <w:trPr>
          <w:trHeight w:val="431"/>
        </w:trPr>
        <w:tc>
          <w:tcPr>
            <w:tcW w:w="920" w:type="dxa"/>
            <w:vAlign w:val="bottom"/>
          </w:tcPr>
          <w:p>
            <w:pPr>
              <w:spacing w:after="0"/>
              <w:rPr>
                <w:sz w:val="24"/>
                <w:szCs w:val="24"/>
                <w:color w:val="auto"/>
              </w:rPr>
            </w:pPr>
          </w:p>
        </w:tc>
        <w:tc>
          <w:tcPr>
            <w:tcW w:w="9000" w:type="dxa"/>
            <w:vAlign w:val="bottom"/>
          </w:tcPr>
          <w:p>
            <w:pPr>
              <w:jc w:val="center"/>
              <w:ind w:left="272"/>
              <w:spacing w:after="0"/>
              <w:rPr>
                <w:rFonts w:ascii="Times New Roman" w:cs="Times New Roman" w:eastAsia="Times New Roman" w:hAnsi="Times New Roman"/>
                <w:sz w:val="18"/>
                <w:szCs w:val="18"/>
                <w:u w:val="single" w:color="auto"/>
                <w:color w:val="0000FF"/>
                <w:w w:val="96"/>
              </w:rPr>
            </w:pPr>
            <w:hyperlink w:anchor="page59">
              <w:r>
                <w:rPr>
                  <w:rFonts w:ascii="Times New Roman" w:cs="Times New Roman" w:eastAsia="Times New Roman" w:hAnsi="Times New Roman"/>
                  <w:sz w:val="18"/>
                  <w:szCs w:val="18"/>
                  <w:u w:val="single" w:color="auto"/>
                  <w:color w:val="0000FF"/>
                  <w:w w:val="96"/>
                </w:rPr>
                <w:t>Part II</w:t>
              </w:r>
            </w:hyperlink>
          </w:p>
        </w:tc>
        <w:tc>
          <w:tcPr>
            <w:tcW w:w="1060" w:type="dxa"/>
            <w:vAlign w:val="bottom"/>
          </w:tcPr>
          <w:p>
            <w:pPr>
              <w:spacing w:after="0"/>
              <w:rPr>
                <w:sz w:val="24"/>
                <w:szCs w:val="24"/>
                <w:color w:val="auto"/>
              </w:rPr>
            </w:pPr>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60">
              <w:r>
                <w:rPr>
                  <w:rFonts w:ascii="Times New Roman" w:cs="Times New Roman" w:eastAsia="Times New Roman" w:hAnsi="Times New Roman"/>
                  <w:sz w:val="18"/>
                  <w:szCs w:val="18"/>
                  <w:u w:val="single" w:color="auto"/>
                  <w:color w:val="0000FF"/>
                  <w:w w:val="99"/>
                </w:rPr>
                <w:t>52</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Selected Financial Data</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61">
              <w:r>
                <w:rPr>
                  <w:rFonts w:ascii="Times New Roman" w:cs="Times New Roman" w:eastAsia="Times New Roman" w:hAnsi="Times New Roman"/>
                  <w:sz w:val="18"/>
                  <w:szCs w:val="18"/>
                  <w:u w:val="single" w:color="auto"/>
                  <w:color w:val="0000FF"/>
                  <w:w w:val="99"/>
                </w:rPr>
                <w:t>54</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64">
              <w:r>
                <w:rPr>
                  <w:rFonts w:ascii="Times New Roman" w:cs="Times New Roman" w:eastAsia="Times New Roman" w:hAnsi="Times New Roman"/>
                  <w:sz w:val="18"/>
                  <w:szCs w:val="18"/>
                  <w:u w:val="single" w:color="auto"/>
                  <w:color w:val="0000FF"/>
                  <w:w w:val="99"/>
                </w:rPr>
                <w:t>57</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95">
              <w:r>
                <w:rPr>
                  <w:rFonts w:ascii="Times New Roman" w:cs="Times New Roman" w:eastAsia="Times New Roman" w:hAnsi="Times New Roman"/>
                  <w:sz w:val="18"/>
                  <w:szCs w:val="18"/>
                  <w:u w:val="single" w:color="auto"/>
                  <w:color w:val="0000FF"/>
                </w:rPr>
                <w:t>Quantitative and Qualitative Disclosures About Market Risk</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95">
              <w:r>
                <w:rPr>
                  <w:rFonts w:ascii="Times New Roman" w:cs="Times New Roman" w:eastAsia="Times New Roman" w:hAnsi="Times New Roman"/>
                  <w:sz w:val="18"/>
                  <w:szCs w:val="18"/>
                  <w:u w:val="single" w:color="auto"/>
                  <w:color w:val="0000FF"/>
                  <w:w w:val="99"/>
                </w:rPr>
                <w:t>88</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Financial Statements and Supplementary Data</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9"/>
              </w:rPr>
            </w:pPr>
            <w:hyperlink w:anchor="page96">
              <w:r>
                <w:rPr>
                  <w:rFonts w:ascii="Times New Roman" w:cs="Times New Roman" w:eastAsia="Times New Roman" w:hAnsi="Times New Roman"/>
                  <w:sz w:val="18"/>
                  <w:szCs w:val="18"/>
                  <w:u w:val="single" w:color="auto"/>
                  <w:color w:val="0000FF"/>
                  <w:w w:val="99"/>
                </w:rPr>
                <w:t>89</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47">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47">
              <w:r>
                <w:rPr>
                  <w:rFonts w:ascii="Times New Roman" w:cs="Times New Roman" w:eastAsia="Times New Roman" w:hAnsi="Times New Roman"/>
                  <w:sz w:val="18"/>
                  <w:szCs w:val="18"/>
                  <w:u w:val="single" w:color="auto"/>
                  <w:color w:val="0000FF"/>
                  <w:w w:val="96"/>
                </w:rPr>
                <w:t>140</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48">
              <w:r>
                <w:rPr>
                  <w:rFonts w:ascii="Times New Roman" w:cs="Times New Roman" w:eastAsia="Times New Roman" w:hAnsi="Times New Roman"/>
                  <w:sz w:val="18"/>
                  <w:szCs w:val="18"/>
                  <w:u w:val="single" w:color="auto"/>
                  <w:color w:val="0000FF"/>
                </w:rPr>
                <w:t>Controls and Procedures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48">
              <w:r>
                <w:rPr>
                  <w:rFonts w:ascii="Times New Roman" w:cs="Times New Roman" w:eastAsia="Times New Roman" w:hAnsi="Times New Roman"/>
                  <w:sz w:val="18"/>
                  <w:szCs w:val="18"/>
                  <w:u w:val="single" w:color="auto"/>
                  <w:color w:val="0000FF"/>
                  <w:w w:val="96"/>
                </w:rPr>
                <w:t>140</w:t>
              </w:r>
            </w:hyperlink>
          </w:p>
        </w:tc>
      </w:tr>
      <w:tr>
        <w:trPr>
          <w:trHeight w:val="2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49">
              <w:r>
                <w:rPr>
                  <w:rFonts w:ascii="Times New Roman" w:cs="Times New Roman" w:eastAsia="Times New Roman" w:hAnsi="Times New Roman"/>
                  <w:sz w:val="18"/>
                  <w:szCs w:val="18"/>
                  <w:u w:val="single" w:color="auto"/>
                  <w:color w:val="0000FF"/>
                </w:rPr>
                <w:t>Other Information</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49">
              <w:r>
                <w:rPr>
                  <w:rFonts w:ascii="Times New Roman" w:cs="Times New Roman" w:eastAsia="Times New Roman" w:hAnsi="Times New Roman"/>
                  <w:sz w:val="18"/>
                  <w:szCs w:val="18"/>
                  <w:u w:val="single" w:color="auto"/>
                  <w:color w:val="0000FF"/>
                  <w:w w:val="96"/>
                </w:rPr>
                <w:t>141</w:t>
              </w:r>
            </w:hyperlink>
          </w:p>
        </w:tc>
      </w:tr>
      <w:tr>
        <w:trPr>
          <w:trHeight w:val="431"/>
        </w:trPr>
        <w:tc>
          <w:tcPr>
            <w:tcW w:w="920" w:type="dxa"/>
            <w:vAlign w:val="bottom"/>
          </w:tcPr>
          <w:p>
            <w:pPr>
              <w:spacing w:after="0"/>
              <w:rPr>
                <w:sz w:val="24"/>
                <w:szCs w:val="24"/>
                <w:color w:val="auto"/>
              </w:rPr>
            </w:pPr>
          </w:p>
        </w:tc>
        <w:tc>
          <w:tcPr>
            <w:tcW w:w="9000" w:type="dxa"/>
            <w:vAlign w:val="bottom"/>
          </w:tcPr>
          <w:p>
            <w:pPr>
              <w:jc w:val="center"/>
              <w:ind w:left="292"/>
              <w:spacing w:after="0"/>
              <w:rPr>
                <w:rFonts w:ascii="Times New Roman" w:cs="Times New Roman" w:eastAsia="Times New Roman" w:hAnsi="Times New Roman"/>
                <w:sz w:val="18"/>
                <w:szCs w:val="18"/>
                <w:u w:val="single" w:color="auto"/>
                <w:color w:val="0000FF"/>
                <w:w w:val="97"/>
              </w:rPr>
            </w:pPr>
            <w:hyperlink w:anchor="page149">
              <w:r>
                <w:rPr>
                  <w:rFonts w:ascii="Times New Roman" w:cs="Times New Roman" w:eastAsia="Times New Roman" w:hAnsi="Times New Roman"/>
                  <w:sz w:val="18"/>
                  <w:szCs w:val="18"/>
                  <w:u w:val="single" w:color="auto"/>
                  <w:color w:val="0000FF"/>
                  <w:w w:val="97"/>
                </w:rPr>
                <w:t>Part III</w:t>
              </w:r>
            </w:hyperlink>
          </w:p>
        </w:tc>
        <w:tc>
          <w:tcPr>
            <w:tcW w:w="1060" w:type="dxa"/>
            <w:vAlign w:val="bottom"/>
          </w:tcPr>
          <w:p>
            <w:pPr>
              <w:spacing w:after="0"/>
              <w:rPr>
                <w:sz w:val="24"/>
                <w:szCs w:val="24"/>
                <w:color w:val="auto"/>
              </w:rPr>
            </w:pPr>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Directors, Executive Officers and Corporate Governance</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0">
              <w:r>
                <w:rPr>
                  <w:rFonts w:ascii="Times New Roman" w:cs="Times New Roman" w:eastAsia="Times New Roman" w:hAnsi="Times New Roman"/>
                  <w:sz w:val="18"/>
                  <w:szCs w:val="18"/>
                  <w:u w:val="single" w:color="auto"/>
                  <w:color w:val="0000FF"/>
                  <w:w w:val="96"/>
                </w:rPr>
                <w:t>142</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Executive Compensation</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0">
              <w:r>
                <w:rPr>
                  <w:rFonts w:ascii="Times New Roman" w:cs="Times New Roman" w:eastAsia="Times New Roman" w:hAnsi="Times New Roman"/>
                  <w:sz w:val="18"/>
                  <w:szCs w:val="18"/>
                  <w:u w:val="single" w:color="auto"/>
                  <w:color w:val="0000FF"/>
                  <w:w w:val="96"/>
                </w:rPr>
                <w:t>142</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0">
              <w:r>
                <w:rPr>
                  <w:rFonts w:ascii="Times New Roman" w:cs="Times New Roman" w:eastAsia="Times New Roman" w:hAnsi="Times New Roman"/>
                  <w:sz w:val="18"/>
                  <w:szCs w:val="18"/>
                  <w:u w:val="single" w:color="auto"/>
                  <w:color w:val="0000FF"/>
                  <w:w w:val="96"/>
                </w:rPr>
                <w:t>142</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0">
              <w:r>
                <w:rPr>
                  <w:rFonts w:ascii="Times New Roman" w:cs="Times New Roman" w:eastAsia="Times New Roman" w:hAnsi="Times New Roman"/>
                  <w:sz w:val="18"/>
                  <w:szCs w:val="18"/>
                  <w:u w:val="single" w:color="auto"/>
                  <w:color w:val="0000FF"/>
                  <w:w w:val="96"/>
                </w:rPr>
                <w:t>142</w:t>
              </w:r>
            </w:hyperlink>
          </w:p>
        </w:tc>
      </w:tr>
      <w:tr>
        <w:trPr>
          <w:trHeight w:val="2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Principal Accountant Fees and Services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0">
              <w:r>
                <w:rPr>
                  <w:rFonts w:ascii="Times New Roman" w:cs="Times New Roman" w:eastAsia="Times New Roman" w:hAnsi="Times New Roman"/>
                  <w:sz w:val="18"/>
                  <w:szCs w:val="18"/>
                  <w:u w:val="single" w:color="auto"/>
                  <w:color w:val="0000FF"/>
                  <w:w w:val="96"/>
                </w:rPr>
                <w:t>142</w:t>
              </w:r>
            </w:hyperlink>
          </w:p>
        </w:tc>
      </w:tr>
      <w:tr>
        <w:trPr>
          <w:trHeight w:val="431"/>
        </w:trPr>
        <w:tc>
          <w:tcPr>
            <w:tcW w:w="920" w:type="dxa"/>
            <w:vAlign w:val="bottom"/>
          </w:tcPr>
          <w:p>
            <w:pPr>
              <w:spacing w:after="0"/>
              <w:rPr>
                <w:sz w:val="24"/>
                <w:szCs w:val="24"/>
                <w:color w:val="auto"/>
              </w:rPr>
            </w:pPr>
          </w:p>
        </w:tc>
        <w:tc>
          <w:tcPr>
            <w:tcW w:w="9000" w:type="dxa"/>
            <w:vAlign w:val="bottom"/>
          </w:tcPr>
          <w:p>
            <w:pPr>
              <w:jc w:val="center"/>
              <w:ind w:left="272"/>
              <w:spacing w:after="0"/>
              <w:rPr>
                <w:rFonts w:ascii="Times New Roman" w:cs="Times New Roman" w:eastAsia="Times New Roman" w:hAnsi="Times New Roman"/>
                <w:sz w:val="18"/>
                <w:szCs w:val="18"/>
                <w:u w:val="single" w:color="auto"/>
                <w:color w:val="0000FF"/>
                <w:w w:val="98"/>
              </w:rPr>
            </w:pPr>
            <w:hyperlink w:anchor="page150">
              <w:r>
                <w:rPr>
                  <w:rFonts w:ascii="Times New Roman" w:cs="Times New Roman" w:eastAsia="Times New Roman" w:hAnsi="Times New Roman"/>
                  <w:sz w:val="18"/>
                  <w:szCs w:val="18"/>
                  <w:u w:val="single" w:color="auto"/>
                  <w:color w:val="0000FF"/>
                  <w:w w:val="98"/>
                </w:rPr>
                <w:t>Part IV</w:t>
              </w:r>
            </w:hyperlink>
          </w:p>
        </w:tc>
        <w:tc>
          <w:tcPr>
            <w:tcW w:w="1060" w:type="dxa"/>
            <w:vAlign w:val="bottom"/>
          </w:tcPr>
          <w:p>
            <w:pPr>
              <w:spacing w:after="0"/>
              <w:rPr>
                <w:sz w:val="24"/>
                <w:szCs w:val="24"/>
                <w:color w:val="auto"/>
              </w:rPr>
            </w:pPr>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1">
              <w:r>
                <w:rPr>
                  <w:rFonts w:ascii="Times New Roman" w:cs="Times New Roman" w:eastAsia="Times New Roman" w:hAnsi="Times New Roman"/>
                  <w:sz w:val="18"/>
                  <w:szCs w:val="18"/>
                  <w:u w:val="single" w:color="auto"/>
                  <w:color w:val="0000FF"/>
                </w:rPr>
                <w:t>Exhibits, Financial Statement Schedules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1">
              <w:r>
                <w:rPr>
                  <w:rFonts w:ascii="Times New Roman" w:cs="Times New Roman" w:eastAsia="Times New Roman" w:hAnsi="Times New Roman"/>
                  <w:sz w:val="18"/>
                  <w:szCs w:val="18"/>
                  <w:u w:val="single" w:color="auto"/>
                  <w:color w:val="0000FF"/>
                  <w:w w:val="96"/>
                </w:rPr>
                <w:t>143</w:t>
              </w:r>
            </w:hyperlink>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3">
              <w:r>
                <w:rPr>
                  <w:rFonts w:ascii="Times New Roman" w:cs="Times New Roman" w:eastAsia="Times New Roman" w:hAnsi="Times New Roman"/>
                  <w:sz w:val="18"/>
                  <w:szCs w:val="18"/>
                  <w:u w:val="single" w:color="auto"/>
                  <w:color w:val="0000FF"/>
                </w:rPr>
                <w:t>Form 10-K Summary</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3">
              <w:r>
                <w:rPr>
                  <w:rFonts w:ascii="Times New Roman" w:cs="Times New Roman" w:eastAsia="Times New Roman" w:hAnsi="Times New Roman"/>
                  <w:sz w:val="18"/>
                  <w:szCs w:val="18"/>
                  <w:u w:val="single" w:color="auto"/>
                  <w:color w:val="0000FF"/>
                  <w:w w:val="96"/>
                </w:rPr>
                <w:t>146</w:t>
              </w:r>
            </w:hyperlink>
          </w:p>
        </w:tc>
      </w:tr>
      <w:tr>
        <w:trPr>
          <w:trHeight w:val="231"/>
        </w:trPr>
        <w:tc>
          <w:tcPr>
            <w:tcW w:w="920" w:type="dxa"/>
            <w:vAlign w:val="bottom"/>
          </w:tcPr>
          <w:p>
            <w:pPr>
              <w:spacing w:after="0"/>
              <w:rPr>
                <w:sz w:val="20"/>
                <w:szCs w:val="20"/>
                <w:color w:val="auto"/>
              </w:rPr>
            </w:pPr>
          </w:p>
        </w:tc>
        <w:tc>
          <w:tcPr>
            <w:tcW w:w="9000" w:type="dxa"/>
            <w:vAlign w:val="bottom"/>
          </w:tcPr>
          <w:p>
            <w:pPr>
              <w:ind w:left="300"/>
              <w:spacing w:after="0"/>
              <w:rPr>
                <w:rFonts w:ascii="Times New Roman" w:cs="Times New Roman" w:eastAsia="Times New Roman" w:hAnsi="Times New Roman"/>
                <w:sz w:val="18"/>
                <w:szCs w:val="18"/>
                <w:u w:val="single" w:color="auto"/>
                <w:color w:val="0000FF"/>
              </w:rPr>
            </w:pPr>
            <w:hyperlink w:anchor="page154">
              <w:r>
                <w:rPr>
                  <w:rFonts w:ascii="Times New Roman" w:cs="Times New Roman" w:eastAsia="Times New Roman" w:hAnsi="Times New Roman"/>
                  <w:sz w:val="18"/>
                  <w:szCs w:val="18"/>
                  <w:u w:val="single" w:color="auto"/>
                  <w:color w:val="0000FF"/>
                </w:rPr>
                <w:t>Signatures</w:t>
              </w:r>
            </w:hyperlink>
          </w:p>
        </w:tc>
        <w:tc>
          <w:tcPr>
            <w:tcW w:w="1060" w:type="dxa"/>
            <w:vAlign w:val="bottom"/>
          </w:tcPr>
          <w:p>
            <w:pPr>
              <w:jc w:val="center"/>
              <w:ind w:left="672"/>
              <w:spacing w:after="0"/>
              <w:rPr>
                <w:rFonts w:ascii="Times New Roman" w:cs="Times New Roman" w:eastAsia="Times New Roman" w:hAnsi="Times New Roman"/>
                <w:sz w:val="18"/>
                <w:szCs w:val="18"/>
                <w:u w:val="single" w:color="auto"/>
                <w:color w:val="0000FF"/>
                <w:w w:val="96"/>
              </w:rPr>
            </w:pPr>
            <w:hyperlink w:anchor="page154">
              <w:r>
                <w:rPr>
                  <w:rFonts w:ascii="Times New Roman" w:cs="Times New Roman" w:eastAsia="Times New Roman" w:hAnsi="Times New Roman"/>
                  <w:sz w:val="18"/>
                  <w:szCs w:val="18"/>
                  <w:u w:val="single" w:color="auto"/>
                  <w:color w:val="0000FF"/>
                  <w:w w:val="96"/>
                </w:rPr>
                <w:t>147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182880</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80"/>
          </w:cols>
          <w:pgMar w:left="340" w:top="1391" w:right="57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used in this annual report on Form 10-K (this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the terms identified below have the meanings specified below unless otherwise noted or the context indicates otherwise. References in this Form 10-K to “ZoomInfo Technologies Inc.” refer to ZoomInfo Technologies Inc. and not to any of its subsidiaries unless the context indicates otherwise. References in this Form 10-K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132" w:lineRule="exact"/>
        <w:rPr>
          <w:sz w:val="20"/>
          <w:szCs w:val="20"/>
          <w:color w:val="auto"/>
        </w:rPr>
      </w:pPr>
    </w:p>
    <w:p>
      <w:pPr>
        <w:ind w:left="640" w:hanging="316"/>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ACV</w:t>
      </w:r>
      <w:r>
        <w:rPr>
          <w:rFonts w:ascii="Times New Roman" w:cs="Times New Roman" w:eastAsia="Times New Roman" w:hAnsi="Times New Roman"/>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of our Pre-IPO OpCo Unitholders that are taxable as corporations for U.S. federal income tax purposes.</w:t>
      </w:r>
    </w:p>
    <w:p>
      <w:pPr>
        <w:spacing w:after="0" w:line="5"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Mergers</w:t>
      </w:r>
      <w:r>
        <w:rPr>
          <w:rFonts w:ascii="Times New Roman" w:cs="Times New Roman" w:eastAsia="Times New Roman" w:hAnsi="Times New Roman"/>
          <w:sz w:val="18"/>
          <w:szCs w:val="18"/>
          <w:color w:val="auto"/>
        </w:rPr>
        <w:t>” refers to the mergers described under “Reorganization Transactions” in Note 1 to our audited consolidated financial statements included in Part II, Item 8 of this Form 10-K.</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w:t>
      </w:r>
      <w:r>
        <w:rPr>
          <w:rFonts w:ascii="Times New Roman" w:cs="Times New Roman" w:eastAsia="Times New Roman" w:hAnsi="Times New Roman"/>
          <w:sz w:val="18"/>
          <w:szCs w:val="18"/>
          <w:color w:val="auto"/>
        </w:rPr>
        <w:t>” refers to investment funds associated with The Carlyle Group.</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P Units</w:t>
      </w:r>
      <w:r>
        <w:rPr>
          <w:rFonts w:ascii="Times New Roman" w:cs="Times New Roman" w:eastAsia="Times New Roman" w:hAnsi="Times New Roman"/>
          <w:sz w:val="18"/>
          <w:szCs w:val="18"/>
          <w:color w:val="auto"/>
        </w:rPr>
        <w:t>” refers to Class P Units (including, without limitation, any indirectly held Class P Units) of ZoomInfo OpCo.</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Class P Unitholders</w:t>
      </w:r>
      <w:r>
        <w:rPr>
          <w:rFonts w:ascii="Times New Roman" w:cs="Times New Roman" w:eastAsia="Times New Roman" w:hAnsi="Times New Roman"/>
          <w:sz w:val="18"/>
          <w:szCs w:val="18"/>
          <w:color w:val="auto"/>
        </w:rPr>
        <w:t>” refers to certain Pre-IPO Owners who continued to hold Class P Units following the consummation of the Reorganization Transactions and the IPO.</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Members</w:t>
      </w:r>
      <w:r>
        <w:rPr>
          <w:rFonts w:ascii="Times New Roman" w:cs="Times New Roman" w:eastAsia="Times New Roman" w:hAnsi="Times New Roman"/>
          <w:sz w:val="18"/>
          <w:szCs w:val="18"/>
          <w:color w:val="auto"/>
        </w:rPr>
        <w:t>” refers to Pre-IPO Owners who continue to hold HoldCo Units or OpCo Units following the Reorganization Transactions and the IPO.</w:t>
      </w:r>
    </w:p>
    <w:p>
      <w:pPr>
        <w:spacing w:after="0" w:line="1"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Customers</w:t>
      </w:r>
      <w:r>
        <w:rPr>
          <w:rFonts w:ascii="Times New Roman" w:cs="Times New Roman" w:eastAsia="Times New Roman" w:hAnsi="Times New Roman"/>
          <w:sz w:val="17"/>
          <w:szCs w:val="17"/>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Tax Receivable Agreement</w:t>
      </w:r>
      <w:r>
        <w:rPr>
          <w:rFonts w:ascii="Times New Roman" w:cs="Times New Roman" w:eastAsia="Times New Roman" w:hAnsi="Times New Roman"/>
          <w:sz w:val="18"/>
          <w:szCs w:val="18"/>
          <w:color w:val="auto"/>
        </w:rPr>
        <w:t>” refers to the tax receivable agreement entered into with certain Pre-IPO OpCo Unitholders.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refers to Henry Schuck, our Chief Executive Officer, and Kirk Brown.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 Units</w:t>
      </w:r>
      <w:r>
        <w:rPr>
          <w:rFonts w:ascii="Times New Roman" w:cs="Times New Roman" w:eastAsia="Times New Roman" w:hAnsi="Times New Roman"/>
          <w:sz w:val="18"/>
          <w:szCs w:val="18"/>
          <w:color w:val="auto"/>
        </w:rPr>
        <w:t>” refers to the class of units of ZoomInfo HoldCo.</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HSKB I</w:t>
      </w:r>
      <w:r>
        <w:rPr>
          <w:rFonts w:ascii="Times New Roman" w:cs="Times New Roman" w:eastAsia="Times New Roman" w:hAnsi="Times New Roman"/>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 II</w:t>
      </w:r>
      <w:r>
        <w:rPr>
          <w:rFonts w:ascii="Times New Roman" w:cs="Times New Roman" w:eastAsia="Times New Roman" w:hAnsi="Times New Roman"/>
          <w:sz w:val="18"/>
          <w:szCs w:val="18"/>
          <w:color w:val="auto"/>
        </w:rPr>
        <w:t>” refer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ZoomInfo Technologies Inc.</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refers to ZoomInfo Technologies Inc.’s prospectus dated June 3, 2020 filed with the SEC pursuant to Rule 424(b) of the Securities Act on June 5, 2020.</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LTIP Units</w:t>
      </w:r>
      <w:r>
        <w:rPr>
          <w:rFonts w:ascii="Times New Roman" w:cs="Times New Roman" w:eastAsia="Times New Roman" w:hAnsi="Times New Roman"/>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NeverBounce</w:t>
      </w:r>
      <w:r>
        <w:rPr>
          <w:rFonts w:ascii="Times New Roman" w:cs="Times New Roman" w:eastAsia="Times New Roman" w:hAnsi="Times New Roman"/>
          <w:sz w:val="18"/>
          <w:szCs w:val="18"/>
          <w:color w:val="auto"/>
        </w:rPr>
        <w:t>” refers to Metrics Delivered LLC.</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refers to the class of units of ZoomInfo OpCo and does not include Class P Units.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refers to the Public Company Accounting Oversight Board.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Pre-Acquisition ZI</w:t>
      </w:r>
      <w:r>
        <w:rPr>
          <w:rFonts w:ascii="Times New Roman" w:cs="Times New Roman" w:eastAsia="Times New Roman" w:hAnsi="Times New Roman"/>
          <w:sz w:val="18"/>
          <w:szCs w:val="18"/>
          <w:color w:val="auto"/>
        </w:rPr>
        <w:t>” refers to Zoom Information Inc.</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Pre-IPO Blocker Holders</w:t>
      </w:r>
      <w:r>
        <w:rPr>
          <w:rFonts w:ascii="Times New Roman" w:cs="Times New Roman" w:eastAsia="Times New Roman" w:hAnsi="Times New Roman"/>
          <w:sz w:val="17"/>
          <w:szCs w:val="17"/>
          <w:color w:val="auto"/>
        </w:rPr>
        <w:t>” refers to the Pre-IPO Owners that held their interests in us through the Blocker Companies immediately prior to the IPO.</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HoldCo Unitholders</w:t>
      </w:r>
      <w:r>
        <w:rPr>
          <w:rFonts w:ascii="Times New Roman" w:cs="Times New Roman" w:eastAsia="Times New Roman" w:hAnsi="Times New Roman"/>
          <w:sz w:val="18"/>
          <w:szCs w:val="18"/>
          <w:color w:val="auto"/>
        </w:rPr>
        <w:t>” refers to the Pre-IPO Owners that held HoldCo Units immediately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OpCo Unitholders</w:t>
      </w:r>
      <w:r>
        <w:rPr>
          <w:rFonts w:ascii="Times New Roman" w:cs="Times New Roman" w:eastAsia="Times New Roman" w:hAnsi="Times New Roman"/>
          <w:sz w:val="18"/>
          <w:szCs w:val="18"/>
          <w:color w:val="auto"/>
        </w:rPr>
        <w:t>” refers to the Pre-IPO Owners that held OpCo Units immediately prior to the IPO.</w:t>
      </w:r>
    </w:p>
    <w:p>
      <w:pPr>
        <w:spacing w:after="0" w:line="24"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Owners</w:t>
      </w:r>
      <w:r>
        <w:rPr>
          <w:rFonts w:ascii="Times New Roman" w:cs="Times New Roman" w:eastAsia="Times New Roman" w:hAnsi="Times New Roman"/>
          <w:sz w:val="18"/>
          <w:szCs w:val="18"/>
          <w:color w:val="auto"/>
        </w:rPr>
        <w:t>” refers collectively to the Sponsors, the Founders, and the management and other equity holders who were the owners of ZoomInfo OpCo immediately prior to the Reorganization Transactions.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RainKing</w:t>
      </w:r>
      <w:r>
        <w:rPr>
          <w:rFonts w:ascii="Times New Roman" w:cs="Times New Roman" w:eastAsia="Times New Roman" w:hAnsi="Times New Roman"/>
          <w:sz w:val="18"/>
          <w:szCs w:val="18"/>
          <w:color w:val="auto"/>
        </w:rPr>
        <w:t>” refers to Rain King Software, Inc.</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Tax Receivable Agreement</w:t>
      </w:r>
      <w:r>
        <w:rPr>
          <w:rFonts w:ascii="Times New Roman" w:cs="Times New Roman" w:eastAsia="Times New Roman" w:hAnsi="Times New Roman"/>
          <w:sz w:val="18"/>
          <w:szCs w:val="18"/>
          <w:color w:val="auto"/>
        </w:rPr>
        <w:t>” refers to the tax receivable agreement entered into with the Pre-IPO Blocker Holders.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the transactions described under “Reorganization Transactions” in Note 1 to our audited consolidated financial statements included in Part II, Item 8 of this Form 10-K.</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refers to the Securities and Exchange Commission.</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Secondary Offerings</w:t>
      </w:r>
      <w:r>
        <w:rPr>
          <w:rFonts w:ascii="Times New Roman" w:cs="Times New Roman" w:eastAsia="Times New Roman" w:hAnsi="Times New Roman"/>
          <w:sz w:val="18"/>
          <w:szCs w:val="18"/>
          <w:color w:val="auto"/>
        </w:rPr>
        <w:t>” refers to (i) the offering by certain selling stockholders, including entities affiliated with the Sponsors, of 17,179,135 shares of Class A common stock of ZoomInfo Technologies Inc. completed on August 24, 2020; and (ii) the offering by certain selling stockholders, including entities affiliated with the Sponsors, of 14,375,000 shares of Class A common stock of ZoomInfo Technologies Inc. completed on December 4, 2020, as applicable.</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refers to the Securities Act of 1933, as amended.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Units</w:t>
      </w:r>
      <w:r>
        <w:rPr>
          <w:rFonts w:ascii="Times New Roman" w:cs="Times New Roman" w:eastAsia="Times New Roman" w:hAnsi="Times New Roman"/>
          <w:sz w:val="18"/>
          <w:szCs w:val="18"/>
          <w:color w:val="auto"/>
        </w:rPr>
        <w:t>” refers to the Series A preferred units of ZoomInfo OpCo outstanding immediately prior to the IPO.</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TA Associates, Carlyle, and investment funds associated with 22C Capital LLC and its predecessor.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 Associates</w:t>
      </w:r>
      <w:r>
        <w:rPr>
          <w:rFonts w:ascii="Times New Roman" w:cs="Times New Roman" w:eastAsia="Times New Roman" w:hAnsi="Times New Roman"/>
          <w:sz w:val="18"/>
          <w:szCs w:val="18"/>
          <w:color w:val="auto"/>
        </w:rPr>
        <w:t>” refers to investment funds associated with TA Associates.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refers collectively to the Exchange Tax Receivable Agreement and the Reorganization Tax Receivable Agreement.</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Topic 606</w:t>
      </w:r>
      <w:r>
        <w:rPr>
          <w:rFonts w:ascii="Times New Roman" w:cs="Times New Roman" w:eastAsia="Times New Roman" w:hAnsi="Times New Roman"/>
          <w:sz w:val="18"/>
          <w:szCs w:val="18"/>
          <w:color w:val="auto"/>
        </w:rPr>
        <w:t xml:space="preserve">” refers to Accounting Standard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later codified as Accounting Standards Codification (“ASC”) Topic 606 (collectively with subsequent amendments).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HoldCo</w:t>
      </w:r>
      <w:r>
        <w:rPr>
          <w:rFonts w:ascii="Times New Roman" w:cs="Times New Roman" w:eastAsia="Times New Roman" w:hAnsi="Times New Roman"/>
          <w:sz w:val="18"/>
          <w:szCs w:val="18"/>
          <w:color w:val="auto"/>
        </w:rPr>
        <w:t>” refers to ZoomInfo Intermediate Holdings LLC, a Delaware limited liability company, and a direct subsidiary of ZoomInfo Technologies Inc.</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OpCo</w:t>
      </w:r>
      <w:r>
        <w:rPr>
          <w:rFonts w:ascii="Times New Roman" w:cs="Times New Roman" w:eastAsia="Times New Roman" w:hAnsi="Times New Roman"/>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Annual Report on Form 10-K contains forward-looking statements that reflect our current views with respect to, among other things, our operations and financial performance. These forward-looking statements are included throughout this Annual Report on Form 10-K, including in the sections entitled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A summary of some of the factors that could cause actual results to differ from those expressed or implied by our forward-looking statements, including forward-looking statements contained in this Annual Report on Form 10-K, is provided below under “Risk Factor Summary.” These factors should not be construed as exhaustive and should be read in conjunction with the other cautionary statements that are included in this Annual Report on Form 10-K and our other filings with the SEC.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The following is a summary of the principal factors that make investing in our securities risky and may cause our actual results to differ materially from forward-looking statements included in this Annual Report on Form 10-K. The following is only a summary of the principal risks that may materially adversely affect our business, financial condition, results of operations and cash flows and should be read in conjunction with the more complete discussion of the risk factors we face, which are set forth in the section entitled “Risk Factors” in Part I, Item 1A. in this report:</w:t>
      </w:r>
    </w:p>
    <w:p>
      <w:pPr>
        <w:spacing w:after="0" w:line="132" w:lineRule="exact"/>
        <w:rPr>
          <w:sz w:val="20"/>
          <w:szCs w:val="20"/>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the global economic uncertainty and measures taken in response, could materially impact our business and future results of operations;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may shift their existing business models to become more competitive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competition from companies that more effectively cater to our customers by offering more tailored products or platforms at lower costs;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and market conditions may reduce spending on sales and marketing, which could harm our revenue, results of operations and cash flows;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demand for sales and marketing subscription platforms could negatively impact our business;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improve our technology and keep up with new processes for data collection, organization, and cleansing, competing products and services could surpass ours;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provide a highly accurate, reliable, and comprehensive platform moving forward, which could cause a reduction in demand for our products and services;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systems that we do not control to integrate with our system and we may be unable to continue to support integration;</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fund research and development, which could limit introduction of new features, integrations, and enhancements, which may limit our ability to compete effectively;</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and expand existing subscriptions, which could harm our revenue growth and profitability;</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participation in our contributory network or increased opt-out rates could lead to a deterioration in the depth, breadth, and accuracy of our platform;</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protect and maintain our brand, which could impair our ability to attract and retain customers;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and maintain effective internal controls over financial reporting, which has impaired and could continue to impair our ability to produce timely and accurate financial statements;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integrate acquired businesses, services, databases, and technologies into our operations, which could have an adverse effect on our business;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control us and their interests may conflict with ours or yours in the future; and</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rules and, as a result, we qualify for exemptions from certain corporate governance requirements, as a result of which our stockholders will not have the same protections afforded to stockholders of companies that are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Annual Report on Form 10-K).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go-to-market data and insights platform delivers comprehensive and high-quality intelligence and analytics to provide sales and marketing professionals accurate information and insights on the organizations and professionals they target enabling our customers to shorten sales cycles and increase win rates by enabling sellers and marketers to deliver the right message, to the right person, at the right time.</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artificial intelligence (“AI”) and machine learning (“ML”) powered engine that gathers data from millions of sources in real time and standardizes, matches to entities, verifies, cleans, and applies the processed data to companies and people at scale. This data engine and our team of research analysts and data scientists enrich our platform by providing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Our customers access insights directly in our platform and can also integrate our data and insights directly into their customer relationship management system (“CRM”) or sales and marketing automation systems, to improve their existing go-to-market processes.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ZoomInfo Technologies Inc. in November 2019 for the purposes of facilitating the IPO. On June 8, 2020, ZoomInfo completed the IPO.</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Vancouver, Washington. The company has additional offices across the United States, including in Waltham, Massachusetts; Bellevue, Washington; Bethesda, Maryland; Conshohocken, Pennsylvania; Grand Rapids, Michigan; San Mateo, California; and Atlanta, Georgia, as well as a presence in Ra’anana, Israel. Our primary website address is www.zoominfo.com. The information on our website is not incorporated herein or otherwise a part of this Annual Report on Form 10-K.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cloud-based go-to-market data and insights platform delivers comprehensive and high-quality intelligence and analytics to provide sales and marketing professionals accurate information and insights on the organizations and professionals they target.</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enhance the breadth of this intelligence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360-degree view provides detailed understanding, and coupled with our analytics, shortens sales cycles and increases win rates by enabling sellers and marketers to deliver the right message, to the right person, at the right time. Our intelligence is kept up to date in real time. This is accomplished through a combination of robust systems and processes leveraging AI, ML, and our proprietary human-in-the-loop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deliver high-quality intelligence at scale by leveraging an AI and ML powered engine that gathers data from millions of sources and standardizes, matches to entities, verifies, cleans, and applies the processed data to companies and people at scale. We aggregate and extract distinct types of data, such as revenue, locations, technologies, keywords, contact information, including email addresses, titles, and phone numbers, and many others, from millions of public and proprietary sources. Our evidence-based ML algorithm scores, ranks, and makes determinations about these billions of data points each week. To help train our AI and ML technologies and augment our contributory network, we have a team of research analysts and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 We are able to provide a guarantee of 95%+ accuracy as a result of our focus on quality.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there are currently no competitors who offer a sales and marketing intelligence platform as comprehensive as ours. We are able to provide measurable revenue improvement; accuracy, depth and coverage of data; unique data points to leverage insights; and a platform that can be integrated and automated with a variety of CRM or marketing platforms. In limited circumstances, we will see other vendors that focus on specific use-cases, niche end-markets, or leveraging legacy and/or inaccurate data sets try to compete in potential deals. These potential competitors include LinkedIn Sales Navigator, D&amp;B Hoovers, and TechTarget.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principal factors that drive competition between vendors in the market include:</w:t>
      </w:r>
    </w:p>
    <w:p>
      <w:pPr>
        <w:spacing w:after="0" w:line="164"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platform offering;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accuracy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benefits and ROI for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customers’ CRM and sales and marketing automation systems;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sophistication of solutions used to manage, maintain and combine intelligence.</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we compete favorably across these factors. We have achieved a median sales cycle of less than 30 days from opportunity creation to close. For additional information, see “Risk Factors” in Part I, Item 1A of this Annual Report on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large and diversified customer base spans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No single customer contributed more than 1% of revenue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own a number of patents, registered trademarks (including ZOOMINFO and DISCOVERORG, among others) and copyrights in the United States.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a portfolio of registered domain names (including zoominfo.com) for websites that we use in our business.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generally enter into confidentiality agreements and invention or work product assignment agreements with employees and contractors involved in the development of our proprietary intellectual property.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 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16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business contact information and other personal data we collect and process are an integral part of our products and services. Regulators around the world have adopted or proposed requirements regarding the collection, use, transfer, security, storage, destruction, and other processing of personal data.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the United Kingdom’s transposition of GDPR into its domestic laws post Brexit in January 2021,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place downstream obligations on our customers relating to their use of the information we provide.</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For example, the European Union Court of Justice recently struck down a permitted personal data transfer mechanism between the European Union and the United States and introduced requirements to carry out risk assessments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costs of complying with existing or new data privacy or data protection laws and regulations may limit our ability to gather personal data needed to provide our products and services, negatively impact the use or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respect for laws and regulations regarding the collection and processing of personal data underlies our strategy to improve our customer experience and build trust.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endeavor to honor opt-out requests across our entire database.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privacy and legal teams are focused on any applicable privacy laws and regulations and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For more information, please read “</w:t>
      </w:r>
      <w:r>
        <w:rPr>
          <w:rFonts w:ascii="Times New Roman" w:cs="Times New Roman" w:eastAsia="Times New Roman" w:hAnsi="Times New Roman"/>
          <w:sz w:val="18"/>
          <w:szCs w:val="18"/>
          <w:i w:val="1"/>
          <w:iCs w:val="1"/>
          <w:color w:val="auto"/>
        </w:rPr>
        <w:t>Risk Factors – Risks Related to Our Business and Industry - Changes in laws, regulations, and public perception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w:t>
      </w:r>
      <w:r>
        <w:rPr>
          <w:rFonts w:ascii="Times New Roman" w:cs="Times New Roman" w:eastAsia="Times New Roman" w:hAnsi="Times New Roman"/>
          <w:sz w:val="18"/>
          <w:szCs w:val="18"/>
          <w:color w:val="auto"/>
        </w:rPr>
        <w:t>in Part I, Item 1A of this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2020, we had 1,747 employees, consisting of 403 in cost of service, 775 in sales and marketing, 385 in research and development, and 184 in general and administrative. Of these, 87% of our employees were located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place a high value on diversity and inclusion and are committed to ensuring that our organization creates a sense of belonging for all employees. Understanding that representation matters, as part of our Global Inclusion and Diversity Initiative (GIDI), we take an active role in focusing on the equity, advancement and empowerment of all communities, and strategize ways to increase diversity through recruitment, retention, professional development, diversity education, and community outreach. As ZoomInfo continues to grow, we want to empower all employees to excel in their professional objectives and feel proud to work for a company that celebrates their individuality while recognizing their differences.</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believe in the power of the team. Winning teams look for the best talent, regardless of background. We know that employees are our greatest asset, and we are proud of the diversity that we foster in our workplaces.</w:t>
      </w:r>
    </w:p>
    <w:p>
      <w:pPr>
        <w:spacing w:after="0" w:line="11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As of December 31, 2020, our U.S. workforce was approximately 21% ethnically diverse. Ethnically diverse is defined as individuals who self-identify in one or more of the following groups: Black or African American, Hispanic or Latinx, Asian, Native American or Alaska Native, Native Hawaiian or Pacific Islander or Two or More Races or Ethnicities. In addition, 35% of the Company’s U.S. workforce identified as female and 1% identified as non-binary gender.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Safety, and Wellness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aim to offer fair compensation and benefits that encourage employee well-being as well as attract and retain top talent. Our compensation packages provide a competitive salary and bonus, medical, dental, vision, retirement benefits, and generous paid time off.</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address the safety and health of our employees during the COVID-19 pandemic, in the first quarter of 2020, we temporarily closed all of our offices and enabled our entire workforce to work remotely. We are proud of the great flexibility and engagement demonstrated by our employees during this time, allowing us to preserve business continuity without sacrificing our commitment to keeping our team and our communities safe.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Ensuring our employees have access to development opportunities and understand how to grow their career at ZoomInfo is a key tenet of our talent and engagement practices. As part of our efforts, we invest in a robust learning management system for employees, complete with online courses and live training on a variety of topics. To recognize and promote outstanding employees, we perform a comprehensive annual talent review process, through which we empower employees to drive their professional development in a way that also aligns with company objectives and our company values.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other filings with the SEC, and all amendments to these filings, can be obtained free of charge from our website at http://ir.zoominfo.com/financial-information/sec-filings or by contacting our Investor Relations department at our office address listed above following our filing of any of these reports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position, results of operations or cash flows. You should carefully review the information provided in this section before making an investment in our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0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1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as a result of the pandemic, which could materially and adversely impact our business. During 2020, we experienced certain headwinds as a result of the pandemic that adversely impacted our business. In early 2020, we experienced headwinds in some sales cycles as business leaders adapted to the impacts of the pandemic and we saw heightened cancellations and reductions in spend from customers in heavily impacted industries relative to pre-COVID time frames. We also experienced longer sales cycles and more intense scrutiny, particularly for larger purchases and upgrades as customers and prospects re-assessed their growth trajectory in light of the changing economic environment. These headwinds dissipated during the course of 2020 and by the end of the year, demand for our platform normalized and returned to levels materially consistent with historical trends. However, there can be no assurance that we won’t experience similar or other headwinds as a result of the pandemic in future periods. Any such factors could result in our experiencing slowed growth or a decline in new customer demand for our platform and lower demand from our existing customers for upgrades within our platform, as well as existing and potential customers reducing or delaying purchasing decisions. We could also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4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response to the COVID-19 pandemic, we have temporarily closed all of our offices (including our headquarters),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best interests of our employees. Such measures could negatively affect our sales and marketing efforts, sales cycles, employee productivity, or customer retention, any of which could harm our financial condition and business operations.</w:t>
      </w:r>
    </w:p>
    <w:p>
      <w:pPr>
        <w:spacing w:after="0" w:line="1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extent and continued impact of the COVID-19 pandemic on our business will depend on certain developments, including: the duration and spread of the outbreak; government responses to the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GDPR, which took effect in May 2018, the United Kingdom’s transposition of GDPR into its domestic laws post Brexit (as defined below) in January 2021, and the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place downstream obligations on our customers relating to their use of the information we provide.</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For example, the European Union Court of Justice recently struck down a permitted personal data transfer mechanism between the European Union and the United States and introduced requirements to carry out risk assessments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costs of complying with existing or new data privacy or data protection laws and regulations may limit our ability to gather personal data needed to provide our products and services, negatively impact the use or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Since the enactment of CCPA, new privacy and data security laws have been proposed in more than half of the states in the United States and in the U.S. Congress, reflecting a trend toward more stringent privacy legislation in the United States.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creating a new state agency that will be vested with authority to implement and enforce the CCPA and the CPRA.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We also receive data from third-party vendors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10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current competitors include:</w:t>
      </w:r>
    </w:p>
    <w:p>
      <w:pPr>
        <w:spacing w:after="0" w:line="164" w:lineRule="exact"/>
        <w:rPr>
          <w:sz w:val="20"/>
          <w:szCs w:val="20"/>
          <w:color w:val="auto"/>
        </w:rPr>
      </w:pPr>
    </w:p>
    <w:p>
      <w:pPr>
        <w:jc w:val="both"/>
        <w:ind w:left="640" w:hanging="316"/>
        <w:spacing w:after="0" w:line="304"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and TechTarget;</w:t>
      </w:r>
    </w:p>
    <w:p>
      <w:pPr>
        <w:spacing w:after="0" w:line="87"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internal and homegrown business contact databases;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predictive analytics and customer data platform technologies;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vendors of sales automation software;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third-party company attributes, technology attributes, and business contact information;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online content consumption data for predictive sales and marketing analytics;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user-based networks of companies and/or business professionals.</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These risks could be exacerbated by weak economic conditions and lower customer spending on sales and marketing. Weakened economic conditions could also disproportionately increase the likelihood that any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exiting the European Union (“Brexit”), may also impact economic conditions, which could result in financial market disruptions or an economic downturn.</w:t>
      </w:r>
    </w:p>
    <w:p>
      <w:pPr>
        <w:spacing w:after="0" w:line="13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product offerings are also concentrated by varying degrees across different industries, particularly the software and business services industries in the United States. In 2019, approximately 39% and 29% of our customers, as measured by ACV, operated in the software and business services industries, respectively. In 2020, approximately 45% and 23%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2020, we derived approximately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32"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25"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sales and marketing platform category generally, and the growth, contraction and evolution of the category;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 and applications;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CRM and other related technologies;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development of new systems and protocols for B2B communication.</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32"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advances in data collection, cataloging, and updating.</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not able to obtain and maintain accurate, comprehensive, or reliable data, we could experience reduced demand for our products and services.</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interoperability of our platform with third-party systems that we do not control.</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as of December 31, 2020, approximately 60% of our customers used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4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10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expand subscriptions of current customers, our revenue growth and profitability will be harmed.</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2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from all platforms, including ours). Consequently, our ability to grow our business may be harmed and our results of operations and financial condition could suffer.</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and dynamics or other traffic-generating arrangements.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and intellectual property rights in our data or technology.</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unauthorized use of our intellectual property may go undetected, or we may face legal or practical barriers to enforcing our legal rights even where unauthorized use is detected.</w:t>
      </w:r>
    </w:p>
    <w:p>
      <w:pPr>
        <w:spacing w:after="0" w:line="1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We have incurred severance costs and expect to incur additional costs to integrate prior acquisitions, such as IT integration expenses and costs related to the renegotiation of redundant vendor agreements. Since January 1, 2018, we have acquired substantially all of the assets of other businesses as well, including NeverBounce, Komiko, Inc., Clickagy, LLC and EverString Technology, LLC. We may have difficulty effectively integrating the personnel, businesses, and technologies of these acquisitions into our Company and achieving the goals of those acquisitions.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involve numerous risks and could create unforeseen operating difficulties and expenditures, including:</w:t>
      </w:r>
    </w:p>
    <w:p>
      <w:pPr>
        <w:spacing w:after="0" w:line="110"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services, and platforms;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our values and those of our acquired companies;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re-training key employees of acquired companies and integrating them into our organizational structure and corporate culture;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financial costs of, addressing acquired compensation structures inconsistent with our compensation structure;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or changes in, relationships with customers and partners of the acquired business;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and costs related to, transitioning the acquired technology onto our existing platforms and customer acceptance of multiple platforms on a temporary or permanent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augmenting the acquired technologies and platforms to the levels that are consistent with our brand and reputation;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acquired products to impact the profitability of existing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other services;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 including risks associated with acquired intellectual property and/or technologies;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to our results of operations because of the depreciation and amortization of amounts related to acquired intangible assets, fixed assets, and deferred compensation;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stock-based compensation;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acquired unearned revenue and unbilled unearned revenue;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 purchases due to uncertainty related to any acquisition;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or inadequate controls, procedures, and policies at the acquired company;</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challenges caused by integrating operations over distance, and across different languages, cultures, and political environments;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associated with foreign countries and potential additional cybersecurity and compliance risks resulting from entry into new markets;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Department of Justice, for anti-competitive or other reasons.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products and services may suffer, which could negatively affect our brand and reputation and harm our ability to attract users, employees, and organizations.</w:t>
      </w:r>
    </w:p>
    <w:p>
      <w:pPr>
        <w:spacing w:after="0" w:line="17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bring on new customers at the rate we anticipate.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experience, our business and reputation will suffer.</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customers from time to time rely upon our customer technical and research support teams to resolve technical and data accuracy issues relating to our products and services. We may be unable to respond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enough to accommodate short-term increases in customer demand for support services. Increased customer demand for these services, without corresponding revenue, could increase costs and adversely affect our reputation and operating results.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2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11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and packaging of our products and services.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our recent growth rates will not be indicative of our future growth.</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25"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excellent customer experience;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and grow current customer subscriptions;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users of and organizations on our free Community Edition into paying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and grow adoption of our products and services in new markets outside of the United States;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widespread acceptance and use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expand our sales force and otherwise scale our operations as a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features and capabilities of our platform, including through the creation and use of additional integrations;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and reliability of our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applicable laws and regulations;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package our products and services effectively;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established companies and new market entrants;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our acquisition strategy.</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have overestimated the size of our total addressable market, our future growth rate may be limited.</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on Form 10-K.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Annual Report on Form 10-K, factors that may affect our quarterly operating results include the following:</w:t>
      </w:r>
    </w:p>
    <w:p>
      <w:pPr>
        <w:spacing w:after="0" w:line="127"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and grow subscriptions of existing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price and package our products and services effectively;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including those related to the expansion of our business and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expenses related to the development or acquisition of technologies, products, or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and intangible asset impairment charges and amortization associated with acquired businesses;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restructuring and transaction-related expenses;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32"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integrations, capabilities, and enhancements;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product development, sales, and marketing organizations;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more information, see “—Risks Related to Our Indebtedness.”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devote, and may continue to devote, substantial resources to our earlier platforms.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sales to customers outside the United States expose us to risks inherent in international operations.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success depends in part on our ability to expand sales to customers located outside of the United States. For the years ended December 31, 2020, 2019, and 2018, our business outside of the United States accounted for approximately 9%, 9%, and 7%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32"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localize our products and services, including translation into foreign languages and associated expenses;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better understand the local market, customs, and culture, may market and operate more effectively, and may enjoy greater local affinity or awareness;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comply with foreign regulatory frameworks or business practices, which among other things may favor local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domestic and international tax environments;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controls, which may make our products and services more expensive for international customers and could add volatility to our operating results;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vetting and monitoring internal or external sales or customer experience resources in new and evolving markets to confirm they maintain standards consistent with our brand and reputation;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regulation, currency, tax, and operations resulting from Brexit that could disrupt trade, the sale of our services and commerce and movement of our people between the United Kingdom, the European Union, and other locations;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public perception of governments in the regions where we operate or plan to operate;</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or lesser protection of our intellectual property;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other collection difficulties;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(such as COVID-19), acts of war, terrorism, pandemics, or security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political conditions; and</w:t>
      </w:r>
    </w:p>
    <w:p>
      <w:pPr>
        <w:spacing w:after="0" w:line="164" w:lineRule="exact"/>
        <w:rPr>
          <w:rFonts w:ascii="Times New Roman" w:cs="Times New Roman" w:eastAsia="Times New Roman" w:hAnsi="Times New Roman"/>
          <w:sz w:val="18"/>
          <w:szCs w:val="18"/>
          <w:color w:val="auto"/>
        </w:rPr>
      </w:pPr>
    </w:p>
    <w:p>
      <w:pPr>
        <w:ind w:left="320" w:right="1560" w:firstLine="4"/>
        <w:spacing w:after="0" w:line="427" w:lineRule="auto"/>
        <w:tabs>
          <w:tab w:leader="none" w:pos="6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 Any of these factors could negatively impact our business and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could result in serious harm to our reputation, business, and financial condition.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may experience breaches of our security measures due to human error, malfeasance, system errors or vulnerabilities, or other irregularities including attempts by former, current or future employees to misuse their authorized access and/or gain unauthorized access to our systems.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quality of our products and services or interfere with our customers’ use of our products and services, which could reduce demand, lower our revenues, and increase our costs.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3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errors, defects, disruptions, or other performance problems with our services could harm our reputation, business, results of operations, and financial condition.</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Our business would also be harmed if our customers and potential customers believe our services are unreliable.</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These hardware, software, data, and cloud computing systems may not continue to be available at reasonable prices, on commercially reasonable terms, or at all. Any loss of the right to use any of these hardware, software,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forecast our revenue and evaluate our business and future prospects.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not address these risks successfully, our results of operations could differ materially from our estimates and forecasts or the expectations of investors, causing our business to suffer and our Class A common stock price to decline.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be sued by third parties for various claims including alleged infringement of proprietary intellectual property rights.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3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platform and could harm our business.</w:t>
      </w:r>
    </w:p>
    <w:p>
      <w:pPr>
        <w:spacing w:after="0" w:line="10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could incur greater operating expenses and our user acquisition and retention could be negatively impacted if network operators:</w:t>
      </w:r>
    </w:p>
    <w:p>
      <w:pPr>
        <w:spacing w:after="0" w:line="164"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usage-based pricing;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pricing for competitive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change their pricing rates or schemes;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us to deliver our traffic at certain levels or at all;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throttle traffic based on its source or type;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bandwidth caps or other usage restrictions;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try to monetize or control access to their networks.</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as anticipated and our business, results of operations, and financial condition could be adversely affected.</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Certain Accounting and Financial Reporting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financial accounting standards or practices may harm our results of operations.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In particular, in May 2014, the FASB and International Accounting Standard Board jointly issued a new revenue recognition standard,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later codified as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Standards Codification (“ASC”) Topic 606 (collectively with subsequent amendments, “Topic 606”), that is designed to improve financial reporting by creating a common recognition guidance for U.S.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0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believe that the revenue presented for Pre-Acquisition ZI in 2018 would not have materially changed, had Pre-Acquisition ZI used the full retrospective method of adoption for Topic 606 and restated their 2018 revenue figures. See Note 2 - Basis of Presentation and Summary of Significant Accounting Policies within our consolidated financial statements included elsewhere in this Annual Report on Form 10-K for additional information.</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over financial reporting in accordance with Section 404 of SOX has impaired and could continue to impair our ability to produce timely and accurate financial statements or comply with applicable regulations and have a material adverse effect on our business.</w:t>
      </w:r>
    </w:p>
    <w:p>
      <w:pPr>
        <w:spacing w:after="0" w:line="1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Our failure to establish or maintain appropriate internal financial reporting controls and procedures, could cause us to fail to meet our reporting obligations on a timely basis, has resulted in and could in the future result in material misstatements in our consolidated financial statements, and could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4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may be useful in evaluating our operating performance. We present certain non-GAAP financial measures in this Annual Report on Form 10-K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and other steps as described under “Controls and Procedures” in Part II, Item 9A of this Annual Report on Form 10-K, we are still in the process of testing our processes, procedures and controls. Our material weakness cannot be considered remediated until the applicable remedial controls operate for a sufficient period of time and management has concluded, through testing, that these controls are operating effectively. As such, we were unable to conclude that the material weakness in our internal control over financial reporting had been remediated as of December 31, 2020.</w:t>
      </w:r>
    </w:p>
    <w:p>
      <w:pPr>
        <w:spacing w:after="0" w:line="13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because the material weakness discussed above has not been determined to have been fully remediated as of December 31, 2020, we have concluded that our disclosure controls and procedures were not effective as of December 31, 2020.</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Although we expect the material weakness will be remediated in 2021 as a result of the remediation efforts undertaken by management to date,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0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have incurred significant net losses in each year since our inception, including net losses of $36.4 million in 2020, $78.0 million in 2019, and $28.6 million in 2018.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balance sheet reflects goodwill of $1,000.1 million and $966.8 million as of December 31, 2020 and 2019, respectively, and intangible assets, net of $365.7 million and $370.6 million as of December 31, 2020 and 2019,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38"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market capitalization relative to net book value for a sustained period.</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Certain Tax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financial results.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2020, we had total outstanding indebtedness of approximately $756.4 million consisting of outstanding borrowings under our first lien credit facilities. Additionally, we had $100 million of availability under our first lien revolving credit facility as of December 31, 2020. Our substantial indebtedness may:</w:t>
      </w:r>
    </w:p>
    <w:p>
      <w:pPr>
        <w:spacing w:after="0" w:line="125"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with respect to our indebtedness;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under our secured credit facilities, are at variable rates of interest;</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less-leveraged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competitive, and industry conditions;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2020, 2019, and 2018 were $510.9 million, $649.8 million and $3.7 million, respectively. Our total interest expense, net for 2020, 2019, and 2018 was $69.3 million, $102.4 million and $58.2 million, respectively. We may be unable to maintain a level of cash flow sufficient to permit us to pay the principal, premium, if any, and interest on our indebtedness.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 governing our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credit facilities, ZoomInfo OpCo is restricted from making certain payments, including dividend payments to ZoomInfo Technologies Inc., subject to certain exceptions.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may affect our results of operations and financial condition.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HoldCo Units. ZoomInfo HoldCo is a holding company and has no material assets other than its ownership of OpCo 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and Class C common stock, or any combination of the foregoing. We will have no obligation to distribute such cash (or other available cash other than any declared dividend) to our stockholders.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December 31, 2020) is approximately $295.2 million (assuming a price of $48.23 per share of Class A common stock, which is the last reported sale price of our Class A common stock on the Nasdaq on December 31, 2020). The payments under the tax receivable agreements are not conditioned upon continued ownership of us by the exchanging holders of OpCo Units or the prior owners of the Blocker Companies.</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4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Assuming that the market value of a share of Class A common stock were to be equal to $48.23 per share, which is the last reported sale price of our Class A common stock on the Nasdaq on December 31, 2020, and that LIBOR were to be 0.34% and based upon certain other assumptions described in “Certain Relationships and Related Person Transactions - Tax Receivable Agreements” in the IPO Prospectus, we estimate that if ZoomInfo Technologies Inc. were to exercise its termination right on December 31, 2020 the aggregate amount of these termination payments would be approximately $2,323.9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w:t>
      </w:r>
    </w:p>
    <w:p>
      <w:pPr>
        <w:spacing w:after="0" w:line="36" w:lineRule="exact"/>
        <w:rPr>
          <w:sz w:val="20"/>
          <w:szCs w:val="20"/>
          <w:color w:val="auto"/>
        </w:rPr>
      </w:pPr>
    </w:p>
    <w:p>
      <w:pPr>
        <w:jc w:val="both"/>
        <w:ind w:firstLine="6"/>
        <w:spacing w:after="0" w:line="247"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3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 ZoomInfo HoldCo’s interest in ZoomInfo OpCo, as applicable, could be deemed an “investment security” for purposes of the 1940 Act.</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capital structure and our ability to transact with affiliates, could make it impractical for us to continue our business as contemplated and could have a material adverse effect on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parties to our stockholders agreement control us, and their interests may conflict with ours or yours in the future.</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of December 31, 2020, the parties to our stockholders agreement beneficially owned approximately 87.5% of the combined voting power of our Class A, Class B, and Class C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4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as of December 31, 2020, the Pre-IPO OpCo Unitholders owned 54.5% of the OpCo Units.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 connection with the IPO,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intend to rely on, exemptions and relief from certain corporate governance requirements. Our stockholders will not have the same protections afforded to stockholders of companies that are subject to such requirements.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2020, certain affiliates of TA Associates, Carlyle, and our Founders beneficially owned approximately 87.5% of the combined voting power of our Class A, Class B, and Class C common stock and are parties, among others, to a stockholders agreement.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32"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that is composed of a majority of “independent directors,” as defined under the Nasdaq rules;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that is composed entirely of independent directors;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intend to continue to utilize these exemptions for as long as we continue to qualify as a “controlled company.” Accordingly, our stockholders will not have the same protections afforded to stockholders of companies that are subject to all of the corporate governance requirements of the Nasdaq.</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Annual Report on Form 10-K, we have not included, and do not plan to incorporate by reference, all of the executive compensation-related information that would be required if we were not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remain an emerging growth company until the fiscal year-end following the fifth anniversary of the completion of the IPO,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multi-class structure may have on the market price of our Class A common stock.</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cannot predict whether our multi-class structure, combined with the concentrated control of our stockholders who currently hold our capital stock,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disparity in the voting rights among the classes of common stock may have a potential adverse effect on the price of our Class A common stock.</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Exhibit 4.1 to this Form 10-K.</w:t>
      </w:r>
    </w:p>
    <w:p>
      <w:pPr>
        <w:spacing w:after="0" w:line="13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Class A common stock or OpCo Units in connection with our incentive plans, acquisitions, or otherwise.</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of December 31, 2020, we had 2,412,302,619 shares of Class A common stock authorized but unissued, including 216,652,704 shares of Class A common stock issuable upon exchange of OpCo Units or HoldCo Units that are held by the Pre-IPO OpCo Unitholders or the Pre-IPO HoldCo Unitholders, respectively, 86,123,230 shares of Class A common stock issuable upon conversion of 86,123,230 shares of Class C common stock that are held by the Pre-IPO Blocker Holders, and 11,530,734 shares of Class A common stock (based on the closing price of our Class A common stock of $48.23 per share as reported on Nasdaq on December 31, 2020) issuable upon the vesting and conversion of 13,000,955 Class P Units held by the Continuing Class P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IPO public offering price per share of Class A common stock, and 630,000 Class P Units with a participation threshold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strike price) equal to the IPO public offering price per share of Class A common stock were granted under our 2020 Omnibus Incentive Plan. Any Class A common stock that we issue, including under our 2020 Omnibus Incentive Plan or other equity incentive plans that we may adopt in the future, would dilute the percentage ownership held by our Class A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whose terms could adversely affect the voting power or value of our Class A common stock.</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Pre-IPO Owners sell additional shares of our Class A common stock or are perceived by the public markets as intending to sell them, the market price of our Class A common stock could decline.</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As of December 31, 2020, we had a total of 87,697,381 shares of our Class A common stock outstanding. Of these shares, 87,630,306 shares of our Class A common stock were freely tradable without restriction or further registration under the Securities Act by persons other than our “affiliates,” as that term is defined under Rule 144 of the Securities Act (“Rule 144”).</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2020, (subject to the terms of the applicable limited liability company agreement), an aggregate of 177,586,542 OpCo Units and an aggregate of 390,473,315 HoldCo Units may be exchanged for shares of our Class A common stock and an aggregate of 86,123,230 shares of Class C common stock may be converted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Subject to certain limitations and exceptions, pursuant to the terms of the amended and restated limited liability company agreement of ZoomInfo OpCo, the holders of 13,630,955 Class P Units, which have a weighted-average per unit participation threshold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strike price) of $6.17 per Class P Unit, will be able to exchange their Class P Units into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All of such shares will be eligible for resale in the public market, subject, in the case of shares held by our affiliates, to volume, manner of sale, and other limitations under Rule 144. We expect that certain of our Sponsors will continue to be considered affiliates based on their expected share ownership and their board nomination rights. Certain other of our stockholders may also be considered affiliates at the time of their sale of shares of our Class A common stock.</w:t>
      </w:r>
    </w:p>
    <w:p>
      <w:pPr>
        <w:spacing w:after="0" w:line="10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shares of our Class A common stock or securities convertible into or exchangeable for shares of our Class A common stock issued pursuant to the 2020 Omnibus Incentive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 In addition, we have an effective registration statement on Form S-1 under the Securities Act on file that registered 4,500,000 shares of our Class A common stock that may be issued from time to time upon (i) exchange of Class P Units and (ii) settlement of HSKB Phantom Units, in each case held by certain of our officers and employees prior to the IPO.</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10" w:lineRule="exact"/>
        <w:rPr>
          <w:sz w:val="20"/>
          <w:szCs w:val="20"/>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82"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05"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beneficially own less than 50% of the total voting power of all then-outstanding shares of our capital stock entitled to vote generally in the election of directors;</w:t>
      </w:r>
    </w:p>
    <w:p>
      <w:pPr>
        <w:spacing w:after="0" w:line="110" w:lineRule="exact"/>
        <w:rPr>
          <w:sz w:val="20"/>
          <w:szCs w:val="20"/>
          <w:color w:val="auto"/>
        </w:rPr>
      </w:pPr>
    </w:p>
    <w:p>
      <w:pPr>
        <w:jc w:val="both"/>
        <w:ind w:left="640" w:hanging="316"/>
        <w:spacing w:after="0" w:line="25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2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of directors or for proposing matters that can be acted upon by stockholders at stockholder meetings.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 in Exhibit 4.1 to this Form 10-K.</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21"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w:t>
      </w:r>
    </w:p>
    <w:p>
      <w:pPr>
        <w:jc w:val="both"/>
        <w:ind w:firstLine="6"/>
        <w:spacing w:after="0" w:line="246" w:lineRule="auto"/>
        <w:tabs>
          <w:tab w:leader="none" w:pos="2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breach our contracts, and our insurance may be inadequate to cover our losses.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our credit ratings could adversely impact our operations and lower our profitability.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Class A common stock at or above the public offering price due to a number of factors, such as those listed elsewhere in this “Risk Factors” section and the following:</w:t>
      </w:r>
    </w:p>
    <w:p>
      <w:pPr>
        <w:spacing w:after="0" w:line="110"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competitors, or other comparable companies report operating results below the expectations of public market analysts and investors;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our competitors’, or other comparable companies’ quarterly operating results or dividends, if any, to stockholders;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our competitors, or other comparable companies provide to the public, any changes in this guidance, or failure to meet this guidance;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others in our industry to meet analysts’ earnings estimates;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our industry;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 or speculation in the press or investment community;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similar companies;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partnerships, joint ventures, or capital commitments;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Class A common stock relative to other investment alternatives;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government investigations, changes in laws, or changes in business or regulatory conditions, or differing interpretations or enforcement thereof;</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industries we participate in;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scandals.</w:t>
      </w:r>
    </w:p>
    <w:p>
      <w:pPr>
        <w:spacing w:after="0" w:line="16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corporate headquarters is located in Vancouver, Washington and consists of 57,576 square feet under a lease agreement that expires on August 31, 2025.</w:t>
      </w:r>
    </w:p>
    <w:p>
      <w:pPr>
        <w:spacing w:after="0" w:line="11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maintain additional offices in the United States, including in Waltham, Massachusetts; Bellevue, Washington; Bethesda, Maryland; Conshohocken, Pennsylvania; Grand Rapids, Michigan; San Mateo, California; and Atlanta, Georgia, as well as an international presence in Ra’anana, Israel.</w:t>
      </w:r>
    </w:p>
    <w:p>
      <w:pPr>
        <w:spacing w:after="0" w:line="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infrastructure operates out of third-party data centers hosted by Google and Amazon Web Services.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4"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Class A common stock is listed and traded on the Nasdaq Global Select Market under the trading symbol “ZI.” There is no established public trading market for our Class B common stock and our Class C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February 1, 2021, there were six holders of record of our Class A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February 1, 2021, we also had 439 holders of record of our Class B common stock and seven holders of record of our Class C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The following shall not be deemed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with the cumulative total return on the S&amp;P 500 Index (^GSPC) and the Nasdaq Computer Index (^IXCO), assuming an initial investment of $100 at the market close on June 4, 2020, the date our stock commenced trading on the Nasdaq Global Select Market. Data for the S&amp;P 500 Index and the Nasdaq Computer Index assume reinvestment of dividends.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comparisons in the graph below are based upon historical data and are not indicative of, nor intended to forecast,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820420</wp:posOffset>
            </wp:positionV>
            <wp:extent cx="5250180" cy="260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50180" cy="260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On October 14, 2020, in connection with our acquisition of substantially all the assets, and certain specified liabilities, of Clickagy, LLC, ZoomInfo Technologies Inc. issued 67,075 shares of Class A common stock in a transaction exempt from registration pursuant to Section 4(a)(2) of the Securities Act. Such issuance did not involve any public offering or general solicitation, nor were any commissions paid by the Company to any person in connection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shares of our Class A common stock purchased by the Company during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59"/>
        </w:trPr>
        <w:tc>
          <w:tcPr>
            <w:tcW w:w="3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9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59"/>
        </w:trPr>
        <w:tc>
          <w:tcPr>
            <w:tcW w:w="3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9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r>
      <w:tr>
        <w:trPr>
          <w:trHeight w:val="156"/>
        </w:trPr>
        <w:tc>
          <w:tcPr>
            <w:tcW w:w="3280" w:type="dxa"/>
            <w:vAlign w:val="bottom"/>
          </w:tcPr>
          <w:p>
            <w:pPr>
              <w:spacing w:after="0"/>
              <w:rPr>
                <w:sz w:val="13"/>
                <w:szCs w:val="13"/>
                <w:color w:val="auto"/>
              </w:rPr>
            </w:pPr>
          </w:p>
        </w:tc>
        <w:tc>
          <w:tcPr>
            <w:tcW w:w="198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200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Weighted Average Price Paid</w:t>
            </w:r>
          </w:p>
        </w:tc>
        <w:tc>
          <w:tcPr>
            <w:tcW w:w="20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19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13"/>
        </w:trPr>
        <w:tc>
          <w:tcPr>
            <w:tcW w:w="32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(1)</w:t>
            </w:r>
          </w:p>
        </w:tc>
        <w:tc>
          <w:tcPr>
            <w:tcW w:w="38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r>
      <w:tr>
        <w:trPr>
          <w:trHeight w:val="218"/>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through October 31, 2020</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through November 30, 2020</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through December 31, 2020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20,617</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19"/>
                <w:szCs w:val="19"/>
                <w:color w:val="auto"/>
              </w:rPr>
            </w:pPr>
          </w:p>
        </w:tc>
        <w:tc>
          <w:tcPr>
            <w:tcW w:w="188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9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4" w:lineRule="exact"/>
        <w:rPr>
          <w:sz w:val="20"/>
          <w:szCs w:val="20"/>
          <w:color w:val="auto"/>
        </w:rPr>
      </w:pPr>
    </w:p>
    <w:p>
      <w:pPr>
        <w:ind w:firstLine="6"/>
        <w:spacing w:after="0" w:line="247" w:lineRule="auto"/>
        <w:tabs>
          <w:tab w:leader="none" w:pos="20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these shares were acquired through the withholding of shares to satisfy tax withholding obligations incurred upon the vesting of HSKB Phantom Units awarded under the HSKB Funds, LLC 2019 Phantom Unit Plan and restricted stock units awarded under our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following tables present the selected historical consolidated financial data for ZoomInfo OpCo and its subsidiaries and ZoomInfo Technologies Inc. and its subsidiaries for the periods and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selected consolidated statements of operations data and selected consolidated statements of cash flows data presented below for the years ended December 31, 2020, 2019, and 2018 have been derived from the audited consolidated financial statements included elsewhere in this report. The selected consolidated balance sheet data presented below as of December 31, 2020 and 2019 have been derived from the consolidated financial statements presented elsewhere in this report , and the selected consolidated balance sheet data presented below as of December 31, 2018 have been derived from the audited consolidated financial statements of ZoomInfo OpCo included in our IPO Prospectus.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Historical results are not necessarily indicative of the results expected for any future period. Our selected consolidated financial data set forth below should be read together with “Management’s Discussion and Analysis of Financial Condition and Results of Operations,” and our consolidated financial statements and the related notes thereto, which are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Restructuring and transaction related expenses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8"/>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52"/>
        </w:trPr>
        <w:tc>
          <w:tcPr>
            <w:tcW w:w="61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Less: Net income (loss) attributable to ZoomInfo OpCo prior to the Reorganization</w:t>
            </w: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 Inc.</w:t>
            </w: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Net income (loss) per share of Class A and Class C common stock</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5"/>
        </w:trPr>
        <w:tc>
          <w:tcPr>
            <w:tcW w:w="6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(including current portion)</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Temporary equity</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equity</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jc w:val="both"/>
        <w:ind w:left="320" w:hanging="314"/>
        <w:spacing w:after="0" w:line="237" w:lineRule="auto"/>
        <w:tabs>
          <w:tab w:leader="none" w:pos="3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(loss) per share of Class A and Class C common stock is applicable only for the period from June 4, 2020 through December 31, 2020, which is the period following the IPO and related Reorganization Transactions (as defined in Note 1 to the Audited Consolidated Financial Statements). See Note 14 for the number of shares used in the computation of net income (loss) per share of Class A and Class C common stock and the basis for the computation of net income (loss) per share.</w:t>
      </w:r>
    </w:p>
    <w:p>
      <w:pPr>
        <w:ind w:left="320" w:hanging="314"/>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equity-based compensation expense, as follows: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4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1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9"/>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“Cautionary Statement Regarding Forward-Looking Statements” included elsewhere in this Annual Report on Form 10-K.</w:t>
      </w:r>
    </w:p>
    <w:p>
      <w:pPr>
        <w:spacing w:after="0" w:line="1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to “ZoomInfo Technologies Inc.” refer to ZoomInfo Technologies Inc. and not to any of its subsidiaries unless the context indicates otherwise. References in this Form 10-K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Annual Report on Form 10-K have been subject to rounding adjustments. Accordingly, numerical figures shown as totals in various tables may not be arithmetic aggregations of the figures that precede them.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professionals. Our cloud-based platform provides highly accurate and comprehensive information and insights on the organizations and professionals they target, enabling sellers and marketers to shorten sales cycles and increase win rates by delivering the right message, to the right person, at the right time.</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This data engine, augmented by other data sources and our team of research analysts and data scientists, enrich our platform by creating a combination of robust systems and processes that are integrated into the workflows and CRM and sales and marketing automation systems of our customers.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offer access to our platform on a subscription basis and we generate substantially all of our revenue from sales of subscriptions. Our subscription fees include the use of our platform and access to customer support. Subscriptions generally range from one to three years in length with over 25% of our ACV being under multi-year agreements. We typically bill our customers at the beginning of each annual, semi-annual, or quarterly period and recognize revenue ratably over the term of the subscription period.</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software, insights, and data enable over 20,000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2020, approximately 45% and 23% of our customers, as measured by ACV, operated in the software and business services industries, respectively. In 2020, less than 4% of our customers, as measured by ACV, operated in the retail, travel, hospitality, consumer goods and services, or oil and gas industries. Our net annual retention rate was 108%, 109%, and 102% in 2020, 2019, and 2018, respectively.</w:t>
      </w:r>
    </w:p>
    <w:p>
      <w:pPr>
        <w:spacing w:after="0" w:line="11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2020, no single customer contributed more than 1% of revenue. We generate less than 10% of revenue from customers outside the United States. As of December 31, 2020, over 850 customers contracted for more than $100,000 in ACV for ZoomInfo services.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experienced rapid organic growth, supplemented by additional growth from acquisitions. We generated revenue of $476.2 million for the year ended December 31, 2020, as compared to revenue for the year ended December 31, 2019 of $293.3 million, and income from operations of $37.1 million for the year ended December 31, 2020, as compared to income from operations of $36.1 million for the year ended December 31, 2019. In addition to our consolidated U.S GAAP financial measures, we review various non-GAAP financial measures, including Adjusted Operating Income, Adjusted Operating Income Margin and Adjusted Net Income. See “—Non-GAAP Financial Measures.” Our Adjusted Operating Income was $226.0 million for the year ended December 31, 2020, as compared to $167.1 million for the year ended December 31, 2019. Our Adjusted Operating Income Margin was 47% for the year ended December 31, 2020, as compared to 51% in 2019. Adjusted Operating Income and Adjusted Operating Margin do not include results of operations from acquired entities before their acquisitions.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ZoomInfo Technologies Inc. was incorporated in November 2019 with no operating assets or operations for the purposes of facilitating the IPO and other related transactions in order to carry on the business of the operating entity ZoomInfo Holdings LLC (“ZoomInfo OpCo”) (formerly known as DiscoverOrg Holdings, LLC) following the consummation of the transactions described under “Reorganization Transactions” in Note 1 to our audited consolidated financial statements included in Part II, Item 8 of this Annual Report on Form 10-K (the “Reorganization Transactions”).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Following the consummation of the Reorganization Transactions on June 3, 2020, ZoomInfo Technologies Inc. became a holding company, with its sole material asset being a controlling equity interest in ZoomInfo Intermediate Holdings LLC (“ZoomInfo HoldCo”), which is a holding company with its sole material asset being a controlling equity interest in ZoomInfo OpCo. ZoomInfo Technologies Inc. operates and controls all of our business and affairs, and consolidates the financial results of ZoomInfo OpCo through ZoomInfo HoldCo. Accordingly, ZoomInfo Technologies Inc. reports a non-controlling interest related to the OpCo Units or HoldCo Units held by our Continuing Members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Units, HoldCo Units, and Common Stock</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Reorganization Transactions,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Pursuant to ZoomInfo Technologies Inc.’s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that held voting units before the IPO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December 2019, a novel strain of Coronavirus disease (“COVID-19”) was reported, and in March 2020, the WHO characterized COVID-19 as a pandemic. The ongoing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has triggered a period of global economic slowdown.</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a result of the COVID-19 pandemic, we experienced headwinds and tailwinds that impacted our business. In early 2020, we experienced headwinds in some sales cycles as business leaders adapted to the impacts of the pandemic. Our sales teams adjusted to the new environment and drove improved sales and retention activity relative to prior year results. Customers in heavily impacted industries represented less than 4% of ACV, and in early 2020, we saw heightened cancellations and reductions in spend from this subset of customers relative to pre-COVID time frames. We also experienced longer sales cycles and more intense scrutiny, particularly for larger purchases and upgrades as customers and prospects re-assessed their growth trajectory in light of the changing economic environment. These headwinds dissipated during the course of the year and were partially offset by tailwinds we experienced relating to reduced spending on travel, facilities, and marketing events. By the end of 2020, demand for our platform normalized and returned to levels materially consistent with historical trends. We acknowledge the extent and continued impact of the COVID-19 pandemic on our operational and financial condition will depend on certain developments, including: the duration and spread of the outbreak; government responses to the pandemic including vaccine availability and deployment;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not within our control. Furthermore, because of our largely subscription-based business model, the effect of the COVID-19 pandemic may not be fully reflected in our results of operations and overall financial condition until future periods.</w:t>
      </w:r>
    </w:p>
    <w:p>
      <w:pPr>
        <w:spacing w:after="0" w:line="1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address the safety and health of our employees during the COVID-19 pandemic, in the first quarter of 2020 we temporarily closed all of our offices and enabled our entire workforce to work remotely. These changes remained largely in effect throughout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24, 2020, certain selling stockholders, including entities affiliated with the Sponsors, completed a secondary offering of 17,179,135 shares of Class A common stock at a price to the public of $37.00 per share. The selling stockholders received all of the net proceeds of approximately $615.0 million after deducting the underwriting discount.</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December 4, 2020, certain selling stockholders, including entities affiliated with the Sponsors, completed a secondary offering of 14,375,000 shares of Class A common stock at a price to the public of $45.00 per share. The selling stockholders received all of the net proceeds of approximately $631.0 million after deducting the underwriting discount.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6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October 2020, the Company acquired substantially all the assets, and certain specified liabilities, of Clickagy, LLC, a leading provider of artificial intelligence-powered buyer intent data. In November 2020, the Company acquired EverString Technology, LLC, a leading artificial intelligence-powered, business-to-business (B2B) data solutions provider. In connection with these acquisitions, the Company has agreed to pay an aggregate cash consideration, inclusive of vesting cash retention payments, of approximately $71.7 million, subject to working capital and other customary adjustments, and issued 67,075 shares of unregistered Class A common stock of the Company. We funded cash payments made at closing with cash on hand. Neither acquisition had a material impact on the Company’s results of operations for the three months or year ended December 31, 2020 or the Company’s financial position as of December 31, 2020. The initial accounting of the business combinations is incomplete as of the issuance date of these financial statements. The fair values of assets acquired and liabilities assumed may be subject to change as additional information is received, including the finalization of tax assets and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 Offering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February 2021, ZoomInfo Technologies LLC and ZoomInfo Finance Corp., indirect subsidiaries of ZoomInfo Technologies Inc., completed an offering of $350.0 million in aggregate principal amount of 3.875% senior notes due 2029. We used all of the net proceeds, along with cash on hand, to prepay $356.4 million aggregate principal amount of our first lien term loans outstanding under the first lien credit agreement (the “Debt Prepayment”). Following the Debt Prepayment, as of February 2, 2021, $400.0 million aggregate principal amount of first lien term loans were outstanding under our first lien credit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 Amendment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2021, ZoomInfo LLC entered into an amendment to our first lien credit agreement, pursuant to which, among other things, there will be (i) an increase in the aggregate commitments to $250.0 million under our first lien revolving credit facility, (ii) the addition of the ZoomInfo Technologies LLC as a co-borrower, (iii) the repricing of our first lien term loan facility maturing in February 2026 and first lien revolving credit facility and (iv) an extension of the maturity date of our first lien revolving credit facility to November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6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Annual Report on Form 10-K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the IPO, we entered into the tax receivable agreements described in Note 18 to our audited consolidated financial statements included in Part II, Item 8 of this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2020, the company completed its IPO which significantly impacted our cash, first and second lien indebtedness, and temporary and permanent equity balances. See “—Recent Developments.” The IPO, driven by the associated first and second lien term loan repayments, significantly reduced our interest expense relative to historical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seek to grow through both internal development and the acquisition of businesses that broaden and strengthen our platform. Our recent acquisitions include NeverBounce in September 2018, Pre-Acquisition ZI in February 2019, Komiko in October 2019, Clickagy in October 2020, and EverString in November 2020. In addition, Pre-Acquisition ZI acquired Datanyze in September 2018.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Zoom Information Acquisition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1, 2019, we acquired, through a newly formed wholly owned subsidiary, Zebra Acquisition Corporation, 100% of the stock of Pre-Acquisition ZI for $748.0 million, net of cash acquired (the “Zoom Information Acquisition”). Pre-Acquisition ZI was a provider of company and contact information to sales and marketing professionals.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year ended December 31, 2020 to be greater than that of the year ended December 31, 2019 due to the debt being outstanding for the entire period in 2020. However, this increase was mitigated and offset by (a) a reduction in interest rates period over period, and (b) the debt repayments and prepayments referenced above and in Note 8 to our audited consolidated financial statements included in Part II, Item 8 of this Form 10-K.</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w:t>
      </w:r>
    </w:p>
    <w:p>
      <w:pPr>
        <w:spacing w:after="0" w:line="12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restructuring and transaction expenses on the statement of operations with the majority of those expenses being recognized in the three months ended March, 31, 2019, and not recurring in 2020. Expenses relating to any accelerated payments under the Cash Vesting Payment Program (see Note 4 to our audited financial statements included elsewhere in this Annual Report on Form 10-K) were recorded as operating expense according to the functional area aligning to the employee’s salary and is included in integration and transaction-related compensation expenses when calculating non-GAAP metrics.</w:t>
      </w:r>
    </w:p>
    <w:p>
      <w:pPr>
        <w:spacing w:after="0" w:line="12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U.S. GAAP. Through the date of modification, no equity-based compensation had been recognized for these awards as the qualifying event (i.e., the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 See Note 16 - Equity-based Compensation for unamortized equity-based compensation costs related to each type of equity-based incentive award.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The majority of revenue growth when comparing the year ended December 31, 2020 to the year ended December 31, 2019 was the result of new customers added over the last 24 months. Our operating results and growth prospects will depend in part on our ability to continue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December 31, 2020, we had over 20,000 customers. We define a customer as a company that maintains one or more active paid subscriptions to our platform.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Delivering Additional High-Value Solutions to Our Existing Customers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ability to expand relationships with existing customers and deliver additional high-value solutions is demonstrated by our net annual retention rate. We measure our retention rate on an annual basis and define annual net revenue retention as the total ACV generated by our customers and customers of Pre-Acquisition ZI at the end of the year divided by the ACV generated by the same group of customers at the end of the prior year. Our net annual retention rate was 108%, 109%, and 102% for the years ended December 31, 2020, 2019, and 2018, respectively. We also measure our success in expanding relationships with existing customers by the number of customers that contract for more than $100,000 in ACV. As of December 31, 2020, we had more than 850 customers with over $100,000 in ACV.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finance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3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xml:space="preserve"> to Adjusted Net Income and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(less): Expense (benefit)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Loss on debt extinguishment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Add (less): Other expense (income), net</w:t>
            </w:r>
            <w:r>
              <w:rPr>
                <w:rFonts w:ascii="Times New Roman" w:cs="Times New Roman" w:eastAsia="Times New Roman" w:hAnsi="Times New Roman"/>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8"/>
                <w:szCs w:val="18"/>
                <w:color w:val="auto"/>
              </w:rPr>
              <w:t>Add: Impact of fair value adjustments to acquired unearned revenue</w:t>
            </w:r>
            <w:r>
              <w:rPr>
                <w:rFonts w:ascii="Times New Roman" w:cs="Times New Roman" w:eastAsia="Times New Roman" w:hAnsi="Times New Roman"/>
                <w:sz w:val="22"/>
                <w:szCs w:val="22"/>
                <w:color w:val="auto"/>
                <w:vertAlign w:val="superscript"/>
              </w:rPr>
              <w:t>(b)</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Amortization of acquired technology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Add: Restructuring and transaction-related expenses</w:t>
            </w:r>
            <w:r>
              <w:rPr>
                <w:rFonts w:ascii="Times New Roman" w:cs="Times New Roman" w:eastAsia="Times New Roman" w:hAnsi="Times New Roman"/>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180"/>
              <w:spacing w:after="0" w:line="225" w:lineRule="exact"/>
              <w:rPr>
                <w:sz w:val="20"/>
                <w:szCs w:val="20"/>
                <w:color w:val="auto"/>
              </w:rPr>
            </w:pPr>
            <w:r>
              <w:rPr>
                <w:rFonts w:ascii="Times New Roman" w:cs="Times New Roman" w:eastAsia="Times New Roman" w:hAnsi="Times New Roman"/>
                <w:sz w:val="18"/>
                <w:szCs w:val="18"/>
                <w:color w:val="auto"/>
              </w:rPr>
              <w:t>Add: Integration costs and acquisition-related expenses</w:t>
            </w:r>
            <w:r>
              <w:rPr>
                <w:rFonts w:ascii="Times New Roman" w:cs="Times New Roman" w:eastAsia="Times New Roman" w:hAnsi="Times New Roman"/>
                <w:sz w:val="22"/>
                <w:szCs w:val="22"/>
                <w:color w:val="auto"/>
                <w:vertAlign w:val="superscript"/>
              </w:rPr>
              <w:t>(d)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Less (add): Other expense (income), net, excluding TRA liability remeasurement</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 expense</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(less): Benefit (expense)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Tax impacts of adjustments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3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4" w:lineRule="exact"/>
        <w:rPr>
          <w:rFonts w:ascii="Times New Roman" w:cs="Times New Roman" w:eastAsia="Times New Roman" w:hAnsi="Times New Roman"/>
          <w:sz w:val="14"/>
          <w:szCs w:val="14"/>
          <w:color w:val="auto"/>
        </w:rPr>
      </w:pPr>
    </w:p>
    <w:p>
      <w:pPr>
        <w:jc w:val="both"/>
        <w:ind w:left="320" w:hanging="314"/>
        <w:spacing w:after="0" w:line="237" w:lineRule="auto"/>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37" w:lineRule="auto"/>
        <w:tabs>
          <w:tab w:leader="none" w:pos="3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2020, this expense related primarily to professional fees for the preparation for an initial public offering and deferred acquisition cost revaluations. For the year ended December 31, 2019, this expense related primarily to the acquisition of Pre-Acquisition ZI, including professional fees, severance and acceleration of payments for terminated employees. For the year ended December 31, 2018, this expense related primarily to Carlyle’s investment in us.</w:t>
      </w:r>
    </w:p>
    <w:p>
      <w:pPr>
        <w:jc w:val="both"/>
        <w:ind w:left="320" w:hanging="314"/>
        <w:spacing w:after="0" w:line="239" w:lineRule="auto"/>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2020, this expense related primarily to cash vesting payments from the acquisition of Pre-Acquisition ZI. For the year ended December 31, 2019, this expense related primarily to activities resulting from the acquisition of Pre-Acquisition ZI, including cash vesting payments and transaction bonuses,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See Note 4 to our consolidated financial statements included elsewhere in this report. This expense is included in cost of service, sales and marketing expense, research and development expense, and general and administrative expense as follows:</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6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r>
      <w:tr>
        <w:trPr>
          <w:trHeight w:val="20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0.6</w:t>
            </w:r>
          </w:p>
        </w:tc>
      </w:tr>
      <w:tr>
        <w:trPr>
          <w:trHeight w:val="21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r>
      <w:tr>
        <w:trPr>
          <w:trHeight w:val="209"/>
        </w:trPr>
        <w:tc>
          <w:tcPr>
            <w:tcW w:w="4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define Adjusted Operating Income Margin as Adjusted Operating Income divided by the sum of revenue and the impact of fair value adjustments to acquired unearned 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65"/>
        </w:trPr>
        <w:tc>
          <w:tcPr>
            <w:tcW w:w="6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for adjusted operating margin calculation</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325.6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57 %</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Adjusted Operating Income for the year ended December 31, 2020 was $226.0 million and represented an Adjusted Operating Income Margin of 47%. Adjusted Operating Income for the year ended December 31, 2019 was $167.1 million and represented an Adjusted Operating Income Margin of 51%. Growth in Adjusted Operating Income in the year ended December 31, 2020 relative to the year ended December 31, 2019 was an increase of $58.8 million, or 35%, and was driven primarily from the growth in customers and increasing revenue from existing customers. Adjusted Operating Income Margin decreased to 47% in the year ended December 31, 2020 from 51% in the year ended December 31, 2019 due to incremental sales and marketing expenses related to signing new customers and retaining and upselling existing customers, and general and administration costs to support incremental public company related requirements.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Adjusted Operating Income for the year ended December 31, 2018 was $83.7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2019. Adjusted Operating Income Margin decreased to 51% in the year ended December 31, 2019 from 57% in the year ended December 31, 2018 due to the lower margin profile of the Pre-Acquisition ZI business and investment to drive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(benefit)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8"/>
        </w:trPr>
        <w:tc>
          <w:tcPr>
            <w:tcW w:w="6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80"/>
              <w:spacing w:after="0" w:line="225"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(b)</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(c)</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Integration costs and transaction-related expenses</w:t>
            </w:r>
            <w:r>
              <w:rPr>
                <w:rFonts w:ascii="Times New Roman" w:cs="Times New Roman" w:eastAsia="Times New Roman" w:hAnsi="Times New Roman"/>
                <w:sz w:val="22"/>
                <w:szCs w:val="22"/>
                <w:color w:val="auto"/>
                <w:vertAlign w:val="superscript"/>
              </w:rPr>
              <w:t>(d)</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4"/>
        <w:spacing w:after="0" w:line="237" w:lineRule="auto"/>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tabs>
          <w:tab w:leader="none" w:pos="31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2020, this expense related primarily to professional fees for the preparation for an initial public offering and deferred acquisition cost revaluations. For the year ended December 31, 2019, this expense related primarily to the acquisition of Pre-Acquisition ZI, including professional fees, severance and acceleration of payments for terminated employees. For the year ended December 31, 2018, this expense related primarily to Carlyle’s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43"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2020, this expense related primarily to cash vesting payments from the acquisition of Pre-Acquisition ZI. For the year ended December 31, 2019, this expense related primarily to activities resulting from the acquisition of Pre-Acquisition ZI, including cash vesting payments and transaction bonuses,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See Note 4 to our consolidated financial statements included elsewhere in this report. This expense is included in cost of service, sales and marketing expense, research and development expense, and general and administrative expense as follows:</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gridSpan w:val="6"/>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40" w:type="dxa"/>
            <w:vAlign w:val="bottom"/>
          </w:tcPr>
          <w:p>
            <w:pPr>
              <w:spacing w:after="0"/>
              <w:rPr>
                <w:sz w:val="16"/>
                <w:szCs w:val="16"/>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0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9"/>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expenses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EBITDA for the year ended December 31, 2020 was $234.8 million, an increase of $61.6 million, or 36%, relative to the year ended December 31, 2019. This growth was driven primarily from the growth in revenue that resulted from additional customers in 2020 and 2019.</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2019 and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ranging from one to three years and are non-cancellable.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08"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only increase if we make additional acquisitions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and amortization expense, and marketing.</w:t>
      </w:r>
    </w:p>
    <w:p>
      <w:pPr>
        <w:spacing w:after="0" w:line="12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stock-based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anticipate that we will continue to invest in sales and marketing capacity to enable future growth, but that sales and marketing expense as a percentage of revenue will decrease as equity-based compensation expense related to the modification of HSKB awards and triggered by the IPO become a less significant component of overall sales and marketing expense.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13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revenue to stay consistent or modestly decrease from 2020, as we realize operating leverage in the business.</w:t>
      </w:r>
    </w:p>
    <w:p>
      <w:pPr>
        <w:spacing w:after="0" w:line="10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Amortization of other acquired intangibles</w:t>
      </w:r>
      <w:r>
        <w:rPr>
          <w:rFonts w:ascii="Times New Roman" w:cs="Times New Roman" w:eastAsia="Times New Roman" w:hAnsi="Times New Roman"/>
          <w:sz w:val="18"/>
          <w:szCs w:val="18"/>
          <w:color w:val="auto"/>
        </w:rPr>
        <w:t>. Amortization of acquired intangibles primarily consists of amortization of customer relationships,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brand portfolios.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only increase if we make additional acquisitions in the future.</w:t>
      </w:r>
    </w:p>
    <w:p>
      <w:pPr>
        <w:spacing w:after="0" w:line="16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transaction expenses. </w:t>
      </w:r>
      <w:r>
        <w:rPr>
          <w:rFonts w:ascii="Times New Roman" w:cs="Times New Roman" w:eastAsia="Times New Roman" w:hAnsi="Times New Roman"/>
          <w:sz w:val="18"/>
          <w:szCs w:val="18"/>
          <w:color w:val="auto"/>
        </w:rPr>
        <w:t>Restructuring and transaction expenses primarily consist of various restructuring and acquisition activities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2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represents the interest payable on our debt obligations and the amortization of debt discounts and debt issuance costs, less interest income.</w:t>
      </w:r>
    </w:p>
    <w:p>
      <w:pPr>
        <w:spacing w:after="0" w:line="11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our interest expense will be substantially lower after having repaid a portion of our outstanding indebtedness with the proceeds from the IPO. Interest expense could increase in the future based on changes in variable interest rates or the issuance of additional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Loss on debt extinguishment consists of prepayment penalties and impairment of deferred financing costs associated with the extinguishment of debt.</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losses related to debt extinguishment will only occur if we extinguish indebtedness before the contractual repayment 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(income) expense, net consists primarily of the revaluation of tax receivable agreement liabilities and foreign currency realized and unrealized gains and losses related to the impact of transactions denominated in a foreign currency.</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the magnitude of other income and expenses may increase as tax receivable agreement liabilities increase, or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(expense) from Income Taxes</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ZoomInfo OpCo is currently treated as a pass-through entity for U.S. federal income tax purposes and most applicable state and local income tax purposes. Benefit (expense) from income taxes, Deferred tax assets, Deferred tax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the United States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to our audited consolidated financial statements included in Part II, Item 8 of this Form 10-K for additional information.</w:t>
      </w:r>
    </w:p>
    <w:p>
      <w:pPr>
        <w:spacing w:after="0" w:line="12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After consummation of the Reorganization Transactions, ZoomInfo Technologies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Note 18 to our audited consolidated financial statements included in Part II, Item 8 of this Form 10-K. However, our ability to make such distributions may be limited due to, among other things, restrictive covenants in our secured credit facilities. In addition, because RKSI Acquisition Corporation and Zebra Acquisition Corporation will continue to be subject to income taxes in the United States, income allocated to such corporate subsidiaries for tax purposes will reduce the distributions made to ZoomInfo OpCo, thereby reducing our allocable share of U.S. taxable income of ZoomInfo OpCo. See “Risk Factors - Risks Related to Our Organizational Structure” in Part I,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years ended December 31, 2020, 2019, and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5"/>
        </w:trPr>
        <w:tc>
          <w:tcPr>
            <w:tcW w:w="642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transaction related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9"/>
        </w:trPr>
        <w:tc>
          <w:tcPr>
            <w:tcW w:w="6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52"/>
        </w:trPr>
        <w:tc>
          <w:tcPr>
            <w:tcW w:w="64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Less: Net income (loss) attributable to ZoomInfo OpCo prior to the Reorganization</w:t>
            </w: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 Inc.</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-95885</wp:posOffset>
            </wp:positionV>
            <wp:extent cx="3062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equity-based compensation expense as follows:</w:t>
      </w:r>
    </w:p>
    <w:p>
      <w:pPr>
        <w:spacing w:after="0" w:line="46"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40" w:type="dxa"/>
            <w:vAlign w:val="bottom"/>
            <w:tcBorders>
              <w:bottom w:val="single" w:sz="8" w:color="auto"/>
            </w:tcBorders>
          </w:tcPr>
          <w:p>
            <w:pPr>
              <w:spacing w:after="0"/>
              <w:rPr>
                <w:sz w:val="16"/>
                <w:szCs w:val="16"/>
                <w:color w:val="auto"/>
              </w:rPr>
            </w:pPr>
          </w:p>
        </w:tc>
      </w:tr>
      <w:tr>
        <w:trPr>
          <w:trHeight w:val="19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60" w:type="dxa"/>
            <w:vAlign w:val="bottom"/>
            <w:gridSpan w:val="3"/>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r>
      <w:tr>
        <w:trPr>
          <w:trHeight w:val="206"/>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15.8</w:t>
            </w:r>
          </w:p>
        </w:tc>
      </w:tr>
      <w:tr>
        <w:trPr>
          <w:trHeight w:val="21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r>
      <w:tr>
        <w:trPr>
          <w:trHeight w:val="207"/>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w:t>
            </w:r>
          </w:p>
        </w:tc>
      </w:tr>
      <w:tr>
        <w:trPr>
          <w:trHeight w:val="209"/>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and Year Ended December 31, 2019</w:t>
      </w:r>
    </w:p>
    <w:p>
      <w:pPr>
        <w:spacing w:after="0" w:line="166"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Revenue was $476.2 million for the year ended December 31, 2020, an increase of $182.9 million, or 62%, as compared to $293.3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31, 2019. This increase was primarily due to the addition of new customers over the past 18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$107.5 million for the year ended December 31, 2020, an increase of $38.8 million, or 57%, as compared to $68.7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2019. The increase was primarily due to additional stock-based compensation expense related to grants previously made by HSKB, modified in December 2019, and triggered by the IPO. Additional expenses related to additional headcount and hosting expense to support new and growing customers also contributed to the increase.</w:t>
      </w:r>
    </w:p>
    <w:p>
      <w:pPr>
        <w:spacing w:after="0" w:line="12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$331.6 million for the year ended December 31, 2020, an increase of $143.0 million, or 76%,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$188.6 million for the year ended December 31, 2019. The increase was primarily due to additional stock-based compensation expense related to grants previously made by HSKB, modified in December 2019, and triggered by the IPO. Excluding stock-based compensation expenses, operating expenses were $237.5 million for the year ended December 31, 2020, an increase of $70.0 million, or 42%, as compared to $167.5 million for the year ended December 31, 2019. The increase was primarily due to:</w:t>
      </w:r>
    </w:p>
    <w:p>
      <w:pPr>
        <w:spacing w:after="0" w:line="130" w:lineRule="exact"/>
        <w:rPr>
          <w:sz w:val="20"/>
          <w:szCs w:val="20"/>
          <w:color w:val="auto"/>
        </w:rPr>
      </w:pPr>
    </w:p>
    <w:p>
      <w:pPr>
        <w:jc w:val="both"/>
        <w:ind w:left="640" w:hanging="316"/>
        <w:spacing w:after="0" w:line="25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(excluding an increase in stock-based compensation of $51.3 million) of $43.4 million, or 55%, to $122.4 million for the year ended December 31,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(excluding an increase in stock-based compensation of $8.9 million) of $12.5 million, or 49%, to $37.8 million for the year ended December 31, 2020, due primarily to additional engineering and product management resources added to support continued innovation of our services;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(excluding an increase in stock-based compensation of $12.8 million) of $14.8 million, or 49%, to $44.8 million for the year ended December 31, 2020, due primarily to additional headcount and related salaries and benefits expenses to support the larger organization and additional corporate expenses related to operating as a public company, which were partially offset by a decrease in integration-related expenses in the year ended December 31, 2019, which did not recur in the year ended December 31, 2020;</w:t>
      </w:r>
    </w:p>
    <w:p>
      <w:pPr>
        <w:spacing w:after="0" w:line="12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$1.1 million, or 6%, to $18.7 million for the year ended December 31, 2020, due to amortization expense related to intangible assets acquired in the Zoom Information Acquisition during the full period for the current year; and</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transaction-related expense of $13.8 million for the year ended December 31, 2020, that were primarily related to the IPO. This represented a decrease of $1.8 million, or 12%, as compared to expense of $15.6 million for the year ended December 31, 2019, that were related to the Zoom Information Acquisition.</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$69.3 million for the year December 31, 2020, a decrease of $33.2 million, or 32%,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$102.4 million for the year ended December 31, 2019. The decrease was primarily due to interest savings resulting from the repayment of our second lien term loans in full and $100.0 million of first lien term loans, offset by nonrecurring interest expense recognized upon partial dedesignation of cash flow hedges resulting from reclassification from accumulated other comprehensive income (loss).</w:t>
      </w:r>
    </w:p>
    <w:p>
      <w:pPr>
        <w:spacing w:after="0" w:line="12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was $14.9 million for the year ended December 31, 2020, related to penalties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derecognition of deferred and unamortized debt issuance costs resulting from the repayment of the second lien term loans and $100.0 million first lien term loan principal repayment after the IPO. This represented a decrease of $3.2 million, or 18%, as compared to expense of $18.2 million for the year ended December 31, 2019, related to costs incurred with respect to prior debt instruments that were repaid in conjunction with the Zoom Information Acquisition in February 2019.</w:t>
      </w:r>
    </w:p>
    <w:p>
      <w:pPr>
        <w:spacing w:after="0" w:line="12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$(15.4) million for the year ended December 31, 2020, a decrease of $15.4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$0.0 million for the year ended December 31, 2019, primarily due to the recognition of a TRA remeasurement gain of $15.7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Benefit (expense) from Income Taxes. </w:t>
      </w:r>
      <w:r>
        <w:rPr>
          <w:rFonts w:ascii="Times New Roman" w:cs="Times New Roman" w:eastAsia="Times New Roman" w:hAnsi="Times New Roman"/>
          <w:sz w:val="18"/>
          <w:szCs w:val="18"/>
          <w:color w:val="auto"/>
        </w:rPr>
        <w:t>Income tax benefit (expense) for the year ended December 31, 2020 was $(4.7) million (a (14.8)%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compared to $6.5 million (a 7.7% effective tax rate) for the year ended December 31, 2019. The decrease in the effective tax rate was primarily due to a GAAP loss driven by non-deductible stock-based compensation expense resulting in positive tax expense despite the GAAP loss. Furthermore, the reorganization transactions resulted in a higher proportion of GAAP earnings being allocated to tax paying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and Year Ended December 31, 2018</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$293.3 million for the year ended December 31, 2019, an increase of $149.1 million, or 103%, as compared to $144.3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3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$68.7 million for the year ended December 31, 2019, an increase of $30.8 million, or 81%, as compared to $37.9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12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$188.6 million for the year ended December 31, 2019, an increase of $108.7 million, or 136%,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$79.9 million for the year ended December 31, 2018. The increase was primarily due to:</w:t>
      </w:r>
    </w:p>
    <w:p>
      <w:pPr>
        <w:spacing w:after="0" w:line="109" w:lineRule="exact"/>
        <w:rPr>
          <w:sz w:val="20"/>
          <w:szCs w:val="20"/>
          <w:color w:val="auto"/>
        </w:rPr>
      </w:pPr>
    </w:p>
    <w:p>
      <w:pPr>
        <w:jc w:val="both"/>
        <w:ind w:left="640" w:hanging="316"/>
        <w:spacing w:after="0" w:line="304"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87"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$10.6 million, or 153%, to $17.6 million for the year ended December 31, 2019, due to additional amortization expense related to intangible assets acquired in the Zoom Information Acquisition;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0" w:hanging="316"/>
        <w:spacing w:after="0" w:line="252"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3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$102.4 million for the year ended December 31, 2019, an increase of $44.3 million, or 76%,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$58.2 million for the year ended December 31, 2018. The increase was primarily due to additional debt that we incurred to fund the Zoom Information Acquisition, partially offset by decreasing LIBOR rates.</w:t>
      </w:r>
    </w:p>
    <w:p>
      <w:pPr>
        <w:spacing w:after="0" w:line="1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was $18.2 million for the year ended December 31, 2019, related to costs incurred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debt instruments that were repaid in conjunction with the Zoom Information Acquisition in February 2019. There was no loss on debt extinguishment for the year ended December 31, 2018.</w:t>
      </w:r>
    </w:p>
    <w:p>
      <w:pPr>
        <w:spacing w:after="0" w:line="12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$0.0 million for the year ended December 31, 2019, an increase of $0.1 million, or 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$(0.1) million for the year ended December 31, 2018.</w:t>
      </w:r>
    </w:p>
    <w:p>
      <w:pPr>
        <w:spacing w:after="0" w:line="10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Benefit from Income Taxes. </w:t>
      </w:r>
      <w:r>
        <w:rPr>
          <w:rFonts w:ascii="Times New Roman" w:cs="Times New Roman" w:eastAsia="Times New Roman" w:hAnsi="Times New Roman"/>
          <w:sz w:val="18"/>
          <w:szCs w:val="18"/>
          <w:color w:val="auto"/>
        </w:rPr>
        <w:t>Income tax benefit (expense) for the year ended December 31, 2019 was $6.5 million (a 7.7% effective tax rate)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million (a 9.1% effective tax rate) for the year ended December 31, 2018. The decrease in the effective tax rate was primarily due to a decrease in the impact of state taxes.</w:t>
      </w:r>
    </w:p>
    <w:p>
      <w:pPr>
        <w:spacing w:after="0" w:line="12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pro forma results shown above with respect to our revenue and cost of service include amortization of fair value adjustments to acquired intangible assets and fair value adjustments to unearned revenue as if the acquisition had occurred on January 1, 2018.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2020, we had $269.8 million of cash and cash equivalents, $30.6 million of short-term investments, $1.2 million of restricted cash, and $100.0 million available under our first lien revolving credit facility. In February 2021, we entered into an amendment to our first lien credit agreement which increased the aggregate commitments to $250.0 million under our first lien revolving credit facility. We have financed our operations primarily through cash generated from operations and financed various acquisitions through cash generated from operations supplemented with debt offerings.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in the Consolidated Balance Sheets as unearned revenue. Unearned revenue consists of billed fees for our subscriptions, prior to satisfying the criteria for revenue recognition, which are subsequently recognized as revenue in accordance with our revenue recognition policy. As of December 31, 2020, we had unearned revenue of $222.7 million, of which $221.3 million was recorded as a current liability and is expected to be recorded as revenue in the next 12 months, provided all other revenue recognition criteria have been met.</w:t>
      </w:r>
    </w:p>
    <w:p>
      <w:pPr>
        <w:spacing w:after="0" w:line="132"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After the consummation of the Restructuring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“Risk Factors - Risks Related to Our Organizational Structure” in Part I, Item 1A of this Annual Report on Form 10-K.</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8"/>
              </w:rPr>
              <w:t>(113.3)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172.2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8"/>
              </w:rPr>
              <w:t>228.5</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Operating Activities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operations was $169.6 million for the year ended December 31, 2020 as a result of a net loss of $36.4 million, adjusted by non-cash charges of $201.5 million and the change in our operating assets net of operating liabilities of $4.5 million. The non-cash charges are primarily comprised of depreciation and amortization of $50.8 million, equity-based compensation of $121.6 million, loss on early extinguishment of debt of $14.9 million, and amortization of deferred commission costs of $25.1 million, partially offset by tax receivable agreement remeasurement of $15.7 million. The change in operating assets net of operating liabilities was primarily the result of an increase in unearned revenue of $60.1 million and an increase in accrued expenses and other liabilities of $21.9 million, largely offset by an increase in deferred costs and other assets of $40.0 million and an increase in accounts receivable of $32.9 million.</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and an increase in accrued expenses and other liabilities of $18.2 million, partially offset by increases in accounts receivable of $34.5 million and deferred costs and other assets of $27.8 million.</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Restructuring and transaction-related cash costs for the year ended December 31, 2020 primarily related to cash IPO costs and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years ended December 31, 2020, 2019, and 2018, we incurred the following cash expenditures: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280" w:type="dxa"/>
            <w:vAlign w:val="bottom"/>
            <w:tcBorders>
              <w:bottom w:val="single" w:sz="8" w:color="auto"/>
            </w:tcBorders>
          </w:tcPr>
          <w:p>
            <w:pPr>
              <w:spacing w:after="0"/>
              <w:rPr>
                <w:sz w:val="16"/>
                <w:szCs w:val="16"/>
                <w:color w:val="auto"/>
              </w:rPr>
            </w:pPr>
          </w:p>
        </w:tc>
      </w:tr>
      <w:tr>
        <w:trPr>
          <w:trHeight w:val="186"/>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300" w:type="dxa"/>
            <w:vAlign w:val="bottom"/>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66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5"/>
        </w:trPr>
        <w:tc>
          <w:tcPr>
            <w:tcW w:w="63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(a)</w:t>
            </w:r>
          </w:p>
        </w:tc>
        <w:tc>
          <w:tcPr>
            <w:tcW w:w="6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2"/>
                <w:szCs w:val="22"/>
                <w:color w:val="auto"/>
                <w:vertAlign w:val="superscript"/>
              </w:rPr>
              <w:t>(b)</w:t>
            </w:r>
          </w:p>
        </w:tc>
        <w:tc>
          <w:tcPr>
            <w:tcW w:w="6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84"/>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43" w:lineRule="auto"/>
        <w:tabs>
          <w:tab w:leader="none" w:pos="31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acquisition or disposal activities, including employee severance and termination benefits, contract termination fees and penalties, and other exit or disposal costs. For the year ended December 31, 2020, these payments related primarily to the IPO, including professional fees, severance and acceleration of payments for terminated employees, and deferred consideration.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w:t>
      </w:r>
    </w:p>
    <w:p>
      <w:pPr>
        <w:jc w:val="both"/>
        <w:ind w:left="320" w:hanging="314"/>
        <w:spacing w:after="0" w:line="239" w:lineRule="auto"/>
        <w:tabs>
          <w:tab w:leader="none" w:pos="31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integration activities for acquisitions and acquisition-related compensation, which includes transaction bonuses and retention awards. For the year ended December 31, 2020, these payments related primarily to cash vesting payments from the acquisition of Pre-Acquisition ZI.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Annual Report on Form 10-K),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w:t>
      </w:r>
    </w:p>
    <w:p>
      <w:pPr>
        <w:spacing w:after="0" w:line="13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Investing Activities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2020 was $113.3 million, consisting of cash paid for acquisitions of $65.9 million, purchases of short-term investments of $30.6 million, and purchases of property and equipment and other assets of $16.8 million.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2019 was $736.7 million, primarily as a result of cash paid for acquisitions of $723.1 million and purchases of property and equipment and other assets of $13.6 million.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2018 was $13.1 million, primarily as a result of cash payments for the acquisition of NeverBounce of $8.5 million and purchases of property and equipment and other assets of $4.6 million.</w:t>
      </w:r>
    </w:p>
    <w:p>
      <w:pPr>
        <w:spacing w:after="0" w:line="110" w:lineRule="exact"/>
        <w:rPr>
          <w:sz w:val="20"/>
          <w:szCs w:val="20"/>
          <w:color w:val="auto"/>
        </w:rPr>
      </w:pPr>
    </w:p>
    <w:p>
      <w:pPr>
        <w:ind w:right="180" w:firstLine="318"/>
        <w:spacing w:after="0" w:line="430" w:lineRule="auto"/>
        <w:rPr>
          <w:sz w:val="20"/>
          <w:szCs w:val="20"/>
          <w:color w:val="auto"/>
        </w:rPr>
      </w:pPr>
      <w:r>
        <w:rPr>
          <w:rFonts w:ascii="Times New Roman" w:cs="Times New Roman" w:eastAsia="Times New Roman" w:hAnsi="Times New Roman"/>
          <w:sz w:val="18"/>
          <w:szCs w:val="18"/>
          <w:color w:val="auto"/>
        </w:rPr>
        <w:t xml:space="preserve">As we continue to grow and invest in our business, we expect to continue to invest in property and equipment and opportunistically pursue acquisitions. </w:t>
      </w:r>
      <w:r>
        <w:rPr>
          <w:rFonts w:ascii="Times New Roman" w:cs="Times New Roman" w:eastAsia="Times New Roman" w:hAnsi="Times New Roman"/>
          <w:sz w:val="18"/>
          <w:szCs w:val="18"/>
          <w:i w:val="1"/>
          <w:iCs w:val="1"/>
          <w:color w:val="auto"/>
        </w:rPr>
        <w:t>Cash Flows from (used in) Financing Activities</w:t>
      </w: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provided from financing activities for the year ended December 31, 2020 was $172.2 million, primarily consisting of the IPO proceeds, net of the underwriters discount, of $1,023.7 million, proceeds from debt of $35.0 million, partially offset by the redemption of Series A Preferred Units of $274.2 million, repayment of debt of $510.9 million, purchase of OpCo Units from Pre-IPO OpCo Unitholders for $47.2 million, payments of deferred consideration of $24.7 million, payment of IPO issuance costs of $7.2 million, and tax distributions to equity partners of $9.9 million.</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provided from financing activities for year ended December 31, 2019 was $725.8 million, primarily as a result of the issuance of new debt of $1,220.8 million and the Series A Preferred Unit issuance of $200.2 million, partially offset by payments on long-term debt of $649.8 million, payment of debt issuance costs of $16.7 million, and tax distributions to equity partners of $16.5 million.</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financing activities for year ended December 31, 2018 was $29.9 million, primarily as a result of distributions to equity partners of $93.4 million, partially offset by the issuance of new debt of $67.3 million.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8 - Financing Arrangements of our consolidated financial statements included elsewhere in this Annual Report on Form 10-K for additional information related to each of our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2020, the aggregate remaining balance of $756.4 million of first lien term loans is due, in its entirety, at the contractual maturity date of February 1, 2026, which represents the only existing required future debt principal repayment obligations that will require future uses of the Company’s cash.</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first lien debt has a variable interest rate whereby the Company can elect to use a Base Rate or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December 31, 2020, $756.4 million aggregate principal amount of term loans were outstanding under the First Lien Credit Agreement. The interest related portion of the repayment was recorded within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its Consolidated Statements of Operations, and represented use of cash from operating activities in the Consolidated Statements of Cash Flows. The quarterly repayment requirement on first lien borrowings has been satisfied for the remainder of the term after the $100.0 million principal payment. The effective interest rate on the first lien debt was 4.3% and 7.5% as of December 31, 2020 and December 31, 2019, respectively.</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see table below for reconciliation. Credit Agreement EBITDA for the 12 months ended December 31, 2020 was $291.5 million. Our consolidated first lien net leverage ratio as of December 31, 2020 was 1.9x.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Trailing Twelve Months as of</w:t>
            </w:r>
          </w:p>
        </w:tc>
      </w:tr>
      <w:tr>
        <w:trPr>
          <w:trHeight w:val="191"/>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5"/>
        </w:trPr>
        <w:tc>
          <w:tcPr>
            <w:tcW w:w="84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2"/>
                <w:szCs w:val="22"/>
                <w:color w:val="auto"/>
                <w:vertAlign w:val="superscript"/>
              </w:rPr>
              <w:t>(a)</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5"/>
        </w:trPr>
        <w:tc>
          <w:tcPr>
            <w:tcW w:w="840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(b)</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5"/>
        </w:trPr>
        <w:tc>
          <w:tcPr>
            <w:tcW w:w="840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Restructuring and transaction related expenses</w:t>
            </w:r>
            <w:r>
              <w:rPr>
                <w:rFonts w:ascii="Times New Roman" w:cs="Times New Roman" w:eastAsia="Times New Roman" w:hAnsi="Times New Roman"/>
                <w:sz w:val="22"/>
                <w:szCs w:val="22"/>
                <w:color w:val="auto"/>
                <w:vertAlign w:val="superscript"/>
              </w:rPr>
              <w:t>(c)</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84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Integration costs and acquisition-related expenses</w:t>
            </w:r>
            <w:r>
              <w:rPr>
                <w:rFonts w:ascii="Times New Roman" w:cs="Times New Roman" w:eastAsia="Times New Roman" w:hAnsi="Times New Roman"/>
                <w:sz w:val="22"/>
                <w:szCs w:val="22"/>
                <w:color w:val="auto"/>
                <w:vertAlign w:val="superscript"/>
              </w:rPr>
              <w:t>(d)</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forma cost savings</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rent adjustment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tc>
        <w:tc>
          <w:tcPr>
            <w:tcW w:w="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EBITDA</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jc w:val="both"/>
        <w:ind w:left="320" w:hanging="314"/>
        <w:spacing w:after="0" w:line="242" w:lineRule="auto"/>
        <w:tabs>
          <w:tab w:leader="none" w:pos="3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44" w:lineRule="auto"/>
        <w:tabs>
          <w:tab w:leader="none" w:pos="3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2020, this expense related primarily to professional fees for the preparation for an initial public offering and deferred acquisition cost revaluations.</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42" w:lineRule="auto"/>
        <w:tabs>
          <w:tab w:leader="none" w:pos="31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year ended December 31, 2020,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Year Ended December</w:t>
            </w:r>
          </w:p>
        </w:tc>
      </w:tr>
      <w:tr>
        <w:trPr>
          <w:trHeight w:val="186"/>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231"/>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5"/>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5"/>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5"/>
        </w:trPr>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2021, ZoomInfo Technologies LLC and ZoomInfo Finance Corp., indirect subsidiaries of ZoomInfo Technologies Inc., completed an offering of $350.0 million in aggregate principal amount of 3.875% senior notes due 2029. We used all of the net proceeds, along with cash on hand, to consummate the Debt Prepayment.. Following the Debt Prepayment, as of February 2, 2021, $400.0 million aggregate principal amount of first lien term loans were outstanding under our first lien credit agreement.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2021, ZoomInfo LLC entered into an amendment to our first lien credit agreement, pursuant to which, among other things, there will be (i) an increase in the aggregate commitments to $250.0 million under our first lien revolving credit facility, (ii) the addition of the ZoomInfo Technologies LLC as a co-borrower, (iii) the repricing of our first lien term loan facility and first lien revolving credit facility and (iv) an extension of the maturity date of our first lien revolving credit facility to November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Capital expenditures increased by $3.2 million, or 24%, to $16.8 million in the year ended December 31, 2020 compared to the year ended December 31, 2019. The increase reflects increased capital expenditures to support the larger company and greater capitalization of internal development costs.</w:t>
      </w:r>
    </w:p>
    <w:p>
      <w:pPr>
        <w:spacing w:after="0" w:line="11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8"/>
          <w:szCs w:val="18"/>
          <w:color w:val="auto"/>
        </w:rPr>
        <w:t>Capital expenditures increased by $9.0 million, or 196%, to $13.6 million in the year ended December 31, 2019 compared to the year ended December 31, 2018. The increase reflects increased capital expenditures to support the larger company and greater capitalization of internal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w:t>
      </w:r>
    </w:p>
    <w:p>
      <w:pPr>
        <w:spacing w:after="0" w:line="195" w:lineRule="exact"/>
        <w:rPr>
          <w:sz w:val="20"/>
          <w:szCs w:val="20"/>
          <w:color w:val="auto"/>
        </w:rPr>
      </w:pPr>
    </w:p>
    <w:p>
      <w:pPr>
        <w:jc w:val="both"/>
        <w:ind w:firstLine="6"/>
        <w:spacing w:after="0" w:line="263" w:lineRule="auto"/>
        <w:tabs>
          <w:tab w:leader="none" w:pos="26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 (together with a corresponding number of shares of Class B common stock) for shares of Class A common stock on December 31, 2020) is approximately $295.2 million (assuming a price of $48.23 per share of Class A common stock, which is the last reported sale price of our Class A common stock on the Nasdaq on December 31, 2020). The payments under the tax receivable agreements are not conditioned upon continued ownership of us by the exchanging holders of OpCo Units. See Note 18 to our audited consolidated financial statements included in Part II Item 8 of this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2020 and the years in which these obligations are due: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one year</w:t>
            </w: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One to three years</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to five years</w:t>
            </w:r>
          </w:p>
        </w:tc>
        <w:tc>
          <w:tcPr>
            <w:tcW w:w="120" w:type="dxa"/>
            <w:vAlign w:val="bottom"/>
          </w:tcPr>
          <w:p>
            <w:pPr>
              <w:spacing w:after="0"/>
              <w:rPr>
                <w:sz w:val="11"/>
                <w:szCs w:val="11"/>
                <w:color w:val="auto"/>
              </w:rPr>
            </w:pPr>
          </w:p>
        </w:tc>
        <w:tc>
          <w:tcPr>
            <w:tcW w:w="1180" w:type="dxa"/>
            <w:vAlign w:val="bottom"/>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w w:val="98"/>
              </w:rPr>
              <w:t>Greater than five</w:t>
            </w: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8"/>
        </w:trPr>
        <w:tc>
          <w:tcPr>
            <w:tcW w:w="432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Long-term indebtedness</w:t>
            </w:r>
            <w:r>
              <w:rPr>
                <w:rFonts w:ascii="Times New Roman" w:cs="Times New Roman" w:eastAsia="Times New Roman" w:hAnsi="Times New Roman"/>
                <w:sz w:val="22"/>
                <w:szCs w:val="22"/>
                <w:color w:val="auto"/>
                <w:vertAlign w:val="superscript"/>
              </w:rPr>
              <w:t>(1)</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Deferred or contingent consideration</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2"/>
                <w:szCs w:val="22"/>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20" w:hanging="314"/>
        <w:spacing w:after="0"/>
        <w:tabs>
          <w:tab w:leader="none" w:pos="3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future principal payments on long-term indebtedness through the scheduled maturity dates thereof. Indebtedness is discussed in Note 8 - Financing Arrangements to our consolidated financial statements included elsewhere in this Annual Report on Form 10-K.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spacing w:after="0" w:line="153" w:lineRule="exact"/>
        <w:rPr>
          <w:rFonts w:ascii="Times New Roman" w:cs="Times New Roman" w:eastAsia="Times New Roman" w:hAnsi="Times New Roman"/>
          <w:sz w:val="14"/>
          <w:szCs w:val="14"/>
          <w:color w:val="auto"/>
        </w:rPr>
      </w:pPr>
    </w:p>
    <w:p>
      <w:pPr>
        <w:ind w:left="320" w:hanging="314"/>
        <w:spacing w:after="0" w:line="237" w:lineRule="auto"/>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future payments on existing operating leases through the scheduled expiration dates thereof. This amount excludes lease agreements executed after December 31, 2020.</w:t>
      </w:r>
    </w:p>
    <w:p>
      <w:pPr>
        <w:jc w:val="both"/>
        <w:ind w:left="320" w:hanging="314"/>
        <w:spacing w:after="0" w:line="237" w:lineRule="auto"/>
        <w:tabs>
          <w:tab w:leader="none" w:pos="3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deferred consideration related to the Zoom Information Acquisition and contingent consideration related to the Komiko acquisitions at non-discounted, currently estimated payout amounts. Acquisitions and related deferred or contingent consideration are discussed in Note 4 - Business Combinations to our consolidated financial statements included elsewhere in this Annual Report on Form 10-K. Estimated contingent consideration is subject to change depending on results of factors each is based on.</w:t>
      </w:r>
    </w:p>
    <w:p>
      <w:pPr>
        <w:ind w:left="320" w:hanging="314"/>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third-party cloud hosting and software as a service arrangements.</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2020, there were “no off-balance sheet arrangements,” as defined in Item 303(a)(4)(ii)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circumstances, however, the preparation of consolidated financial statements in conformity with U.S.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 Basis of Presentation and Summary of Significant Accounting Policies, we believe the following topics reflect our critical accounting policies and our more significant judgment and estimates used in the preparation of our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non-cancellable. We typically bill for services annually, semi-annually or quarterly in advance of delivery.</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account for revenue contracts with customers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reduces revenue recognized.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Historically, the Company has issued profits interests to employees and officers with a return threshold that is set based on the fair value of the Company, as determined by the board of directors.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25" w:lineRule="exact"/>
        <w:rPr>
          <w:sz w:val="20"/>
          <w:szCs w:val="20"/>
          <w:color w:val="auto"/>
        </w:rPr>
      </w:pPr>
    </w:p>
    <w:p>
      <w:pPr>
        <w:ind w:left="6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 The expected life represents the period of time that the equity-based awards are expected to remain outstanding, giving consideration to vesting schedules and forfeiture patterns.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The volatility is based on the historical volatility of the stock prices for comparable companies with a look-back period consistent with the expected life.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The dividend yield is assumed to be zero.</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 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 2019. The modified fair value of these incentive units is based on the Company’s underlying common unit equivalent.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Goodwill is calculated as the excess of the purchase consideration paid in a business combination over the fair value of the assets acquired less liabilities assumed. Goodwill is not amortized, but instead is assigned to each of the Company’s reporting units and is tested for impairment at least annually or when events and circumstances indicate that fair value of a reporting unit may be below its carrying value. The Company has one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Acquired intangible assets determined to have definite lives are amortized on a straight-line basis over the estimated period over which we expect to realize economic value related to the intangible asset. The amortization periods range from two years to 15 years. Acquired intangible assets determined to have indefinite lives are not amortized, but rather tested for impairment annually, or more often if and when events or circumstances indicate that the carrying value may not be recoverable.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two Tax Receivable Agreements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2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such, subsequent changes to the measurement of the TRA liability are recognized in the statements of income as a component of other income (expense), net. As of December 31, 2020, the Company had a liability of $271.0 million related to its projected obligations under the Tax Receivable Agreements in connection with the Reorganization Transactions and OpCo units exchanged. For the year ended December 31, 2020, we recognized a TRA remeasurement gain of $15.7 million. See Note 18 - Tax Receivable Agreements for further details on the TRA liability.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is a corporation and is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However, ZoomInfo Holdings is subject to the Texas Margins Tax. Additionally, our operations in Israel are subject to local country income taxes. See Note 19 - Income Taxes for additional information regarding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2 - Basis of Presentation and Summary of Significant Accounting Policies of our consolidated financial statements included in Item 8 of this Form 10-K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operating results are subject to market risk from interest rate fluctuations on our first lien term loan, which bears a variable interest rate based on LIBOR. As of December 31, 2020, the total principal balance outstanding was $756.4 million. We have implemented a hedging strategy to mitigate the interest rate risk by entering into certain derivative instruments (refer to Note 8 of our consolidated financial statements included in Part II, Item 8 of this Form 10-K). Based on the outstanding balances and interest rates of our debt as of December 31, 2020, a hypothetical relative increase or decrease in our effective interest rate by 100 basis points or 1% would have caused a corresponding change in interest expense of approximately $4.1 million over the next 12 months.</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February 2021, ZoomInfo made the Debt Prepayment bringing the aggregate principal balance of our variable rate first lien term loans to $400.0 million outstanding. Our existing derivatives designated as hedges effectively mitigate the interest rate risk on the interest payments on $350.0 million of the $400.0 million aggregate principal outstanding over the next 12 months. After giving effect to the Debt Prepayment and the first lien term loans amendments in February of 2021, a hypothetical relative increase or decrease in our effective interest rate by 100 basis points or 1% would not have a material effect on our interest expense over 12 months. Refer to Note 20 - Subsequent Events of our consolidated financial statements included in Item 8 of this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1560" w:type="dxa"/>
            <w:vAlign w:val="bottom"/>
          </w:tcPr>
          <w:p>
            <w:pPr>
              <w:spacing w:after="0"/>
              <w:rPr>
                <w:sz w:val="20"/>
                <w:szCs w:val="20"/>
                <w:color w:val="auto"/>
              </w:rPr>
            </w:pPr>
          </w:p>
        </w:tc>
      </w:tr>
      <w:tr>
        <w:trPr>
          <w:trHeight w:val="371"/>
        </w:trPr>
        <w:tc>
          <w:tcPr>
            <w:tcW w:w="93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60" w:type="dxa"/>
            <w:vAlign w:val="bottom"/>
          </w:tcPr>
          <w:p>
            <w:pPr>
              <w:spacing w:after="0"/>
              <w:rPr>
                <w:sz w:val="24"/>
                <w:szCs w:val="24"/>
                <w:color w:val="auto"/>
              </w:rPr>
            </w:pPr>
          </w:p>
        </w:tc>
      </w:tr>
      <w:tr>
        <w:trPr>
          <w:trHeight w:val="411"/>
        </w:trPr>
        <w:tc>
          <w:tcPr>
            <w:tcW w:w="9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ZoomInfo Technologies Inc. and Subsidiaries</w:t>
            </w:r>
          </w:p>
        </w:tc>
        <w:tc>
          <w:tcPr>
            <w:tcW w:w="1560" w:type="dxa"/>
            <w:vAlign w:val="bottom"/>
          </w:tcPr>
          <w:p>
            <w:pPr>
              <w:spacing w:after="0"/>
              <w:rPr>
                <w:sz w:val="24"/>
                <w:szCs w:val="24"/>
                <w:color w:val="auto"/>
              </w:rPr>
            </w:pPr>
          </w:p>
        </w:tc>
      </w:tr>
      <w:tr>
        <w:trPr>
          <w:trHeight w:val="484"/>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Report of Independent Registered Public Accounting Firm</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3051F2"/>
              </w:rPr>
            </w:pPr>
            <w:hyperlink w:anchor="page98">
              <w:r>
                <w:rPr>
                  <w:rFonts w:ascii="Times New Roman" w:cs="Times New Roman" w:eastAsia="Times New Roman" w:hAnsi="Times New Roman"/>
                  <w:sz w:val="18"/>
                  <w:szCs w:val="18"/>
                  <w:u w:val="single" w:color="auto"/>
                  <w:color w:val="3051F2"/>
                </w:rPr>
                <w:t>90</w:t>
              </w:r>
            </w:hyperlink>
          </w:p>
        </w:tc>
      </w:tr>
      <w:tr>
        <w:trPr>
          <w:trHeight w:val="225"/>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98">
              <w:r>
                <w:rPr>
                  <w:rFonts w:ascii="Times New Roman" w:cs="Times New Roman" w:eastAsia="Times New Roman" w:hAnsi="Times New Roman"/>
                  <w:sz w:val="18"/>
                  <w:szCs w:val="18"/>
                  <w:u w:val="single" w:color="auto"/>
                  <w:color w:val="0000FF"/>
                </w:rPr>
                <w:t>Consolidated Balance Sheets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3051F2"/>
              </w:rPr>
            </w:pPr>
            <w:hyperlink w:anchor="page98">
              <w:r>
                <w:rPr>
                  <w:rFonts w:ascii="Times New Roman" w:cs="Times New Roman" w:eastAsia="Times New Roman" w:hAnsi="Times New Roman"/>
                  <w:sz w:val="18"/>
                  <w:szCs w:val="18"/>
                  <w:u w:val="single" w:color="auto"/>
                  <w:color w:val="3051F2"/>
                </w:rPr>
                <w:t>91</w:t>
              </w:r>
            </w:hyperlink>
          </w:p>
        </w:tc>
      </w:tr>
      <w:tr>
        <w:trPr>
          <w:trHeight w:val="225"/>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Consolidated Statements of Operations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3051F2"/>
              </w:rPr>
            </w:pPr>
            <w:hyperlink w:anchor="page99">
              <w:r>
                <w:rPr>
                  <w:rFonts w:ascii="Times New Roman" w:cs="Times New Roman" w:eastAsia="Times New Roman" w:hAnsi="Times New Roman"/>
                  <w:sz w:val="18"/>
                  <w:szCs w:val="18"/>
                  <w:u w:val="single" w:color="auto"/>
                  <w:color w:val="3051F2"/>
                </w:rPr>
                <w:t>92</w:t>
              </w:r>
            </w:hyperlink>
          </w:p>
        </w:tc>
      </w:tr>
      <w:tr>
        <w:trPr>
          <w:trHeight w:val="225"/>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Consolidated Statements of Comprehensive Income (Loss)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3051F2"/>
              </w:rPr>
            </w:pPr>
            <w:hyperlink w:anchor="page100">
              <w:r>
                <w:rPr>
                  <w:rFonts w:ascii="Times New Roman" w:cs="Times New Roman" w:eastAsia="Times New Roman" w:hAnsi="Times New Roman"/>
                  <w:sz w:val="18"/>
                  <w:szCs w:val="18"/>
                  <w:u w:val="single" w:color="auto"/>
                  <w:color w:val="3051F2"/>
                </w:rPr>
                <w:t>93</w:t>
              </w:r>
            </w:hyperlink>
          </w:p>
        </w:tc>
      </w:tr>
      <w:tr>
        <w:trPr>
          <w:trHeight w:val="225"/>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Consolidated Statements of Changes in Equity (Deficit)</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3051F2"/>
              </w:rPr>
            </w:pPr>
            <w:hyperlink w:anchor="page101">
              <w:r>
                <w:rPr>
                  <w:rFonts w:ascii="Times New Roman" w:cs="Times New Roman" w:eastAsia="Times New Roman" w:hAnsi="Times New Roman"/>
                  <w:sz w:val="18"/>
                  <w:szCs w:val="18"/>
                  <w:u w:val="single" w:color="auto"/>
                  <w:color w:val="3051F2"/>
                </w:rPr>
                <w:t>94</w:t>
              </w:r>
            </w:hyperlink>
          </w:p>
        </w:tc>
      </w:tr>
      <w:tr>
        <w:trPr>
          <w:trHeight w:val="225"/>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Consolidated Statements of Cash Flows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3051F2"/>
              </w:rPr>
            </w:pPr>
            <w:hyperlink w:anchor="page103">
              <w:r>
                <w:rPr>
                  <w:rFonts w:ascii="Times New Roman" w:cs="Times New Roman" w:eastAsia="Times New Roman" w:hAnsi="Times New Roman"/>
                  <w:sz w:val="18"/>
                  <w:szCs w:val="18"/>
                  <w:u w:val="single" w:color="auto"/>
                  <w:color w:val="3051F2"/>
                </w:rPr>
                <w:t>96</w:t>
              </w:r>
            </w:hyperlink>
          </w:p>
        </w:tc>
      </w:tr>
      <w:tr>
        <w:trPr>
          <w:trHeight w:val="231"/>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Notes to Consolidated Financial Statements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3051F2"/>
              </w:rPr>
            </w:pPr>
            <w:hyperlink w:anchor="page104">
              <w:r>
                <w:rPr>
                  <w:rFonts w:ascii="Times New Roman" w:cs="Times New Roman" w:eastAsia="Times New Roman" w:hAnsi="Times New Roman"/>
                  <w:sz w:val="18"/>
                  <w:szCs w:val="18"/>
                  <w:u w:val="single" w:color="auto"/>
                  <w:color w:val="3051F2"/>
                </w:rPr>
                <w:t>97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ZoomInfo Technologies Inc. and subsidiaries (the Company) as of December 31, 2020, and 2019, the related consolidated statements of operations, comprehensive income (loss), changes in equity (deficit),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discussed in Note 15 to the consolidated financial statements, the Company has changed its method of accounting for leases as of January 1, 2019 due to the adoption of Accounting Standards Codification Topic 842,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 KPMG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3"/>
        </w:trPr>
        <w:tc>
          <w:tcPr>
            <w:tcW w:w="8020" w:type="dxa"/>
            <w:vAlign w:val="bottom"/>
          </w:tcPr>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4"/>
        </w:trPr>
        <w:tc>
          <w:tcPr>
            <w:tcW w:w="8020" w:type="dxa"/>
            <w:vAlign w:val="bottom"/>
          </w:tcPr>
          <w:p>
            <w:pPr>
              <w:jc w:val="center"/>
              <w:ind w:left="3149"/>
              <w:spacing w:after="0"/>
              <w:rPr>
                <w:sz w:val="20"/>
                <w:szCs w:val="20"/>
                <w:color w:val="auto"/>
              </w:rPr>
            </w:pPr>
            <w:r>
              <w:rPr>
                <w:rFonts w:ascii="Times New Roman" w:cs="Times New Roman" w:eastAsia="Times New Roman" w:hAnsi="Times New Roman"/>
                <w:sz w:val="14"/>
                <w:szCs w:val="14"/>
                <w:b w:val="1"/>
                <w:bCs w:val="1"/>
                <w:color w:val="auto"/>
              </w:rPr>
              <w:t>ZoomInfo Technologies Inc.</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20" w:type="dxa"/>
            <w:vAlign w:val="bottom"/>
          </w:tcPr>
          <w:p>
            <w:pPr>
              <w:jc w:val="center"/>
              <w:ind w:left="314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tcPr>
          <w:p>
            <w:pPr>
              <w:jc w:val="center"/>
              <w:ind w:left="3149"/>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data)</w:t>
            </w:r>
          </w:p>
        </w:tc>
        <w:tc>
          <w:tcPr>
            <w:tcW w:w="1000" w:type="dxa"/>
            <w:vAlign w:val="bottom"/>
          </w:tcPr>
          <w:p>
            <w:pPr>
              <w:spacing w:after="0"/>
              <w:rPr>
                <w:sz w:val="16"/>
                <w:szCs w:val="16"/>
                <w:color w:val="auto"/>
              </w:rPr>
            </w:pPr>
          </w:p>
        </w:tc>
        <w:tc>
          <w:tcPr>
            <w:tcW w:w="1160" w:type="dxa"/>
            <w:vAlign w:val="bottom"/>
            <w:gridSpan w:val="3"/>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costs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receivable</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8"/>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0" w:type="dxa"/>
            <w:vAlign w:val="bottom"/>
          </w:tcPr>
          <w:p>
            <w:pPr>
              <w:spacing w:after="0"/>
              <w:rPr>
                <w:sz w:val="1"/>
                <w:szCs w:val="1"/>
                <w:color w:val="auto"/>
              </w:rPr>
            </w:pPr>
          </w:p>
        </w:tc>
      </w:tr>
      <w:tr>
        <w:trPr>
          <w:trHeight w:val="74"/>
        </w:trPr>
        <w:tc>
          <w:tcPr>
            <w:tcW w:w="80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w:t>
            </w: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assets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costs and other assets, net of current portion</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0"/>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1,561.9</w:t>
            </w:r>
          </w:p>
        </w:tc>
        <w:tc>
          <w:tcPr>
            <w:tcW w:w="0" w:type="dxa"/>
            <w:vAlign w:val="bottom"/>
          </w:tcPr>
          <w:p>
            <w:pPr>
              <w:spacing w:after="0"/>
              <w:rPr>
                <w:sz w:val="1"/>
                <w:szCs w:val="1"/>
                <w:color w:val="auto"/>
              </w:rPr>
            </w:pPr>
          </w:p>
        </w:tc>
      </w:tr>
      <w:tr>
        <w:trPr>
          <w:trHeight w:val="84"/>
        </w:trPr>
        <w:tc>
          <w:tcPr>
            <w:tcW w:w="80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Temporary, and Permanent Equity (Deficit)</w:t>
            </w:r>
          </w:p>
        </w:tc>
        <w:tc>
          <w:tcPr>
            <w:tcW w:w="10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Unearned revenue, current portion</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5"/>
        </w:trPr>
        <w:tc>
          <w:tcPr>
            <w:tcW w:w="8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8"/>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10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74"/>
        </w:trPr>
        <w:tc>
          <w:tcPr>
            <w:tcW w:w="80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Unearned revenue, net of current portion</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agreements liability, net of current portion</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1,194.6</w:t>
            </w: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78"/>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1,575.5</w:t>
            </w:r>
          </w:p>
        </w:tc>
        <w:tc>
          <w:tcPr>
            <w:tcW w:w="0" w:type="dxa"/>
            <w:vAlign w:val="bottom"/>
          </w:tcPr>
          <w:p>
            <w:pPr>
              <w:spacing w:after="0"/>
              <w:rPr>
                <w:sz w:val="1"/>
                <w:szCs w:val="1"/>
                <w:color w:val="auto"/>
              </w:rPr>
            </w:pPr>
          </w:p>
        </w:tc>
      </w:tr>
      <w:tr>
        <w:trPr>
          <w:trHeight w:val="74"/>
        </w:trPr>
        <w:tc>
          <w:tcPr>
            <w:tcW w:w="80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Units</w:t>
            </w:r>
          </w:p>
        </w:tc>
        <w:tc>
          <w:tcPr>
            <w:tcW w:w="10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0" w:type="dxa"/>
            <w:vAlign w:val="bottom"/>
          </w:tcPr>
          <w:p>
            <w:pPr>
              <w:spacing w:after="0"/>
              <w:rPr>
                <w:sz w:val="1"/>
                <w:szCs w:val="1"/>
                <w:color w:val="auto"/>
              </w:rPr>
            </w:pPr>
          </w:p>
        </w:tc>
      </w:tr>
      <w:tr>
        <w:trPr>
          <w:trHeight w:val="16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10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Equity (Deficit)</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Members' equity (deficit)</w:t>
            </w:r>
          </w:p>
        </w:tc>
        <w:tc>
          <w:tcPr>
            <w:tcW w:w="10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4"/>
                <w:szCs w:val="14"/>
                <w:color w:val="auto"/>
              </w:rPr>
              <w:t>Preferred stock, par value $0.01; 200,000,000 shares authorized, 0 and 0 issued and outstanding as of December 31, 2020 and 2019,</w:t>
            </w:r>
          </w:p>
        </w:tc>
        <w:tc>
          <w:tcPr>
            <w:tcW w:w="10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10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Class A common stock, par value $0.01; 2,500,000,000 shares authorized, 87,697,381 and 0 issued and outstanding as of December 31,</w:t>
            </w:r>
          </w:p>
        </w:tc>
        <w:tc>
          <w:tcPr>
            <w:tcW w:w="10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2020 and 2019, respectively</w:t>
            </w:r>
          </w:p>
        </w:tc>
        <w:tc>
          <w:tcPr>
            <w:tcW w:w="10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4"/>
                <w:szCs w:val="14"/>
                <w:color w:val="auto"/>
              </w:rPr>
              <w:t>Class B common stock, par value $0.01; 500,000,000 shares authorized, 216,652,704 and 0 issued and outstanding as of December 31,</w:t>
            </w:r>
          </w:p>
        </w:tc>
        <w:tc>
          <w:tcPr>
            <w:tcW w:w="10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2020 and 2019, respectively</w:t>
            </w:r>
          </w:p>
        </w:tc>
        <w:tc>
          <w:tcPr>
            <w:tcW w:w="10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Class C common stock, par value $0.01; 300,000,000 shares authorized, 86,123,230 and 0 issued and outstanding as of December 31,</w:t>
            </w:r>
          </w:p>
        </w:tc>
        <w:tc>
          <w:tcPr>
            <w:tcW w:w="10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2020 and 2019, respectively</w:t>
            </w:r>
          </w:p>
        </w:tc>
        <w:tc>
          <w:tcPr>
            <w:tcW w:w="10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 (deficit)</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0" w:type="dxa"/>
            <w:vAlign w:val="bottom"/>
          </w:tcPr>
          <w:p>
            <w:pPr>
              <w:spacing w:after="0"/>
              <w:rPr>
                <w:sz w:val="1"/>
                <w:szCs w:val="1"/>
                <w:color w:val="auto"/>
              </w:rPr>
            </w:pPr>
          </w:p>
        </w:tc>
      </w:tr>
      <w:tr>
        <w:trPr>
          <w:trHeight w:val="74"/>
        </w:trPr>
        <w:tc>
          <w:tcPr>
            <w:tcW w:w="8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 temporary, and permanent equity (deficit)</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(2)</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 related expenses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52"/>
        </w:trPr>
        <w:tc>
          <w:tcPr>
            <w:tcW w:w="636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Less: Net income (loss) attributable to ZoomInfo OpCo prior to the Reorganization</w:t>
            </w:r>
          </w:p>
        </w:tc>
        <w:tc>
          <w:tcPr>
            <w:tcW w:w="10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10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 Inc.</w:t>
            </w:r>
          </w:p>
        </w:tc>
        <w:tc>
          <w:tcPr>
            <w:tcW w:w="102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income (loss) per share of Class A and Class C common stock</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6"/>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tcPr>
          <w:p>
            <w:pPr>
              <w:spacing w:after="0"/>
              <w:rPr>
                <w:sz w:val="23"/>
                <w:szCs w:val="23"/>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4" w:lineRule="exact"/>
        <w:rPr>
          <w:sz w:val="20"/>
          <w:szCs w:val="20"/>
          <w:color w:val="auto"/>
        </w:rPr>
      </w:pPr>
    </w:p>
    <w:p>
      <w:pPr>
        <w:jc w:val="both"/>
        <w:ind w:left="320" w:hanging="314"/>
        <w:spacing w:after="0" w:line="237" w:lineRule="auto"/>
        <w:tabs>
          <w:tab w:leader="none" w:pos="3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(loss) per share of Class A and Class C common stock is applicable only for the period from June 4, 2020 through December 31, 2020, which is the period following the initial public offering ("IPO") and related Reorganization Transactions (as defined in Note 1 to the Consolidated Financial Statements). See Note 14 for the number of shares used in the computation of net income (loss) per share of Class A and Class C common stock and the basis for the computation of net income (loss) per share.</w:t>
      </w:r>
    </w:p>
    <w:p>
      <w:pPr>
        <w:ind w:left="320" w:hanging="314"/>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equity-based compensation expense, as follows: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31"/>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loss (gain) on settlement of cash flow hedges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 Swap</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effect</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72"/>
        </w:trPr>
        <w:tc>
          <w:tcPr>
            <w:tcW w:w="636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Less: Comprehensive income attributable to ZoomInfo OpCo prior to the</w:t>
            </w:r>
          </w:p>
        </w:tc>
        <w:tc>
          <w:tcPr>
            <w:tcW w:w="10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10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ZoomInfo Technologies Inc.</w:t>
            </w: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2"/>
          <w:szCs w:val="12"/>
          <w:b w:val="1"/>
          <w:bCs w:val="1"/>
          <w:color w:val="auto"/>
        </w:rPr>
        <w:t>ZoomInfo</w:t>
      </w:r>
    </w:p>
    <w:p>
      <w:pPr>
        <w:jc w:val="center"/>
        <w:ind w:left="900"/>
        <w:spacing w:after="0" w:line="207" w:lineRule="auto"/>
        <w:rPr>
          <w:sz w:val="20"/>
          <w:szCs w:val="20"/>
          <w:color w:val="auto"/>
        </w:rPr>
      </w:pPr>
      <w:r>
        <w:rPr>
          <w:rFonts w:ascii="Times New Roman" w:cs="Times New Roman" w:eastAsia="Times New Roman" w:hAnsi="Times New Roman"/>
          <w:sz w:val="12"/>
          <w:szCs w:val="12"/>
          <w:b w:val="1"/>
          <w:bCs w:val="1"/>
          <w:color w:val="auto"/>
        </w:rPr>
        <w:t>Holdings LLC</w:t>
      </w:r>
    </w:p>
    <w:p>
      <w:pPr>
        <w:jc w:val="center"/>
        <w:ind w:left="900"/>
        <w:spacing w:after="0" w:line="207" w:lineRule="auto"/>
        <w:rPr>
          <w:sz w:val="20"/>
          <w:szCs w:val="20"/>
          <w:color w:val="auto"/>
        </w:rPr>
      </w:pPr>
      <w:r>
        <w:rPr>
          <w:rFonts w:ascii="Times New Roman" w:cs="Times New Roman" w:eastAsia="Times New Roman" w:hAnsi="Times New Roman"/>
          <w:sz w:val="12"/>
          <w:szCs w:val="12"/>
          <w:b w:val="1"/>
          <w:bCs w:val="1"/>
          <w:color w:val="auto"/>
        </w:rPr>
        <w:t>(Prior to</w:t>
      </w:r>
    </w:p>
    <w:p>
      <w:pPr>
        <w:jc w:val="center"/>
        <w:ind w:left="900"/>
        <w:spacing w:after="0" w:line="208" w:lineRule="auto"/>
        <w:rPr>
          <w:sz w:val="20"/>
          <w:szCs w:val="20"/>
          <w:color w:val="auto"/>
        </w:rPr>
      </w:pPr>
      <w:r>
        <w:rPr>
          <w:rFonts w:ascii="Times New Roman" w:cs="Times New Roman" w:eastAsia="Times New Roman" w:hAnsi="Times New Roman"/>
          <w:sz w:val="12"/>
          <w:szCs w:val="12"/>
          <w:b w:val="1"/>
          <w:bCs w:val="1"/>
          <w:color w:val="auto"/>
        </w:rPr>
        <w:t>Reorganization</w:t>
      </w:r>
    </w:p>
    <w:p>
      <w:pPr>
        <w:jc w:val="center"/>
        <w:ind w:left="900"/>
        <w:spacing w:after="0"/>
        <w:rPr>
          <w:sz w:val="20"/>
          <w:szCs w:val="20"/>
          <w:color w:val="auto"/>
        </w:rPr>
      </w:pPr>
      <w:r>
        <w:rPr>
          <w:rFonts w:ascii="Times New Roman" w:cs="Times New Roman" w:eastAsia="Times New Roman" w:hAnsi="Times New Roman"/>
          <w:sz w:val="12"/>
          <w:szCs w:val="12"/>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15875</wp:posOffset>
            </wp:positionV>
            <wp:extent cx="639445" cy="6167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9445" cy="6167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(Deficit)</w:t>
      </w:r>
    </w:p>
    <w:p>
      <w:pPr>
        <w:spacing w:after="0" w:line="68"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ZoomInfo Technologies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22860</wp:posOffset>
            </wp:positionV>
            <wp:extent cx="4484370" cy="6167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84370" cy="61671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80" w:space="720"/>
            <w:col w:w="75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0" w:right="160"/>
        <w:spacing w:after="0" w:line="235" w:lineRule="auto"/>
        <w:rPr>
          <w:sz w:val="20"/>
          <w:szCs w:val="20"/>
          <w:color w:val="auto"/>
        </w:rPr>
      </w:pPr>
      <w:r>
        <w:rPr>
          <w:rFonts w:ascii="Times New Roman" w:cs="Times New Roman" w:eastAsia="Times New Roman" w:hAnsi="Times New Roman"/>
          <w:sz w:val="14"/>
          <w:szCs w:val="14"/>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548130" cy="2019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8130" cy="201930"/>
                    </a:xfrm>
                    <a:prstGeom prst="rect">
                      <a:avLst/>
                    </a:prstGeom>
                    <a:noFill/>
                  </pic:spPr>
                </pic:pic>
              </a:graphicData>
            </a:graphic>
          </wp:anchor>
        </w:drawing>
      </w:r>
    </w:p>
    <w:p>
      <w:pPr>
        <w:ind w:left="20" w:right="20"/>
        <w:spacing w:after="0" w:line="223" w:lineRule="auto"/>
        <w:rPr>
          <w:sz w:val="20"/>
          <w:szCs w:val="20"/>
          <w:color w:val="auto"/>
        </w:rPr>
      </w:pPr>
      <w:r>
        <w:rPr>
          <w:rFonts w:ascii="Times New Roman" w:cs="Times New Roman" w:eastAsia="Times New Roman" w:hAnsi="Times New Roman"/>
          <w:sz w:val="14"/>
          <w:szCs w:val="14"/>
          <w:color w:val="auto"/>
        </w:rPr>
        <w:t>Net income (loss) prior to Reorganization Transactions</w:t>
      </w:r>
    </w:p>
    <w:p>
      <w:pPr>
        <w:spacing w:after="0" w:line="2" w:lineRule="exact"/>
        <w:rPr>
          <w:sz w:val="20"/>
          <w:szCs w:val="20"/>
          <w:color w:val="auto"/>
        </w:rPr>
      </w:pPr>
    </w:p>
    <w:p>
      <w:pPr>
        <w:ind w:left="20"/>
        <w:spacing w:after="0" w:line="223" w:lineRule="auto"/>
        <w:rPr>
          <w:sz w:val="20"/>
          <w:szCs w:val="20"/>
          <w:color w:val="auto"/>
        </w:rPr>
      </w:pPr>
      <w:r>
        <w:rPr>
          <w:rFonts w:ascii="Times New Roman" w:cs="Times New Roman" w:eastAsia="Times New Roman" w:hAnsi="Times New Roman"/>
          <w:sz w:val="14"/>
          <w:szCs w:val="14"/>
          <w:color w:val="auto"/>
        </w:rPr>
        <w:t>Other comprehensive loss prior to Reorganization Transactions and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1548130" cy="286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8130" cy="286385"/>
                    </a:xfrm>
                    <a:prstGeom prst="rect">
                      <a:avLst/>
                    </a:prstGeom>
                    <a:noFill/>
                  </pic:spPr>
                </pic:pic>
              </a:graphicData>
            </a:graphic>
          </wp:anchor>
        </w:drawing>
      </w:r>
    </w:p>
    <w:p>
      <w:pPr>
        <w:ind w:left="20" w:right="160"/>
        <w:spacing w:after="0" w:line="223" w:lineRule="auto"/>
        <w:rPr>
          <w:sz w:val="20"/>
          <w:szCs w:val="20"/>
          <w:color w:val="auto"/>
        </w:rPr>
      </w:pPr>
      <w:r>
        <w:rPr>
          <w:rFonts w:ascii="Times New Roman" w:cs="Times New Roman" w:eastAsia="Times New Roman" w:hAnsi="Times New Roman"/>
          <w:sz w:val="14"/>
          <w:szCs w:val="14"/>
          <w:color w:val="auto"/>
        </w:rPr>
        <w:t>Member distributions prior to Reorganization Transactions</w:t>
      </w:r>
    </w:p>
    <w:p>
      <w:pPr>
        <w:spacing w:after="0" w:line="2" w:lineRule="exact"/>
        <w:rPr>
          <w:sz w:val="20"/>
          <w:szCs w:val="20"/>
          <w:color w:val="auto"/>
        </w:rPr>
      </w:pPr>
    </w:p>
    <w:p>
      <w:pPr>
        <w:ind w:left="20" w:right="240"/>
        <w:spacing w:after="0" w:line="216" w:lineRule="auto"/>
        <w:rPr>
          <w:sz w:val="20"/>
          <w:szCs w:val="20"/>
          <w:color w:val="auto"/>
        </w:rPr>
      </w:pPr>
      <w:r>
        <w:rPr>
          <w:rFonts w:ascii="Times New Roman" w:cs="Times New Roman" w:eastAsia="Times New Roman" w:hAnsi="Times New Roman"/>
          <w:sz w:val="14"/>
          <w:szCs w:val="14"/>
          <w:color w:val="auto"/>
        </w:rPr>
        <w:t>Equity-based compensation prior to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-361315</wp:posOffset>
            </wp:positionV>
            <wp:extent cx="1548130" cy="370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8130" cy="370205"/>
                    </a:xfrm>
                    <a:prstGeom prst="rect">
                      <a:avLst/>
                    </a:prstGeom>
                    <a:noFill/>
                  </pic:spPr>
                </pic:pic>
              </a:graphicData>
            </a:graphic>
          </wp:anchor>
        </w:drawing>
      </w:r>
    </w:p>
    <w:p>
      <w:pPr>
        <w:ind w:left="20"/>
        <w:spacing w:after="0" w:line="226" w:lineRule="auto"/>
        <w:rPr>
          <w:sz w:val="20"/>
          <w:szCs w:val="20"/>
          <w:color w:val="auto"/>
        </w:rPr>
      </w:pPr>
      <w:r>
        <w:rPr>
          <w:rFonts w:ascii="Times New Roman" w:cs="Times New Roman" w:eastAsia="Times New Roman" w:hAnsi="Times New Roman"/>
          <w:sz w:val="14"/>
          <w:szCs w:val="14"/>
          <w:b w:val="1"/>
          <w:bCs w:val="1"/>
          <w:i w:val="1"/>
          <w:iCs w:val="1"/>
          <w:color w:val="auto"/>
        </w:rPr>
        <w:t>Impacts of</w:t>
      </w:r>
    </w:p>
    <w:p>
      <w:pPr>
        <w:ind w:left="20"/>
        <w:spacing w:after="0" w:line="198" w:lineRule="auto"/>
        <w:rPr>
          <w:sz w:val="20"/>
          <w:szCs w:val="20"/>
          <w:color w:val="auto"/>
        </w:rPr>
      </w:pPr>
      <w:r>
        <w:rPr>
          <w:rFonts w:ascii="Times New Roman" w:cs="Times New Roman" w:eastAsia="Times New Roman" w:hAnsi="Times New Roman"/>
          <w:sz w:val="14"/>
          <w:szCs w:val="14"/>
          <w:b w:val="1"/>
          <w:bCs w:val="1"/>
          <w:i w:val="1"/>
          <w:iCs w:val="1"/>
          <w:color w:val="auto"/>
        </w:rPr>
        <w:t>Reorganization</w:t>
      </w: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Transactions and IPO</w:t>
      </w:r>
    </w:p>
    <w:p>
      <w:pPr>
        <w:spacing w:after="0" w:line="9" w:lineRule="exact"/>
        <w:rPr>
          <w:sz w:val="20"/>
          <w:szCs w:val="20"/>
          <w:color w:val="auto"/>
        </w:rPr>
      </w:pPr>
    </w:p>
    <w:p>
      <w:pPr>
        <w:ind w:left="20" w:right="80"/>
        <w:spacing w:after="0" w:line="216" w:lineRule="auto"/>
        <w:rPr>
          <w:sz w:val="20"/>
          <w:szCs w:val="20"/>
          <w:color w:val="auto"/>
        </w:rPr>
      </w:pPr>
      <w:r>
        <w:rPr>
          <w:rFonts w:ascii="Times New Roman" w:cs="Times New Roman" w:eastAsia="Times New Roman" w:hAnsi="Times New Roman"/>
          <w:sz w:val="14"/>
          <w:szCs w:val="14"/>
          <w:color w:val="auto"/>
        </w:rPr>
        <w:t>Initial effect of the Reorganization Transactions and IPO on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-361315</wp:posOffset>
            </wp:positionV>
            <wp:extent cx="1548130" cy="3702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8130" cy="370205"/>
                    </a:xfrm>
                    <a:prstGeom prst="rect">
                      <a:avLst/>
                    </a:prstGeom>
                    <a:noFill/>
                  </pic:spPr>
                </pic:pic>
              </a:graphicData>
            </a:graphic>
          </wp:anchor>
        </w:drawing>
      </w:r>
    </w:p>
    <w:p>
      <w:pPr>
        <w:ind w:left="20" w:right="200"/>
        <w:spacing w:after="0" w:line="223" w:lineRule="auto"/>
        <w:rPr>
          <w:sz w:val="20"/>
          <w:szCs w:val="20"/>
          <w:color w:val="auto"/>
        </w:rPr>
      </w:pPr>
      <w:r>
        <w:rPr>
          <w:rFonts w:ascii="Times New Roman" w:cs="Times New Roman" w:eastAsia="Times New Roman" w:hAnsi="Times New Roman"/>
          <w:sz w:val="14"/>
          <w:szCs w:val="14"/>
          <w:color w:val="auto"/>
        </w:rPr>
        <w:t>Issuance of Class A common stock in IPO, net of costs</w:t>
      </w:r>
    </w:p>
    <w:p>
      <w:pPr>
        <w:spacing w:after="0" w:line="2" w:lineRule="exact"/>
        <w:rPr>
          <w:sz w:val="20"/>
          <w:szCs w:val="20"/>
          <w:color w:val="auto"/>
        </w:rPr>
      </w:pPr>
    </w:p>
    <w:p>
      <w:pPr>
        <w:ind w:left="20" w:right="20"/>
        <w:spacing w:after="0" w:line="223" w:lineRule="auto"/>
        <w:rPr>
          <w:sz w:val="20"/>
          <w:szCs w:val="20"/>
          <w:color w:val="auto"/>
        </w:rPr>
      </w:pPr>
      <w:r>
        <w:rPr>
          <w:rFonts w:ascii="Times New Roman" w:cs="Times New Roman" w:eastAsia="Times New Roman" w:hAnsi="Times New Roman"/>
          <w:sz w:val="14"/>
          <w:szCs w:val="14"/>
          <w:color w:val="auto"/>
        </w:rPr>
        <w:t>Purchases of ZoomInfo OpCo units in connection with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1548130" cy="285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8130" cy="285750"/>
                    </a:xfrm>
                    <a:prstGeom prst="rect">
                      <a:avLst/>
                    </a:prstGeom>
                    <a:noFill/>
                  </pic:spPr>
                </pic:pic>
              </a:graphicData>
            </a:graphic>
          </wp:anchor>
        </w:drawing>
      </w:r>
    </w:p>
    <w:p>
      <w:pPr>
        <w:ind w:left="20" w:right="120"/>
        <w:spacing w:after="0" w:line="223" w:lineRule="auto"/>
        <w:rPr>
          <w:sz w:val="20"/>
          <w:szCs w:val="20"/>
          <w:color w:val="auto"/>
        </w:rPr>
      </w:pPr>
      <w:r>
        <w:rPr>
          <w:rFonts w:ascii="Times New Roman" w:cs="Times New Roman" w:eastAsia="Times New Roman" w:hAnsi="Times New Roman"/>
          <w:sz w:val="14"/>
          <w:szCs w:val="14"/>
          <w:color w:val="auto"/>
        </w:rPr>
        <w:t>Purchases of Class C units in connection with IPO</w:t>
      </w: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Post IPO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1548130" cy="1174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8130" cy="1174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Effect of LLC Unit</w:t>
      </w:r>
    </w:p>
    <w:p>
      <w:pPr>
        <w:ind w:left="20"/>
        <w:spacing w:after="0"/>
        <w:rPr>
          <w:sz w:val="20"/>
          <w:szCs w:val="20"/>
          <w:color w:val="auto"/>
        </w:rPr>
      </w:pPr>
      <w:r>
        <w:rPr>
          <w:rFonts w:ascii="Times New Roman" w:cs="Times New Roman" w:eastAsia="Times New Roman" w:hAnsi="Times New Roman"/>
          <w:sz w:val="14"/>
          <w:szCs w:val="14"/>
          <w:color w:val="auto"/>
        </w:rPr>
        <w:t>Exchanges</w:t>
      </w:r>
    </w:p>
    <w:p>
      <w:pPr>
        <w:spacing w:after="0" w:line="9" w:lineRule="exact"/>
        <w:rPr>
          <w:sz w:val="20"/>
          <w:szCs w:val="20"/>
          <w:color w:val="auto"/>
        </w:rPr>
      </w:pPr>
    </w:p>
    <w:p>
      <w:pPr>
        <w:jc w:val="both"/>
        <w:ind w:left="20" w:right="340"/>
        <w:spacing w:after="0" w:line="223" w:lineRule="auto"/>
        <w:rPr>
          <w:sz w:val="20"/>
          <w:szCs w:val="20"/>
          <w:color w:val="auto"/>
        </w:rPr>
      </w:pPr>
      <w:r>
        <w:rPr>
          <w:rFonts w:ascii="Times New Roman" w:cs="Times New Roman" w:eastAsia="Times New Roman" w:hAnsi="Times New Roman"/>
          <w:sz w:val="14"/>
          <w:szCs w:val="14"/>
          <w:color w:val="auto"/>
        </w:rPr>
        <w:t>Issuance of Class A common stock upon vesting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1548130" cy="285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8130" cy="285750"/>
                    </a:xfrm>
                    <a:prstGeom prst="rect">
                      <a:avLst/>
                    </a:prstGeom>
                    <a:noFill/>
                  </pic:spPr>
                </pic:pic>
              </a:graphicData>
            </a:graphic>
          </wp:anchor>
        </w:drawing>
      </w:r>
    </w:p>
    <w:p>
      <w:pPr>
        <w:ind w:left="20" w:right="200"/>
        <w:spacing w:after="0" w:line="223" w:lineRule="auto"/>
        <w:rPr>
          <w:sz w:val="20"/>
          <w:szCs w:val="20"/>
          <w:color w:val="auto"/>
        </w:rPr>
      </w:pPr>
      <w:r>
        <w:rPr>
          <w:rFonts w:ascii="Times New Roman" w:cs="Times New Roman" w:eastAsia="Times New Roman" w:hAnsi="Times New Roman"/>
          <w:sz w:val="14"/>
          <w:szCs w:val="14"/>
          <w:color w:val="auto"/>
        </w:rPr>
        <w:t>Issuance of Class A common stock from business combinations</w:t>
      </w:r>
    </w:p>
    <w:p>
      <w:pPr>
        <w:spacing w:after="0" w:line="2" w:lineRule="exact"/>
        <w:rPr>
          <w:sz w:val="20"/>
          <w:szCs w:val="20"/>
          <w:color w:val="auto"/>
        </w:rPr>
      </w:pPr>
    </w:p>
    <w:p>
      <w:pPr>
        <w:ind w:left="20"/>
        <w:spacing w:after="0" w:line="223" w:lineRule="auto"/>
        <w:rPr>
          <w:sz w:val="20"/>
          <w:szCs w:val="20"/>
          <w:color w:val="auto"/>
        </w:rPr>
      </w:pPr>
      <w:r>
        <w:rPr>
          <w:rFonts w:ascii="Times New Roman" w:cs="Times New Roman" w:eastAsia="Times New Roman" w:hAnsi="Times New Roman"/>
          <w:sz w:val="14"/>
          <w:szCs w:val="14"/>
          <w:color w:val="auto"/>
        </w:rPr>
        <w:t>Shares withheld related to net share settlement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1548130" cy="285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8130" cy="2857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Forfeitures / cancellations</w:t>
      </w:r>
    </w:p>
    <w:p>
      <w:pPr>
        <w:spacing w:after="0" w:line="25" w:lineRule="exact"/>
        <w:rPr>
          <w:sz w:val="20"/>
          <w:szCs w:val="20"/>
          <w:color w:val="auto"/>
        </w:rPr>
      </w:pPr>
    </w:p>
    <w:p>
      <w:pPr>
        <w:ind w:left="20" w:right="140"/>
        <w:spacing w:after="0" w:line="235" w:lineRule="auto"/>
        <w:rPr>
          <w:sz w:val="20"/>
          <w:szCs w:val="20"/>
          <w:color w:val="auto"/>
        </w:rPr>
      </w:pPr>
      <w:r>
        <w:rPr>
          <w:rFonts w:ascii="Times New Roman" w:cs="Times New Roman" w:eastAsia="Times New Roman" w:hAnsi="Times New Roman"/>
          <w:sz w:val="14"/>
          <w:szCs w:val="14"/>
          <w:color w:val="auto"/>
        </w:rPr>
        <w:t>Series A Preferred Unit redemption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548130" cy="2019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8130" cy="201930"/>
                    </a:xfrm>
                    <a:prstGeom prst="rect">
                      <a:avLst/>
                    </a:prstGeom>
                    <a:noFill/>
                  </pic:spPr>
                </pic:pic>
              </a:graphicData>
            </a:graphic>
          </wp:anchor>
        </w:drawing>
      </w:r>
    </w:p>
    <w:p>
      <w:pPr>
        <w:ind w:left="20" w:right="20"/>
        <w:spacing w:after="0" w:line="223" w:lineRule="auto"/>
        <w:rPr>
          <w:sz w:val="20"/>
          <w:szCs w:val="20"/>
          <w:color w:val="auto"/>
        </w:rPr>
      </w:pPr>
      <w:r>
        <w:rPr>
          <w:rFonts w:ascii="Times New Roman" w:cs="Times New Roman" w:eastAsia="Times New Roman" w:hAnsi="Times New Roman"/>
          <w:sz w:val="14"/>
          <w:szCs w:val="14"/>
          <w:color w:val="auto"/>
        </w:rPr>
        <w:t>Net income subsequent to Reorganization Transactions</w:t>
      </w:r>
    </w:p>
    <w:p>
      <w:pPr>
        <w:spacing w:after="0" w:line="2" w:lineRule="exact"/>
        <w:rPr>
          <w:sz w:val="20"/>
          <w:szCs w:val="20"/>
          <w:color w:val="auto"/>
        </w:rPr>
      </w:pPr>
    </w:p>
    <w:p>
      <w:pPr>
        <w:ind w:left="20"/>
        <w:spacing w:after="0" w:line="216" w:lineRule="auto"/>
        <w:rPr>
          <w:sz w:val="20"/>
          <w:szCs w:val="20"/>
          <w:color w:val="auto"/>
        </w:rPr>
      </w:pPr>
      <w:r>
        <w:rPr>
          <w:rFonts w:ascii="Times New Roman" w:cs="Times New Roman" w:eastAsia="Times New Roman" w:hAnsi="Times New Roman"/>
          <w:sz w:val="14"/>
          <w:szCs w:val="14"/>
          <w:color w:val="auto"/>
        </w:rPr>
        <w:t>Other comprehensive loss subsequent to Reorganization Transactions and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-361315</wp:posOffset>
            </wp:positionV>
            <wp:extent cx="1548130" cy="370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8130" cy="370205"/>
                    </a:xfrm>
                    <a:prstGeom prst="rect">
                      <a:avLst/>
                    </a:prstGeom>
                    <a:noFill/>
                  </pic:spPr>
                </pic:pic>
              </a:graphicData>
            </a:graphic>
          </wp:anchor>
        </w:drawing>
      </w:r>
    </w:p>
    <w:p>
      <w:pPr>
        <w:ind w:left="20" w:right="20"/>
        <w:spacing w:after="0" w:line="216" w:lineRule="auto"/>
        <w:rPr>
          <w:sz w:val="20"/>
          <w:szCs w:val="20"/>
          <w:color w:val="auto"/>
        </w:rPr>
      </w:pPr>
      <w:r>
        <w:rPr>
          <w:rFonts w:ascii="Times New Roman" w:cs="Times New Roman" w:eastAsia="Times New Roman" w:hAnsi="Times New Roman"/>
          <w:sz w:val="14"/>
          <w:szCs w:val="14"/>
          <w:color w:val="auto"/>
        </w:rPr>
        <w:t>Equity-based compensation subsequent to Reorganization Transactions</w:t>
      </w:r>
    </w:p>
    <w:p>
      <w:pPr>
        <w:spacing w:after="0" w:line="3" w:lineRule="exact"/>
        <w:rPr>
          <w:sz w:val="20"/>
          <w:szCs w:val="20"/>
          <w:color w:val="auto"/>
        </w:rPr>
      </w:pPr>
    </w:p>
    <w:p>
      <w:pPr>
        <w:ind w:left="20" w:right="300"/>
        <w:spacing w:after="0" w:line="235" w:lineRule="auto"/>
        <w:rPr>
          <w:sz w:val="20"/>
          <w:szCs w:val="20"/>
          <w:color w:val="auto"/>
        </w:rPr>
      </w:pPr>
      <w:r>
        <w:rPr>
          <w:rFonts w:ascii="Times New Roman" w:cs="Times New Roman" w:eastAsia="Times New Roman" w:hAnsi="Times New Roman"/>
          <w:sz w:val="14"/>
          <w:szCs w:val="14"/>
          <w:color w:val="auto"/>
        </w:rPr>
        <w:t>Paid and accrued tax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548130" cy="2019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8130" cy="201930"/>
                    </a:xfrm>
                    <a:prstGeom prst="rect">
                      <a:avLst/>
                    </a:prstGeom>
                    <a:noFill/>
                  </pic:spPr>
                </pic:pic>
              </a:graphicData>
            </a:graphic>
          </wp:anchor>
        </w:drawing>
      </w:r>
    </w:p>
    <w:p>
      <w:pPr>
        <w:ind w:left="20" w:right="100"/>
        <w:spacing w:after="0" w:line="237" w:lineRule="auto"/>
        <w:rPr>
          <w:sz w:val="20"/>
          <w:szCs w:val="20"/>
          <w:color w:val="auto"/>
        </w:rPr>
      </w:pPr>
      <w:r>
        <w:rPr>
          <w:rFonts w:ascii="Times New Roman" w:cs="Times New Roman" w:eastAsia="Times New Roman" w:hAnsi="Times New Roman"/>
          <w:sz w:val="14"/>
          <w:szCs w:val="14"/>
          <w:b w:val="1"/>
          <w:bCs w:val="1"/>
          <w:color w:val="auto"/>
        </w:rPr>
        <w:t>Balance, December 31, 2020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left="-5"/>
        <w:spacing w:after="0"/>
        <w:rPr>
          <w:sz w:val="20"/>
          <w:szCs w:val="20"/>
          <w:color w:val="auto"/>
        </w:rPr>
      </w:pPr>
      <w:r>
        <w:rPr>
          <w:rFonts w:ascii="Times New Roman" w:cs="Times New Roman" w:eastAsia="Times New Roman" w:hAnsi="Times New Roman"/>
          <w:sz w:val="14"/>
          <w:szCs w:val="14"/>
          <w:b w:val="1"/>
          <w:bCs w:val="1"/>
          <w:color w:val="auto"/>
        </w:rPr>
        <w:t>Members'</w:t>
      </w:r>
    </w:p>
    <w:p>
      <w:pPr>
        <w:jc w:val="center"/>
        <w:ind w:left="-5"/>
        <w:spacing w:after="0"/>
        <w:rPr>
          <w:sz w:val="20"/>
          <w:szCs w:val="20"/>
          <w:color w:val="auto"/>
        </w:rPr>
      </w:pPr>
      <w:r>
        <w:rPr>
          <w:rFonts w:ascii="Times New Roman" w:cs="Times New Roman" w:eastAsia="Times New Roman" w:hAnsi="Times New Roman"/>
          <w:sz w:val="14"/>
          <w:szCs w:val="14"/>
          <w:b w:val="1"/>
          <w:bCs w:val="1"/>
          <w:color w:val="auto"/>
        </w:rPr>
        <w:t>Deficit</w:t>
      </w:r>
    </w:p>
    <w:p>
      <w:pPr>
        <w:spacing w:after="0" w:line="141" w:lineRule="exact"/>
        <w:rPr>
          <w:sz w:val="20"/>
          <w:szCs w:val="20"/>
          <w:color w:val="auto"/>
        </w:rPr>
      </w:pPr>
    </w:p>
    <w:p>
      <w:pPr>
        <w:ind w:left="386" w:hanging="386"/>
        <w:spacing w:after="0"/>
        <w:tabs>
          <w:tab w:leader="none" w:pos="38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(207.8)</w:t>
      </w:r>
    </w:p>
    <w:p>
      <w:pPr>
        <w:spacing w:after="0" w:line="289" w:lineRule="exact"/>
        <w:rPr>
          <w:rFonts w:ascii="Times New Roman" w:cs="Times New Roman" w:eastAsia="Times New Roman" w:hAnsi="Times New Roman"/>
          <w:sz w:val="14"/>
          <w:szCs w:val="14"/>
          <w:color w:val="auto"/>
        </w:rPr>
      </w:pPr>
    </w:p>
    <w:p>
      <w:pPr>
        <w:ind w:left="52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w:t>
      </w:r>
    </w:p>
    <w:p>
      <w:pPr>
        <w:spacing w:after="0" w:line="289" w:lineRule="exact"/>
        <w:rPr>
          <w:rFonts w:ascii="Times New Roman" w:cs="Times New Roman" w:eastAsia="Times New Roman" w:hAnsi="Times New Roman"/>
          <w:sz w:val="14"/>
          <w:szCs w:val="14"/>
          <w:color w:val="auto"/>
        </w:rPr>
      </w:pPr>
    </w:p>
    <w:p>
      <w:pPr>
        <w:ind w:left="62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89" w:lineRule="exact"/>
        <w:rPr>
          <w:rFonts w:ascii="Times New Roman" w:cs="Times New Roman" w:eastAsia="Times New Roman" w:hAnsi="Times New Roman"/>
          <w:sz w:val="14"/>
          <w:szCs w:val="14"/>
          <w:color w:val="auto"/>
        </w:rPr>
      </w:pPr>
    </w:p>
    <w:p>
      <w:pPr>
        <w:ind w:left="52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w:t>
      </w:r>
    </w:p>
    <w:p>
      <w:pPr>
        <w:spacing w:after="0" w:line="200" w:lineRule="exact"/>
        <w:rPr>
          <w:sz w:val="20"/>
          <w:szCs w:val="20"/>
          <w:color w:val="auto"/>
        </w:rPr>
      </w:pPr>
    </w:p>
    <w:p>
      <w:pPr>
        <w:spacing w:after="0" w:line="222"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14"/>
          <w:szCs w:val="14"/>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203.9</w:t>
      </w: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343"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5"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90"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2"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2"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5384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111" w:lineRule="exact"/>
        <w:rPr>
          <w:sz w:val="20"/>
          <w:szCs w:val="20"/>
          <w:color w:val="auto"/>
        </w:rPr>
      </w:pPr>
    </w:p>
    <w:p>
      <w:pPr>
        <w:ind w:left="626" w:hanging="626"/>
        <w:spacing w:after="0"/>
        <w:tabs>
          <w:tab w:leader="none" w:pos="62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5384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84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46990</wp:posOffset>
            </wp:positionV>
            <wp:extent cx="5384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C</w:t>
            </w:r>
          </w:p>
        </w:tc>
      </w:tr>
      <w:tr>
        <w:trPr>
          <w:trHeight w:val="186"/>
        </w:trPr>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r>
      <w:tr>
        <w:trPr>
          <w:trHeight w:val="298"/>
        </w:trPr>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r>
      <w:tr>
        <w:trPr>
          <w:trHeight w:val="445"/>
        </w:trPr>
        <w:tc>
          <w:tcPr>
            <w:tcW w:w="8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r>
      <w:tr>
        <w:trPr>
          <w:trHeight w:val="456"/>
        </w:trPr>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r>
      <w:tr>
        <w:trPr>
          <w:trHeight w:val="445"/>
        </w:trPr>
        <w:tc>
          <w:tcPr>
            <w:tcW w:w="8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r>
      <w:tr>
        <w:trPr>
          <w:trHeight w:val="588"/>
        </w:trPr>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242,414,027   98,381,656</w:t>
      </w:r>
    </w:p>
    <w:p>
      <w:pPr>
        <w:spacing w:after="0" w:line="2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48,528,783——</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2,370,948   (2,370,948)—</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275,269</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(275,269)</w:t>
            </w:r>
          </w:p>
        </w:tc>
        <w:tc>
          <w:tcPr>
            <w:tcW w:w="80" w:type="dxa"/>
            <w:vAlign w:val="bottom"/>
          </w:tcPr>
          <w:p>
            <w:pPr>
              <w:spacing w:after="0"/>
              <w:rPr>
                <w:sz w:val="16"/>
                <w:szCs w:val="16"/>
                <w:color w:val="auto"/>
              </w:rPr>
            </w:pPr>
          </w:p>
        </w:tc>
      </w:tr>
      <w:tr>
        <w:trPr>
          <w:trHeight w:val="191"/>
        </w:trPr>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13"/>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36,509,748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(23,341,829)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(11,983,157)</w:t>
            </w:r>
          </w:p>
        </w:tc>
        <w:tc>
          <w:tcPr>
            <w:tcW w:w="80" w:type="dxa"/>
            <w:vAlign w:val="bottom"/>
          </w:tcPr>
          <w:p>
            <w:pPr>
              <w:spacing w:after="0"/>
              <w:rPr>
                <w:sz w:val="24"/>
                <w:szCs w:val="24"/>
                <w:color w:val="auto"/>
              </w:rPr>
            </w:pPr>
          </w:p>
        </w:tc>
      </w:tr>
      <w:tr>
        <w:trPr>
          <w:trHeight w:val="456"/>
        </w:trPr>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25,868</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445"/>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67,075</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456"/>
        </w:trPr>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(20,617)</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(59,693)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(48,546)</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319"/>
        </w:trPr>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445"/>
        </w:trPr>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589"/>
        </w:trPr>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578"/>
        </w:trPr>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318"/>
        </w:trPr>
        <w:tc>
          <w:tcPr>
            <w:tcW w:w="8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r>
      <w:tr>
        <w:trPr>
          <w:trHeight w:val="271"/>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87,697,381</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216,652,704</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86,123,230</w:t>
            </w:r>
          </w:p>
        </w:tc>
        <w:tc>
          <w:tcPr>
            <w:tcW w:w="80" w:type="dxa"/>
            <w:vAlign w:val="bottom"/>
          </w:tcPr>
          <w:p>
            <w:pPr>
              <w:spacing w:after="0"/>
              <w:rPr>
                <w:sz w:val="23"/>
                <w:szCs w:val="23"/>
                <w:color w:val="auto"/>
              </w:rPr>
            </w:pPr>
          </w:p>
        </w:tc>
      </w:tr>
      <w:tr>
        <w:trPr>
          <w:trHeight w:val="25"/>
        </w:trPr>
        <w:tc>
          <w:tcPr>
            <w:tcW w:w="8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gridSpan w:val="2"/>
            <w:vMerge w:val="continue"/>
          </w:tcPr>
          <w:p>
            <w:pPr>
              <w:spacing w:after="0"/>
              <w:rPr>
                <w:sz w:val="11"/>
                <w:szCs w:val="1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AOCI</w:t>
            </w:r>
          </w:p>
        </w:tc>
        <w:tc>
          <w:tcPr>
            <w:tcW w:w="80" w:type="dxa"/>
            <w:vAlign w:val="bottom"/>
            <w:vMerge w:val="restart"/>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98"/>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(213.8)</w:t>
            </w: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456"/>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588"/>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583"/>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45"/>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1,016.6</w:t>
            </w:r>
          </w:p>
        </w:tc>
      </w:tr>
      <w:tr>
        <w:trPr>
          <w:trHeight w:val="456"/>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445"/>
        </w:trPr>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1"/>
        </w:trPr>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313"/>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456"/>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45"/>
        </w:trPr>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456"/>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5"/>
        </w:trPr>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9"/>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445"/>
        </w:trPr>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6"/>
              </w:rPr>
              <w:t>(4.0)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589"/>
        </w:trPr>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578"/>
        </w:trPr>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318"/>
        </w:trPr>
        <w:tc>
          <w:tcPr>
            <w:tcW w:w="8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71"/>
        </w:trPr>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23"/>
                <w:szCs w:val="23"/>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3"/>
                <w:szCs w:val="23"/>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80" w:type="dxa"/>
            <w:vAlign w:val="bottom"/>
          </w:tcPr>
          <w:p>
            <w:pPr>
              <w:spacing w:after="0"/>
              <w:rPr>
                <w:sz w:val="23"/>
                <w:szCs w:val="23"/>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6"/>
              </w:rPr>
              <w:t>(4.0)</w:t>
            </w:r>
          </w:p>
        </w:tc>
        <w:tc>
          <w:tcPr>
            <w:tcW w:w="6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23"/>
                <w:szCs w:val="23"/>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939.6</w:t>
            </w:r>
          </w:p>
        </w:tc>
      </w:tr>
      <w:tr>
        <w:trPr>
          <w:trHeight w:val="25"/>
        </w:trPr>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4">
            <w:col w:w="1500" w:space="34"/>
            <w:col w:w="806" w:space="180"/>
            <w:col w:w="2560" w:space="80"/>
            <w:col w:w="60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2" w:name="page103"/>
    <w:bookmarkEnd w:id="10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 (continued)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Members' Deficit</w:t>
            </w:r>
          </w:p>
        </w:tc>
        <w:tc>
          <w:tcPr>
            <w:tcW w:w="200" w:type="dxa"/>
            <w:vAlign w:val="bottom"/>
          </w:tcPr>
          <w:p>
            <w:pPr>
              <w:spacing w:after="0"/>
              <w:rPr>
                <w:sz w:val="13"/>
                <w:szCs w:val="13"/>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Members’ Deficit</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distributions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18"/>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distributions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unit repurchases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unit repurchases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Impact of adoption of new accounting standard (ASC 842)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8"/>
              </w:rPr>
              <w:t>(6.0)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161"/>
        </w:trPr>
        <w:tc>
          <w:tcPr>
            <w:tcW w:w="6360" w:type="dxa"/>
            <w:vAlign w:val="bottom"/>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2"/>
        </w:trPr>
        <w:tc>
          <w:tcPr>
            <w:tcW w:w="6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Asset impairments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early on extinguishment of debt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Paid-in-kind (PIK) accrued interest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costs and other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Unearned revenue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88"/>
        </w:trPr>
        <w:tc>
          <w:tcPr>
            <w:tcW w:w="6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0"/>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88"/>
        </w:trPr>
        <w:tc>
          <w:tcPr>
            <w:tcW w:w="6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debt issuances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outstanding equity / member units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IPO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distributions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0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88"/>
        </w:trPr>
        <w:tc>
          <w:tcPr>
            <w:tcW w:w="6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6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paid in cash:</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06"/>
        </w:trPr>
        <w:tc>
          <w:tcPr>
            <w:tcW w:w="6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variable consideration from acquisition of a business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unit repurchases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4" w:name="page105"/>
    <w:bookmarkEnd w:id="10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860" w:right="1940"/>
        <w:spacing w:after="0" w:line="261" w:lineRule="auto"/>
        <w:rPr>
          <w:sz w:val="20"/>
          <w:szCs w:val="20"/>
          <w:color w:val="auto"/>
        </w:rPr>
      </w:pPr>
      <w:r>
        <w:rPr>
          <w:rFonts w:ascii="Times New Roman" w:cs="Times New Roman" w:eastAsia="Times New Roman" w:hAnsi="Times New Roman"/>
          <w:sz w:val="18"/>
          <w:szCs w:val="18"/>
          <w:b w:val="1"/>
          <w:bCs w:val="1"/>
          <w:color w:val="auto"/>
        </w:rPr>
        <w:t>ZoomInfo Technologies Inc. and Subsidiaries Notes to Audited Consolidated Financial Statements (In millions, except share/unit data and per share/unit amounts, unless otherwise noted)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Note 1</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Organization and Background</w:t>
              </w:r>
            </w:hyperlink>
          </w:p>
        </w:tc>
        <w:tc>
          <w:tcPr>
            <w:tcW w:w="2540" w:type="dxa"/>
            <w:vAlign w:val="bottom"/>
          </w:tcPr>
          <w:p>
            <w:pPr>
              <w:jc w:val="center"/>
              <w:ind w:left="2152"/>
              <w:spacing w:after="0"/>
              <w:rPr>
                <w:rFonts w:ascii="Times New Roman" w:cs="Times New Roman" w:eastAsia="Times New Roman" w:hAnsi="Times New Roman"/>
                <w:sz w:val="18"/>
                <w:szCs w:val="18"/>
                <w:u w:val="single" w:color="auto"/>
                <w:color w:val="3051F2"/>
                <w:w w:val="99"/>
              </w:rPr>
            </w:pPr>
            <w:hyperlink w:anchor="page105">
              <w:r>
                <w:rPr>
                  <w:rFonts w:ascii="Times New Roman" w:cs="Times New Roman" w:eastAsia="Times New Roman" w:hAnsi="Times New Roman"/>
                  <w:sz w:val="18"/>
                  <w:szCs w:val="18"/>
                  <w:u w:val="single" w:color="auto"/>
                  <w:color w:val="3051F2"/>
                  <w:w w:val="99"/>
                </w:rPr>
                <w:t>98</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Note 2</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Basis of Presentation and Summary of Significant Accounting Policies</w:t>
              </w:r>
            </w:hyperlink>
          </w:p>
        </w:tc>
        <w:tc>
          <w:tcPr>
            <w:tcW w:w="2540" w:type="dxa"/>
            <w:vAlign w:val="bottom"/>
          </w:tcPr>
          <w:p>
            <w:pPr>
              <w:jc w:val="center"/>
              <w:ind w:left="2152"/>
              <w:spacing w:after="0"/>
              <w:rPr>
                <w:rFonts w:ascii="Times New Roman" w:cs="Times New Roman" w:eastAsia="Times New Roman" w:hAnsi="Times New Roman"/>
                <w:sz w:val="18"/>
                <w:szCs w:val="18"/>
                <w:u w:val="single" w:color="auto"/>
                <w:color w:val="3051F2"/>
                <w:w w:val="99"/>
              </w:rPr>
            </w:pPr>
            <w:hyperlink w:anchor="page107">
              <w:r>
                <w:rPr>
                  <w:rFonts w:ascii="Times New Roman" w:cs="Times New Roman" w:eastAsia="Times New Roman" w:hAnsi="Times New Roman"/>
                  <w:sz w:val="18"/>
                  <w:szCs w:val="18"/>
                  <w:u w:val="single" w:color="auto"/>
                  <w:color w:val="3051F2"/>
                  <w:w w:val="99"/>
                </w:rPr>
                <w:t>99</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Note 3</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Revenue from Contracts with Customers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15">
              <w:r>
                <w:rPr>
                  <w:rFonts w:ascii="Times New Roman" w:cs="Times New Roman" w:eastAsia="Times New Roman" w:hAnsi="Times New Roman"/>
                  <w:sz w:val="18"/>
                  <w:szCs w:val="18"/>
                  <w:u w:val="single" w:color="auto"/>
                  <w:color w:val="3051F2"/>
                </w:rPr>
                <w:t>107</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Note 4</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Business Combinations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16">
              <w:r>
                <w:rPr>
                  <w:rFonts w:ascii="Times New Roman" w:cs="Times New Roman" w:eastAsia="Times New Roman" w:hAnsi="Times New Roman"/>
                  <w:sz w:val="18"/>
                  <w:szCs w:val="18"/>
                  <w:u w:val="single" w:color="auto"/>
                  <w:color w:val="3051F2"/>
                </w:rPr>
                <w:t>109</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21">
              <w:r>
                <w:rPr>
                  <w:rFonts w:ascii="Times New Roman" w:cs="Times New Roman" w:eastAsia="Times New Roman" w:hAnsi="Times New Roman"/>
                  <w:sz w:val="18"/>
                  <w:szCs w:val="18"/>
                  <w:u w:val="single" w:color="auto"/>
                  <w:color w:val="0000FF"/>
                </w:rPr>
                <w:t>Note 5</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21">
              <w:r>
                <w:rPr>
                  <w:rFonts w:ascii="Times New Roman" w:cs="Times New Roman" w:eastAsia="Times New Roman" w:hAnsi="Times New Roman"/>
                  <w:sz w:val="18"/>
                  <w:szCs w:val="18"/>
                  <w:u w:val="single" w:color="auto"/>
                  <w:color w:val="0000FF"/>
                </w:rPr>
                <w:t>Cash, Cash Equivalents, and Short-term Investments</w:t>
              </w:r>
            </w:hyperlink>
          </w:p>
        </w:tc>
        <w:tc>
          <w:tcPr>
            <w:tcW w:w="2540" w:type="dxa"/>
            <w:vAlign w:val="bottom"/>
          </w:tcPr>
          <w:p>
            <w:pPr>
              <w:jc w:val="center"/>
              <w:ind w:left="2152"/>
              <w:spacing w:after="0"/>
              <w:rPr>
                <w:rFonts w:ascii="Times New Roman" w:cs="Times New Roman" w:eastAsia="Times New Roman" w:hAnsi="Times New Roman"/>
                <w:sz w:val="18"/>
                <w:szCs w:val="18"/>
                <w:u w:val="single" w:color="auto"/>
                <w:color w:val="3051F2"/>
                <w:w w:val="96"/>
              </w:rPr>
            </w:pPr>
            <w:hyperlink w:anchor="page121">
              <w:r>
                <w:rPr>
                  <w:rFonts w:ascii="Times New Roman" w:cs="Times New Roman" w:eastAsia="Times New Roman" w:hAnsi="Times New Roman"/>
                  <w:sz w:val="18"/>
                  <w:szCs w:val="18"/>
                  <w:u w:val="single" w:color="auto"/>
                  <w:color w:val="3051F2"/>
                  <w:w w:val="96"/>
                </w:rPr>
                <w:t>114</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Note 6</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Property and Equipment</w:t>
              </w:r>
            </w:hyperlink>
          </w:p>
        </w:tc>
        <w:tc>
          <w:tcPr>
            <w:tcW w:w="2540" w:type="dxa"/>
            <w:vAlign w:val="bottom"/>
          </w:tcPr>
          <w:p>
            <w:pPr>
              <w:jc w:val="center"/>
              <w:ind w:left="2152"/>
              <w:spacing w:after="0"/>
              <w:rPr>
                <w:rFonts w:ascii="Times New Roman" w:cs="Times New Roman" w:eastAsia="Times New Roman" w:hAnsi="Times New Roman"/>
                <w:sz w:val="18"/>
                <w:szCs w:val="18"/>
                <w:u w:val="single" w:color="auto"/>
                <w:color w:val="3051F2"/>
                <w:w w:val="96"/>
              </w:rPr>
            </w:pPr>
            <w:hyperlink w:anchor="page122">
              <w:r>
                <w:rPr>
                  <w:rFonts w:ascii="Times New Roman" w:cs="Times New Roman" w:eastAsia="Times New Roman" w:hAnsi="Times New Roman"/>
                  <w:sz w:val="18"/>
                  <w:szCs w:val="18"/>
                  <w:u w:val="single" w:color="auto"/>
                  <w:color w:val="3051F2"/>
                  <w:w w:val="96"/>
                </w:rPr>
                <w:t>115</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23">
              <w:r>
                <w:rPr>
                  <w:rFonts w:ascii="Times New Roman" w:cs="Times New Roman" w:eastAsia="Times New Roman" w:hAnsi="Times New Roman"/>
                  <w:sz w:val="18"/>
                  <w:szCs w:val="18"/>
                  <w:u w:val="single" w:color="auto"/>
                  <w:color w:val="0000FF"/>
                </w:rPr>
                <w:t>Note 7</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23">
              <w:r>
                <w:rPr>
                  <w:rFonts w:ascii="Times New Roman" w:cs="Times New Roman" w:eastAsia="Times New Roman" w:hAnsi="Times New Roman"/>
                  <w:sz w:val="18"/>
                  <w:szCs w:val="18"/>
                  <w:u w:val="single" w:color="auto"/>
                  <w:color w:val="0000FF"/>
                </w:rPr>
                <w:t>Goodwill and Acquired Intangible Assets</w:t>
              </w:r>
            </w:hyperlink>
          </w:p>
        </w:tc>
        <w:tc>
          <w:tcPr>
            <w:tcW w:w="2540" w:type="dxa"/>
            <w:vAlign w:val="bottom"/>
          </w:tcPr>
          <w:p>
            <w:pPr>
              <w:jc w:val="center"/>
              <w:ind w:left="2152"/>
              <w:spacing w:after="0"/>
              <w:rPr>
                <w:rFonts w:ascii="Times New Roman" w:cs="Times New Roman" w:eastAsia="Times New Roman" w:hAnsi="Times New Roman"/>
                <w:sz w:val="18"/>
                <w:szCs w:val="18"/>
                <w:u w:val="single" w:color="auto"/>
                <w:color w:val="3051F2"/>
                <w:w w:val="96"/>
              </w:rPr>
            </w:pPr>
            <w:hyperlink w:anchor="page123">
              <w:r>
                <w:rPr>
                  <w:rFonts w:ascii="Times New Roman" w:cs="Times New Roman" w:eastAsia="Times New Roman" w:hAnsi="Times New Roman"/>
                  <w:sz w:val="18"/>
                  <w:szCs w:val="18"/>
                  <w:u w:val="single" w:color="auto"/>
                  <w:color w:val="3051F2"/>
                  <w:w w:val="96"/>
                </w:rPr>
                <w:t>115</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24">
              <w:r>
                <w:rPr>
                  <w:rFonts w:ascii="Times New Roman" w:cs="Times New Roman" w:eastAsia="Times New Roman" w:hAnsi="Times New Roman"/>
                  <w:sz w:val="18"/>
                  <w:szCs w:val="18"/>
                  <w:u w:val="single" w:color="auto"/>
                  <w:color w:val="0000FF"/>
                </w:rPr>
                <w:t>Note 8</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24">
              <w:r>
                <w:rPr>
                  <w:rFonts w:ascii="Times New Roman" w:cs="Times New Roman" w:eastAsia="Times New Roman" w:hAnsi="Times New Roman"/>
                  <w:sz w:val="18"/>
                  <w:szCs w:val="18"/>
                  <w:u w:val="single" w:color="auto"/>
                  <w:color w:val="0000FF"/>
                </w:rPr>
                <w:t>Financing Arrangements</w:t>
              </w:r>
            </w:hyperlink>
          </w:p>
        </w:tc>
        <w:tc>
          <w:tcPr>
            <w:tcW w:w="2540" w:type="dxa"/>
            <w:vAlign w:val="bottom"/>
          </w:tcPr>
          <w:p>
            <w:pPr>
              <w:jc w:val="center"/>
              <w:ind w:left="2152"/>
              <w:spacing w:after="0"/>
              <w:rPr>
                <w:rFonts w:ascii="Times New Roman" w:cs="Times New Roman" w:eastAsia="Times New Roman" w:hAnsi="Times New Roman"/>
                <w:sz w:val="18"/>
                <w:szCs w:val="18"/>
                <w:u w:val="single" w:color="auto"/>
                <w:color w:val="3051F2"/>
                <w:w w:val="96"/>
              </w:rPr>
            </w:pPr>
            <w:hyperlink w:anchor="page124">
              <w:r>
                <w:rPr>
                  <w:rFonts w:ascii="Times New Roman" w:cs="Times New Roman" w:eastAsia="Times New Roman" w:hAnsi="Times New Roman"/>
                  <w:sz w:val="18"/>
                  <w:szCs w:val="18"/>
                  <w:u w:val="single" w:color="auto"/>
                  <w:color w:val="3051F2"/>
                  <w:w w:val="96"/>
                </w:rPr>
                <w:t>117</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Note 9</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Derivatives and Hedging Activities</w:t>
              </w:r>
            </w:hyperlink>
          </w:p>
        </w:tc>
        <w:tc>
          <w:tcPr>
            <w:tcW w:w="2540" w:type="dxa"/>
            <w:vAlign w:val="bottom"/>
          </w:tcPr>
          <w:p>
            <w:pPr>
              <w:jc w:val="center"/>
              <w:ind w:left="2152"/>
              <w:spacing w:after="0"/>
              <w:rPr>
                <w:rFonts w:ascii="Times New Roman" w:cs="Times New Roman" w:eastAsia="Times New Roman" w:hAnsi="Times New Roman"/>
                <w:sz w:val="18"/>
                <w:szCs w:val="18"/>
                <w:u w:val="single" w:color="auto"/>
                <w:color w:val="3051F2"/>
                <w:w w:val="96"/>
              </w:rPr>
            </w:pPr>
            <w:hyperlink w:anchor="page127">
              <w:r>
                <w:rPr>
                  <w:rFonts w:ascii="Times New Roman" w:cs="Times New Roman" w:eastAsia="Times New Roman" w:hAnsi="Times New Roman"/>
                  <w:sz w:val="18"/>
                  <w:szCs w:val="18"/>
                  <w:u w:val="single" w:color="auto"/>
                  <w:color w:val="3051F2"/>
                  <w:w w:val="96"/>
                </w:rPr>
                <w:t>119</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Note 10</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Fair Value</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29">
              <w:r>
                <w:rPr>
                  <w:rFonts w:ascii="Times New Roman" w:cs="Times New Roman" w:eastAsia="Times New Roman" w:hAnsi="Times New Roman"/>
                  <w:sz w:val="18"/>
                  <w:szCs w:val="18"/>
                  <w:u w:val="single" w:color="auto"/>
                  <w:color w:val="3051F2"/>
                </w:rPr>
                <w:t>121</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30">
              <w:r>
                <w:rPr>
                  <w:rFonts w:ascii="Times New Roman" w:cs="Times New Roman" w:eastAsia="Times New Roman" w:hAnsi="Times New Roman"/>
                  <w:sz w:val="18"/>
                  <w:szCs w:val="18"/>
                  <w:u w:val="single" w:color="auto"/>
                  <w:color w:val="0000FF"/>
                </w:rPr>
                <w:t>Note 11</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30">
              <w:r>
                <w:rPr>
                  <w:rFonts w:ascii="Times New Roman" w:cs="Times New Roman" w:eastAsia="Times New Roman" w:hAnsi="Times New Roman"/>
                  <w:sz w:val="18"/>
                  <w:szCs w:val="18"/>
                  <w:u w:val="single" w:color="auto"/>
                  <w:color w:val="0000FF"/>
                </w:rPr>
                <w:t>Commitments and Contingencies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30">
              <w:r>
                <w:rPr>
                  <w:rFonts w:ascii="Times New Roman" w:cs="Times New Roman" w:eastAsia="Times New Roman" w:hAnsi="Times New Roman"/>
                  <w:sz w:val="18"/>
                  <w:szCs w:val="18"/>
                  <w:u w:val="single" w:color="auto"/>
                  <w:color w:val="3051F2"/>
                </w:rPr>
                <w:t>123</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31">
              <w:r>
                <w:rPr>
                  <w:rFonts w:ascii="Times New Roman" w:cs="Times New Roman" w:eastAsia="Times New Roman" w:hAnsi="Times New Roman"/>
                  <w:sz w:val="18"/>
                  <w:szCs w:val="18"/>
                  <w:u w:val="single" w:color="auto"/>
                  <w:color w:val="0000FF"/>
                </w:rPr>
                <w:t>Note 12</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31">
              <w:r>
                <w:rPr>
                  <w:rFonts w:ascii="Times New Roman" w:cs="Times New Roman" w:eastAsia="Times New Roman" w:hAnsi="Times New Roman"/>
                  <w:sz w:val="18"/>
                  <w:szCs w:val="18"/>
                  <w:u w:val="single" w:color="auto"/>
                  <w:color w:val="0000FF"/>
                </w:rPr>
                <w:t>Stockholders' Equity and Members' Deficit</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31">
              <w:r>
                <w:rPr>
                  <w:rFonts w:ascii="Times New Roman" w:cs="Times New Roman" w:eastAsia="Times New Roman" w:hAnsi="Times New Roman"/>
                  <w:sz w:val="18"/>
                  <w:szCs w:val="18"/>
                  <w:u w:val="single" w:color="auto"/>
                  <w:color w:val="3051F2"/>
                </w:rPr>
                <w:t>123</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33">
              <w:r>
                <w:rPr>
                  <w:rFonts w:ascii="Times New Roman" w:cs="Times New Roman" w:eastAsia="Times New Roman" w:hAnsi="Times New Roman"/>
                  <w:sz w:val="18"/>
                  <w:szCs w:val="18"/>
                  <w:u w:val="single" w:color="auto"/>
                  <w:color w:val="0000FF"/>
                </w:rPr>
                <w:t>Note 13</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33">
              <w:r>
                <w:rPr>
                  <w:rFonts w:ascii="Times New Roman" w:cs="Times New Roman" w:eastAsia="Times New Roman" w:hAnsi="Times New Roman"/>
                  <w:sz w:val="18"/>
                  <w:szCs w:val="18"/>
                  <w:u w:val="single" w:color="auto"/>
                  <w:color w:val="0000FF"/>
                </w:rPr>
                <w:t>Redeemable Series A Preferred Units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33">
              <w:r>
                <w:rPr>
                  <w:rFonts w:ascii="Times New Roman" w:cs="Times New Roman" w:eastAsia="Times New Roman" w:hAnsi="Times New Roman"/>
                  <w:sz w:val="18"/>
                  <w:szCs w:val="18"/>
                  <w:u w:val="single" w:color="auto"/>
                  <w:color w:val="3051F2"/>
                </w:rPr>
                <w:t>125</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33">
              <w:r>
                <w:rPr>
                  <w:rFonts w:ascii="Times New Roman" w:cs="Times New Roman" w:eastAsia="Times New Roman" w:hAnsi="Times New Roman"/>
                  <w:sz w:val="18"/>
                  <w:szCs w:val="18"/>
                  <w:u w:val="single" w:color="auto"/>
                  <w:color w:val="0000FF"/>
                </w:rPr>
                <w:t>Note 14</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33">
              <w:r>
                <w:rPr>
                  <w:rFonts w:ascii="Times New Roman" w:cs="Times New Roman" w:eastAsia="Times New Roman" w:hAnsi="Times New Roman"/>
                  <w:sz w:val="18"/>
                  <w:szCs w:val="18"/>
                  <w:u w:val="single" w:color="auto"/>
                  <w:color w:val="0000FF"/>
                </w:rPr>
                <w:t>Earnings Per Share</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33">
              <w:r>
                <w:rPr>
                  <w:rFonts w:ascii="Times New Roman" w:cs="Times New Roman" w:eastAsia="Times New Roman" w:hAnsi="Times New Roman"/>
                  <w:sz w:val="18"/>
                  <w:szCs w:val="18"/>
                  <w:u w:val="single" w:color="auto"/>
                  <w:color w:val="3051F2"/>
                </w:rPr>
                <w:t>126</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35">
              <w:r>
                <w:rPr>
                  <w:rFonts w:ascii="Times New Roman" w:cs="Times New Roman" w:eastAsia="Times New Roman" w:hAnsi="Times New Roman"/>
                  <w:sz w:val="18"/>
                  <w:szCs w:val="18"/>
                  <w:u w:val="single" w:color="auto"/>
                  <w:color w:val="0000FF"/>
                </w:rPr>
                <w:t>Note 15</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35">
              <w:r>
                <w:rPr>
                  <w:rFonts w:ascii="Times New Roman" w:cs="Times New Roman" w:eastAsia="Times New Roman" w:hAnsi="Times New Roman"/>
                  <w:sz w:val="18"/>
                  <w:szCs w:val="18"/>
                  <w:u w:val="single" w:color="auto"/>
                  <w:color w:val="0000FF"/>
                </w:rPr>
                <w:t>Leases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35">
              <w:r>
                <w:rPr>
                  <w:rFonts w:ascii="Times New Roman" w:cs="Times New Roman" w:eastAsia="Times New Roman" w:hAnsi="Times New Roman"/>
                  <w:sz w:val="18"/>
                  <w:szCs w:val="18"/>
                  <w:u w:val="single" w:color="auto"/>
                  <w:color w:val="3051F2"/>
                </w:rPr>
                <w:t>128</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37">
              <w:r>
                <w:rPr>
                  <w:rFonts w:ascii="Times New Roman" w:cs="Times New Roman" w:eastAsia="Times New Roman" w:hAnsi="Times New Roman"/>
                  <w:sz w:val="18"/>
                  <w:szCs w:val="18"/>
                  <w:u w:val="single" w:color="auto"/>
                  <w:color w:val="0000FF"/>
                </w:rPr>
                <w:t>Note 16</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37">
              <w:r>
                <w:rPr>
                  <w:rFonts w:ascii="Times New Roman" w:cs="Times New Roman" w:eastAsia="Times New Roman" w:hAnsi="Times New Roman"/>
                  <w:sz w:val="18"/>
                  <w:szCs w:val="18"/>
                  <w:u w:val="single" w:color="auto"/>
                  <w:color w:val="0000FF"/>
                </w:rPr>
                <w:t>Equity-based Compensation</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37">
              <w:r>
                <w:rPr>
                  <w:rFonts w:ascii="Times New Roman" w:cs="Times New Roman" w:eastAsia="Times New Roman" w:hAnsi="Times New Roman"/>
                  <w:sz w:val="18"/>
                  <w:szCs w:val="18"/>
                  <w:u w:val="single" w:color="auto"/>
                  <w:color w:val="3051F2"/>
                </w:rPr>
                <w:t>129</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Note 17</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Segment and Geographic Data</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43">
              <w:r>
                <w:rPr>
                  <w:rFonts w:ascii="Times New Roman" w:cs="Times New Roman" w:eastAsia="Times New Roman" w:hAnsi="Times New Roman"/>
                  <w:sz w:val="18"/>
                  <w:szCs w:val="18"/>
                  <w:u w:val="single" w:color="auto"/>
                  <w:color w:val="3051F2"/>
                </w:rPr>
                <w:t>135</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Note 18</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Tax Receivable Agreements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43">
              <w:r>
                <w:rPr>
                  <w:rFonts w:ascii="Times New Roman" w:cs="Times New Roman" w:eastAsia="Times New Roman" w:hAnsi="Times New Roman"/>
                  <w:sz w:val="18"/>
                  <w:szCs w:val="18"/>
                  <w:u w:val="single" w:color="auto"/>
                  <w:color w:val="3051F2"/>
                </w:rPr>
                <w:t>136</w:t>
              </w:r>
            </w:hyperlink>
          </w:p>
        </w:tc>
      </w:tr>
      <w:tr>
        <w:trPr>
          <w:trHeight w:val="225"/>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44">
              <w:r>
                <w:rPr>
                  <w:rFonts w:ascii="Times New Roman" w:cs="Times New Roman" w:eastAsia="Times New Roman" w:hAnsi="Times New Roman"/>
                  <w:sz w:val="18"/>
                  <w:szCs w:val="18"/>
                  <w:u w:val="single" w:color="auto"/>
                  <w:color w:val="0000FF"/>
                </w:rPr>
                <w:t>Note 19</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44">
              <w:r>
                <w:rPr>
                  <w:rFonts w:ascii="Times New Roman" w:cs="Times New Roman" w:eastAsia="Times New Roman" w:hAnsi="Times New Roman"/>
                  <w:sz w:val="18"/>
                  <w:szCs w:val="18"/>
                  <w:u w:val="single" w:color="auto"/>
                  <w:color w:val="0000FF"/>
                </w:rPr>
                <w:t>Income Taxes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44">
              <w:r>
                <w:rPr>
                  <w:rFonts w:ascii="Times New Roman" w:cs="Times New Roman" w:eastAsia="Times New Roman" w:hAnsi="Times New Roman"/>
                  <w:sz w:val="18"/>
                  <w:szCs w:val="18"/>
                  <w:u w:val="single" w:color="auto"/>
                  <w:color w:val="3051F2"/>
                </w:rPr>
                <w:t>137</w:t>
              </w:r>
            </w:hyperlink>
          </w:p>
        </w:tc>
      </w:tr>
      <w:tr>
        <w:trPr>
          <w:trHeight w:val="231"/>
        </w:trPr>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Note 20</w:t>
              </w:r>
            </w:hyperlink>
          </w:p>
        </w:tc>
        <w:tc>
          <w:tcPr>
            <w:tcW w:w="7580" w:type="dxa"/>
            <w:vAlign w:val="bottom"/>
          </w:tcPr>
          <w:p>
            <w:pPr>
              <w:ind w:left="320"/>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Subsequent Events</w:t>
              </w:r>
            </w:hyperlink>
          </w:p>
        </w:tc>
        <w:tc>
          <w:tcPr>
            <w:tcW w:w="2540" w:type="dxa"/>
            <w:vAlign w:val="bottom"/>
          </w:tcPr>
          <w:p>
            <w:pPr>
              <w:jc w:val="center"/>
              <w:ind w:left="2172"/>
              <w:spacing w:after="0"/>
              <w:rPr>
                <w:rFonts w:ascii="Times New Roman" w:cs="Times New Roman" w:eastAsia="Times New Roman" w:hAnsi="Times New Roman"/>
                <w:sz w:val="18"/>
                <w:szCs w:val="18"/>
                <w:u w:val="single" w:color="auto"/>
                <w:color w:val="3051F2"/>
              </w:rPr>
            </w:pPr>
            <w:hyperlink w:anchor="page146">
              <w:r>
                <w:rPr>
                  <w:rFonts w:ascii="Times New Roman" w:cs="Times New Roman" w:eastAsia="Times New Roman" w:hAnsi="Times New Roman"/>
                  <w:sz w:val="18"/>
                  <w:szCs w:val="18"/>
                  <w:u w:val="single" w:color="auto"/>
                  <w:color w:val="3051F2"/>
                </w:rPr>
                <w:t>139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105" w:name="page106"/>
    <w:bookmarkEnd w:id="10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provides a go-to-market intelligence platform for sales and marketing teams. The Company’s cloud-based platform provides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32" w:lineRule="exact"/>
        <w:rPr>
          <w:sz w:val="20"/>
          <w:szCs w:val="20"/>
          <w:color w:val="auto"/>
        </w:rPr>
      </w:pPr>
    </w:p>
    <w:p>
      <w:pPr>
        <w:ind w:right="1400" w:firstLine="318"/>
        <w:spacing w:after="0" w:line="430" w:lineRule="auto"/>
        <w:rPr>
          <w:sz w:val="20"/>
          <w:szCs w:val="20"/>
          <w:color w:val="auto"/>
        </w:rPr>
      </w:pPr>
      <w:r>
        <w:rPr>
          <w:rFonts w:ascii="Times New Roman" w:cs="Times New Roman" w:eastAsia="Times New Roman" w:hAnsi="Times New Roman"/>
          <w:sz w:val="18"/>
          <w:szCs w:val="18"/>
          <w:color w:val="auto"/>
        </w:rPr>
        <w:t xml:space="preserve">The Company headquarters are located in Vancouver, WA, and we operate in eight offices throughout the U.S. and one office in Israel. </w:t>
      </w:r>
      <w:r>
        <w:rPr>
          <w:rFonts w:ascii="Times New Roman" w:cs="Times New Roman" w:eastAsia="Times New Roman" w:hAnsi="Times New Roman"/>
          <w:sz w:val="18"/>
          <w:szCs w:val="18"/>
          <w:b w:val="1"/>
          <w:bCs w:val="1"/>
          <w:i w:val="1"/>
          <w:iCs w:val="1"/>
          <w:color w:val="auto"/>
        </w:rPr>
        <w:t>Initial Public Offering</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1280" w:hanging="320"/>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64" w:lineRule="exact"/>
        <w:rPr>
          <w:rFonts w:ascii="Times New Roman" w:cs="Times New Roman" w:eastAsia="Times New Roman" w:hAnsi="Times New Roman"/>
          <w:sz w:val="18"/>
          <w:szCs w:val="18"/>
          <w:color w:val="auto"/>
        </w:rPr>
      </w:pPr>
    </w:p>
    <w:p>
      <w:pPr>
        <w:jc w:val="both"/>
        <w:ind w:left="640" w:firstLine="320"/>
        <w:spacing w:after="0" w:line="251" w:lineRule="auto"/>
        <w:tabs>
          <w:tab w:leader="none" w:pos="12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40" w:firstLine="320"/>
        <w:spacing w:after="0" w:line="259" w:lineRule="auto"/>
        <w:tabs>
          <w:tab w:leader="none" w:pos="12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4" w:lineRule="exact"/>
        <w:rPr>
          <w:rFonts w:ascii="Times New Roman" w:cs="Times New Roman" w:eastAsia="Times New Roman" w:hAnsi="Times New Roman"/>
          <w:sz w:val="18"/>
          <w:szCs w:val="18"/>
          <w:color w:val="auto"/>
        </w:rPr>
      </w:pPr>
    </w:p>
    <w:p>
      <w:pPr>
        <w:jc w:val="both"/>
        <w:ind w:left="640" w:firstLine="320"/>
        <w:spacing w:after="0" w:line="255" w:lineRule="auto"/>
        <w:tabs>
          <w:tab w:leader="none" w:pos="12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As of December 31, 2020, ZoomInfo Technologies Inc. owned 98% of the outstanding HoldCo Units, and ZoomInfo HoldCo owned 45% of the outstanding OpCo Units.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Reorganization Transactions and the IPO, ZoomInfo Technologies Inc. entered into two tax receivable agreements. See Note 18.</w:t>
      </w:r>
    </w:p>
    <w:p>
      <w:pPr>
        <w:spacing w:after="0" w:line="280" w:lineRule="exact"/>
        <w:rPr>
          <w:sz w:val="20"/>
          <w:szCs w:val="20"/>
          <w:color w:val="auto"/>
        </w:rPr>
      </w:pPr>
    </w:p>
    <w:p>
      <w:pPr>
        <w:ind w:right="5340"/>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Accounting Principles</w:t>
      </w:r>
    </w:p>
    <w:p>
      <w:pPr>
        <w:spacing w:after="0" w:line="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ZoomInfo Technologies Inc., through our intermediate holding company ZoomInfo HoldCo, owns a minority economic interest in, but operates and has the power to control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and, for the year ended December 31, 2020, ZoomInfo Technologies Inc. did not provide support to ZoomInfo OpCo it was not contractually required to provide. Accordingly, ZoomInfo Technologies Inc. is considered the primary beneficiary and consolidates ZoomInfo OpCo in the Company’s consolidated financial statements.</w:t>
      </w:r>
    </w:p>
    <w:p>
      <w:pPr>
        <w:spacing w:after="0" w:line="116"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w:t>
      </w:r>
    </w:p>
    <w:p>
      <w:pPr>
        <w:spacing w:after="0" w:line="1" w:lineRule="exact"/>
        <w:rPr>
          <w:sz w:val="20"/>
          <w:szCs w:val="20"/>
          <w:color w:val="auto"/>
        </w:rPr>
      </w:pPr>
    </w:p>
    <w:p>
      <w:pPr>
        <w:jc w:val="both"/>
        <w:ind w:firstLine="6"/>
        <w:spacing w:after="0" w:line="270" w:lineRule="auto"/>
        <w:tabs>
          <w:tab w:leader="none" w:pos="21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annually, semi-annually, or quarterly in advance of delivery.</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64" w:lineRule="exact"/>
        <w:rPr>
          <w:sz w:val="20"/>
          <w:szCs w:val="20"/>
          <w:color w:val="auto"/>
        </w:rPr>
      </w:pPr>
    </w:p>
    <w:p>
      <w:pPr>
        <w:ind w:left="1280" w:hanging="320"/>
        <w:spacing w:after="0"/>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reduces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will be recognized in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doubtful accounts and does not bear interest. We consider receivables past due based on the contractual payment terms.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December 31, 2020 and December 31, 2019. No single customer accounted for 10% or more of our revenue for the years ended December 31, 2020, 2019, and 2018 or accounted for more than 10% of accounts receivable as of December 31, 2020 and December 31, 2019.</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Times New Roman" w:cs="Times New Roman" w:eastAsia="Times New Roman" w:hAnsi="Times New Roman"/>
          <w:sz w:val="17"/>
          <w:szCs w:val="17"/>
          <w:i w:val="1"/>
          <w:iCs w:val="1"/>
          <w:color w:val="auto"/>
        </w:rPr>
        <w:t>Deferred costs</w:t>
      </w:r>
      <w:r>
        <w:rPr>
          <w:rFonts w:ascii="Times New Roman" w:cs="Times New Roman" w:eastAsia="Times New Roman" w:hAnsi="Times New Roman"/>
          <w:sz w:val="17"/>
          <w:szCs w:val="17"/>
          <w:color w:val="auto"/>
        </w:rPr>
        <w:t xml:space="preserve"> and noncurrent amounts are included in </w:t>
      </w:r>
      <w:r>
        <w:rPr>
          <w:rFonts w:ascii="Times New Roman" w:cs="Times New Roman" w:eastAsia="Times New Roman" w:hAnsi="Times New Roman"/>
          <w:sz w:val="17"/>
          <w:szCs w:val="17"/>
          <w:i w:val="1"/>
          <w:iCs w:val="1"/>
          <w:color w:val="auto"/>
        </w:rPr>
        <w:t>Deferred costs,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net of current portion </w:t>
      </w:r>
      <w:r>
        <w:rPr>
          <w:rFonts w:ascii="Times New Roman" w:cs="Times New Roman" w:eastAsia="Times New Roman" w:hAnsi="Times New Roman"/>
          <w:sz w:val="17"/>
          <w:szCs w:val="17"/>
          <w:color w:val="auto"/>
        </w:rPr>
        <w:t>in our Consolidated Balance Sheets. Deferred sales commissions are amortized on a straight-line basis over the estimated period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Statements of Operations. Commissions payable at December 31, 2020 were $25.6 million, of which the current portion of $23.3 million was included in </w:t>
      </w:r>
      <w:r>
        <w:rPr>
          <w:rFonts w:ascii="Times New Roman" w:cs="Times New Roman" w:eastAsia="Times New Roman" w:hAnsi="Times New Roman"/>
          <w:sz w:val="17"/>
          <w:szCs w:val="17"/>
          <w:i w:val="1"/>
          <w:iCs w:val="1"/>
          <w:color w:val="auto"/>
        </w:rPr>
        <w:t>Accrued expenses and other current liabilities</w:t>
      </w:r>
      <w:r>
        <w:rPr>
          <w:rFonts w:ascii="Times New Roman" w:cs="Times New Roman" w:eastAsia="Times New Roman" w:hAnsi="Times New Roman"/>
          <w:sz w:val="17"/>
          <w:szCs w:val="17"/>
          <w:color w:val="auto"/>
        </w:rPr>
        <w:t xml:space="preserve"> in our Consolidated Balance Sheets, and the long-term portion of $2.3 million was included in </w:t>
      </w:r>
      <w:r>
        <w:rPr>
          <w:rFonts w:ascii="Times New Roman" w:cs="Times New Roman" w:eastAsia="Times New Roman" w:hAnsi="Times New Roman"/>
          <w:sz w:val="17"/>
          <w:szCs w:val="17"/>
          <w:i w:val="1"/>
          <w:iCs w:val="1"/>
          <w:color w:val="auto"/>
        </w:rPr>
        <w:t>Other long-term liabilities</w:t>
      </w:r>
      <w:r>
        <w:rPr>
          <w:rFonts w:ascii="Times New Roman" w:cs="Times New Roman" w:eastAsia="Times New Roman" w:hAnsi="Times New Roman"/>
          <w:sz w:val="17"/>
          <w:szCs w:val="17"/>
          <w:color w:val="auto"/>
        </w:rPr>
        <w:t xml:space="preserve"> in our Consolidated Balance Sheets. The current portion of commissions payable included in </w:t>
      </w:r>
      <w:r>
        <w:rPr>
          <w:rFonts w:ascii="Times New Roman" w:cs="Times New Roman" w:eastAsia="Times New Roman" w:hAnsi="Times New Roman"/>
          <w:sz w:val="17"/>
          <w:szCs w:val="17"/>
          <w:i w:val="1"/>
          <w:iCs w:val="1"/>
          <w:color w:val="auto"/>
        </w:rPr>
        <w:t>Accrued expenses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other current liabilities </w:t>
      </w:r>
      <w:r>
        <w:rPr>
          <w:rFonts w:ascii="Times New Roman" w:cs="Times New Roman" w:eastAsia="Times New Roman" w:hAnsi="Times New Roman"/>
          <w:sz w:val="17"/>
          <w:szCs w:val="17"/>
          <w:color w:val="auto"/>
        </w:rPr>
        <w:t>in our Consolidated Balance Sheets at December 31, 2019 was $9.4 million, and the long-term portion was immaterial.</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capitalized $44.9 million and $25.3 million of costs to obtain revenue contracts and amortized $25.1 million and $8.6 million to sales and marketing expense for the years ended December 31, 2020 and 2019, respectively. Costs capitalized to obtain a revenue contract, net on the Company's consolidated balance sheets totaled $40.3 million and $20.5 million at December 31, 2020 and 2019, respectively. There were no impairments of costs to obtain revenue contracts in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right="20" w:firstLine="318"/>
        <w:spacing w:after="0" w:line="304" w:lineRule="auto"/>
        <w:rPr>
          <w:sz w:val="20"/>
          <w:szCs w:val="20"/>
          <w:color w:val="auto"/>
        </w:rPr>
      </w:pPr>
      <w:r>
        <w:rPr>
          <w:rFonts w:ascii="Times New Roman" w:cs="Times New Roman" w:eastAsia="Times New Roman" w:hAnsi="Times New Roman"/>
          <w:sz w:val="17"/>
          <w:szCs w:val="17"/>
          <w:color w:val="auto"/>
        </w:rPr>
        <w:t>The Company expenses advertising costs as incurred. Advertising expenses of $13.2 million, $9.8 million, and $2.5 million were recorded for the years ended December 31, 2020, 2019, and 2018. Advertising expenses are included in Sales and marketing expenses on the Consolidated Statements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Transaction-Related Expenses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years ended December 31, 2020, 2019, or 2018.</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2019, we recorded an impairment charge of $1.1 million relating to the impairment of a right-of-use asset acquired in the Pre-Acquisition ZI acquisition. No impairment charges were recorded for the years ended December 31, 2020 or 2018.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in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in our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in the Company’s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 agreements liability, net of current portion,</w:t>
      </w:r>
      <w:r>
        <w:rPr>
          <w:rFonts w:ascii="Times New Roman" w:cs="Times New Roman" w:eastAsia="Times New Roman" w:hAnsi="Times New Roman"/>
          <w:sz w:val="18"/>
          <w:szCs w:val="18"/>
          <w:color w:val="auto"/>
        </w:rPr>
        <w:t xml:space="preserve"> respectively. Subsequent changes to the measurement of the TRA liability are recognized in the statements of income as a component of other income (expense), net. See Note 18 for further details on the TRA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is a corporation and is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However, ZoomInfo Holdings is subject to the Texas Margins Tax. Additionally, our operations in Israel are subject to local country income taxes. See Note 19 for additional information regarding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1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for incentive units is measured at the estimated fair value of the incentive units and is included as compensation expense over the vesting period during which an employee provides service in exchange for the award.</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Retirement Benefits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has a 401(k) plan that all eligible employees can contribute pre-tax and after-tax (Roth) to up to the maximum annual amount established by the Internal Revenue Code. In 2020, the Company matched 50% of the employee’s contribution to the 401(k) plan up to the first 7% of their contribution. Previously, the Company matched 35% of the employee's contribution to the 401(k) plan up to the first 6% of their contribution. Matching contributions made by the Company were approximately $3.0 million, $1.4 million, and $0.6 million for the years ended December 31, 2020, 2019, and 2018, respectively. Matching contributions will be fully vested after three years of service. Employee contributions are 100% vested immediately. The increased match percentage combined with increased headcount contributed to the increase in the Company’s matching contribution in 2020. The acquisition of Zoom Information, Inc. contributed to the increase in the Company's matching contribution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6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 xml:space="preserve">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comprised the following service offerings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total revenue recognized in the years ended December 31, 2020, 2019, and 2018, $155.4 million, $52.2 million and $37.1 million was included in the unearned revenue balance as of December 31, 2019, 2018, and 2017, respectively. Revenue recognized from performance obligations satisfied (or partially satisfied) in previous periods was not material.</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had no Company sales offices located in a foreign country as of December 31, 2020, and we contract exclusively with our customers in the United States Dollar.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Unearned Revenue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or quarterly period. Subscription revenue is generally recognized ratably over the contract term starting with when the service is made available to the customer. Usage-based revenue is recognized in the period services are used by customers. The amount of revenue recognized reflects the consideration the Company expects to be entitled to receive in exchange for these services.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contract asset balances of $2.4 million and $0.1 million as of December 31, 2020 and 2019, respectively, are recorded as current assets within </w:t>
      </w: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in the Consolidated Balance Sheets. The unearned revenue balances were $222.7 million and $159.1 million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and 2019, respectively.</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60" w:type="dxa"/>
            <w:vAlign w:val="bottom"/>
          </w:tcPr>
          <w:p>
            <w:pPr>
              <w:spacing w:after="0"/>
              <w:rPr>
                <w:sz w:val="16"/>
                <w:szCs w:val="16"/>
                <w:color w:val="auto"/>
              </w:rPr>
            </w:pPr>
          </w:p>
        </w:tc>
        <w:tc>
          <w:tcPr>
            <w:tcW w:w="120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2020</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3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2019</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completed two acquisitions in each of 2020 and 2019, all of which qualified as business combinations. For information on goodwill and acquired intangible asset balances, see Note 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Acquisitions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acquired all of the assets of Clickagy, LLC on October 14, 2020 and all of the membership interests in EverString Technology, LLC on November 3, 2020 for a total purchase consideration of $71.7 million. The Company included the financial results of these businesses in the consolidated financial statements from each date of acquisition. Transaction costs associated with each acquisition were not material. As part of the acquisitions, the Company agreed to issue $2.1 million of RSUs and agreed to pay $4.8 million of incentive compensation to acquired employees, subject to continued employment, to be recognized in the post-combination periods. The Company classifies compensation expense in its Consolidated Statements of Operations in the same manner in which the award recipient’s salary is classified.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acquisition date fair value of the total consideration transferred was comprised of the following (in millions):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4"/>
        </w:trPr>
        <w:tc>
          <w:tcPr>
            <w:tcW w:w="9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consideration liabilities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67,075 Class A shares</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aggregate fair values of the assets acquired and liabilities assumed, as of the date of the acquisitions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8"/>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8"/>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5"/>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Issuance of 67,075 Class A shares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acquired</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dates of acquisition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Useful</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114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 years</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 years</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Database</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 years</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9.3 years</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The goodwill balance from both acquisitions is expected to be deductible for U.S. income tax purposes.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 forma information related to the acquisitions has not been presented as the impact was not material to the Company’s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Acquisitions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Komiko</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year ended December 31, 2020, the Company adjusted the Komiko contingent payment liability by $1.6 million.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7"/>
              </w:rPr>
              <w:t>2.4</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8"/>
              </w:rPr>
              <w:t>(0.2)</w:t>
            </w:r>
          </w:p>
        </w:tc>
      </w:tr>
      <w:tr>
        <w:trPr>
          <w:trHeight w:val="218"/>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7"/>
              </w:rPr>
              <w:t>2.2</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7"/>
              </w:rPr>
              <w:t>6.3</w:t>
            </w:r>
          </w:p>
        </w:tc>
      </w:tr>
      <w:tr>
        <w:trPr>
          <w:trHeight w:val="218"/>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7"/>
              </w:rPr>
              <w:t>8.5</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8"/>
              </w:rPr>
              <w:t>(0.2)</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7"/>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Pre-Acquisition ZI</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included the financial results of Pre-Acquisition ZI in the consolidated financial statements from the date of acquisition. The Company incurred approximately $2.7 million of transactions costs related to this acquisition which are included in </w:t>
      </w:r>
      <w:r>
        <w:rPr>
          <w:rFonts w:ascii="Times New Roman" w:cs="Times New Roman" w:eastAsia="Times New Roman" w:hAnsi="Times New Roman"/>
          <w:sz w:val="18"/>
          <w:szCs w:val="18"/>
          <w:i w:val="1"/>
          <w:iCs w:val="1"/>
          <w:color w:val="auto"/>
        </w:rPr>
        <w:t>Restructuring and transaction related expenses</w:t>
      </w:r>
      <w:r>
        <w:rPr>
          <w:rFonts w:ascii="Times New Roman" w:cs="Times New Roman" w:eastAsia="Times New Roman" w:hAnsi="Times New Roman"/>
          <w:sz w:val="18"/>
          <w:szCs w:val="18"/>
          <w:color w:val="auto"/>
        </w:rPr>
        <w:t xml:space="preserve"> in the Consolidated Statements of Operations.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equity award settlement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of replacement awards attributable to pre-acquisition service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purchase consideration liabilities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the purchase agreement, the Company will pay deferred consideration of $25.0 million and $10.0 million on the first and second anniversary of the Pre-Acquisition ZI acquisition, respectively. As of December 31, 2020, the remaining balance of $10.0 million was recorded in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liabilities </w:t>
      </w:r>
      <w:r>
        <w:rPr>
          <w:rFonts w:ascii="Times New Roman" w:cs="Times New Roman" w:eastAsia="Times New Roman" w:hAnsi="Times New Roman"/>
          <w:sz w:val="18"/>
          <w:szCs w:val="18"/>
          <w:color w:val="auto"/>
        </w:rPr>
        <w:t>on the Company’s Consolidated Balance Sheets and will be paid in 2021. The fair value of the deferred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was determined using a present value calculation. The following table summarizes the fair values of the assets acquired and liabilities assumed, as of the date of acquisition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8"/>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18"/>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18"/>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consideration</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5"/>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acquired</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was recognized as revenue over a period of approximately one year, which represented the period the related contracted services were provided.</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2020, the potential value of future payments under the Cash Vesting Payment Program was $4.2 million to be paid to employees through 2022, assuming continued employment for each employee. The Company recognized $6.4 million and $8.8 million of expense under the Cash Vesting Program for the years ended December 31, 2020 and 2019, respectively.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 of acquisition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Useful</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 years</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15.0 years</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unaudited pro forma revenue and earnings of the combined entity had the acquisition date been January 1, 2018,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0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Loss Before Income</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Taxes</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pro forma from January 1, 2019 to December 31, 2019</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1"/>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pro forma from January 1, 2018 to December 31, 2018</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205.6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Cash, Cash Equivalents, and Short-term Investments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5"/>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05"/>
        </w:trPr>
        <w:tc>
          <w:tcPr>
            <w:tcW w:w="556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5"/>
        </w:trPr>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5"/>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5"/>
        </w:trPr>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8"/>
        </w:trPr>
        <w:tc>
          <w:tcPr>
            <w:tcW w:w="5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19"/>
        </w:trPr>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05"/>
        </w:trPr>
        <w:tc>
          <w:tcPr>
            <w:tcW w:w="556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5"/>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8"/>
        </w:trPr>
        <w:tc>
          <w:tcPr>
            <w:tcW w:w="5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Cash and cash equivalents consisted of $41.4 million of cash as of December 31, 2019. There were no short-term investments as of December 31, 2019.</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See Note 10 for further information regarding the fair value of our financial instruments.</w:t>
      </w:r>
    </w:p>
    <w:p>
      <w:pPr>
        <w:spacing w:after="0" w:line="1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had immaterial gross unrealized losses related to our available-for-sale securities as of December 31, 2020. The following table summarizes the fair value of our available-for-sale securities that have been in a continuous unrealized loss position as of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80" w:type="dxa"/>
            <w:vAlign w:val="bottom"/>
          </w:tcPr>
          <w:p>
            <w:pPr>
              <w:spacing w:after="0"/>
              <w:rPr>
                <w:sz w:val="16"/>
                <w:szCs w:val="16"/>
                <w:color w:val="auto"/>
              </w:rPr>
            </w:pPr>
          </w:p>
        </w:tc>
        <w:tc>
          <w:tcPr>
            <w:tcW w:w="336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1"/>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8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Less Than Twelve</w:t>
            </w:r>
          </w:p>
        </w:tc>
        <w:tc>
          <w:tcPr>
            <w:tcW w:w="15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More Than Twelve</w:t>
            </w:r>
          </w:p>
        </w:tc>
        <w:tc>
          <w:tcPr>
            <w:tcW w:w="100" w:type="dxa"/>
            <w:vAlign w:val="bottom"/>
          </w:tcPr>
          <w:p>
            <w:pPr>
              <w:spacing w:after="0"/>
              <w:rPr>
                <w:sz w:val="11"/>
                <w:szCs w:val="11"/>
                <w:color w:val="auto"/>
              </w:rPr>
            </w:pPr>
          </w:p>
        </w:tc>
        <w:tc>
          <w:tcPr>
            <w:tcW w:w="1700" w:type="dxa"/>
            <w:vAlign w:val="bottom"/>
            <w:tcBorders>
              <w:top w:val="single" w:sz="8" w:color="auto"/>
            </w:tcBorders>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Less Than Twelve</w:t>
            </w:r>
          </w:p>
        </w:tc>
        <w:tc>
          <w:tcPr>
            <w:tcW w:w="16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More Than Twelve</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1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twenty-four securities in an unrealized loss position for less than twelve months at December 31, 2020. There were no securities in an unrealized loss position for more than twelve months at December 31, 2020.</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the securities classified as short-term investments based on stated effective maturities as of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74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fixed assets consist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9"/>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$8.9 million, $6.1 million, and $2.6 million for the years ended December 31, 2020, 2019, and 2018,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Acquired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2020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6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2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Acquired Intangible Assets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2019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Net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6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2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was $41.9 million, $42.6 million, and $14.7 million for the years ended December 31, 2020, 2019, and 2018,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December 31, 2020 is as follows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Estimate Amortization</w:t>
            </w:r>
          </w:p>
        </w:tc>
      </w:tr>
      <w:tr>
        <w:trPr>
          <w:trHeight w:val="185"/>
        </w:trPr>
        <w:tc>
          <w:tcPr>
            <w:tcW w:w="9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05"/>
        </w:trPr>
        <w:tc>
          <w:tcPr>
            <w:tcW w:w="96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For years ended December 31,</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9680" w:type="dxa"/>
            <w:vAlign w:val="bottom"/>
          </w:tcPr>
          <w:p>
            <w:pPr>
              <w:jc w:val="right"/>
              <w:ind w:right="9092"/>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5"/>
        </w:trPr>
        <w:tc>
          <w:tcPr>
            <w:tcW w:w="9680" w:type="dxa"/>
            <w:vAlign w:val="bottom"/>
            <w:shd w:val="clear" w:color="auto" w:fill="CCEEFF"/>
          </w:tcPr>
          <w:p>
            <w:pPr>
              <w:jc w:val="right"/>
              <w:ind w:right="9092"/>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5"/>
        </w:trPr>
        <w:tc>
          <w:tcPr>
            <w:tcW w:w="9680" w:type="dxa"/>
            <w:vAlign w:val="bottom"/>
          </w:tcPr>
          <w:p>
            <w:pPr>
              <w:jc w:val="right"/>
              <w:ind w:right="9092"/>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5"/>
        </w:trPr>
        <w:tc>
          <w:tcPr>
            <w:tcW w:w="9680" w:type="dxa"/>
            <w:vAlign w:val="bottom"/>
            <w:shd w:val="clear" w:color="auto" w:fill="CCEEFF"/>
          </w:tcPr>
          <w:p>
            <w:pPr>
              <w:jc w:val="right"/>
              <w:ind w:right="9092"/>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1"/>
        </w:trPr>
        <w:tc>
          <w:tcPr>
            <w:tcW w:w="9680" w:type="dxa"/>
            <w:vAlign w:val="bottom"/>
          </w:tcPr>
          <w:p>
            <w:pPr>
              <w:jc w:val="right"/>
              <w:ind w:right="9092"/>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86"/>
        </w:trPr>
        <w:tc>
          <w:tcPr>
            <w:tcW w:w="9680" w:type="dxa"/>
            <w:vAlign w:val="bottom"/>
          </w:tcPr>
          <w:p>
            <w:pPr>
              <w:jc w:val="right"/>
              <w:ind w:right="3832"/>
              <w:spacing w:after="0"/>
              <w:rPr>
                <w:sz w:val="20"/>
                <w:szCs w:val="20"/>
                <w:color w:val="auto"/>
              </w:rPr>
            </w:pPr>
            <w:r>
              <w:rPr>
                <w:rFonts w:ascii="Times New Roman" w:cs="Times New Roman" w:eastAsia="Times New Roman" w:hAnsi="Times New Roman"/>
                <w:sz w:val="18"/>
                <w:szCs w:val="18"/>
                <w:color w:val="auto"/>
              </w:rPr>
              <w:t>The following summarizes changes to the Company’s goodwill (in millions):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4"/>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25"/>
        </w:trPr>
        <w:tc>
          <w:tcPr>
            <w:tcW w:w="9680" w:type="dxa"/>
            <w:vAlign w:val="bottom"/>
            <w:tcBorders>
              <w:bottom w:val="single" w:sz="8" w:color="CCEEFF"/>
            </w:tcBorders>
          </w:tcPr>
          <w:p>
            <w:pPr>
              <w:jc w:val="right"/>
              <w:ind w:right="7032"/>
              <w:spacing w:after="0"/>
              <w:rPr>
                <w:sz w:val="20"/>
                <w:szCs w:val="20"/>
                <w:color w:val="auto"/>
              </w:rPr>
            </w:pPr>
            <w:r>
              <w:rPr>
                <w:rFonts w:ascii="Times New Roman" w:cs="Times New Roman" w:eastAsia="Times New Roman" w:hAnsi="Times New Roman"/>
                <w:sz w:val="18"/>
                <w:szCs w:val="18"/>
                <w:color w:val="auto"/>
              </w:rPr>
              <w:t>Goodwill from 2019 acquisitions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r>
      <w:tr>
        <w:trPr>
          <w:trHeight w:val="225"/>
        </w:trPr>
        <w:tc>
          <w:tcPr>
            <w:tcW w:w="9680" w:type="dxa"/>
            <w:vAlign w:val="bottom"/>
            <w:tcBorders>
              <w:bottom w:val="single" w:sz="8" w:color="CCEEFF"/>
            </w:tcBorders>
          </w:tcPr>
          <w:p>
            <w:pPr>
              <w:jc w:val="right"/>
              <w:ind w:right="7012"/>
              <w:spacing w:after="0"/>
              <w:rPr>
                <w:sz w:val="20"/>
                <w:szCs w:val="20"/>
                <w:color w:val="auto"/>
              </w:rPr>
            </w:pPr>
            <w:r>
              <w:rPr>
                <w:rFonts w:ascii="Times New Roman" w:cs="Times New Roman" w:eastAsia="Times New Roman" w:hAnsi="Times New Roman"/>
                <w:sz w:val="18"/>
                <w:szCs w:val="18"/>
                <w:color w:val="auto"/>
              </w:rPr>
              <w:t>Goodwill from 2020 acquisitions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2020 and December 31, 2019, the carrying values of the Company’s borrowings were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0" w:type="dxa"/>
            <w:vAlign w:val="bottom"/>
          </w:tcPr>
          <w:p>
            <w:pPr>
              <w:spacing w:after="0"/>
              <w:rPr>
                <w:sz w:val="1"/>
                <w:szCs w:val="1"/>
                <w:color w:val="auto"/>
              </w:rPr>
            </w:pPr>
          </w:p>
        </w:tc>
      </w:tr>
      <w:tr>
        <w:trPr>
          <w:trHeight w:val="185"/>
        </w:trPr>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 of Issuance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Elected Interest Rate</w:t>
            </w: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2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2019</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2026</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LIBOR +3.75%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2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2019</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2024</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LIBOR +3.50%</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Term Loan</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2019</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2027</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LIBOR +8.50%</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152"/>
        </w:trPr>
        <w:tc>
          <w:tcPr>
            <w:tcW w:w="21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Carrying Value of</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0" w:type="dxa"/>
            <w:vAlign w:val="bottom"/>
          </w:tcPr>
          <w:p>
            <w:pPr>
              <w:spacing w:after="0"/>
              <w:rPr>
                <w:sz w:val="1"/>
                <w:szCs w:val="1"/>
                <w:color w:val="auto"/>
              </w:rPr>
            </w:pPr>
          </w:p>
        </w:tc>
      </w:tr>
      <w:tr>
        <w:trPr>
          <w:trHeight w:val="22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raised $965 million of first lien debt through the First Lien Credit Agreement. In addition to funding the purchase of Pre-Acquisition ZI, the proceeds were used to repay all previously outstanding indebtedness.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first lien debt has a variable interest rate whereby the Company can elect to use a Base Rate or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December 31, 2020, $756.4 million aggregate principal amount of term loans were outstanding under the First Lien Credit Agreement. The interest related portion of the repayment was recorded within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its Consolidated Statements of Operations, and represented use of cash from operating activities in the Consolidated Statements of Cash Flows. The quarterly repayment requirement on first lien borrowings has been satisfied for the remainder of the term after the $100.0 million principal payment. The effective interest rate on the first lien debt was 4.3% and 7.5% as of December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Term Loan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raised $370.0 million of second lien debt.</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xml:space="preserve"> on the Consolidated Statements of Operations comprised of the write-off of unamortized issuance costs and the prepayment penalty incurred on the payoff. The effective interest rate on the second lien debt was 11.9% as of December 31, 2019.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entered into the First Lien Credit Agreement providing a $100.0 million credit facility.</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On March 25th, 2020, the Company drew down $35.0 million under the revolving credit facility. 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Times New Roman" w:cs="Times New Roman" w:eastAsia="Times New Roman" w:hAnsi="Times New Roman"/>
          <w:sz w:val="18"/>
          <w:szCs w:val="18"/>
          <w:i w:val="1"/>
          <w:iCs w:val="1"/>
          <w:color w:val="auto"/>
        </w:rPr>
        <w:t>Deferred costs, net of current portion</w:t>
      </w:r>
      <w:r>
        <w:rPr>
          <w:rFonts w:ascii="Times New Roman" w:cs="Times New Roman" w:eastAsia="Times New Roman" w:hAnsi="Times New Roman"/>
          <w:sz w:val="18"/>
          <w:szCs w:val="18"/>
          <w:color w:val="auto"/>
        </w:rPr>
        <w:t xml:space="preserve"> on the accompanying Consolidated Balance Sheets were immaterial as of December 31, 2020 and December 31, 2019.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Series A Preferred Units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issued 51,750,000 of Series A Preferred Units in exchange for $200.2 million, net of issuance costs. On June 8, 2020, the Company redeemed and cancelled all outstanding Series A Preferred Units of ZoomInfo OpCo. Refer to Note 13 for additional discussion regarding Series A Preferred Units and related redemption.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December 31, 2020 is as follows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Discounts and Issuance</w:t>
            </w:r>
          </w:p>
        </w:tc>
        <w:tc>
          <w:tcPr>
            <w:tcW w:w="240" w:type="dxa"/>
            <w:vAlign w:val="bottom"/>
          </w:tcPr>
          <w:p>
            <w:pPr>
              <w:spacing w:after="0"/>
              <w:rPr>
                <w:sz w:val="13"/>
                <w:szCs w:val="13"/>
                <w:color w:val="auto"/>
              </w:rPr>
            </w:pPr>
          </w:p>
        </w:tc>
        <w:tc>
          <w:tcPr>
            <w:tcW w:w="13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As Presented</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5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spacing w:after="0"/>
              <w:rPr>
                <w:sz w:val="19"/>
                <w:szCs w:val="19"/>
                <w:color w:val="auto"/>
              </w:rPr>
            </w:pPr>
          </w:p>
        </w:tc>
        <w:tc>
          <w:tcPr>
            <w:tcW w:w="3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spacing w:after="0"/>
              <w:rPr>
                <w:sz w:val="19"/>
                <w:szCs w:val="19"/>
                <w:color w:val="auto"/>
              </w:rPr>
            </w:pPr>
          </w:p>
        </w:tc>
        <w:tc>
          <w:tcPr>
            <w:tcW w:w="3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43"/>
        </w:trPr>
        <w:tc>
          <w:tcPr>
            <w:tcW w:w="2860" w:type="dxa"/>
            <w:vAlign w:val="bottom"/>
            <w:tcBorders>
              <w:top w:val="single" w:sz="8" w:color="CCEEFF"/>
              <w:bottom w:val="single" w:sz="8" w:color="CCEEFF"/>
            </w:tcBorders>
            <w:shd w:val="clear" w:color="auto" w:fill="CCEEFF"/>
          </w:tcPr>
          <w:p>
            <w:pPr>
              <w:spacing w:after="0"/>
              <w:rPr>
                <w:sz w:val="20"/>
                <w:szCs w:val="20"/>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10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recognize derivative instruments and hedging activities on a gross basis as either assets or liabilities on the Company’s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April 2019, the Company entered into two separate interest rate swap agreements to convert a portion of the Company’s floating-rate debt that is based on LIBOR to a fixed-rate, reducing the impact of interest rate changes on future interest expense. The first agreement converts $350.0 million of floating rate debt under our first lien credit facility to fixed rate obligations. The second agreement caps the interest rate applied to $500.0 million of the Company’s floating-rate debt in the event the interest rate should rise above the cap strike rate. Our interest rate swap contracts mature in April 2022, and our interest rate cap contract matures in April of 2024.</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we entered into forward-starting interest rate swaps to hedge the variability of forecasted interest payments on our first lien debt after April 2022. The total notional amount of these forward-starting interest rate swaps is $500.0 million as of December 31, 2020. These forward-starting interest rate swaps will fix the benchmark interest rate and hedge the variability of forecasted interest payments from April 2022 through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During the second quarter of 2020, the Company reduced its LIBOR based debt to $756.4 million (refer to Note 8), which is below the total notional amounts of our Derivative Instruments of $850.0 million as of the date of the debt repayment.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As the forecasted interest payments on $93.7 million not redesignated was probable to not occur, the Company reclassified the existing deferred loss on that portion of the derivative of $3.3 million from AOCI into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2020 the Company dedesignated and redesignated certain hedges contemporaneously with the inception of our forward-starting interest rate swaps to achieve optimal interest rate protections. As of December 31, 2020, $243.6 million of the notional amount of the interest rate cap contract is not designated as an accounting hedge.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December 31, 2020, the Company had the following outstanding interest rate derivatives that were designated as cash flow hedges of interest rate risk ($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0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Cap / Swap Rate</w:t>
            </w:r>
          </w:p>
        </w:tc>
        <w:tc>
          <w:tcPr>
            <w:tcW w:w="178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86"/>
        </w:trPr>
        <w:tc>
          <w:tcPr>
            <w:tcW w:w="3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0" w:type="dxa"/>
            <w:vAlign w:val="bottom"/>
            <w:gridSpan w:val="2"/>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30, 2024</w:t>
            </w:r>
          </w:p>
        </w:tc>
        <w:tc>
          <w:tcPr>
            <w:tcW w:w="0" w:type="dxa"/>
            <w:vAlign w:val="bottom"/>
          </w:tcPr>
          <w:p>
            <w:pPr>
              <w:spacing w:after="0"/>
              <w:rPr>
                <w:sz w:val="1"/>
                <w:szCs w:val="1"/>
                <w:color w:val="auto"/>
              </w:rPr>
            </w:pPr>
          </w:p>
        </w:tc>
      </w:tr>
      <w:tr>
        <w:trPr>
          <w:trHeight w:val="225"/>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Two</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25"/>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Two</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30, 2026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summarizes the fair value and presentation in the </w:t>
      </w:r>
      <w:r>
        <w:rPr>
          <w:rFonts w:ascii="Times New Roman" w:cs="Times New Roman" w:eastAsia="Times New Roman" w:hAnsi="Times New Roman"/>
          <w:sz w:val="18"/>
          <w:szCs w:val="18"/>
          <w:i w:val="1"/>
          <w:iCs w:val="1"/>
          <w:color w:val="auto"/>
        </w:rPr>
        <w:t>Consolidated Balance Sheets</w:t>
      </w:r>
      <w:r>
        <w:rPr>
          <w:rFonts w:ascii="Times New Roman" w:cs="Times New Roman" w:eastAsia="Times New Roman" w:hAnsi="Times New Roman"/>
          <w:sz w:val="18"/>
          <w:szCs w:val="18"/>
          <w:color w:val="auto"/>
        </w:rPr>
        <w:t xml:space="preserve"> for derivatives as of December 31, 2020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5"/>
        </w:trPr>
        <w:tc>
          <w:tcPr>
            <w:tcW w:w="428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20" w:type="dxa"/>
            <w:vAlign w:val="bottom"/>
          </w:tcPr>
          <w:p>
            <w:pPr>
              <w:spacing w:after="0"/>
              <w:rPr>
                <w:sz w:val="16"/>
                <w:szCs w:val="16"/>
                <w:color w:val="auto"/>
              </w:rPr>
            </w:pPr>
          </w:p>
        </w:tc>
        <w:tc>
          <w:tcPr>
            <w:tcW w:w="332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6"/>
                <w:szCs w:val="16"/>
                <w:color w:val="auto"/>
              </w:rPr>
            </w:pPr>
          </w:p>
        </w:tc>
        <w:tc>
          <w:tcPr>
            <w:tcW w:w="322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79"/>
        </w:trPr>
        <w:tc>
          <w:tcPr>
            <w:tcW w:w="4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05"/>
        </w:trPr>
        <w:tc>
          <w:tcPr>
            <w:tcW w:w="428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Forward-starting interest rate swap contracts</w:t>
            </w:r>
            <w:r>
              <w:rPr>
                <w:rFonts w:ascii="Times New Roman" w:cs="Times New Roman" w:eastAsia="Times New Roman" w:hAnsi="Times New Roman"/>
                <w:sz w:val="22"/>
                <w:szCs w:val="22"/>
                <w:color w:val="auto"/>
                <w:vertAlign w:val="superscript"/>
              </w:rPr>
              <w:t>(3)</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5"/>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undesignated derivative fair value</w:t>
            </w: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fair value</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2" w:lineRule="exact"/>
        <w:rPr>
          <w:sz w:val="20"/>
          <w:szCs w:val="20"/>
          <w:color w:val="auto"/>
        </w:rPr>
      </w:pPr>
    </w:p>
    <w:p>
      <w:pPr>
        <w:ind w:left="200" w:hanging="194"/>
        <w:spacing w:after="0"/>
        <w:tabs>
          <w:tab w:leader="none" w:pos="2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on our Consolidated Balance Sheets.</w:t>
      </w:r>
    </w:p>
    <w:p>
      <w:pPr>
        <w:ind w:left="200" w:hanging="194"/>
        <w:spacing w:after="0" w:line="237" w:lineRule="auto"/>
        <w:tabs>
          <w:tab w:leader="none" w:pos="2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Other long-term liabilities</w:t>
      </w:r>
      <w:r>
        <w:rPr>
          <w:rFonts w:ascii="Times New Roman" w:cs="Times New Roman" w:eastAsia="Times New Roman" w:hAnsi="Times New Roman"/>
          <w:sz w:val="14"/>
          <w:szCs w:val="14"/>
          <w:color w:val="auto"/>
        </w:rPr>
        <w:t xml:space="preserve"> on our Consolidated Balance Sheets.</w:t>
      </w:r>
    </w:p>
    <w:p>
      <w:pPr>
        <w:ind w:left="200" w:hanging="194"/>
        <w:spacing w:after="0"/>
        <w:tabs>
          <w:tab w:leader="none" w:pos="2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Deferred costs and other assets, net of current portion</w:t>
      </w:r>
      <w:r>
        <w:rPr>
          <w:rFonts w:ascii="Times New Roman" w:cs="Times New Roman" w:eastAsia="Times New Roman" w:hAnsi="Times New Roman"/>
          <w:sz w:val="14"/>
          <w:szCs w:val="14"/>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200" w:lineRule="exact"/>
        <w:rPr>
          <w:sz w:val="20"/>
          <w:szCs w:val="20"/>
          <w:color w:val="auto"/>
        </w:rPr>
      </w:pPr>
    </w:p>
    <w:p>
      <w:pPr>
        <w:spacing w:after="0" w:line="30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change in fair value of any derivative instruments was recorded, net of income tax,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(“AOCI”) on the Company’s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and as operating cash flows in our Consolidated Statements of Cash Flows. Income tax effects from changes in fair value of derivative instruments are recorded in our Consolidated Statements of Operations when the derivative instruments are settled. Over the next 12 months, we expect to reclassify approximately $5.9 million into interest expense from AOCI.</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of the fair value hierarchy. We classify our corporate debt securities, U.S. Treasury securities, and U.S. government agency securities as Level 2 of the fair value hierarchy. The carrying values of the Company's debt instruments approximate their fair value based on Level 2 inputs since the instruments carry variable interest rates based on LIBOR or other applicable reference rates.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(in millions) of our financial assets and (liabilities) was determined using the following inputs: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0"/>
                <w:szCs w:val="20"/>
                <w:color w:val="auto"/>
              </w:rPr>
            </w:pP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8"/>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contracts: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6"/>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1"/>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4"/>
                <w:szCs w:val="24"/>
                <w:color w:val="auto"/>
              </w:rPr>
            </w:pP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contracts: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6"/>
        </w:trPr>
        <w:tc>
          <w:tcPr>
            <w:tcW w:w="63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5"/>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Impaired right-of-use assets</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transfers between fair value measurements levels during the year ended December 31, 2020.</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See Note 5 for further information regarding the fair value of our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2020, our outstanding non-cancelable purchase obligations with a term of 12 months or longer, mainly related to third-party cloud hosting and software as a service arrangements,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300" w:type="dxa"/>
            <w:vAlign w:val="bottom"/>
          </w:tcPr>
          <w:p>
            <w:pPr>
              <w:spacing w:after="0"/>
              <w:rPr>
                <w:sz w:val="16"/>
                <w:szCs w:val="16"/>
                <w:color w:val="auto"/>
              </w:rPr>
            </w:pPr>
          </w:p>
        </w:tc>
        <w:tc>
          <w:tcPr>
            <w:tcW w:w="1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 (in millions)</w:t>
            </w:r>
          </w:p>
        </w:tc>
      </w:tr>
      <w:tr>
        <w:trPr>
          <w:trHeight w:val="224"/>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5"/>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use tax</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conducted an assessment of sales and use tax exposure in states where the Company has established nexus. Based on this assessment, the Company has recorded a liability for taxes owed and related penalties and interest in the amount of $3.1 million and $2.1 million at December 31, 2020 and December 31, 2019, respectively. This liability is included in A</w:t>
      </w:r>
      <w:r>
        <w:rPr>
          <w:rFonts w:ascii="Times New Roman" w:cs="Times New Roman" w:eastAsia="Times New Roman" w:hAnsi="Times New Roman"/>
          <w:sz w:val="18"/>
          <w:szCs w:val="18"/>
          <w:i w:val="1"/>
          <w:iCs w:val="1"/>
          <w:color w:val="auto"/>
        </w:rPr>
        <w:t>ccrued expenses and other current liabilities</w:t>
      </w:r>
      <w:r>
        <w:rPr>
          <w:rFonts w:ascii="Times New Roman" w:cs="Times New Roman" w:eastAsia="Times New Roman" w:hAnsi="Times New Roman"/>
          <w:sz w:val="18"/>
          <w:szCs w:val="18"/>
          <w:color w:val="auto"/>
        </w:rPr>
        <w:t xml:space="preserve"> in the Company’s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2020, the Company is contingently committed to making an earnout payment of up to $4.0 million as part of our acquisition Komiko (refer to Note 4 for additional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acquisition-related payments</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In accordance with the purchase agreement, the Company will pay deferred consideration of $10.0 million on the second anniversary of the </w:t>
      </w:r>
      <w:r>
        <w:rPr>
          <w:rFonts w:ascii="Times New Roman" w:cs="Times New Roman" w:eastAsia="Times New Roman" w:hAnsi="Times New Roman"/>
          <w:sz w:val="18"/>
          <w:szCs w:val="18"/>
          <w:i w:val="1"/>
          <w:iCs w:val="1"/>
          <w:color w:val="auto"/>
        </w:rPr>
        <w:t xml:space="preserve">Pre-Acquisition ZI </w:t>
      </w:r>
      <w:r>
        <w:rPr>
          <w:rFonts w:ascii="Times New Roman" w:cs="Times New Roman" w:eastAsia="Times New Roman" w:hAnsi="Times New Roman"/>
          <w:sz w:val="18"/>
          <w:szCs w:val="18"/>
          <w:color w:val="auto"/>
        </w:rPr>
        <w:t>acquisition in 2021. Refer to Note 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and Members' Deficit</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three classes of common stock: Class A common stock, Class B common stock, and Class C common stock. Holders of outstanding shares of our Class A common stock, Class B common stock, and Class C common stock will vote as a single class on all matters on which stockholders are entitled to vote generally, except as otherwise required by law. Shares of Class A common stock and Class C common stock are identical in all respects, except for voting rights, certain conversion rights and transfer restrictions in respect of the shares of Class C common stock,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and Members' Deficit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and holders of Class B and Class C common stock are entitled to ten votes per share (for so long as the aggregate number of outstanding shares of our Class B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No holders of any class of our common stock have cumulative voting rights in the election of directors. The voting power afforded to Pre-IPO Blocker Holders by their shares of Class C common stock, and Pre-IPO OpCo Unitholders and Pre-IPO HoldCo Unitholders, as applicable, by their shares of Class B common stock, is reduced as their shares are transferred or exchanged, as applicable, for shares of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 and transfer restrictions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or,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 Upon the exchange of an OpCo Unit or a HoldCo Unit (together with a share of Class B common stock), as applicable, the shares of Class B common stock will be automatically canceled with no consideration and no longer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Holders of Class A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Class A common stock, payable in shares of Class A common stock, we also will be required to pay a pro rata and simultaneous dividend or distribution on Class C common stock, payable in shares of Class C common stock. Similarly, if we pay a dividend or distribution on Class C common stock, payable in shares of Class C common stock, we also will be required to make a pro rata and simultaneous dividend or distribution on Class A common stock, payable in shares of Class A common stock. Holders of Class B common stock do not have any right to receive dividends or to receive a distribution upon a liquidation, dissolution or winding up of ZoomInfo Technologies Inc.</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Upon our liquidation, dissolution, or winding up, subject to the rights of holders of one or more outstanding series of preferred stock having liquidation preferences, the holders Class A and Class C common stock are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 and Members' Deficit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 of holders of OpCo Units, Class P Units, LTIP Units, and HoldCo Units</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amended and restated the limited liability company agreement of ZoomInfo OpCo in connection with the Reorganization Transaction so that the Pre-IPO OpCo Unitholders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The holders of Class P Units have the right to exchange their vested Class P Units into a number of shares of Class A common stock that will generally be equal in value to the implied “spread value” of the corresponding Class P Units (calculated based on the excess of the public trading price of Class A common stock at the time of the exchange over the per unit strike price of such Class P Units). Holders of vested LTIP Units may similarly become eligible to convert their LTIP Units into OpCo Units which, in turn, may be exchanged on a one-for-one basis for shares of Class A common stock of ZoomInfo Technologies Inc. as described above. The limited liability company agreement of ZoomInfo HoldCo provides that the Pre-IPO HoldCo Unitholders may (subject to the terms of such limited liability company agreement) exchange their HoldCo Units (together with a corresponding number of shares of Class B common stock) for shares of Class A common stock of ZoomInfo Technologies Inc. on a one-for-one basis, subject to customary conversion rate adjustments for stock splits, stock dividends, and reclassifications.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Noncontrolling interests and increase or decrease Additional paid-in capital in the Company’s Consolidated Balance Sheets.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2020, ZoomInfo Technologies Inc. held 173,820,611 HoldCo Units, and ZoomInfo HoldCo held 177,586,542 OpCo Units resulting in an ownership interest of 45% in the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Redeemable Series A Preferred Units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February 1, 2019, and in connection with the ZoomInfo acquisition (see Note 4 - Business Combinations), the Company issued 51,750,000 Series A Preferred Units in exchange for $200.2 million, net of $0.6 million in issuance costs. As of December 31, 2019, 51,750,000 units remained outstanding.</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On June 8, 2020, the Company redeemed and cancelled all outstanding Series A Preferred Units of ZoomInfo OpCo for $274.2 million, the total redemption price, resulting in a $74.0 million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Basic net income (loss) per share of Class A and Class C common stock is computed by dividing net income attributable to ZoomInfo Technologies Inc. by the weighted-average number of shares of Class A and Class C common stock outstanding during the period, excluding unvested equity awards and subsidiary member units not exchanged. Diluted earnings per share of Class A and Class C common stock is calculated by dividing net income attributable to ZoomInfo Technologies Inc., adjusted for the assumed exchange of all potentially dilutive securities by the weighted-average number of shares of Class A and Class C common stock outstanding. Share counts used in the diluted earnings per share calculations are adjusted for the deemed repurchases provided for in the treasury stock method.</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the years ended December 31, 2018 or December 31, 2019, and the basic and diluted earnings per share calculations for the year ended December 31, 2020 represent the post IPO period from June 4, 2020 to December 31, 2020 only.</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(in millions) the computation of net loss used to compute basic net income (loss) per share of Class A and Class C common stock for the year ended December 31, 2020. The basic and diluted earnings per share period for the year ended December 31, 2020, represents only the period from June 4, 2020 to December 31, 2020, which represents the period wherein we had outstanding Class A and Class C common stock.</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6"/>
        </w:trPr>
        <w:tc>
          <w:tcPr>
            <w:tcW w:w="9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05"/>
        </w:trPr>
        <w:tc>
          <w:tcPr>
            <w:tcW w:w="91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25"/>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5"/>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Net loss attributable to ZoomInfo OpCo before Reorganization Transactions</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Less: Excess of consideration paid over carrying amount to holders of Series A Preferred Units attributable to common shares</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8"/>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00" w:lineRule="exact"/>
        <w:rPr>
          <w:sz w:val="20"/>
          <w:szCs w:val="20"/>
          <w:color w:val="auto"/>
        </w:rPr>
      </w:pPr>
    </w:p>
    <w:p>
      <w:pPr>
        <w:spacing w:after="0" w:line="3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of Class A and Class C common stock (in millions, except share and per share amounts):</w:t>
      </w:r>
    </w:p>
    <w:p>
      <w:pPr>
        <w:spacing w:after="0" w:line="13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460"/>
        <w:spacing w:after="0"/>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Class C</w:t>
            </w:r>
          </w:p>
        </w:tc>
      </w:tr>
      <w:tr>
        <w:trPr>
          <w:trHeight w:val="33"/>
        </w:trPr>
        <w:tc>
          <w:tcPr>
            <w:tcW w:w="68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 stockholders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5"/>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Allocation of net income (loss) attributable to ZoomInfo Technologies Inc.</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Class A and Class C common stock outstanding</w:t>
            </w:r>
          </w:p>
        </w:tc>
        <w:tc>
          <w:tcPr>
            <w:tcW w:w="4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62,464,272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94,278,971</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460"/>
        <w:spacing w:after="0"/>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Undistributed earnings for basic computation</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72"/>
        </w:trPr>
        <w:tc>
          <w:tcPr>
            <w:tcW w:w="68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Increase in earnings attributable to common shareholders upon conversion of potentially</w:t>
            </w:r>
          </w:p>
        </w:tc>
        <w:tc>
          <w:tcPr>
            <w:tcW w:w="4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instruments</w:t>
            </w:r>
          </w:p>
        </w:tc>
        <w:tc>
          <w:tcPr>
            <w:tcW w:w="4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earnings as a result of conversion of potentially dilutive instruments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w w:val="98"/>
              </w:rPr>
              <w:t>Reallocation of undistributed earnings as a result of conversion of Class C to Class A shares</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62,464,272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94,278,971</w:t>
            </w:r>
          </w:p>
        </w:tc>
        <w:tc>
          <w:tcPr>
            <w:tcW w:w="0" w:type="dxa"/>
            <w:vAlign w:val="bottom"/>
          </w:tcPr>
          <w:p>
            <w:pPr>
              <w:spacing w:after="0"/>
              <w:rPr>
                <w:sz w:val="1"/>
                <w:szCs w:val="1"/>
                <w:color w:val="auto"/>
              </w:rPr>
            </w:pPr>
          </w:p>
        </w:tc>
      </w:tr>
      <w:tr>
        <w:trPr>
          <w:trHeight w:val="225"/>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Add: weighted-average effect of dilutive securities exchangeable for Class A common stock:</w:t>
            </w: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HSKB I Class 1 Units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9,384,174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5"/>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P Units</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8,397,751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Class A Common Stock Options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Conversion of Class C to Class A common shares outstanding</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94,278,971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6820" w:type="dxa"/>
            <w:vAlign w:val="bottom"/>
            <w:shd w:val="clear" w:color="auto" w:fill="CCEEFF"/>
          </w:tcPr>
          <w:p>
            <w:pPr>
              <w:ind w:left="240"/>
              <w:spacing w:after="0" w:line="152" w:lineRule="exact"/>
              <w:rPr>
                <w:sz w:val="20"/>
                <w:szCs w:val="20"/>
                <w:color w:val="auto"/>
              </w:rPr>
            </w:pPr>
            <w:r>
              <w:rPr>
                <w:rFonts w:ascii="Times New Roman" w:cs="Times New Roman" w:eastAsia="Times New Roman" w:hAnsi="Times New Roman"/>
                <w:sz w:val="17"/>
                <w:szCs w:val="17"/>
                <w:color w:val="auto"/>
              </w:rPr>
              <w:t>Weighted average shares of Class A and Class C common stock outstanding used to</w:t>
            </w:r>
          </w:p>
        </w:tc>
        <w:tc>
          <w:tcPr>
            <w:tcW w:w="48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174,704,618</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94,278,971</w:t>
            </w: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calculate diluted net income (loss) per share</w:t>
            </w:r>
          </w:p>
        </w:tc>
        <w:tc>
          <w:tcPr>
            <w:tcW w:w="4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21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6"/>
        </w:trPr>
        <w:tc>
          <w:tcPr>
            <w:tcW w:w="9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18"/>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Units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213,410,605</w:t>
            </w:r>
          </w:p>
        </w:tc>
      </w:tr>
      <w:tr>
        <w:trPr>
          <w:trHeight w:val="225"/>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251,285</w:t>
            </w:r>
          </w:p>
        </w:tc>
      </w:tr>
      <w:tr>
        <w:trPr>
          <w:trHeight w:val="225"/>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II Phantom Units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545,779</w:t>
            </w:r>
          </w:p>
        </w:tc>
      </w:tr>
      <w:tr>
        <w:trPr>
          <w:trHeight w:val="225"/>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447,456</w:t>
            </w:r>
          </w:p>
        </w:tc>
      </w:tr>
      <w:tr>
        <w:trPr>
          <w:trHeight w:val="225"/>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5,083,280</w:t>
            </w:r>
          </w:p>
        </w:tc>
      </w:tr>
      <w:tr>
        <w:trPr>
          <w:trHeight w:val="225"/>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HSKB II Class 1 Units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5,244,286</w:t>
            </w:r>
          </w:p>
        </w:tc>
      </w:tr>
      <w:tr>
        <w:trPr>
          <w:trHeight w:val="243"/>
        </w:trPr>
        <w:tc>
          <w:tcPr>
            <w:tcW w:w="9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224,982,691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w:t>
      </w:r>
    </w:p>
    <w:p>
      <w:pPr>
        <w:spacing w:after="0" w:line="16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we adopted on January 1, 2019 using the effective date as our date of initial application. Consequently, financial information will not be updated, and the disclosures required under the new standard will not be provided for periods before January 1, 2019. See Note 2 - Basis of Presentation and Summary of Significant Accounting Policies for further detail on our policies surrounding leases.</w:t>
      </w:r>
    </w:p>
    <w:p>
      <w:pPr>
        <w:spacing w:after="0" w:line="12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also has a sublease of a former corporate office. The sublease has a remaining lease term of less than one year. Sublease income, which is recorded as a reduction of rent expense and allocated to the appropriate financial statement line item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in the Consolidated Statements of Operations was immaterial for the years ended December 31, 2020, 2019, and 2018.</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lease assets and liabilities consist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r>
      <w:tr>
        <w:trPr>
          <w:trHeight w:val="21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5"/>
        </w:trPr>
        <w:tc>
          <w:tcPr>
            <w:tcW w:w="4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2"/>
        </w:trPr>
        <w:tc>
          <w:tcPr>
            <w:tcW w:w="49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372"/>
        </w:trPr>
        <w:tc>
          <w:tcPr>
            <w:tcW w:w="1022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Rent expense was $7.6 million, $6.5 million, and $1.9 million for the years ended December 31, 2020, 2019, and 2018, respectively.</w:t>
            </w:r>
          </w:p>
        </w:tc>
        <w:tc>
          <w:tcPr>
            <w:tcW w:w="1020" w:type="dxa"/>
            <w:vAlign w:val="bottom"/>
          </w:tcPr>
          <w:p>
            <w:pPr>
              <w:spacing w:after="0"/>
              <w:rPr>
                <w:sz w:val="24"/>
                <w:szCs w:val="24"/>
                <w:color w:val="auto"/>
              </w:rPr>
            </w:pPr>
          </w:p>
        </w:tc>
      </w:tr>
      <w:tr>
        <w:trPr>
          <w:trHeight w:val="371"/>
        </w:trPr>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5"/>
        </w:trPr>
        <w:tc>
          <w:tcPr>
            <w:tcW w:w="4920" w:type="dxa"/>
            <w:vAlign w:val="bottom"/>
            <w:tcBorders>
              <w:bottom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8"/>
        </w:trPr>
        <w:tc>
          <w:tcPr>
            <w:tcW w:w="7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2"/>
        </w:trPr>
        <w:tc>
          <w:tcPr>
            <w:tcW w:w="49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acquisitions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604"/>
        </w:trPr>
        <w:tc>
          <w:tcPr>
            <w:tcW w:w="4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24"/>
                <w:szCs w:val="24"/>
                <w:color w:val="auto"/>
              </w:rPr>
            </w:pPr>
          </w:p>
        </w:tc>
      </w:tr>
      <w:tr>
        <w:trPr>
          <w:trHeight w:val="184"/>
        </w:trPr>
        <w:tc>
          <w:tcPr>
            <w:tcW w:w="49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2"/>
        </w:trPr>
        <w:tc>
          <w:tcPr>
            <w:tcW w:w="49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non-cancellable leases to the total lease liabilities recognized on the consolidated balance sheets as of December 31, 2020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4"/>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5"/>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142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264" w:hanging="1264"/>
        <w:spacing w:after="0"/>
        <w:tabs>
          <w:tab w:leader="none" w:pos="12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w:t>
      </w:r>
    </w:p>
    <w:p>
      <w:pPr>
        <w:spacing w:after="0" w:line="35" w:lineRule="exact"/>
        <w:rPr>
          <w:rFonts w:ascii="Times New Roman" w:cs="Times New Roman" w:eastAsia="Times New Roman" w:hAnsi="Times New Roman"/>
          <w:sz w:val="17"/>
          <w:szCs w:val="17"/>
          <w:color w:val="auto"/>
        </w:rPr>
      </w:pPr>
    </w:p>
    <w:p>
      <w:pPr>
        <w:ind w:left="11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5" w:lineRule="exact"/>
        <w:rPr>
          <w:sz w:val="20"/>
          <w:szCs w:val="20"/>
          <w:color w:val="auto"/>
        </w:rPr>
      </w:pPr>
    </w:p>
    <w:p>
      <w:pPr>
        <w:ind w:left="1164" w:hanging="1164"/>
        <w:spacing w:after="0"/>
        <w:tabs>
          <w:tab w:leader="none" w:pos="11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25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40005</wp:posOffset>
            </wp:positionV>
            <wp:extent cx="9925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8976" w:space="720"/>
            <w:col w:w="1544"/>
          </w:cols>
          <w:pgMar w:left="320" w:top="118" w:right="339" w:bottom="1440" w:gutter="0" w:footer="0" w:header="0"/>
          <w:type w:val="continuous"/>
        </w:sect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 As of December 31, 2020, there were no additional operating leases that have not yet commenced.</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Short term lease expense and variable lease costs were immaterial for the year ended December 31, 2020. Short term lease commitments were immaterial as of December 31, 2020.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27, 2020, the Board of Directors of the Company (the “Board”) adopted the ZoomInfo Technologies Inc.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3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w:t>
      </w:r>
    </w:p>
    <w:p>
      <w:pPr>
        <w:spacing w:after="0" w:line="1" w:lineRule="exact"/>
        <w:rPr>
          <w:sz w:val="20"/>
          <w:szCs w:val="20"/>
          <w:color w:val="auto"/>
        </w:rPr>
      </w:pPr>
    </w:p>
    <w:p>
      <w:pPr>
        <w:ind w:firstLine="6"/>
        <w:spacing w:after="0" w:line="251" w:lineRule="auto"/>
        <w:tabs>
          <w:tab w:leader="none" w:pos="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7" w:name="page138"/>
    <w:bookmarkEnd w:id="13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(“RSU”) activity was as follows during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60" w:type="dxa"/>
            <w:vAlign w:val="bottom"/>
          </w:tcPr>
          <w:p>
            <w:pPr>
              <w:spacing w:after="0"/>
              <w:rPr>
                <w:sz w:val="16"/>
                <w:szCs w:val="16"/>
                <w:color w:val="auto"/>
              </w:rPr>
            </w:pPr>
          </w:p>
        </w:tc>
        <w:tc>
          <w:tcPr>
            <w:tcW w:w="356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0" w:type="dxa"/>
            <w:vAlign w:val="bottom"/>
          </w:tcPr>
          <w:p>
            <w:pPr>
              <w:spacing w:after="0"/>
              <w:rPr>
                <w:sz w:val="1"/>
                <w:szCs w:val="1"/>
                <w:color w:val="auto"/>
              </w:rPr>
            </w:pPr>
          </w:p>
        </w:tc>
      </w:tr>
      <w:tr>
        <w:trPr>
          <w:trHeight w:val="131"/>
        </w:trPr>
        <w:tc>
          <w:tcPr>
            <w:tcW w:w="7660" w:type="dxa"/>
            <w:vAlign w:val="bottom"/>
          </w:tcPr>
          <w:p>
            <w:pPr>
              <w:spacing w:after="0"/>
              <w:rPr>
                <w:sz w:val="11"/>
                <w:szCs w:val="11"/>
                <w:color w:val="auto"/>
              </w:rPr>
            </w:pPr>
          </w:p>
        </w:tc>
        <w:tc>
          <w:tcPr>
            <w:tcW w:w="17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(43,537)</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985,398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Options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6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options activity was as follows during the period indicated:</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60" w:type="dxa"/>
            <w:vAlign w:val="bottom"/>
          </w:tcPr>
          <w:p>
            <w:pPr>
              <w:spacing w:after="0"/>
              <w:rPr>
                <w:sz w:val="24"/>
                <w:szCs w:val="24"/>
                <w:color w:val="auto"/>
              </w:rPr>
            </w:pPr>
          </w:p>
        </w:tc>
        <w:tc>
          <w:tcPr>
            <w:tcW w:w="356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0" w:type="dxa"/>
            <w:vAlign w:val="bottom"/>
          </w:tcPr>
          <w:p>
            <w:pPr>
              <w:spacing w:after="0"/>
              <w:rPr>
                <w:sz w:val="1"/>
                <w:szCs w:val="1"/>
                <w:color w:val="auto"/>
              </w:rPr>
            </w:pPr>
          </w:p>
        </w:tc>
      </w:tr>
      <w:tr>
        <w:trPr>
          <w:trHeight w:val="131"/>
        </w:trPr>
        <w:tc>
          <w:tcPr>
            <w:tcW w:w="7660" w:type="dxa"/>
            <w:vAlign w:val="bottom"/>
          </w:tcPr>
          <w:p>
            <w:pPr>
              <w:spacing w:after="0"/>
              <w:rPr>
                <w:sz w:val="11"/>
                <w:szCs w:val="11"/>
                <w:color w:val="auto"/>
              </w:rPr>
            </w:pPr>
          </w:p>
        </w:tc>
        <w:tc>
          <w:tcPr>
            <w:tcW w:w="172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1"/>
                <w:szCs w:val="11"/>
                <w:color w:val="auto"/>
              </w:rPr>
            </w:pPr>
          </w:p>
        </w:tc>
        <w:tc>
          <w:tcPr>
            <w:tcW w:w="17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options exercisable at the end of the year. Options have a maximum contractual term of ten years. The aggregate intrinsic value and weighted average remaining contractual terms of Options outstanding and Options exercisable were as follows as of December 31,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(in millions)</w:t>
            </w:r>
          </w:p>
        </w:tc>
        <w:tc>
          <w:tcPr>
            <w:tcW w:w="3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Options outstanding</w:t>
            </w:r>
          </w:p>
        </w:tc>
        <w:tc>
          <w:tcPr>
            <w:tcW w:w="34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Options exercisable</w:t>
            </w:r>
          </w:p>
        </w:tc>
        <w:tc>
          <w:tcPr>
            <w:tcW w:w="34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life (in years)</w:t>
            </w:r>
          </w:p>
        </w:tc>
        <w:tc>
          <w:tcPr>
            <w:tcW w:w="3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Options outstanding</w:t>
            </w:r>
          </w:p>
        </w:tc>
        <w:tc>
          <w:tcPr>
            <w:tcW w:w="3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years</w:t>
            </w:r>
          </w:p>
        </w:tc>
      </w:tr>
      <w:tr>
        <w:trPr>
          <w:trHeight w:val="231"/>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Options exercisable</w:t>
            </w:r>
          </w:p>
        </w:tc>
        <w:tc>
          <w:tcPr>
            <w:tcW w:w="3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Options outstanding were issued at the time of the IPO during 2020. No additional options have been issued to date. The fair value of Class A stock options granted at the time of the IPO was determined using the Black-Scholes option pricing model with the following assumption ranges and fair value per unit: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86"/>
        </w:trPr>
        <w:tc>
          <w:tcPr>
            <w:tcW w:w="94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8"/>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39.0% to 39.3%</w:t>
            </w:r>
          </w:p>
        </w:tc>
      </w:tr>
      <w:tr>
        <w:trPr>
          <w:trHeight w:val="225"/>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 to 5.9 years</w:t>
            </w:r>
          </w:p>
        </w:tc>
      </w:tr>
      <w:tr>
        <w:trPr>
          <w:trHeight w:val="22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r>
      <w:tr>
        <w:trPr>
          <w:trHeight w:val="231"/>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$21.00</w:t>
            </w:r>
          </w:p>
        </w:tc>
      </w:tr>
    </w:tbl>
    <w:p>
      <w:pPr>
        <w:spacing w:after="0" w:line="2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HoldCo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Unvested HoldCo Unit activity was as follows during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86"/>
        </w:trPr>
        <w:tc>
          <w:tcPr>
            <w:tcW w:w="580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5"/>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OpCo Units</w:t>
            </w: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8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OpCo Unit activity was as follows during the periods indicated:</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800" w:type="dxa"/>
            <w:vAlign w:val="bottom"/>
          </w:tcPr>
          <w:p>
            <w:pPr>
              <w:spacing w:after="0"/>
              <w:rPr>
                <w:sz w:val="24"/>
                <w:szCs w:val="24"/>
                <w:color w:val="auto"/>
              </w:rPr>
            </w:pPr>
          </w:p>
        </w:tc>
        <w:tc>
          <w:tcPr>
            <w:tcW w:w="3580" w:type="dxa"/>
            <w:vAlign w:val="bottom"/>
            <w:gridSpan w:val="4"/>
            <w:vMerge w:val="restart"/>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2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358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26"/>
        </w:trPr>
        <w:tc>
          <w:tcPr>
            <w:tcW w:w="5800" w:type="dxa"/>
            <w:vAlign w:val="bottom"/>
          </w:tcPr>
          <w:p>
            <w:pPr>
              <w:spacing w:after="0"/>
              <w:rPr>
                <w:sz w:val="10"/>
                <w:szCs w:val="10"/>
                <w:color w:val="auto"/>
              </w:rPr>
            </w:pPr>
          </w:p>
        </w:tc>
        <w:tc>
          <w:tcPr>
            <w:tcW w:w="1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100" w:type="dxa"/>
            <w:vAlign w:val="bottom"/>
          </w:tcPr>
          <w:p>
            <w:pPr>
              <w:spacing w:after="0"/>
              <w:rPr>
                <w:sz w:val="10"/>
                <w:szCs w:val="10"/>
                <w:color w:val="auto"/>
              </w:rPr>
            </w:pPr>
          </w:p>
        </w:tc>
        <w:tc>
          <w:tcPr>
            <w:tcW w:w="1620" w:type="dxa"/>
            <w:vAlign w:val="bottom"/>
          </w:tcPr>
          <w:p>
            <w:pPr>
              <w:jc w:val="center"/>
              <w:ind w:right="17"/>
              <w:spacing w:after="0" w:line="126"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441,681</w:t>
            </w:r>
          </w:p>
        </w:tc>
        <w:tc>
          <w:tcPr>
            <w:tcW w:w="0" w:type="dxa"/>
            <w:vAlign w:val="bottom"/>
          </w:tcPr>
          <w:p>
            <w:pPr>
              <w:spacing w:after="0"/>
              <w:rPr>
                <w:sz w:val="1"/>
                <w:szCs w:val="1"/>
                <w:color w:val="auto"/>
              </w:rPr>
            </w:pPr>
          </w:p>
        </w:tc>
      </w:tr>
      <w:tr>
        <w:trPr>
          <w:trHeight w:val="225"/>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(93,995)</w:t>
            </w: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Class P Units were issued under both the prior and current LLC agreement of ZoomInfo OpCo. Class P Unit activity was as follows during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260" w:type="dxa"/>
            <w:vAlign w:val="bottom"/>
            <w:gridSpan w:val="4"/>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20" w:type="dxa"/>
            <w:vAlign w:val="bottom"/>
            <w:vMerge w:val="restart"/>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326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31, 2019</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0" w:type="dxa"/>
            <w:vAlign w:val="bottom"/>
          </w:tcPr>
          <w:p>
            <w:pPr>
              <w:spacing w:after="0"/>
              <w:rPr>
                <w:sz w:val="1"/>
                <w:szCs w:val="1"/>
                <w:color w:val="auto"/>
              </w:rPr>
            </w:pPr>
          </w:p>
        </w:tc>
      </w:tr>
      <w:tr>
        <w:trPr>
          <w:trHeight w:val="126"/>
        </w:trPr>
        <w:tc>
          <w:tcPr>
            <w:tcW w:w="4560" w:type="dxa"/>
            <w:vAlign w:val="bottom"/>
          </w:tcPr>
          <w:p>
            <w:pPr>
              <w:spacing w:after="0"/>
              <w:rPr>
                <w:sz w:val="10"/>
                <w:szCs w:val="10"/>
                <w:color w:val="auto"/>
              </w:rPr>
            </w:pPr>
          </w:p>
        </w:tc>
        <w:tc>
          <w:tcPr>
            <w:tcW w:w="15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jc w:val="right"/>
              <w:ind w:right="154"/>
              <w:spacing w:after="0" w:line="126"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0"/>
                <w:szCs w:val="10"/>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172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16,893,603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5,716,467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13,310,663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5,716,467</w:t>
            </w:r>
          </w:p>
        </w:tc>
        <w:tc>
          <w:tcPr>
            <w:tcW w:w="0" w:type="dxa"/>
            <w:vAlign w:val="bottom"/>
          </w:tcPr>
          <w:p>
            <w:pPr>
              <w:spacing w:after="0"/>
              <w:rPr>
                <w:sz w:val="1"/>
                <w:szCs w:val="1"/>
                <w:color w:val="auto"/>
              </w:rPr>
            </w:pPr>
          </w:p>
        </w:tc>
      </w:tr>
      <w:tr>
        <w:trPr>
          <w:trHeight w:val="225"/>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(6,357,566)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(280,563)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(1,852,964)</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8,796,642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16,893,603</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5,716,467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September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 Holdings’ Class P Units automatically results in a cancellation of an equal number of ZoomInfo OpCo’s Class P Units. Management Holdings was subsequently merged with and into ZoomInfo HoldCo in connection with the Reorganization Transactions and IPO. Class P Units issued directly by ZoomInfo OpCo and by Management Holdings are combined in the table above.</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Class P Units granted was determined using the Black-Scholes option pricing model with the following assumption ranges and fair value per unit: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8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4"/>
        </w:trPr>
        <w:tc>
          <w:tcPr>
            <w:tcW w:w="578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 - 2.49%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- 2.82%</w:t>
            </w:r>
          </w:p>
        </w:tc>
      </w:tr>
      <w:tr>
        <w:trPr>
          <w:trHeight w:val="22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38.4% - 41.9%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- 41.2%</w:t>
            </w:r>
          </w:p>
        </w:tc>
      </w:tr>
      <w:tr>
        <w:trPr>
          <w:trHeight w:val="22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6.5 - 6.8 years</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4 years</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 years</w:t>
            </w:r>
          </w:p>
        </w:tc>
      </w:tr>
      <w:tr>
        <w:trPr>
          <w:trHeight w:val="22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Marketability discount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(A)</w:t>
            </w:r>
          </w:p>
        </w:tc>
        <w:tc>
          <w:tcPr>
            <w:tcW w:w="174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$5.20 - $14.36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$5.20</w:t>
            </w:r>
          </w:p>
        </w:tc>
      </w:tr>
    </w:tbl>
    <w:p>
      <w:pPr>
        <w:spacing w:after="0" w:line="136" w:lineRule="exact"/>
        <w:rPr>
          <w:sz w:val="20"/>
          <w:szCs w:val="20"/>
          <w:color w:val="auto"/>
        </w:rPr>
      </w:pPr>
    </w:p>
    <w:p>
      <w:pPr>
        <w:jc w:val="both"/>
        <w:ind w:left="320" w:hanging="314"/>
        <w:spacing w:after="0" w:line="254" w:lineRule="auto"/>
        <w:tabs>
          <w:tab w:leader="none" w:pos="31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3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LTIP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LTIP Unit activity was as follows during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60" w:type="dxa"/>
            <w:vAlign w:val="bottom"/>
          </w:tcPr>
          <w:p>
            <w:pPr>
              <w:spacing w:after="0"/>
              <w:rPr>
                <w:sz w:val="16"/>
                <w:szCs w:val="16"/>
                <w:color w:val="auto"/>
              </w:rPr>
            </w:pPr>
          </w:p>
        </w:tc>
        <w:tc>
          <w:tcPr>
            <w:tcW w:w="35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0" w:type="dxa"/>
            <w:vAlign w:val="bottom"/>
          </w:tcPr>
          <w:p>
            <w:pPr>
              <w:spacing w:after="0"/>
              <w:rPr>
                <w:sz w:val="1"/>
                <w:szCs w:val="1"/>
                <w:color w:val="auto"/>
              </w:rPr>
            </w:pPr>
          </w:p>
        </w:tc>
      </w:tr>
      <w:tr>
        <w:trPr>
          <w:trHeight w:val="131"/>
        </w:trPr>
        <w:tc>
          <w:tcPr>
            <w:tcW w:w="7660" w:type="dxa"/>
            <w:vAlign w:val="bottom"/>
          </w:tcPr>
          <w:p>
            <w:pPr>
              <w:spacing w:after="0"/>
              <w:rPr>
                <w:sz w:val="11"/>
                <w:szCs w:val="11"/>
                <w:color w:val="auto"/>
              </w:rPr>
            </w:pPr>
          </w:p>
        </w:tc>
        <w:tc>
          <w:tcPr>
            <w:tcW w:w="17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LTIP Units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Incentive Units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After selling units to TA Associates and funds affiliated with 22C Capital LLC, 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began to recognize compensation cost under these awards on a straight-line basis in the same manner as if the Company had paid cash in lieu of awarding the HSKB Grants, per the requirements of ASC 718.</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twelve months ended December 31, 2020, HSKB paid $11.3 million from allocated funds and has $12.2 million remaining that it has allocated to be paid through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December 2019, HSKB I adopted the HSKB Funds, LLC 2019 Phantom Unit Plan wherein HSKB may grant Phantom Units (“HSKB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4"/>
        </w:trPr>
        <w:tc>
          <w:tcPr>
            <w:tcW w:w="6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3"/>
        </w:trPr>
        <w:tc>
          <w:tcPr>
            <w:tcW w:w="6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2"/>
        </w:trPr>
        <w:tc>
          <w:tcPr>
            <w:tcW w:w="62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Cost of service and Operating expenses include equity-based compensation expenses as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follows: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8"/>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6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2020, unamortized equity-based compensation costs related to each equity-based incentive award described above is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periods in years)</w:t>
            </w:r>
          </w:p>
        </w:tc>
        <w:tc>
          <w:tcPr>
            <w:tcW w:w="360" w:type="dxa"/>
            <w:vAlign w:val="bottom"/>
          </w:tcPr>
          <w:p>
            <w:pPr>
              <w:spacing w:after="0"/>
              <w:rPr>
                <w:sz w:val="13"/>
                <w:szCs w:val="13"/>
                <w:color w:val="auto"/>
              </w:rPr>
            </w:pPr>
          </w:p>
        </w:tc>
        <w:tc>
          <w:tcPr>
            <w:tcW w:w="13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74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Remaining Service Period</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Options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Incentive Units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8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8"/>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intrinsic value of profit interests and options that were exercised during the year ended December 31, 2020 was $50.3 million. The total fair value of all other previously unvested equity-based awards that vested during the year ended December 31, 2020 was $202.5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and Geographic Data</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consolidated financial statements.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As of December 31, 2020, 2019, and 2018, no significant long-lived assets were held by entities outside of the U.S.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9%, 9%, and 7% of total revenue for the years ended December 31, 2020, 2019, and 2018, respectively. Revenue by geographic region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6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Tax Receivable Agreements</w:t>
      </w:r>
    </w:p>
    <w:p>
      <w:pPr>
        <w:spacing w:after="0" w:line="166"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ZoomInfo Technologies Inc. or any member of its affiliated, consolidated, combined, or unitary tax group (collectively,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12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the tax basis in the net assets of ZoomInfo HoldCo when OpCo Units are exchanged by Pre-IPO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2020, the Company had a liability of $271.0 million related to its projected obligations under the Tax Receivable Agreements in connection with the Reorganization Transactions and OpCo units exchanged. During the year ended December 31, 2020, we recognized a TRA remeasurement gain of $15.7 million within Other (income) expense, net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2020 and 2019 consisted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5"/>
        </w:trPr>
        <w:tc>
          <w:tcPr>
            <w:tcW w:w="6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 tax provision</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5"/>
        </w:trPr>
        <w:tc>
          <w:tcPr>
            <w:tcW w:w="6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provision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5"/>
        </w:trPr>
        <w:tc>
          <w:tcPr>
            <w:tcW w:w="63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43"/>
        </w:trPr>
        <w:tc>
          <w:tcPr>
            <w:tcW w:w="6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2020, 2019, and 2018, the effective income tax rate differs from the U.S. federal statutory income tax rate as explained below:</w:t>
      </w:r>
    </w:p>
    <w:p>
      <w:pPr>
        <w:spacing w:after="0" w:line="13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16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allocable to NCI not subject to tax</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GAAP basis shifts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0"/>
        </w:trPr>
        <w:tc>
          <w:tcPr>
            <w:tcW w:w="6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2020 and 2019, the components of deferred tax assets and liabilities are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ZoomInfo Holdings LLC</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0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2"/>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5"/>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Investment in ZoomInfo Tech LLC</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192"/>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8"/>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 deferred tax assets to the extent we believe, based on available evidence, that it is more likely than not that they will be realized. In making such a determination, we consider all available positive and negative evidence, including future reversals of existing taxable temporary differences, projected future taxable income, tax planning strategies, and recent results of operations. For the year ended December 31, 2020, the Company recorded a valuation allowance on its deferred tax asset associated with the investment in a corporate subsidiary that it does not expect to recognize the benefit from in the foreseeable future. At December 31, 2020, we had U.S. federal tax credit carryforwards of approximately $2.2 million. Our federal tax credits will begin to expire in 2035 if not utilized. At December 31, 2020, we have $3.2 million of state tax net operating losses and $1.2 million of state tax credits. These state tax net operating losses and credits will begin to expire in 2028 if not utilized.</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valuation allowance on the portion of ZoomInfo Intermediate Holdings LLC’s investment in ZoomInfo Holdings LLC associated with its share of the book-tax difference in RKSI, This portion of the deferred tax asset is not expected to be realized in the foreseeable future. For the year ended December 31, 2019, the Company recorded a valuation allowance on certain state tax attributes that it did not expect to realize. This valuation allowance on the state tax attributes was released in the second quarter of 2020.</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interest and penalties accrued for the years ended December 31, 2020 or 2019. The Company has assessed its tax positions taken and concluded there are no significant uncertain tax positions. The Company has no unrecognized tax benefits as of December 31, 2020 or 2019, that, if recognized, would affect the amount of income tax expense reported.</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files returns with the Internal Revenue Service and multiple state jurisdictions, which are subject to examination by the taxing authorities for years 2014 and later. The earlier tax years are subject to examination due to the utilization of net operating losses in recent tax years. None of our federal or state income tax return are currently under examination by federal or state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 Offering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February 2021, ZoomInfo Technologies LLC and ZoomInfo Finance Corp., indirect subsidiaries of ZoomInfo Technologies Inc., completed an offering of $350.0 million in aggregate principal amount of 3.875% senior notes due 2029. We used all of the net proceeds, along with cash on hand, to prepay $356.4 million aggregate principal amount of our first lien term loans outstanding under the first lien credit agreement (the “Debt Prepayment”). Following the Debt Prepayment, as of February 2, 2021, $400.0 million aggregate principal amount of first lien term loans were outstanding under our first lien credit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 Amendment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2021, ZoomInfo LLC entered into an amendment to our first lien credit agreement, pursuant to which, among other things, there will be (i) an increase in the aggregate commitments to $250.0 million under our first lien revolving credit facility, (ii) the addition of the ZoomInfo Technologies LLC as a co-borrower, (iii) the repricing of our first lien term loan facility maturing in February 2026 and first lien revolving credit facility, and (iv) an extension of the maturity date of our first lien revolving credit facility to November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Agreement</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January 2021, we entered into a 15-year non-cancelable agreement to lease office space in Waltham, Massachusetts, which will replace our existing office space in Waltham, Massachusetts. The lease will commence in 2021 with space of 98,104 square feet, with plans to expand to 226,244 square feet through 2027. First year cash rent is expected to be $31.00 per square foot ignoring certain lease incentives and future rent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previously reported, in connection with the audit of our consolidated financial statements for the year ended December 31, 2019, our management and auditors determined that a material weakness existed in our internal control over financial reporting due to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the Material Weakness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remedial actions have been taken during the year ended December 31, 2020:</w:t>
      </w:r>
    </w:p>
    <w:p>
      <w:pPr>
        <w:spacing w:after="0" w:line="164" w:lineRule="exact"/>
        <w:rPr>
          <w:sz w:val="20"/>
          <w:szCs w:val="20"/>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full-time accounting resources with appropriate levels of experience, with a focus on technical accounting and tax accounting;</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reallocated responsibilities across the accounting organization to ensure that the appropriate level of knowledge and experience is applied based on risk and complexity of transactions and tasks under review;</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redesigned and enhanced controls related to the quarterly processes around accounting for the TRA; and</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professional accounting services firm to help us assess and commence documentation of our internal controls for complying with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While significant progress has been made to enhance our internal control over financial reporting, we are still in the process of testing these recently implemented processes, procedures, and controls. Additional time is required to complete the assessment to ensure the sustainability of these procedures. We believe the above actions will be effective in remediating the material weakness described above. However, the material weakness cannot be considered remediated until the applicable remedial controls operate for a sufficient period of time and management has concluded, through testing, that these controls are operating effectively. As such, we were unable to conclude that the material weakness in our internal control over financial reporting had been remediated as of December 31, 2020, and therefore have concluded that our disclosure controls and procedures were not effective as of December 31, 2020.</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Notwithstanding the identified material weakness, management believes the consolidated financial statements included in this Annual Report on Form 10-K fairly present, in all material respects, our financial condition, results of operations and cash flows as of and for the periods presented in accordance with U.S. generally accepted accounting principles.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This report on Form 10-K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December 31, 2020, no change in our internal control over financial reporting (as defined in Rules 13a-15(f) and 15d-15(f) under the Exchange Act) occurred that has materially affected, or is reasonably likely to materially affect, our internal control over financial reporting other than the actions taken to remediate the material weakness as set forth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Annual Report on Form 10-K by reference or otherwise.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relating to our 2021 Annual Meeting of Stockholders, which will be filed with the SEC within 120 days of the end of our fiscal year ended December 31, 2020 (the 2021 Proxy Statement), and is incorporated herein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2021 Proxy Statement and is incorporated herein by reference.</w:t>
      </w:r>
    </w:p>
    <w:p>
      <w:pPr>
        <w:spacing w:after="0" w:line="2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2021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2021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2021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66" w:lineRule="exact"/>
        <w:rPr>
          <w:sz w:val="20"/>
          <w:szCs w:val="20"/>
          <w:color w:val="auto"/>
        </w:rPr>
      </w:pPr>
    </w:p>
    <w:p>
      <w:pPr>
        <w:ind w:left="560" w:hanging="236"/>
        <w:spacing w:after="0"/>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62" w:lineRule="exact"/>
        <w:rPr>
          <w:rFonts w:ascii="Times New Roman" w:cs="Times New Roman" w:eastAsia="Times New Roman" w:hAnsi="Times New Roman"/>
          <w:sz w:val="18"/>
          <w:szCs w:val="18"/>
          <w:color w:val="auto"/>
        </w:rPr>
      </w:pPr>
    </w:p>
    <w:p>
      <w:pPr>
        <w:ind w:left="640" w:firstLine="320"/>
        <w:spacing w:after="0" w:line="276" w:lineRule="auto"/>
        <w:tabs>
          <w:tab w:leader="none" w:pos="11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Our Financial Statements are listed in the “Index to Consolidated Financial Statements” under Part II, Item 8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106" w:lineRule="exact"/>
        <w:rPr>
          <w:rFonts w:ascii="Times New Roman" w:cs="Times New Roman" w:eastAsia="Times New Roman" w:hAnsi="Times New Roman"/>
          <w:sz w:val="18"/>
          <w:szCs w:val="18"/>
          <w:color w:val="auto"/>
        </w:rPr>
      </w:pPr>
    </w:p>
    <w:p>
      <w:pPr>
        <w:jc w:val="both"/>
        <w:ind w:left="640" w:firstLine="320"/>
        <w:spacing w:after="0" w:line="261" w:lineRule="auto"/>
        <w:tabs>
          <w:tab w:leader="none" w:pos="116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other schedules have been omitted as the required information is not applicable or is not 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sufficient to require submission of the schedule, or because the information required is included in the Consolidated Financial Statements and notes thereto.</w:t>
      </w:r>
    </w:p>
    <w:p>
      <w:pPr>
        <w:spacing w:after="0" w:line="119" w:lineRule="exact"/>
        <w:rPr>
          <w:rFonts w:ascii="Times New Roman" w:cs="Times New Roman" w:eastAsia="Times New Roman" w:hAnsi="Times New Roman"/>
          <w:sz w:val="18"/>
          <w:szCs w:val="18"/>
          <w:color w:val="auto"/>
        </w:rPr>
      </w:pPr>
    </w:p>
    <w:p>
      <w:pPr>
        <w:ind w:left="640" w:firstLine="320"/>
        <w:spacing w:after="0" w:line="276" w:lineRule="auto"/>
        <w:tabs>
          <w:tab w:leader="none" w:pos="11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Except as otherwise noted below, the exhibits listed below in the accompanying “Index to Exhibits” are filed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as part of this Annual Report on Form 10-K.</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7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Report or</w:t>
            </w:r>
          </w:p>
        </w:tc>
        <w:tc>
          <w:tcPr>
            <w:tcW w:w="172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Pr>
          <w:p>
            <w:pPr>
              <w:jc w:val="center"/>
              <w:ind w:right="1232"/>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44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72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6"/>
              </w:rPr>
              <w:t>Registration</w:t>
            </w:r>
          </w:p>
        </w:tc>
        <w:tc>
          <w:tcPr>
            <w:tcW w:w="1020" w:type="dxa"/>
            <w:vAlign w:val="bottom"/>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33"/>
        </w:trPr>
        <w:tc>
          <w:tcPr>
            <w:tcW w:w="1960" w:type="dxa"/>
            <w:vAlign w:val="bottom"/>
          </w:tcPr>
          <w:p>
            <w:pPr>
              <w:jc w:val="center"/>
              <w:ind w:right="1232"/>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440" w:type="dxa"/>
            <w:vAlign w:val="bottom"/>
            <w:vMerge w:val="continue"/>
          </w:tcPr>
          <w:p>
            <w:pPr>
              <w:spacing w:after="0"/>
              <w:rPr>
                <w:sz w:val="20"/>
                <w:szCs w:val="20"/>
                <w:color w:val="auto"/>
              </w:rPr>
            </w:pPr>
          </w:p>
        </w:tc>
        <w:tc>
          <w:tcPr>
            <w:tcW w:w="27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Statement</w:t>
            </w:r>
          </w:p>
        </w:tc>
        <w:tc>
          <w:tcPr>
            <w:tcW w:w="172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6"/>
              </w:rPr>
              <w:t>Reference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ind w:left="400"/>
        <w:spacing w:after="0"/>
        <w:rPr>
          <w:sz w:val="20"/>
          <w:szCs w:val="20"/>
          <w:color w:val="auto"/>
        </w:rPr>
      </w:pPr>
      <w:r>
        <w:rPr>
          <w:rFonts w:ascii="Times New Roman" w:cs="Times New Roman" w:eastAsia="Times New Roman" w:hAnsi="Times New Roman"/>
          <w:sz w:val="14"/>
          <w:szCs w:val="14"/>
          <w:color w:val="auto"/>
        </w:rPr>
        <w:t>3.1</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3.2</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+4.1</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4.2</w:t>
      </w: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4.3</w:t>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4"/>
          <w:szCs w:val="14"/>
          <w:u w:val="single" w:color="auto"/>
          <w:color w:val="0000FF"/>
        </w:rPr>
      </w:pPr>
      <w:hyperlink r:id="rId194">
        <w:r>
          <w:rPr>
            <w:rFonts w:ascii="Times New Roman" w:cs="Times New Roman" w:eastAsia="Times New Roman" w:hAnsi="Times New Roman"/>
            <w:sz w:val="14"/>
            <w:szCs w:val="14"/>
            <w:u w:val="single" w:color="auto"/>
            <w:color w:val="0000FF"/>
          </w:rPr>
          <w:t>Amended and Restated Certificate of Incorporation of ZoomInfo Technologies Inc.</w:t>
        </w:r>
      </w:hyperlink>
    </w:p>
    <w:p>
      <w:pPr>
        <w:spacing w:after="0" w:line="34" w:lineRule="exact"/>
        <w:rPr>
          <w:sz w:val="20"/>
          <w:szCs w:val="20"/>
          <w:color w:val="auto"/>
        </w:rPr>
      </w:pPr>
    </w:p>
    <w:p>
      <w:pPr>
        <w:spacing w:after="0"/>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u w:val="single" w:color="auto"/>
            <w:color w:val="0000FF"/>
          </w:rPr>
          <w:t>Amended and Restated Bylaws of ZoomInfo Technologies Inc</w:t>
        </w:r>
        <w:r>
          <w:rPr>
            <w:rFonts w:ascii="Times New Roman" w:cs="Times New Roman" w:eastAsia="Times New Roman" w:hAnsi="Times New Roman"/>
            <w:sz w:val="14"/>
            <w:szCs w:val="14"/>
            <w:color w:val="0000FF"/>
          </w:rPr>
          <w:t>.</w:t>
        </w:r>
      </w:hyperlink>
    </w:p>
    <w:p>
      <w:pPr>
        <w:spacing w:after="0" w:line="3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56">
        <w:r>
          <w:rPr>
            <w:rFonts w:ascii="Times New Roman" w:cs="Times New Roman" w:eastAsia="Times New Roman" w:hAnsi="Times New Roman"/>
            <w:sz w:val="14"/>
            <w:szCs w:val="14"/>
            <w:u w:val="single" w:color="auto"/>
            <w:color w:val="0000FF"/>
          </w:rPr>
          <w:t>Description of Registrant’s Securities</w:t>
        </w:r>
      </w:hyperlink>
    </w:p>
    <w:p>
      <w:pPr>
        <w:spacing w:after="0" w:line="38" w:lineRule="exact"/>
        <w:rPr>
          <w:sz w:val="20"/>
          <w:szCs w:val="20"/>
          <w:color w:val="auto"/>
        </w:rPr>
      </w:pPr>
    </w:p>
    <w:p>
      <w:pPr>
        <w:ind w:right="80"/>
        <w:spacing w:after="0" w:line="236" w:lineRule="auto"/>
        <w:rPr>
          <w:rFonts w:ascii="Times New Roman" w:cs="Times New Roman" w:eastAsia="Times New Roman" w:hAnsi="Times New Roman"/>
          <w:sz w:val="14"/>
          <w:szCs w:val="14"/>
          <w:u w:val="single" w:color="auto"/>
          <w:color w:val="0000FF"/>
        </w:rPr>
      </w:pPr>
      <w:hyperlink r:id="rId196">
        <w:r>
          <w:rPr>
            <w:rFonts w:ascii="Times New Roman" w:cs="Times New Roman" w:eastAsia="Times New Roman" w:hAnsi="Times New Roman"/>
            <w:sz w:val="14"/>
            <w:szCs w:val="14"/>
            <w:u w:val="single" w:color="auto"/>
            <w:color w:val="0000FF"/>
          </w:rPr>
          <w:t>Indenture, dated as of February 2, 2021, by and among ZoomInfo Technologies LLC, ZoomInfo</w:t>
        </w:r>
      </w:hyperlink>
      <w:r>
        <w:rPr>
          <w:rFonts w:ascii="Times New Roman" w:cs="Times New Roman" w:eastAsia="Times New Roman" w:hAnsi="Times New Roman"/>
          <w:sz w:val="14"/>
          <w:szCs w:val="14"/>
          <w:u w:val="single" w:color="auto"/>
          <w:color w:val="0000FF"/>
        </w:rPr>
        <w:t xml:space="preserve"> </w:t>
      </w:r>
      <w:hyperlink r:id="rId196">
        <w:r>
          <w:rPr>
            <w:rFonts w:ascii="Times New Roman" w:cs="Times New Roman" w:eastAsia="Times New Roman" w:hAnsi="Times New Roman"/>
            <w:sz w:val="14"/>
            <w:szCs w:val="14"/>
            <w:u w:val="single" w:color="auto"/>
            <w:color w:val="0000FF"/>
          </w:rPr>
          <w:t>Finance Corp., the guarantors named on the signature pages thereto and Wells Fargo, National</w:t>
        </w:r>
      </w:hyperlink>
      <w:r>
        <w:rPr>
          <w:rFonts w:ascii="Times New Roman" w:cs="Times New Roman" w:eastAsia="Times New Roman" w:hAnsi="Times New Roman"/>
          <w:sz w:val="14"/>
          <w:szCs w:val="14"/>
          <w:u w:val="single" w:color="auto"/>
          <w:color w:val="0000FF"/>
        </w:rPr>
        <w:t xml:space="preserve"> </w:t>
      </w:r>
      <w:hyperlink r:id="rId196">
        <w:r>
          <w:rPr>
            <w:rFonts w:ascii="Times New Roman" w:cs="Times New Roman" w:eastAsia="Times New Roman" w:hAnsi="Times New Roman"/>
            <w:sz w:val="14"/>
            <w:szCs w:val="14"/>
            <w:u w:val="single" w:color="auto"/>
            <w:color w:val="0000FF"/>
          </w:rPr>
          <w:t>Association, as trustee</w:t>
        </w:r>
      </w:hyperlink>
    </w:p>
    <w:p>
      <w:pPr>
        <w:spacing w:after="0" w:line="15" w:lineRule="exact"/>
        <w:rPr>
          <w:rFonts w:ascii="Times New Roman" w:cs="Times New Roman" w:eastAsia="Times New Roman" w:hAnsi="Times New Roman"/>
          <w:sz w:val="14"/>
          <w:szCs w:val="14"/>
          <w:u w:val="single" w:color="auto"/>
          <w:color w:val="0000FF"/>
        </w:rPr>
      </w:pPr>
    </w:p>
    <w:p>
      <w:pPr>
        <w:spacing w:after="0"/>
        <w:rPr>
          <w:sz w:val="20"/>
          <w:szCs w:val="20"/>
          <w:color w:val="auto"/>
        </w:rPr>
      </w:pPr>
      <w:r>
        <w:rPr>
          <w:rFonts w:ascii="Times New Roman" w:cs="Times New Roman" w:eastAsia="Times New Roman" w:hAnsi="Times New Roman"/>
          <w:sz w:val="14"/>
          <w:szCs w:val="14"/>
          <w:color w:val="auto"/>
        </w:rPr>
        <w:t>Form of 3.875% Senior Note due 2029 (included in Exhibit 4.2)</w:t>
      </w:r>
    </w:p>
    <w:p>
      <w:pPr>
        <w:spacing w:after="0" w:line="25" w:lineRule="exact"/>
        <w:rPr>
          <w:rFonts w:ascii="Times New Roman" w:cs="Times New Roman" w:eastAsia="Times New Roman" w:hAnsi="Times New Roman"/>
          <w:sz w:val="14"/>
          <w:szCs w:val="14"/>
          <w:u w:val="single" w:color="auto"/>
          <w:color w:val="0000FF"/>
        </w:rPr>
      </w:pPr>
    </w:p>
    <w:p>
      <w:pPr>
        <w:spacing w:after="0" w:line="235" w:lineRule="auto"/>
        <w:rPr>
          <w:rFonts w:ascii="Times New Roman" w:cs="Times New Roman" w:eastAsia="Times New Roman" w:hAnsi="Times New Roman"/>
          <w:sz w:val="14"/>
          <w:szCs w:val="14"/>
          <w:u w:val="single" w:color="auto"/>
          <w:color w:val="0000FF"/>
        </w:rPr>
      </w:pPr>
      <w:hyperlink r:id="rId197">
        <w:r>
          <w:rPr>
            <w:rFonts w:ascii="Times New Roman" w:cs="Times New Roman" w:eastAsia="Times New Roman" w:hAnsi="Times New Roman"/>
            <w:sz w:val="14"/>
            <w:szCs w:val="14"/>
            <w:u w:val="single" w:color="auto"/>
            <w:color w:val="0000FF"/>
          </w:rPr>
          <w:t>Fifth Amended and Restated Limited Liability Company Agreement of ZoomInfo Holdings LLC,</w:t>
        </w:r>
      </w:hyperlink>
      <w:r>
        <w:rPr>
          <w:rFonts w:ascii="Times New Roman" w:cs="Times New Roman" w:eastAsia="Times New Roman" w:hAnsi="Times New Roman"/>
          <w:sz w:val="14"/>
          <w:szCs w:val="14"/>
          <w:u w:val="single" w:color="auto"/>
          <w:color w:val="0000FF"/>
        </w:rPr>
        <w:t xml:space="preserve"> </w:t>
      </w:r>
      <w:hyperlink r:id="rId197">
        <w:r>
          <w:rPr>
            <w:rFonts w:ascii="Times New Roman" w:cs="Times New Roman" w:eastAsia="Times New Roman" w:hAnsi="Times New Roman"/>
            <w:sz w:val="14"/>
            <w:szCs w:val="14"/>
            <w:u w:val="single" w:color="auto"/>
            <w:color w:val="0000FF"/>
          </w:rPr>
          <w:t>dated as of June 3, 2020</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 filed June 8, 2020</w:t>
            </w:r>
          </w:p>
        </w:tc>
        <w:tc>
          <w:tcPr>
            <w:tcW w:w="13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3.1</w:t>
            </w:r>
          </w:p>
        </w:tc>
      </w:tr>
      <w:tr>
        <w:trPr>
          <w:trHeight w:val="186"/>
        </w:trPr>
        <w:tc>
          <w:tcPr>
            <w:tcW w:w="1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 filed June 8, 2020</w:t>
            </w:r>
          </w:p>
        </w:tc>
        <w:tc>
          <w:tcPr>
            <w:tcW w:w="13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3.2</w:t>
            </w:r>
          </w:p>
        </w:tc>
      </w:tr>
      <w:tr>
        <w:trPr>
          <w:trHeight w:val="384"/>
        </w:trPr>
        <w:tc>
          <w:tcPr>
            <w:tcW w:w="180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490"/>
        </w:trPr>
        <w:tc>
          <w:tcPr>
            <w:tcW w:w="180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199"/>
        </w:trPr>
        <w:tc>
          <w:tcPr>
            <w:tcW w:w="18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 filed June 8, 2020</w:t>
            </w:r>
          </w:p>
        </w:tc>
        <w:tc>
          <w:tcPr>
            <w:tcW w:w="13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10.1</w:t>
            </w:r>
          </w:p>
        </w:tc>
      </w:tr>
    </w:tbl>
    <w:p>
      <w:pPr>
        <w:spacing w:after="0" w:line="132" w:lineRule="exact"/>
        <w:rPr>
          <w:sz w:val="20"/>
          <w:szCs w:val="20"/>
          <w:color w:val="auto"/>
        </w:rPr>
      </w:pPr>
    </w:p>
    <w:p>
      <w:pPr>
        <w:sectPr>
          <w:pgSz w:w="11900" w:h="16838" w:orient="portrait"/>
          <w:cols w:equalWidth="0" w:num="3">
            <w:col w:w="620" w:space="380"/>
            <w:col w:w="5520" w:space="360"/>
            <w:col w:w="4360"/>
          </w:cols>
          <w:pgMar w:left="320" w:top="118" w:right="339" w:bottom="1440" w:gutter="0" w:footer="0" w:header="0"/>
          <w:type w:val="continuous"/>
        </w:sectPr>
      </w:pPr>
    </w:p>
    <w:tbl>
      <w:tblPr>
        <w:tblLayout w:type="fixed"/>
        <w:tblInd w:w="340" w:type="dxa"/>
        <w:tblCellMar>
          <w:top w:w="0" w:type="dxa"/>
          <w:left w:w="0" w:type="dxa"/>
          <w:bottom w:w="0" w:type="dxa"/>
          <w:right w:w="0" w:type="dxa"/>
        </w:tblCellMar>
      </w:tblPr>
      <w:tr>
        <w:trPr>
          <w:trHeight w:val="158"/>
        </w:trPr>
        <w:tc>
          <w:tcPr>
            <w:tcW w:w="660" w:type="dxa"/>
            <w:vAlign w:val="bottom"/>
          </w:tcPr>
          <w:p>
            <w:pPr>
              <w:jc w:val="center"/>
              <w:ind w:right="269"/>
              <w:spacing w:after="0" w:line="158" w:lineRule="exact"/>
              <w:rPr>
                <w:sz w:val="20"/>
                <w:szCs w:val="20"/>
                <w:color w:val="auto"/>
              </w:rPr>
            </w:pPr>
            <w:r>
              <w:rPr>
                <w:rFonts w:ascii="Times New Roman" w:cs="Times New Roman" w:eastAsia="Times New Roman" w:hAnsi="Times New Roman"/>
                <w:sz w:val="14"/>
                <w:szCs w:val="14"/>
                <w:color w:val="auto"/>
                <w:w w:val="97"/>
              </w:rPr>
              <w:t>10.2</w:t>
            </w:r>
          </w:p>
        </w:tc>
        <w:tc>
          <w:tcPr>
            <w:tcW w:w="5800" w:type="dxa"/>
            <w:vAlign w:val="bottom"/>
            <w:gridSpan w:val="20"/>
          </w:tcPr>
          <w:p>
            <w:pPr>
              <w:spacing w:after="0" w:line="158"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Amended and Restated Limited Liability Company Agreement of ZoomInfo Intermediate Holdings</w:t>
              </w:r>
            </w:hyperlink>
          </w:p>
        </w:tc>
        <w:tc>
          <w:tcPr>
            <w:tcW w:w="1860" w:type="dxa"/>
            <w:vAlign w:val="bottom"/>
          </w:tcPr>
          <w:p>
            <w:pPr>
              <w:jc w:val="center"/>
              <w:ind w:right="129"/>
              <w:spacing w:after="0" w:line="158" w:lineRule="exact"/>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line="158" w:lineRule="exact"/>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line="158" w:lineRule="exact"/>
              <w:rPr>
                <w:sz w:val="20"/>
                <w:szCs w:val="20"/>
                <w:color w:val="auto"/>
              </w:rPr>
            </w:pPr>
            <w:r>
              <w:rPr>
                <w:rFonts w:ascii="Times New Roman" w:cs="Times New Roman" w:eastAsia="Times New Roman" w:hAnsi="Times New Roman"/>
                <w:sz w:val="14"/>
                <w:szCs w:val="14"/>
                <w:color w:val="auto"/>
              </w:rPr>
              <w:t>10.2</w:t>
            </w:r>
          </w:p>
        </w:tc>
      </w:tr>
      <w:tr>
        <w:trPr>
          <w:trHeight w:val="113"/>
        </w:trPr>
        <w:tc>
          <w:tcPr>
            <w:tcW w:w="660" w:type="dxa"/>
            <w:vAlign w:val="bottom"/>
          </w:tcPr>
          <w:p>
            <w:pPr>
              <w:spacing w:after="0"/>
              <w:rPr>
                <w:sz w:val="9"/>
                <w:szCs w:val="9"/>
                <w:color w:val="auto"/>
              </w:rPr>
            </w:pPr>
          </w:p>
        </w:tc>
        <w:tc>
          <w:tcPr>
            <w:tcW w:w="5620" w:type="dxa"/>
            <w:vAlign w:val="bottom"/>
            <w:tcBorders>
              <w:top w:val="single" w:sz="8" w:color="0000FF"/>
            </w:tcBorders>
            <w:gridSpan w:val="14"/>
          </w:tcPr>
          <w:p>
            <w:pPr>
              <w:spacing w:after="0" w:line="113" w:lineRule="exact"/>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LLC, dated as of June 3, 2020</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6"/>
        </w:trPr>
        <w:tc>
          <w:tcPr>
            <w:tcW w:w="6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7"/>
              </w:rPr>
              <w:t>10.3</w:t>
            </w:r>
          </w:p>
        </w:tc>
        <w:tc>
          <w:tcPr>
            <w:tcW w:w="5800" w:type="dxa"/>
            <w:vAlign w:val="bottom"/>
            <w:gridSpan w:val="20"/>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Exchange Tax Receivable Agreement, dated as of June 3, 2020, by and among ZoomInfo</w:t>
              </w:r>
            </w:hyperlink>
          </w:p>
        </w:tc>
        <w:tc>
          <w:tcPr>
            <w:tcW w:w="18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10.3</w:t>
            </w:r>
          </w:p>
        </w:tc>
      </w:tr>
      <w:tr>
        <w:trPr>
          <w:trHeight w:val="143"/>
        </w:trPr>
        <w:tc>
          <w:tcPr>
            <w:tcW w:w="660" w:type="dxa"/>
            <w:vAlign w:val="bottom"/>
          </w:tcPr>
          <w:p>
            <w:pPr>
              <w:spacing w:after="0"/>
              <w:rPr>
                <w:sz w:val="12"/>
                <w:szCs w:val="12"/>
                <w:color w:val="auto"/>
              </w:rPr>
            </w:pPr>
          </w:p>
        </w:tc>
        <w:tc>
          <w:tcPr>
            <w:tcW w:w="5040" w:type="dxa"/>
            <w:vAlign w:val="bottom"/>
            <w:tcBorders>
              <w:top w:val="single" w:sz="8" w:color="0000FF"/>
            </w:tcBorders>
            <w:gridSpan w:val="7"/>
          </w:tcPr>
          <w:p>
            <w:pPr>
              <w:spacing w:after="0" w:line="143" w:lineRule="exact"/>
              <w:rPr>
                <w:rFonts w:ascii="Times New Roman" w:cs="Times New Roman" w:eastAsia="Times New Roman" w:hAnsi="Times New Roman"/>
                <w:sz w:val="14"/>
                <w:szCs w:val="14"/>
                <w:u w:val="single" w:color="auto"/>
                <w:color w:val="0000FF"/>
              </w:rPr>
            </w:pPr>
            <w:hyperlink r:id="rId199">
              <w:r>
                <w:rPr>
                  <w:rFonts w:ascii="Times New Roman" w:cs="Times New Roman" w:eastAsia="Times New Roman" w:hAnsi="Times New Roman"/>
                  <w:sz w:val="14"/>
                  <w:szCs w:val="14"/>
                  <w:u w:val="single" w:color="auto"/>
                  <w:color w:val="0000FF"/>
                </w:rPr>
                <w:t>Technologies Inc. and each of the other persons from time to time party thereto</w:t>
              </w:r>
            </w:hyperlink>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660" w:type="dxa"/>
            <w:vAlign w:val="bottom"/>
          </w:tcPr>
          <w:p>
            <w:pPr>
              <w:jc w:val="center"/>
              <w:ind w:right="269"/>
              <w:spacing w:after="0" w:line="155" w:lineRule="exact"/>
              <w:rPr>
                <w:sz w:val="20"/>
                <w:szCs w:val="20"/>
                <w:color w:val="auto"/>
              </w:rPr>
            </w:pPr>
            <w:r>
              <w:rPr>
                <w:rFonts w:ascii="Times New Roman" w:cs="Times New Roman" w:eastAsia="Times New Roman" w:hAnsi="Times New Roman"/>
                <w:sz w:val="14"/>
                <w:szCs w:val="14"/>
                <w:color w:val="auto"/>
                <w:w w:val="97"/>
              </w:rPr>
              <w:t>10.4</w:t>
            </w:r>
          </w:p>
        </w:tc>
        <w:tc>
          <w:tcPr>
            <w:tcW w:w="5800" w:type="dxa"/>
            <w:vAlign w:val="bottom"/>
            <w:gridSpan w:val="20"/>
          </w:tcPr>
          <w:p>
            <w:pPr>
              <w:spacing w:after="0" w:line="155"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Reorganization Tax Receivable Agreement, dated as of June 3, 2020, by and among ZoomInfo</w:t>
              </w:r>
            </w:hyperlink>
          </w:p>
        </w:tc>
        <w:tc>
          <w:tcPr>
            <w:tcW w:w="1860" w:type="dxa"/>
            <w:vAlign w:val="bottom"/>
          </w:tcPr>
          <w:p>
            <w:pPr>
              <w:jc w:val="center"/>
              <w:ind w:right="129"/>
              <w:spacing w:after="0" w:line="155" w:lineRule="exact"/>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line="155" w:lineRule="exact"/>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line="155" w:lineRule="exact"/>
              <w:rPr>
                <w:sz w:val="20"/>
                <w:szCs w:val="20"/>
                <w:color w:val="auto"/>
              </w:rPr>
            </w:pPr>
            <w:r>
              <w:rPr>
                <w:rFonts w:ascii="Times New Roman" w:cs="Times New Roman" w:eastAsia="Times New Roman" w:hAnsi="Times New Roman"/>
                <w:sz w:val="14"/>
                <w:szCs w:val="14"/>
                <w:color w:val="auto"/>
              </w:rPr>
              <w:t>10.4</w:t>
            </w:r>
          </w:p>
        </w:tc>
      </w:tr>
      <w:tr>
        <w:trPr>
          <w:trHeight w:val="143"/>
        </w:trPr>
        <w:tc>
          <w:tcPr>
            <w:tcW w:w="660" w:type="dxa"/>
            <w:vAlign w:val="bottom"/>
          </w:tcPr>
          <w:p>
            <w:pPr>
              <w:spacing w:after="0"/>
              <w:rPr>
                <w:sz w:val="12"/>
                <w:szCs w:val="12"/>
                <w:color w:val="auto"/>
              </w:rPr>
            </w:pPr>
          </w:p>
        </w:tc>
        <w:tc>
          <w:tcPr>
            <w:tcW w:w="5340" w:type="dxa"/>
            <w:vAlign w:val="bottom"/>
            <w:tcBorders>
              <w:top w:val="single" w:sz="8" w:color="0000FF"/>
            </w:tcBorders>
            <w:gridSpan w:val="9"/>
          </w:tcPr>
          <w:p>
            <w:pPr>
              <w:spacing w:after="0" w:line="143" w:lineRule="exact"/>
              <w:rPr>
                <w:rFonts w:ascii="Times New Roman" w:cs="Times New Roman" w:eastAsia="Times New Roman" w:hAnsi="Times New Roman"/>
                <w:sz w:val="14"/>
                <w:szCs w:val="14"/>
                <w:u w:val="single" w:color="auto"/>
                <w:color w:val="0000FF"/>
              </w:rPr>
            </w:pPr>
            <w:hyperlink r:id="rId200">
              <w:r>
                <w:rPr>
                  <w:rFonts w:ascii="Times New Roman" w:cs="Times New Roman" w:eastAsia="Times New Roman" w:hAnsi="Times New Roman"/>
                  <w:sz w:val="14"/>
                  <w:szCs w:val="14"/>
                  <w:u w:val="single" w:color="auto"/>
                  <w:color w:val="0000FF"/>
                </w:rPr>
                <w:t>Technologies Inc. and each of the other persons from time to time a party thereto</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660" w:type="dxa"/>
            <w:vAlign w:val="bottom"/>
          </w:tcPr>
          <w:p>
            <w:pPr>
              <w:jc w:val="center"/>
              <w:ind w:right="269"/>
              <w:spacing w:after="0" w:line="155" w:lineRule="exact"/>
              <w:rPr>
                <w:sz w:val="20"/>
                <w:szCs w:val="20"/>
                <w:color w:val="auto"/>
              </w:rPr>
            </w:pPr>
            <w:r>
              <w:rPr>
                <w:rFonts w:ascii="Times New Roman" w:cs="Times New Roman" w:eastAsia="Times New Roman" w:hAnsi="Times New Roman"/>
                <w:sz w:val="14"/>
                <w:szCs w:val="14"/>
                <w:color w:val="auto"/>
                <w:w w:val="97"/>
              </w:rPr>
              <w:t>10.5</w:t>
            </w:r>
          </w:p>
        </w:tc>
        <w:tc>
          <w:tcPr>
            <w:tcW w:w="5800" w:type="dxa"/>
            <w:vAlign w:val="bottom"/>
            <w:gridSpan w:val="20"/>
          </w:tcPr>
          <w:p>
            <w:pPr>
              <w:spacing w:after="0" w:line="155"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Registration Rights Agreement, dated as of June 8, 2020, by and among ZoomInfo Technologies Inc.</w:t>
              </w:r>
            </w:hyperlink>
          </w:p>
        </w:tc>
        <w:tc>
          <w:tcPr>
            <w:tcW w:w="1860" w:type="dxa"/>
            <w:vAlign w:val="bottom"/>
          </w:tcPr>
          <w:p>
            <w:pPr>
              <w:jc w:val="center"/>
              <w:ind w:right="129"/>
              <w:spacing w:after="0" w:line="155" w:lineRule="exact"/>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line="155" w:lineRule="exact"/>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line="155" w:lineRule="exact"/>
              <w:rPr>
                <w:sz w:val="20"/>
                <w:szCs w:val="20"/>
                <w:color w:val="auto"/>
              </w:rPr>
            </w:pPr>
            <w:r>
              <w:rPr>
                <w:rFonts w:ascii="Times New Roman" w:cs="Times New Roman" w:eastAsia="Times New Roman" w:hAnsi="Times New Roman"/>
                <w:sz w:val="14"/>
                <w:szCs w:val="14"/>
                <w:color w:val="auto"/>
              </w:rPr>
              <w:t>10.5</w:t>
            </w:r>
          </w:p>
        </w:tc>
      </w:tr>
      <w:tr>
        <w:trPr>
          <w:trHeight w:val="113"/>
        </w:trPr>
        <w:tc>
          <w:tcPr>
            <w:tcW w:w="660" w:type="dxa"/>
            <w:vAlign w:val="bottom"/>
          </w:tcPr>
          <w:p>
            <w:pPr>
              <w:spacing w:after="0"/>
              <w:rPr>
                <w:sz w:val="9"/>
                <w:szCs w:val="9"/>
                <w:color w:val="auto"/>
              </w:rPr>
            </w:pPr>
          </w:p>
        </w:tc>
        <w:tc>
          <w:tcPr>
            <w:tcW w:w="3540" w:type="dxa"/>
            <w:vAlign w:val="bottom"/>
            <w:tcBorders>
              <w:top w:val="single" w:sz="8" w:color="0000FF"/>
              <w:bottom w:val="single" w:sz="8" w:color="0000FF"/>
            </w:tcBorders>
            <w:gridSpan w:val="6"/>
          </w:tcPr>
          <w:p>
            <w:pPr>
              <w:spacing w:after="0" w:line="113"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and each of the other persons from time to time a party thereto</w:t>
              </w:r>
            </w:hyperlink>
          </w:p>
        </w:tc>
        <w:tc>
          <w:tcPr>
            <w:tcW w:w="218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66"/>
        </w:trPr>
        <w:tc>
          <w:tcPr>
            <w:tcW w:w="6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7"/>
              </w:rPr>
              <w:t>10.6</w:t>
            </w:r>
          </w:p>
        </w:tc>
        <w:tc>
          <w:tcPr>
            <w:tcW w:w="5800" w:type="dxa"/>
            <w:vAlign w:val="bottom"/>
            <w:gridSpan w:val="20"/>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Stockholders Agreement, dated as of June 3, 2020, by and among ZoomInfo Technologies Inc. and</w:t>
              </w:r>
            </w:hyperlink>
          </w:p>
        </w:tc>
        <w:tc>
          <w:tcPr>
            <w:tcW w:w="18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10.6</w:t>
            </w:r>
          </w:p>
        </w:tc>
      </w:tr>
      <w:tr>
        <w:trPr>
          <w:trHeight w:val="113"/>
        </w:trPr>
        <w:tc>
          <w:tcPr>
            <w:tcW w:w="660" w:type="dxa"/>
            <w:vAlign w:val="bottom"/>
          </w:tcPr>
          <w:p>
            <w:pPr>
              <w:spacing w:after="0"/>
              <w:rPr>
                <w:sz w:val="9"/>
                <w:szCs w:val="9"/>
                <w:color w:val="auto"/>
              </w:rPr>
            </w:pPr>
          </w:p>
        </w:tc>
        <w:tc>
          <w:tcPr>
            <w:tcW w:w="3200" w:type="dxa"/>
            <w:vAlign w:val="bottom"/>
            <w:tcBorders>
              <w:top w:val="single" w:sz="8" w:color="0000FF"/>
              <w:bottom w:val="single" w:sz="8" w:color="0000FF"/>
            </w:tcBorders>
            <w:gridSpan w:val="5"/>
          </w:tcPr>
          <w:p>
            <w:pPr>
              <w:spacing w:after="0" w:line="113" w:lineRule="exact"/>
              <w:rPr>
                <w:rFonts w:ascii="Times New Roman" w:cs="Times New Roman" w:eastAsia="Times New Roman" w:hAnsi="Times New Roman"/>
                <w:sz w:val="13"/>
                <w:szCs w:val="13"/>
                <w:color w:val="0000FF"/>
              </w:rPr>
            </w:pPr>
            <w:hyperlink r:id="rId202">
              <w:r>
                <w:rPr>
                  <w:rFonts w:ascii="Times New Roman" w:cs="Times New Roman" w:eastAsia="Times New Roman" w:hAnsi="Times New Roman"/>
                  <w:sz w:val="13"/>
                  <w:szCs w:val="13"/>
                  <w:color w:val="0000FF"/>
                </w:rPr>
                <w:t>each of the other persons from time to time party thereto</w:t>
              </w:r>
            </w:hyperlink>
          </w:p>
        </w:tc>
        <w:tc>
          <w:tcPr>
            <w:tcW w:w="2400" w:type="dxa"/>
            <w:vAlign w:val="bottom"/>
            <w:tcBorders>
              <w:top w:val="single" w:sz="8" w:color="0000FF"/>
            </w:tcBorders>
            <w:gridSpan w:val="8"/>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07"/>
        </w:trPr>
        <w:tc>
          <w:tcPr>
            <w:tcW w:w="6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10.7†</w:t>
            </w:r>
          </w:p>
        </w:tc>
        <w:tc>
          <w:tcPr>
            <w:tcW w:w="5800" w:type="dxa"/>
            <w:vAlign w:val="bottom"/>
            <w:gridSpan w:val="20"/>
          </w:tcPr>
          <w:p>
            <w:pPr>
              <w:spacing w:after="0"/>
              <w:rPr>
                <w:rFonts w:ascii="Times New Roman" w:cs="Times New Roman" w:eastAsia="Times New Roman" w:hAnsi="Times New Roman"/>
                <w:sz w:val="14"/>
                <w:szCs w:val="14"/>
                <w:u w:val="single" w:color="auto"/>
                <w:color w:val="0000FF"/>
              </w:rPr>
            </w:pPr>
            <w:hyperlink r:id="rId203">
              <w:r>
                <w:rPr>
                  <w:rFonts w:ascii="Times New Roman" w:cs="Times New Roman" w:eastAsia="Times New Roman" w:hAnsi="Times New Roman"/>
                  <w:sz w:val="14"/>
                  <w:szCs w:val="14"/>
                  <w:u w:val="single" w:color="auto"/>
                  <w:color w:val="0000FF"/>
                </w:rPr>
                <w:t>ZoomInfo Technologies Inc. 2020 Omnibus Incentive Plan</w:t>
              </w:r>
            </w:hyperlink>
          </w:p>
        </w:tc>
        <w:tc>
          <w:tcPr>
            <w:tcW w:w="18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10.7</w:t>
            </w:r>
          </w:p>
        </w:tc>
      </w:tr>
      <w:tr>
        <w:trPr>
          <w:trHeight w:val="185"/>
        </w:trPr>
        <w:tc>
          <w:tcPr>
            <w:tcW w:w="6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10.8†</w:t>
            </w:r>
          </w:p>
        </w:tc>
        <w:tc>
          <w:tcPr>
            <w:tcW w:w="5800" w:type="dxa"/>
            <w:vAlign w:val="bottom"/>
            <w:gridSpan w:val="20"/>
          </w:tcPr>
          <w:p>
            <w:pPr>
              <w:spacing w:after="0"/>
              <w:rPr>
                <w:rFonts w:ascii="Times New Roman" w:cs="Times New Roman" w:eastAsia="Times New Roman" w:hAnsi="Times New Roman"/>
                <w:sz w:val="14"/>
                <w:szCs w:val="14"/>
                <w:u w:val="single" w:color="auto"/>
                <w:color w:val="0000FF"/>
              </w:rPr>
            </w:pPr>
            <w:hyperlink r:id="rId204">
              <w:r>
                <w:rPr>
                  <w:rFonts w:ascii="Times New Roman" w:cs="Times New Roman" w:eastAsia="Times New Roman" w:hAnsi="Times New Roman"/>
                  <w:sz w:val="14"/>
                  <w:szCs w:val="14"/>
                  <w:u w:val="single" w:color="auto"/>
                  <w:color w:val="0000FF"/>
                </w:rPr>
                <w:t>ZoomInfo Technologies Inc. 2020 Employee Stock Purchase Plan</w:t>
              </w:r>
            </w:hyperlink>
          </w:p>
        </w:tc>
        <w:tc>
          <w:tcPr>
            <w:tcW w:w="18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10.8</w:t>
            </w:r>
          </w:p>
        </w:tc>
      </w:tr>
      <w:tr>
        <w:trPr>
          <w:trHeight w:val="186"/>
        </w:trPr>
        <w:tc>
          <w:tcPr>
            <w:tcW w:w="6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10.9†</w:t>
            </w:r>
          </w:p>
        </w:tc>
        <w:tc>
          <w:tcPr>
            <w:tcW w:w="5800" w:type="dxa"/>
            <w:vAlign w:val="bottom"/>
            <w:gridSpan w:val="20"/>
          </w:tcPr>
          <w:p>
            <w:pPr>
              <w:spacing w:after="0"/>
              <w:rPr>
                <w:rFonts w:ascii="Times New Roman" w:cs="Times New Roman" w:eastAsia="Times New Roman" w:hAnsi="Times New Roman"/>
                <w:sz w:val="14"/>
                <w:szCs w:val="14"/>
                <w:u w:val="single" w:color="auto"/>
                <w:color w:val="0000FF"/>
              </w:rPr>
            </w:pPr>
            <w:hyperlink r:id="rId205">
              <w:r>
                <w:rPr>
                  <w:rFonts w:ascii="Times New Roman" w:cs="Times New Roman" w:eastAsia="Times New Roman" w:hAnsi="Times New Roman"/>
                  <w:sz w:val="14"/>
                  <w:szCs w:val="14"/>
                  <w:u w:val="single" w:color="auto"/>
                  <w:color w:val="0000FF"/>
                </w:rPr>
                <w:t>Form of Indemnification Agreement</w:t>
              </w:r>
            </w:hyperlink>
          </w:p>
        </w:tc>
        <w:tc>
          <w:tcPr>
            <w:tcW w:w="18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S-1/A filed May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10.9</w:t>
            </w:r>
          </w:p>
        </w:tc>
      </w:tr>
      <w:tr>
        <w:trPr>
          <w:trHeight w:val="157"/>
        </w:trPr>
        <w:tc>
          <w:tcPr>
            <w:tcW w:w="660" w:type="dxa"/>
            <w:vAlign w:val="bottom"/>
          </w:tcPr>
          <w:p>
            <w:pPr>
              <w:jc w:val="center"/>
              <w:ind w:right="269"/>
              <w:spacing w:after="0" w:line="157" w:lineRule="exact"/>
              <w:rPr>
                <w:sz w:val="20"/>
                <w:szCs w:val="20"/>
                <w:color w:val="auto"/>
              </w:rPr>
            </w:pPr>
            <w:r>
              <w:rPr>
                <w:rFonts w:ascii="Times New Roman" w:cs="Times New Roman" w:eastAsia="Times New Roman" w:hAnsi="Times New Roman"/>
                <w:sz w:val="14"/>
                <w:szCs w:val="14"/>
                <w:color w:val="auto"/>
              </w:rPr>
              <w:t>10.10</w:t>
            </w:r>
          </w:p>
        </w:tc>
        <w:tc>
          <w:tcPr>
            <w:tcW w:w="5660" w:type="dxa"/>
            <w:vAlign w:val="bottom"/>
            <w:tcBorders>
              <w:bottom w:val="single" w:sz="8" w:color="0000FF"/>
            </w:tcBorders>
            <w:gridSpan w:val="16"/>
          </w:tcPr>
          <w:p>
            <w:pPr>
              <w:spacing w:after="0" w:line="157"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First Lien Credit Agreement, dated as of February 1, 2019, among DiscoverOrg, LLC, DiscoverOrg</w:t>
              </w:r>
            </w:hyperlink>
          </w:p>
        </w:tc>
        <w:tc>
          <w:tcPr>
            <w:tcW w:w="140" w:type="dxa"/>
            <w:vAlign w:val="bottom"/>
            <w:gridSpan w:val="4"/>
          </w:tcPr>
          <w:p>
            <w:pPr>
              <w:spacing w:after="0"/>
              <w:rPr>
                <w:sz w:val="13"/>
                <w:szCs w:val="13"/>
                <w:color w:val="auto"/>
              </w:rPr>
            </w:pPr>
          </w:p>
        </w:tc>
        <w:tc>
          <w:tcPr>
            <w:tcW w:w="1860" w:type="dxa"/>
            <w:vAlign w:val="bottom"/>
          </w:tcPr>
          <w:p>
            <w:pPr>
              <w:jc w:val="center"/>
              <w:ind w:right="129"/>
              <w:spacing w:after="0" w:line="157"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line="157" w:lineRule="exact"/>
              <w:rPr>
                <w:sz w:val="20"/>
                <w:szCs w:val="20"/>
                <w:color w:val="auto"/>
              </w:rPr>
            </w:pPr>
            <w:r>
              <w:rPr>
                <w:rFonts w:ascii="Times New Roman" w:cs="Times New Roman" w:eastAsia="Times New Roman" w:hAnsi="Times New Roman"/>
                <w:sz w:val="14"/>
                <w:szCs w:val="14"/>
                <w:color w:val="auto"/>
              </w:rPr>
              <w:t>10.10</w:t>
            </w:r>
          </w:p>
        </w:tc>
      </w:tr>
      <w:tr>
        <w:trPr>
          <w:trHeight w:val="113"/>
        </w:trPr>
        <w:tc>
          <w:tcPr>
            <w:tcW w:w="660" w:type="dxa"/>
            <w:vAlign w:val="bottom"/>
          </w:tcPr>
          <w:p>
            <w:pPr>
              <w:spacing w:after="0"/>
              <w:rPr>
                <w:sz w:val="9"/>
                <w:szCs w:val="9"/>
                <w:color w:val="auto"/>
              </w:rPr>
            </w:pPr>
          </w:p>
        </w:tc>
        <w:tc>
          <w:tcPr>
            <w:tcW w:w="5800" w:type="dxa"/>
            <w:vAlign w:val="bottom"/>
            <w:gridSpan w:val="20"/>
          </w:tcPr>
          <w:p>
            <w:pPr>
              <w:spacing w:after="0" w:line="113"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Midco, LLC, the guarantors party thereto from time to time, Morgan Stanley Senior Funding, Inc., as</w:t>
              </w:r>
            </w:hyperlink>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3"/>
        </w:trPr>
        <w:tc>
          <w:tcPr>
            <w:tcW w:w="660" w:type="dxa"/>
            <w:vAlign w:val="bottom"/>
          </w:tcPr>
          <w:p>
            <w:pPr>
              <w:spacing w:after="0"/>
              <w:rPr>
                <w:sz w:val="9"/>
                <w:szCs w:val="9"/>
                <w:color w:val="auto"/>
              </w:rPr>
            </w:pPr>
          </w:p>
        </w:tc>
        <w:tc>
          <w:tcPr>
            <w:tcW w:w="5740" w:type="dxa"/>
            <w:vAlign w:val="bottom"/>
            <w:tcBorders>
              <w:top w:val="single" w:sz="8" w:color="0000FF"/>
            </w:tcBorders>
            <w:gridSpan w:val="18"/>
          </w:tcPr>
          <w:p>
            <w:pPr>
              <w:spacing w:after="0" w:line="113"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administrative agent, collateral agent and L/C issuer, and the other lenders and L/C issuers party</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3"/>
        </w:trPr>
        <w:tc>
          <w:tcPr>
            <w:tcW w:w="660" w:type="dxa"/>
            <w:vAlign w:val="bottom"/>
          </w:tcPr>
          <w:p>
            <w:pPr>
              <w:spacing w:after="0"/>
              <w:rPr>
                <w:sz w:val="9"/>
                <w:szCs w:val="9"/>
                <w:color w:val="auto"/>
              </w:rPr>
            </w:pPr>
          </w:p>
        </w:tc>
        <w:tc>
          <w:tcPr>
            <w:tcW w:w="400" w:type="dxa"/>
            <w:vAlign w:val="bottom"/>
            <w:tcBorders>
              <w:top w:val="single" w:sz="8" w:color="0000FF"/>
              <w:bottom w:val="single" w:sz="8" w:color="0000FF"/>
            </w:tcBorders>
          </w:tcPr>
          <w:p>
            <w:pPr>
              <w:spacing w:after="0" w:line="113" w:lineRule="exact"/>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thereto</w:t>
              </w:r>
            </w:hyperlink>
          </w:p>
        </w:tc>
        <w:tc>
          <w:tcPr>
            <w:tcW w:w="5040" w:type="dxa"/>
            <w:vAlign w:val="bottom"/>
            <w:tcBorders>
              <w:top w:val="single" w:sz="8" w:color="0000FF"/>
            </w:tcBorders>
            <w:gridSpan w:val="10"/>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3"/>
          </w:tcPr>
          <w:p>
            <w:pPr>
              <w:spacing w:after="0"/>
              <w:rPr>
                <w:sz w:val="9"/>
                <w:szCs w:val="9"/>
                <w:color w:val="auto"/>
              </w:rPr>
            </w:pPr>
          </w:p>
        </w:tc>
        <w:tc>
          <w:tcPr>
            <w:tcW w:w="12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65"/>
        </w:trPr>
        <w:tc>
          <w:tcPr>
            <w:tcW w:w="6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10.11</w:t>
            </w:r>
          </w:p>
        </w:tc>
        <w:tc>
          <w:tcPr>
            <w:tcW w:w="5800" w:type="dxa"/>
            <w:vAlign w:val="bottom"/>
            <w:gridSpan w:val="20"/>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Amendment No. 1 to the First Lien Credit Agreement, dated February 19, 2020, by and among</w:t>
              </w:r>
            </w:hyperlink>
          </w:p>
        </w:tc>
        <w:tc>
          <w:tcPr>
            <w:tcW w:w="18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w w:val="95"/>
              </w:rPr>
              <w:t>10.11</w:t>
            </w:r>
          </w:p>
        </w:tc>
      </w:tr>
      <w:tr>
        <w:trPr>
          <w:trHeight w:val="20"/>
        </w:trPr>
        <w:tc>
          <w:tcPr>
            <w:tcW w:w="6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13"/>
        </w:trPr>
        <w:tc>
          <w:tcPr>
            <w:tcW w:w="660" w:type="dxa"/>
            <w:vAlign w:val="bottom"/>
          </w:tcPr>
          <w:p>
            <w:pPr>
              <w:spacing w:after="0"/>
              <w:rPr>
                <w:sz w:val="9"/>
                <w:szCs w:val="9"/>
                <w:color w:val="auto"/>
              </w:rPr>
            </w:pPr>
          </w:p>
        </w:tc>
        <w:tc>
          <w:tcPr>
            <w:tcW w:w="5800" w:type="dxa"/>
            <w:vAlign w:val="bottom"/>
            <w:gridSpan w:val="20"/>
          </w:tcPr>
          <w:p>
            <w:pPr>
              <w:spacing w:after="0" w:line="113"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DiscoverOrg, LLC, DiscoverOrg Midco, LLC, Morgan Stanley Bank, N.A., as the new term loan</w:t>
              </w:r>
            </w:hyperlink>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3"/>
        </w:trPr>
        <w:tc>
          <w:tcPr>
            <w:tcW w:w="660" w:type="dxa"/>
            <w:vAlign w:val="bottom"/>
          </w:tcPr>
          <w:p>
            <w:pPr>
              <w:spacing w:after="0"/>
              <w:rPr>
                <w:sz w:val="9"/>
                <w:szCs w:val="9"/>
                <w:color w:val="auto"/>
              </w:rPr>
            </w:pPr>
          </w:p>
        </w:tc>
        <w:tc>
          <w:tcPr>
            <w:tcW w:w="5500" w:type="dxa"/>
            <w:vAlign w:val="bottom"/>
            <w:tcBorders>
              <w:top w:val="single" w:sz="8" w:color="0000FF"/>
            </w:tcBorders>
            <w:gridSpan w:val="12"/>
          </w:tcPr>
          <w:p>
            <w:pPr>
              <w:spacing w:after="0" w:line="113"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lender, the revolving credit lenders party thereto, Morgan Stanley Senior Funding, Inc., as</w:t>
              </w:r>
            </w:hyperlink>
          </w:p>
        </w:tc>
        <w:tc>
          <w:tcPr>
            <w:tcW w:w="140" w:type="dxa"/>
            <w:vAlign w:val="bottom"/>
            <w:gridSpan w:val="3"/>
          </w:tcPr>
          <w:p>
            <w:pPr>
              <w:spacing w:after="0"/>
              <w:rPr>
                <w:sz w:val="9"/>
                <w:szCs w:val="9"/>
                <w:color w:val="auto"/>
              </w:rPr>
            </w:pPr>
          </w:p>
        </w:tc>
        <w:tc>
          <w:tcPr>
            <w:tcW w:w="12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3"/>
        </w:trPr>
        <w:tc>
          <w:tcPr>
            <w:tcW w:w="660" w:type="dxa"/>
            <w:vAlign w:val="bottom"/>
          </w:tcPr>
          <w:p>
            <w:pPr>
              <w:spacing w:after="0"/>
              <w:rPr>
                <w:sz w:val="9"/>
                <w:szCs w:val="9"/>
                <w:color w:val="auto"/>
              </w:rPr>
            </w:pPr>
          </w:p>
        </w:tc>
        <w:tc>
          <w:tcPr>
            <w:tcW w:w="5080" w:type="dxa"/>
            <w:vAlign w:val="bottom"/>
            <w:tcBorders>
              <w:top w:val="single" w:sz="8" w:color="0000FF"/>
            </w:tcBorders>
            <w:gridSpan w:val="8"/>
          </w:tcPr>
          <w:p>
            <w:pPr>
              <w:spacing w:after="0" w:line="113"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administrative agent, collateral agent and L/C issuer</w:t>
              </w:r>
            </w:hyperlink>
          </w:p>
        </w:tc>
        <w:tc>
          <w:tcPr>
            <w:tcW w:w="560" w:type="dxa"/>
            <w:vAlign w:val="bottom"/>
            <w:gridSpan w:val="7"/>
          </w:tcPr>
          <w:p>
            <w:pPr>
              <w:spacing w:after="0"/>
              <w:rPr>
                <w:sz w:val="9"/>
                <w:szCs w:val="9"/>
                <w:color w:val="auto"/>
              </w:rPr>
            </w:pPr>
          </w:p>
        </w:tc>
        <w:tc>
          <w:tcPr>
            <w:tcW w:w="12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70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6"/>
        </w:trPr>
        <w:tc>
          <w:tcPr>
            <w:tcW w:w="6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10.12</w:t>
            </w:r>
          </w:p>
        </w:tc>
        <w:tc>
          <w:tcPr>
            <w:tcW w:w="5800" w:type="dxa"/>
            <w:vAlign w:val="bottom"/>
            <w:gridSpan w:val="20"/>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First Lien Security Agreement, dated as of February 1, 2019, among DiscoverOrg, LLC, DiscoverOrg</w:t>
              </w:r>
            </w:hyperlink>
          </w:p>
        </w:tc>
        <w:tc>
          <w:tcPr>
            <w:tcW w:w="18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10.12</w:t>
            </w:r>
          </w:p>
        </w:tc>
      </w:tr>
      <w:tr>
        <w:trPr>
          <w:trHeight w:val="113"/>
        </w:trPr>
        <w:tc>
          <w:tcPr>
            <w:tcW w:w="660" w:type="dxa"/>
            <w:vAlign w:val="bottom"/>
          </w:tcPr>
          <w:p>
            <w:pPr>
              <w:spacing w:after="0"/>
              <w:rPr>
                <w:sz w:val="9"/>
                <w:szCs w:val="9"/>
                <w:color w:val="auto"/>
              </w:rPr>
            </w:pPr>
          </w:p>
        </w:tc>
        <w:tc>
          <w:tcPr>
            <w:tcW w:w="5760" w:type="dxa"/>
            <w:vAlign w:val="bottom"/>
            <w:tcBorders>
              <w:top w:val="single" w:sz="8" w:color="0000FF"/>
            </w:tcBorders>
            <w:gridSpan w:val="19"/>
          </w:tcPr>
          <w:p>
            <w:pPr>
              <w:spacing w:after="0" w:line="113" w:lineRule="exact"/>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Midco, LLC, the grantors party thereto from time to time and Morgan Stanley Senior Funding, Inc.,</w:t>
              </w:r>
            </w:hyperlink>
          </w:p>
        </w:tc>
        <w:tc>
          <w:tcPr>
            <w:tcW w:w="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3"/>
        </w:trPr>
        <w:tc>
          <w:tcPr>
            <w:tcW w:w="660" w:type="dxa"/>
            <w:vAlign w:val="bottom"/>
          </w:tcPr>
          <w:p>
            <w:pPr>
              <w:spacing w:after="0"/>
              <w:rPr>
                <w:sz w:val="9"/>
                <w:szCs w:val="9"/>
                <w:color w:val="auto"/>
              </w:rPr>
            </w:pPr>
          </w:p>
        </w:tc>
        <w:tc>
          <w:tcPr>
            <w:tcW w:w="5640" w:type="dxa"/>
            <w:vAlign w:val="bottom"/>
            <w:tcBorders>
              <w:top w:val="single" w:sz="8" w:color="0000FF"/>
            </w:tcBorders>
            <w:gridSpan w:val="15"/>
          </w:tcPr>
          <w:p>
            <w:pPr>
              <w:spacing w:after="0" w:line="113" w:lineRule="exact"/>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as collateral agent</w:t>
              </w:r>
            </w:hyperlink>
          </w:p>
        </w:tc>
        <w:tc>
          <w:tcPr>
            <w:tcW w:w="160" w:type="dxa"/>
            <w:vAlign w:val="bottom"/>
            <w:gridSpan w:val="5"/>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ind w:left="1000" w:right="180" w:hanging="666"/>
        <w:spacing w:after="0" w:line="235"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10.13</w:t>
      </w:r>
      <w:r>
        <w:rPr>
          <w:sz w:val="20"/>
          <w:szCs w:val="20"/>
          <w:color w:val="auto"/>
        </w:rPr>
        <w:tab/>
      </w:r>
      <w:hyperlink r:id="rId209">
        <w:r>
          <w:rPr>
            <w:rFonts w:ascii="Times New Roman" w:cs="Times New Roman" w:eastAsia="Times New Roman" w:hAnsi="Times New Roman"/>
            <w:sz w:val="14"/>
            <w:szCs w:val="14"/>
            <w:u w:val="single" w:color="auto"/>
            <w:color w:val="0000FF"/>
          </w:rPr>
          <w:t>First Lien Holdings Guaranty, dated as of February 1, 2019, among DiscoverOrg Midco, LLC and</w:t>
        </w:r>
      </w:hyperlink>
      <w:r>
        <w:rPr>
          <w:rFonts w:ascii="Times New Roman" w:cs="Times New Roman" w:eastAsia="Times New Roman" w:hAnsi="Times New Roman"/>
          <w:sz w:val="14"/>
          <w:szCs w:val="14"/>
          <w:u w:val="single" w:color="auto"/>
          <w:color w:val="0000FF"/>
        </w:rPr>
        <w:t xml:space="preserve"> </w:t>
      </w:r>
      <w:hyperlink r:id="rId209">
        <w:r>
          <w:rPr>
            <w:rFonts w:ascii="Times New Roman" w:cs="Times New Roman" w:eastAsia="Times New Roman" w:hAnsi="Times New Roman"/>
            <w:sz w:val="14"/>
            <w:szCs w:val="14"/>
            <w:u w:val="single" w:color="auto"/>
            <w:color w:val="0000FF"/>
          </w:rPr>
          <w:t>Morgan Stanley Senior Funding, Inc., as administrative agent</w:t>
        </w:r>
      </w:hyperlink>
    </w:p>
    <w:p>
      <w:pPr>
        <w:spacing w:after="0" w:line="3" w:lineRule="exact"/>
        <w:rPr>
          <w:sz w:val="20"/>
          <w:szCs w:val="20"/>
          <w:color w:val="auto"/>
        </w:rPr>
      </w:pPr>
    </w:p>
    <w:p>
      <w:pPr>
        <w:ind w:left="1000" w:hanging="666"/>
        <w:spacing w:after="0" w:line="235"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w:t>
      </w:r>
      <w:r>
        <w:rPr>
          <w:sz w:val="20"/>
          <w:szCs w:val="20"/>
          <w:color w:val="auto"/>
        </w:rPr>
        <w:tab/>
      </w:r>
      <w:hyperlink r:id="rId210">
        <w:r>
          <w:rPr>
            <w:rFonts w:ascii="Times New Roman" w:cs="Times New Roman" w:eastAsia="Times New Roman" w:hAnsi="Times New Roman"/>
            <w:sz w:val="14"/>
            <w:szCs w:val="14"/>
            <w:u w:val="single" w:color="auto"/>
            <w:color w:val="0000FF"/>
          </w:rPr>
          <w:t>First Lien Subsidiary Guaranty, dated as of February 1, 2019, among the guarantors party thereto and</w:t>
        </w:r>
      </w:hyperlink>
      <w:r>
        <w:rPr>
          <w:rFonts w:ascii="Times New Roman" w:cs="Times New Roman" w:eastAsia="Times New Roman" w:hAnsi="Times New Roman"/>
          <w:sz w:val="14"/>
          <w:szCs w:val="14"/>
          <w:u w:val="single" w:color="auto"/>
          <w:color w:val="0000FF"/>
        </w:rPr>
        <w:t xml:space="preserve"> </w:t>
      </w:r>
      <w:hyperlink r:id="rId210">
        <w:r>
          <w:rPr>
            <w:rFonts w:ascii="Times New Roman" w:cs="Times New Roman" w:eastAsia="Times New Roman" w:hAnsi="Times New Roman"/>
            <w:sz w:val="14"/>
            <w:szCs w:val="14"/>
            <w:u w:val="single" w:color="auto"/>
            <w:color w:val="0000FF"/>
          </w:rPr>
          <w:t>Morgan Stanley Senior Funding, Inc., as administrative agent</w:t>
        </w:r>
      </w:hyperlink>
    </w:p>
    <w:p>
      <w:pPr>
        <w:spacing w:after="0" w:line="3" w:lineRule="exact"/>
        <w:rPr>
          <w:sz w:val="20"/>
          <w:szCs w:val="20"/>
          <w:color w:val="auto"/>
        </w:rPr>
      </w:pPr>
    </w:p>
    <w:p>
      <w:pPr>
        <w:ind w:left="1000" w:right="80" w:hanging="666"/>
        <w:spacing w:after="0" w:line="216"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w:t>
      </w:r>
      <w:r>
        <w:rPr>
          <w:sz w:val="20"/>
          <w:szCs w:val="20"/>
          <w:color w:val="auto"/>
        </w:rPr>
        <w:tab/>
      </w:r>
      <w:hyperlink r:id="rId211">
        <w:r>
          <w:rPr>
            <w:rFonts w:ascii="Times New Roman" w:cs="Times New Roman" w:eastAsia="Times New Roman" w:hAnsi="Times New Roman"/>
            <w:sz w:val="14"/>
            <w:szCs w:val="14"/>
            <w:u w:val="single" w:color="auto"/>
            <w:color w:val="0000FF"/>
          </w:rPr>
          <w:t>First Lien Intercompany Subordination Agreement, dated as of February 1, 2019, among</w:t>
        </w:r>
      </w:hyperlink>
      <w:r>
        <w:rPr>
          <w:rFonts w:ascii="Times New Roman" w:cs="Times New Roman" w:eastAsia="Times New Roman" w:hAnsi="Times New Roman"/>
          <w:sz w:val="14"/>
          <w:szCs w:val="14"/>
          <w:u w:val="single" w:color="auto"/>
          <w:color w:val="0000FF"/>
        </w:rPr>
        <w:t xml:space="preserve"> </w:t>
      </w:r>
      <w:hyperlink r:id="rId211">
        <w:r>
          <w:rPr>
            <w:rFonts w:ascii="Times New Roman" w:cs="Times New Roman" w:eastAsia="Times New Roman" w:hAnsi="Times New Roman"/>
            <w:sz w:val="14"/>
            <w:szCs w:val="14"/>
            <w:u w:val="single" w:color="auto"/>
            <w:color w:val="0000FF"/>
          </w:rPr>
          <w:t>DiscoverOrg, LLC, DiscoverOrg Midco, LLC, the subordinated creditors and obligors party thereto</w:t>
        </w:r>
      </w:hyperlink>
      <w:r>
        <w:rPr>
          <w:rFonts w:ascii="Times New Roman" w:cs="Times New Roman" w:eastAsia="Times New Roman" w:hAnsi="Times New Roman"/>
          <w:sz w:val="14"/>
          <w:szCs w:val="14"/>
          <w:u w:val="single" w:color="auto"/>
          <w:color w:val="0000FF"/>
        </w:rPr>
        <w:t xml:space="preserve"> </w:t>
      </w:r>
      <w:hyperlink r:id="rId211">
        <w:r>
          <w:rPr>
            <w:rFonts w:ascii="Times New Roman" w:cs="Times New Roman" w:eastAsia="Times New Roman" w:hAnsi="Times New Roman"/>
            <w:sz w:val="14"/>
            <w:szCs w:val="14"/>
            <w:u w:val="single" w:color="auto"/>
            <w:color w:val="0000FF"/>
          </w:rPr>
          <w:t>from time to time and Morgan Stanley Senior Funding, Inc., as administrative agent and collateral</w:t>
        </w:r>
      </w:hyperlink>
      <w:r>
        <w:rPr>
          <w:rFonts w:ascii="Times New Roman" w:cs="Times New Roman" w:eastAsia="Times New Roman" w:hAnsi="Times New Roman"/>
          <w:sz w:val="14"/>
          <w:szCs w:val="14"/>
          <w:u w:val="single" w:color="auto"/>
          <w:color w:val="0000FF"/>
        </w:rPr>
        <w:t xml:space="preserve"> </w:t>
      </w:r>
      <w:hyperlink r:id="rId211">
        <w:r>
          <w:rPr>
            <w:rFonts w:ascii="Times New Roman" w:cs="Times New Roman" w:eastAsia="Times New Roman" w:hAnsi="Times New Roman"/>
            <w:sz w:val="14"/>
            <w:szCs w:val="14"/>
            <w:u w:val="single" w:color="auto"/>
            <w:color w:val="0000FF"/>
          </w:rPr>
          <w:t>agent</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r>
      <w:tr>
        <w:trPr>
          <w:trHeight w:val="31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r>
      <w:tr>
        <w:trPr>
          <w:trHeight w:val="31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r>
    </w:tbl>
    <w:p>
      <w:pPr>
        <w:spacing w:after="0" w:line="595" w:lineRule="exact"/>
        <w:rPr>
          <w:rFonts w:ascii="Times New Roman" w:cs="Times New Roman" w:eastAsia="Times New Roman" w:hAnsi="Times New Roman"/>
          <w:sz w:val="14"/>
          <w:szCs w:val="14"/>
          <w:u w:val="single" w:color="auto"/>
          <w:color w:val="0000FF"/>
        </w:rPr>
      </w:pPr>
    </w:p>
    <w:p>
      <w:pPr>
        <w:sectPr>
          <w:pgSz w:w="11900" w:h="16838" w:orient="portrait"/>
          <w:cols w:equalWidth="0" w:num="2">
            <w:col w:w="6720" w:space="120"/>
            <w:col w:w="4400"/>
          </w:cols>
          <w:pgMar w:left="320" w:top="118" w:right="339" w:bottom="1440" w:gutter="0" w:footer="0" w:header="0"/>
          <w:type w:val="continuous"/>
        </w:sectPr>
      </w:pPr>
    </w:p>
    <w:p>
      <w:pPr>
        <w:spacing w:after="0" w:line="59" w:lineRule="exact"/>
        <w:rPr>
          <w:rFonts w:ascii="Times New Roman" w:cs="Times New Roman" w:eastAsia="Times New Roman" w:hAnsi="Times New Roman"/>
          <w:sz w:val="14"/>
          <w:szCs w:val="14"/>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71348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9"/>
              </w:rPr>
            </w:pPr>
            <w:hyperlink w:anchor="page2">
              <w:r>
                <w:rPr>
                  <w:rFonts w:ascii="Times New Roman" w:cs="Times New Roman" w:eastAsia="Times New Roman" w:hAnsi="Times New Roman"/>
                  <w:sz w:val="14"/>
                  <w:szCs w:val="14"/>
                  <w:color w:val="0000FF"/>
                  <w:w w:val="99"/>
                </w:rPr>
                <w:t>Table of Contents</w:t>
              </w:r>
            </w:hyperlink>
          </w:p>
        </w:tc>
        <w:tc>
          <w:tcPr>
            <w:tcW w:w="5760" w:type="dxa"/>
            <w:vAlign w:val="bottom"/>
            <w:gridSpan w:val="17"/>
          </w:tcPr>
          <w:p>
            <w:pPr>
              <w:spacing w:after="0"/>
              <w:rPr>
                <w:sz w:val="13"/>
                <w:szCs w:val="13"/>
                <w:color w:val="auto"/>
              </w:rPr>
            </w:pPr>
          </w:p>
        </w:tc>
        <w:tc>
          <w:tcPr>
            <w:tcW w:w="1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7"/>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5780" w:type="dxa"/>
            <w:vAlign w:val="bottom"/>
            <w:gridSpan w:val="18"/>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Employment Agreement, dated as of May 27, 2020, between ZoomInfo Technologies Inc., ZoomInfo</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1420" w:type="dxa"/>
            <w:vAlign w:val="bottom"/>
            <w:tcBorders>
              <w:top w:val="single" w:sz="8" w:color="0000FF"/>
              <w:bottom w:val="single" w:sz="8" w:color="0000FF"/>
            </w:tcBorders>
            <w:gridSpan w:val="6"/>
          </w:tcPr>
          <w:p>
            <w:pPr>
              <w:spacing w:after="0" w:line="113" w:lineRule="exact"/>
              <w:rPr>
                <w:rFonts w:ascii="Times New Roman" w:cs="Times New Roman" w:eastAsia="Times New Roman" w:hAnsi="Times New Roman"/>
                <w:sz w:val="13"/>
                <w:szCs w:val="13"/>
                <w:color w:val="0000FF"/>
              </w:rPr>
            </w:pPr>
            <w:hyperlink r:id="rId205">
              <w:r>
                <w:rPr>
                  <w:rFonts w:ascii="Times New Roman" w:cs="Times New Roman" w:eastAsia="Times New Roman" w:hAnsi="Times New Roman"/>
                  <w:sz w:val="13"/>
                  <w:szCs w:val="13"/>
                  <w:color w:val="0000FF"/>
                </w:rPr>
                <w:t>OpCo and Henry Schuck</w:t>
              </w:r>
            </w:hyperlink>
          </w:p>
        </w:tc>
        <w:tc>
          <w:tcPr>
            <w:tcW w:w="4320" w:type="dxa"/>
            <w:vAlign w:val="bottom"/>
            <w:tcBorders>
              <w:top w:val="single" w:sz="8" w:color="0000FF"/>
            </w:tcBorders>
            <w:gridSpan w:val="11"/>
          </w:tcPr>
          <w:p>
            <w:pPr>
              <w:spacing w:after="0"/>
              <w:rPr>
                <w:sz w:val="9"/>
                <w:szCs w:val="9"/>
                <w:color w:val="auto"/>
              </w:rPr>
            </w:pPr>
          </w:p>
        </w:tc>
        <w:tc>
          <w:tcPr>
            <w:tcW w:w="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5780" w:type="dxa"/>
            <w:vAlign w:val="bottom"/>
            <w:gridSpan w:val="18"/>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Employment Agreement, dated December 21, 2018, by and between DiscoverOrg Data, LLC and</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5520" w:type="dxa"/>
            <w:vAlign w:val="bottom"/>
            <w:tcBorders>
              <w:top w:val="single" w:sz="8" w:color="0000FF"/>
            </w:tcBorders>
            <w:gridSpan w:val="12"/>
          </w:tcPr>
          <w:p>
            <w:pPr>
              <w:spacing w:after="0" w:line="113" w:lineRule="exact"/>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Peter Cameron Hyzer</w:t>
              </w:r>
            </w:hyperlink>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14">
              <w:r>
                <w:rPr>
                  <w:rFonts w:ascii="Times New Roman" w:cs="Times New Roman" w:eastAsia="Times New Roman" w:hAnsi="Times New Roman"/>
                  <w:sz w:val="14"/>
                  <w:szCs w:val="14"/>
                  <w:u w:val="single" w:color="auto"/>
                  <w:color w:val="0000FF"/>
                </w:rPr>
                <w:t>Form of HSKB Funds, LLC Subscription Agreement</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8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15">
              <w:r>
                <w:rPr>
                  <w:rFonts w:ascii="Times New Roman" w:cs="Times New Roman" w:eastAsia="Times New Roman" w:hAnsi="Times New Roman"/>
                  <w:sz w:val="14"/>
                  <w:szCs w:val="14"/>
                  <w:u w:val="single" w:color="auto"/>
                  <w:color w:val="0000FF"/>
                </w:rPr>
                <w:t>Form of Class P Incentive Unit Agreement</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16">
              <w:r>
                <w:rPr>
                  <w:rFonts w:ascii="Times New Roman" w:cs="Times New Roman" w:eastAsia="Times New Roman" w:hAnsi="Times New Roman"/>
                  <w:sz w:val="14"/>
                  <w:szCs w:val="14"/>
                  <w:u w:val="single" w:color="auto"/>
                  <w:color w:val="0000FF"/>
                </w:rPr>
                <w:t>Form of Standard Employee Stock Option Agreement under 2020 Omnibus Incentive Plan</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18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17">
              <w:r>
                <w:rPr>
                  <w:rFonts w:ascii="Times New Roman" w:cs="Times New Roman" w:eastAsia="Times New Roman" w:hAnsi="Times New Roman"/>
                  <w:sz w:val="14"/>
                  <w:szCs w:val="14"/>
                  <w:u w:val="single" w:color="auto"/>
                  <w:color w:val="0000FF"/>
                </w:rPr>
                <w:t>Form of Class P Unit Agreement for Henry Schuck under 2020 Omnibus Incentive Plan</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S-1/A filed May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8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18">
              <w:r>
                <w:rPr>
                  <w:rFonts w:ascii="Times New Roman" w:cs="Times New Roman" w:eastAsia="Times New Roman" w:hAnsi="Times New Roman"/>
                  <w:sz w:val="14"/>
                  <w:szCs w:val="14"/>
                  <w:u w:val="single" w:color="auto"/>
                  <w:color w:val="0000FF"/>
                </w:rPr>
                <w:t>Form of Leverage Restoration Stock Option Agreement under 2020 Omnibus Incentive Plan</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8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19">
              <w:r>
                <w:rPr>
                  <w:rFonts w:ascii="Times New Roman" w:cs="Times New Roman" w:eastAsia="Times New Roman" w:hAnsi="Times New Roman"/>
                  <w:sz w:val="14"/>
                  <w:szCs w:val="14"/>
                  <w:u w:val="single" w:color="auto"/>
                  <w:color w:val="0000FF"/>
                </w:rPr>
                <w:t>Form of Standard Employee Restricted Stock Unit Agreement under 2020 Omnibus Incentive Plan</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57"/>
        </w:trPr>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10.24†</w:t>
            </w:r>
          </w:p>
        </w:tc>
        <w:tc>
          <w:tcPr>
            <w:tcW w:w="5780" w:type="dxa"/>
            <w:vAlign w:val="bottom"/>
            <w:gridSpan w:val="18"/>
          </w:tcPr>
          <w:p>
            <w:pPr>
              <w:spacing w:after="0" w:line="157" w:lineRule="exact"/>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Form of Non-Employee Director Annual Restricted Stock Unit Agreement under 2020 Omnibus</w:t>
              </w:r>
            </w:hyperlink>
          </w:p>
        </w:tc>
        <w:tc>
          <w:tcPr>
            <w:tcW w:w="188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line="157" w:lineRule="exact"/>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840" w:type="dxa"/>
            <w:vAlign w:val="bottom"/>
            <w:tcBorders>
              <w:top w:val="single" w:sz="8" w:color="0000FF"/>
              <w:bottom w:val="single" w:sz="8" w:color="0000FF"/>
            </w:tcBorders>
            <w:gridSpan w:val="4"/>
          </w:tcPr>
          <w:p>
            <w:pPr>
              <w:spacing w:after="0" w:line="113" w:lineRule="exact"/>
              <w:rPr>
                <w:rFonts w:ascii="Times New Roman" w:cs="Times New Roman" w:eastAsia="Times New Roman" w:hAnsi="Times New Roman"/>
                <w:sz w:val="13"/>
                <w:szCs w:val="13"/>
                <w:color w:val="0000FF"/>
              </w:rPr>
            </w:pPr>
            <w:hyperlink r:id="rId220">
              <w:r>
                <w:rPr>
                  <w:rFonts w:ascii="Times New Roman" w:cs="Times New Roman" w:eastAsia="Times New Roman" w:hAnsi="Times New Roman"/>
                  <w:sz w:val="13"/>
                  <w:szCs w:val="13"/>
                  <w:color w:val="0000FF"/>
                </w:rPr>
                <w:t>Incentive Plan</w:t>
              </w:r>
            </w:hyperlink>
          </w:p>
        </w:tc>
        <w:tc>
          <w:tcPr>
            <w:tcW w:w="4620" w:type="dxa"/>
            <w:vAlign w:val="bottom"/>
            <w:tcBorders>
              <w:top w:val="single" w:sz="8" w:color="0000FF"/>
            </w:tcBorders>
            <w:gridSpan w:val="7"/>
          </w:tcPr>
          <w:p>
            <w:pPr>
              <w:spacing w:after="0"/>
              <w:rPr>
                <w:sz w:val="9"/>
                <w:szCs w:val="9"/>
                <w:color w:val="auto"/>
              </w:rPr>
            </w:pPr>
          </w:p>
        </w:tc>
        <w:tc>
          <w:tcPr>
            <w:tcW w:w="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5780" w:type="dxa"/>
            <w:vAlign w:val="bottom"/>
            <w:gridSpan w:val="18"/>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Form of Non-Employee Director Sign-On Restricted Stock Unit Agreement under 2020 Omnibus</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820" w:type="dxa"/>
            <w:vAlign w:val="bottom"/>
            <w:tcBorders>
              <w:top w:val="single" w:sz="8" w:color="0000FF"/>
              <w:bottom w:val="single" w:sz="8" w:color="0000FF"/>
            </w:tcBorders>
            <w:gridSpan w:val="3"/>
          </w:tcPr>
          <w:p>
            <w:pPr>
              <w:spacing w:after="0" w:line="113" w:lineRule="exact"/>
              <w:rPr>
                <w:rFonts w:ascii="Times New Roman" w:cs="Times New Roman" w:eastAsia="Times New Roman" w:hAnsi="Times New Roman"/>
                <w:sz w:val="13"/>
                <w:szCs w:val="13"/>
                <w:color w:val="0000FF"/>
              </w:rPr>
            </w:pPr>
            <w:hyperlink r:id="rId221">
              <w:r>
                <w:rPr>
                  <w:rFonts w:ascii="Times New Roman" w:cs="Times New Roman" w:eastAsia="Times New Roman" w:hAnsi="Times New Roman"/>
                  <w:sz w:val="13"/>
                  <w:szCs w:val="13"/>
                  <w:color w:val="0000FF"/>
                </w:rPr>
                <w:t>Incentive Plan</w:t>
              </w:r>
            </w:hyperlink>
          </w:p>
        </w:tc>
        <w:tc>
          <w:tcPr>
            <w:tcW w:w="4720" w:type="dxa"/>
            <w:vAlign w:val="bottom"/>
            <w:tcBorders>
              <w:top w:val="single" w:sz="8" w:color="0000FF"/>
            </w:tcBorders>
            <w:gridSpan w:val="10"/>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22">
              <w:r>
                <w:rPr>
                  <w:rFonts w:ascii="Times New Roman" w:cs="Times New Roman" w:eastAsia="Times New Roman" w:hAnsi="Times New Roman"/>
                  <w:sz w:val="14"/>
                  <w:szCs w:val="14"/>
                  <w:u w:val="single" w:color="auto"/>
                  <w:color w:val="0000FF"/>
                </w:rPr>
                <w:t>Form of Class P Unit Award Agreement under 2020 Omnibus Incentive Plan</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18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23">
              <w:r>
                <w:rPr>
                  <w:rFonts w:ascii="Times New Roman" w:cs="Times New Roman" w:eastAsia="Times New Roman" w:hAnsi="Times New Roman"/>
                  <w:sz w:val="14"/>
                  <w:szCs w:val="14"/>
                  <w:u w:val="single" w:color="auto"/>
                  <w:color w:val="0000FF"/>
                </w:rPr>
                <w:t>Form of LTIP Unit Award Agreement under 2020 Omnibus Incentive Plan</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57"/>
        </w:trPr>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10.28†</w:t>
            </w:r>
          </w:p>
        </w:tc>
        <w:tc>
          <w:tcPr>
            <w:tcW w:w="5780" w:type="dxa"/>
            <w:vAlign w:val="bottom"/>
            <w:gridSpan w:val="18"/>
          </w:tcPr>
          <w:p>
            <w:pPr>
              <w:spacing w:after="0" w:line="157"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Form of Restrictive Covenant Agreement Exhibit to Employee Equity Awards under 2020 Omnibus</w:t>
              </w:r>
            </w:hyperlink>
          </w:p>
        </w:tc>
        <w:tc>
          <w:tcPr>
            <w:tcW w:w="188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line="157" w:lineRule="exact"/>
              <w:rPr>
                <w:sz w:val="20"/>
                <w:szCs w:val="20"/>
                <w:color w:val="auto"/>
              </w:rPr>
            </w:pPr>
            <w:r>
              <w:rPr>
                <w:rFonts w:ascii="Times New Roman" w:cs="Times New Roman" w:eastAsia="Times New Roman" w:hAnsi="Times New Roman"/>
                <w:sz w:val="14"/>
                <w:szCs w:val="14"/>
                <w:color w:val="auto"/>
              </w:rPr>
              <w:t>333-236674</w:t>
            </w:r>
          </w:p>
        </w:tc>
        <w:tc>
          <w:tcPr>
            <w:tcW w:w="780" w:type="dxa"/>
            <w:vAlign w:val="bottom"/>
          </w:tcPr>
          <w:p>
            <w:pPr>
              <w:jc w:val="center"/>
              <w:ind w:left="389"/>
              <w:spacing w:after="0" w:line="157" w:lineRule="exact"/>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840" w:type="dxa"/>
            <w:vAlign w:val="bottom"/>
            <w:tcBorders>
              <w:top w:val="single" w:sz="8" w:color="0000FF"/>
              <w:bottom w:val="single" w:sz="8" w:color="0000FF"/>
            </w:tcBorders>
            <w:gridSpan w:val="4"/>
          </w:tcPr>
          <w:p>
            <w:pPr>
              <w:spacing w:after="0" w:line="113" w:lineRule="exact"/>
              <w:rPr>
                <w:rFonts w:ascii="Times New Roman" w:cs="Times New Roman" w:eastAsia="Times New Roman" w:hAnsi="Times New Roman"/>
                <w:sz w:val="13"/>
                <w:szCs w:val="13"/>
                <w:color w:val="0000FF"/>
              </w:rPr>
            </w:pPr>
            <w:hyperlink r:id="rId224">
              <w:r>
                <w:rPr>
                  <w:rFonts w:ascii="Times New Roman" w:cs="Times New Roman" w:eastAsia="Times New Roman" w:hAnsi="Times New Roman"/>
                  <w:sz w:val="13"/>
                  <w:szCs w:val="13"/>
                  <w:color w:val="0000FF"/>
                </w:rPr>
                <w:t>Incentive Plan</w:t>
              </w:r>
            </w:hyperlink>
          </w:p>
        </w:tc>
        <w:tc>
          <w:tcPr>
            <w:tcW w:w="4820" w:type="dxa"/>
            <w:vAlign w:val="bottom"/>
            <w:tcBorders>
              <w:top w:val="single" w:sz="8" w:color="0000FF"/>
            </w:tcBorders>
            <w:gridSpan w:val="11"/>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5780" w:type="dxa"/>
            <w:vAlign w:val="bottom"/>
            <w:gridSpan w:val="18"/>
          </w:tcPr>
          <w:p>
            <w:pPr>
              <w:spacing w:after="0"/>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Employment Agreement, dated as of August 10, 2020, between ZoomInfo Technologies Inc.,</w:t>
              </w:r>
            </w:hyperlink>
          </w:p>
        </w:tc>
        <w:tc>
          <w:tcPr>
            <w:tcW w:w="18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10-Q filed August 11,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3360" w:type="dxa"/>
            <w:vAlign w:val="bottom"/>
            <w:tcBorders>
              <w:top w:val="single" w:sz="8" w:color="0000FF"/>
              <w:bottom w:val="single" w:sz="8" w:color="0000FF"/>
            </w:tcBorders>
            <w:gridSpan w:val="7"/>
          </w:tcPr>
          <w:p>
            <w:pPr>
              <w:spacing w:after="0" w:line="113" w:lineRule="exact"/>
              <w:rPr>
                <w:rFonts w:ascii="Times New Roman" w:cs="Times New Roman" w:eastAsia="Times New Roman" w:hAnsi="Times New Roman"/>
                <w:sz w:val="13"/>
                <w:szCs w:val="13"/>
                <w:color w:val="0000FF"/>
              </w:rPr>
            </w:pPr>
            <w:hyperlink r:id="rId225">
              <w:r>
                <w:rPr>
                  <w:rFonts w:ascii="Times New Roman" w:cs="Times New Roman" w:eastAsia="Times New Roman" w:hAnsi="Times New Roman"/>
                  <w:sz w:val="13"/>
                  <w:szCs w:val="13"/>
                  <w:color w:val="0000FF"/>
                </w:rPr>
                <w:t>ZoomInfo Technologies LLC and Joseph Christopher Hays</w:t>
              </w:r>
            </w:hyperlink>
          </w:p>
        </w:tc>
        <w:tc>
          <w:tcPr>
            <w:tcW w:w="1920" w:type="dxa"/>
            <w:vAlign w:val="bottom"/>
            <w:tcBorders>
              <w:top w:val="single" w:sz="8" w:color="0000FF"/>
            </w:tcBorders>
            <w:gridSpan w:val="2"/>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5780" w:type="dxa"/>
            <w:vAlign w:val="bottom"/>
            <w:gridSpan w:val="18"/>
          </w:tcPr>
          <w:p>
            <w:pPr>
              <w:spacing w:after="0"/>
              <w:rPr>
                <w:rFonts w:ascii="Times New Roman" w:cs="Times New Roman" w:eastAsia="Times New Roman" w:hAnsi="Times New Roman"/>
                <w:sz w:val="14"/>
                <w:szCs w:val="14"/>
                <w:color w:val="0000FF"/>
              </w:rPr>
            </w:pPr>
            <w:hyperlink w:anchor="page164">
              <w:r>
                <w:rPr>
                  <w:rFonts w:ascii="Times New Roman" w:cs="Times New Roman" w:eastAsia="Times New Roman" w:hAnsi="Times New Roman"/>
                  <w:sz w:val="14"/>
                  <w:szCs w:val="14"/>
                  <w:color w:val="0000FF"/>
                </w:rPr>
                <w:t>Offer Letter Agreement, dated as of February 1, 2019, between DiscoverOrg Data, LLC and Nir</w:t>
              </w:r>
            </w:hyperlink>
          </w:p>
        </w:tc>
        <w:tc>
          <w:tcPr>
            <w:tcW w:w="1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440" w:type="dxa"/>
            <w:vAlign w:val="bottom"/>
            <w:tcBorders>
              <w:top w:val="single" w:sz="8" w:color="0000FF"/>
            </w:tcBorders>
            <w:gridSpan w:val="10"/>
          </w:tcPr>
          <w:p>
            <w:pPr>
              <w:spacing w:after="0" w:line="126" w:lineRule="exact"/>
              <w:rPr>
                <w:rFonts w:ascii="Times New Roman" w:cs="Times New Roman" w:eastAsia="Times New Roman" w:hAnsi="Times New Roman"/>
                <w:sz w:val="14"/>
                <w:szCs w:val="14"/>
                <w:color w:val="0000FF"/>
              </w:rPr>
            </w:pPr>
            <w:hyperlink w:anchor="page164">
              <w:r>
                <w:rPr>
                  <w:rFonts w:ascii="Times New Roman" w:cs="Times New Roman" w:eastAsia="Times New Roman" w:hAnsi="Times New Roman"/>
                  <w:sz w:val="14"/>
                  <w:szCs w:val="14"/>
                  <w:color w:val="0000FF"/>
                </w:rPr>
                <w:t>Keren</w:t>
              </w:r>
            </w:hyperlink>
          </w:p>
        </w:tc>
        <w:tc>
          <w:tcPr>
            <w:tcW w:w="180" w:type="dxa"/>
            <w:vAlign w:val="bottom"/>
            <w:gridSpan w:val="4"/>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1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340" w:type="dxa"/>
            <w:vAlign w:val="bottom"/>
            <w:gridSpan w:val="2"/>
            <w:shd w:val="clear" w:color="auto" w:fill="0000FF"/>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8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780" w:type="dxa"/>
            <w:vAlign w:val="bottom"/>
            <w:vMerge w:val="restart"/>
          </w:tcPr>
          <w:p>
            <w:pPr>
              <w:jc w:val="center"/>
              <w:ind w:left="369"/>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line="20" w:lineRule="exact"/>
              <w:rPr>
                <w:sz w:val="1"/>
                <w:szCs w:val="1"/>
                <w:color w:val="auto"/>
              </w:rPr>
            </w:pPr>
          </w:p>
        </w:tc>
      </w:tr>
      <w:tr>
        <w:trPr>
          <w:trHeight w:val="179"/>
        </w:trPr>
        <w:tc>
          <w:tcPr>
            <w:tcW w:w="1000" w:type="dxa"/>
            <w:vAlign w:val="bottom"/>
            <w:vMerge w:val="continue"/>
          </w:tcPr>
          <w:p>
            <w:pPr>
              <w:spacing w:after="0"/>
              <w:rPr>
                <w:sz w:val="15"/>
                <w:szCs w:val="15"/>
                <w:color w:val="auto"/>
              </w:rPr>
            </w:pPr>
          </w:p>
        </w:tc>
        <w:tc>
          <w:tcPr>
            <w:tcW w:w="5780" w:type="dxa"/>
            <w:vAlign w:val="bottom"/>
            <w:gridSpan w:val="18"/>
          </w:tcPr>
          <w:p>
            <w:pPr>
              <w:spacing w:after="0"/>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Amendment No. 2 to First Lien Credit Agreement, dated February 2, 2021, by and among ZoomInfo,</w:t>
              </w:r>
            </w:hyperlink>
          </w:p>
        </w:tc>
        <w:tc>
          <w:tcPr>
            <w:tcW w:w="18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72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LLC (f/k/a DiscoverOrg, LLC), ZoomInfo Technologies LLC, ZoomInfo Midco LLC (f/k/a</w:t>
              </w:r>
            </w:hyperlink>
          </w:p>
        </w:tc>
        <w:tc>
          <w:tcPr>
            <w:tcW w:w="60" w:type="dxa"/>
            <w:vAlign w:val="bottom"/>
            <w:gridSpan w:val="2"/>
          </w:tcPr>
          <w:p>
            <w:pPr>
              <w:spacing w:after="0"/>
              <w:rPr>
                <w:sz w:val="10"/>
                <w:szCs w:val="10"/>
                <w:color w:val="auto"/>
              </w:rPr>
            </w:pPr>
          </w:p>
        </w:tc>
        <w:tc>
          <w:tcPr>
            <w:tcW w:w="1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5180" w:type="dxa"/>
            <w:vAlign w:val="bottom"/>
            <w:tcBorders>
              <w:top w:val="single" w:sz="8" w:color="0000FF"/>
            </w:tcBorders>
            <w:gridSpan w:val="8"/>
          </w:tcPr>
          <w:p>
            <w:pPr>
              <w:spacing w:after="0" w:line="126"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DiscoverOrg Midco, LLC), Morgan Stanley Bank, N.A., as the new term loan lender, the</w:t>
              </w:r>
            </w:hyperlink>
          </w:p>
        </w:tc>
        <w:tc>
          <w:tcPr>
            <w:tcW w:w="600" w:type="dxa"/>
            <w:vAlign w:val="bottom"/>
            <w:gridSpan w:val="10"/>
          </w:tcPr>
          <w:p>
            <w:pPr>
              <w:spacing w:after="0" w:line="126"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revolving</w:t>
              </w:r>
            </w:hyperlink>
          </w:p>
        </w:tc>
        <w:tc>
          <w:tcPr>
            <w:tcW w:w="1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000" w:type="dxa"/>
            <w:vAlign w:val="bottom"/>
          </w:tcPr>
          <w:p>
            <w:pPr>
              <w:spacing w:after="0"/>
              <w:rPr>
                <w:sz w:val="10"/>
                <w:szCs w:val="10"/>
                <w:color w:val="auto"/>
              </w:rPr>
            </w:pPr>
          </w:p>
        </w:tc>
        <w:tc>
          <w:tcPr>
            <w:tcW w:w="5620" w:type="dxa"/>
            <w:vAlign w:val="bottom"/>
            <w:tcBorders>
              <w:top w:val="single" w:sz="8" w:color="0000FF"/>
            </w:tcBorders>
            <w:gridSpan w:val="14"/>
          </w:tcPr>
          <w:p>
            <w:pPr>
              <w:spacing w:after="0" w:line="116" w:lineRule="exact"/>
              <w:rPr>
                <w:rFonts w:ascii="Times New Roman" w:cs="Times New Roman" w:eastAsia="Times New Roman" w:hAnsi="Times New Roman"/>
                <w:sz w:val="13"/>
                <w:szCs w:val="13"/>
                <w:u w:val="single" w:color="auto"/>
                <w:color w:val="0000FF"/>
              </w:rPr>
            </w:pPr>
            <w:hyperlink r:id="rId226">
              <w:r>
                <w:rPr>
                  <w:rFonts w:ascii="Times New Roman" w:cs="Times New Roman" w:eastAsia="Times New Roman" w:hAnsi="Times New Roman"/>
                  <w:sz w:val="13"/>
                  <w:szCs w:val="13"/>
                  <w:u w:val="single" w:color="auto"/>
                  <w:color w:val="0000FF"/>
                </w:rPr>
                <w:t>credit lenders party thereto, and Morgan Stanley Senior Funding, Inc., as administrative agent,</w:t>
              </w:r>
            </w:hyperlink>
          </w:p>
        </w:tc>
        <w:tc>
          <w:tcPr>
            <w:tcW w:w="160" w:type="dxa"/>
            <w:vAlign w:val="bottom"/>
            <w:gridSpan w:val="4"/>
          </w:tcPr>
          <w:p>
            <w:pPr>
              <w:spacing w:after="0"/>
              <w:rPr>
                <w:sz w:val="10"/>
                <w:szCs w:val="10"/>
                <w:color w:val="auto"/>
              </w:rPr>
            </w:pPr>
          </w:p>
        </w:tc>
        <w:tc>
          <w:tcPr>
            <w:tcW w:w="1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5"/>
                <w:szCs w:val="15"/>
                <w:color w:val="auto"/>
              </w:rPr>
            </w:pPr>
          </w:p>
        </w:tc>
        <w:tc>
          <w:tcPr>
            <w:tcW w:w="5780" w:type="dxa"/>
            <w:vAlign w:val="bottom"/>
            <w:gridSpan w:val="18"/>
          </w:tcPr>
          <w:p>
            <w:pPr>
              <w:spacing w:after="0"/>
              <w:rPr>
                <w:rFonts w:ascii="Times New Roman" w:cs="Times New Roman" w:eastAsia="Times New Roman" w:hAnsi="Times New Roman"/>
                <w:sz w:val="14"/>
                <w:szCs w:val="14"/>
                <w:u w:val="single" w:color="auto"/>
                <w:color w:val="0000FF"/>
              </w:rPr>
            </w:pPr>
            <w:hyperlink r:id="rId226">
              <w:r>
                <w:rPr>
                  <w:rFonts w:ascii="Times New Roman" w:cs="Times New Roman" w:eastAsia="Times New Roman" w:hAnsi="Times New Roman"/>
                  <w:sz w:val="14"/>
                  <w:szCs w:val="14"/>
                  <w:u w:val="single" w:color="auto"/>
                  <w:color w:val="0000FF"/>
                </w:rPr>
                <w:t>collateral agent and L/C issuer</w:t>
              </w:r>
            </w:hyperlink>
          </w:p>
        </w:tc>
        <w:tc>
          <w:tcPr>
            <w:tcW w:w="1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11" w:right="339" w:bottom="1440" w:gutter="0" w:footer="0" w:header="0"/>
        </w:sectPr>
      </w:pPr>
    </w:p>
    <w:p>
      <w:pPr>
        <w:ind w:left="340"/>
        <w:spacing w:after="0"/>
        <w:rPr>
          <w:sz w:val="20"/>
          <w:szCs w:val="20"/>
          <w:color w:val="auto"/>
        </w:rPr>
      </w:pPr>
      <w:r>
        <w:rPr>
          <w:rFonts w:ascii="Times New Roman" w:cs="Times New Roman" w:eastAsia="Times New Roman" w:hAnsi="Times New Roman"/>
          <w:sz w:val="13"/>
          <w:szCs w:val="13"/>
          <w:color w:val="auto"/>
        </w:rPr>
        <w:t>+21.1</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+23.1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4"/>
          <w:szCs w:val="14"/>
          <w:u w:val="single" w:color="auto"/>
          <w:color w:val="0000FF"/>
        </w:rPr>
      </w:pPr>
      <w:hyperlink w:anchor="page166">
        <w:r>
          <w:rPr>
            <w:rFonts w:ascii="Times New Roman" w:cs="Times New Roman" w:eastAsia="Times New Roman" w:hAnsi="Times New Roman"/>
            <w:sz w:val="14"/>
            <w:szCs w:val="14"/>
            <w:u w:val="single" w:color="auto"/>
            <w:color w:val="0000FF"/>
          </w:rPr>
          <w:t>Subsidiaries of ZoomInfo Technologies Inc.</w:t>
        </w:r>
      </w:hyperlink>
    </w:p>
    <w:p>
      <w:pPr>
        <w:spacing w:after="0" w:line="38" w:lineRule="exact"/>
        <w:rPr>
          <w:sz w:val="20"/>
          <w:szCs w:val="20"/>
          <w:color w:val="auto"/>
        </w:rPr>
      </w:pPr>
    </w:p>
    <w:p>
      <w:pPr>
        <w:ind w:right="4680"/>
        <w:spacing w:after="0" w:line="236" w:lineRule="auto"/>
        <w:rPr>
          <w:rFonts w:ascii="Times New Roman" w:cs="Times New Roman" w:eastAsia="Times New Roman" w:hAnsi="Times New Roman"/>
          <w:sz w:val="14"/>
          <w:szCs w:val="14"/>
          <w:u w:val="single" w:color="auto"/>
          <w:color w:val="0000FF"/>
        </w:rPr>
      </w:pPr>
      <w:hyperlink w:anchor="page167">
        <w:r>
          <w:rPr>
            <w:rFonts w:ascii="Times New Roman" w:cs="Times New Roman" w:eastAsia="Times New Roman" w:hAnsi="Times New Roman"/>
            <w:sz w:val="14"/>
            <w:szCs w:val="14"/>
            <w:u w:val="single" w:color="auto"/>
            <w:color w:val="0000FF"/>
          </w:rPr>
          <w:t>Consent of KPMG LLP, Independent Registered Public Accounting Firm, with respect to the</w:t>
        </w:r>
      </w:hyperlink>
      <w:r>
        <w:rPr>
          <w:rFonts w:ascii="Times New Roman" w:cs="Times New Roman" w:eastAsia="Times New Roman" w:hAnsi="Times New Roman"/>
          <w:sz w:val="14"/>
          <w:szCs w:val="14"/>
          <w:u w:val="single" w:color="auto"/>
          <w:color w:val="0000FF"/>
        </w:rPr>
        <w:t xml:space="preserve"> </w:t>
      </w:r>
      <w:hyperlink w:anchor="page167">
        <w:r>
          <w:rPr>
            <w:rFonts w:ascii="Times New Roman" w:cs="Times New Roman" w:eastAsia="Times New Roman" w:hAnsi="Times New Roman"/>
            <w:sz w:val="14"/>
            <w:szCs w:val="14"/>
            <w:u w:val="single" w:color="auto"/>
            <w:color w:val="0000FF"/>
          </w:rPr>
          <w:t>incorporation by reference of KPMG LLP’s audit report into Registration Statements of ZoomInfo</w:t>
        </w:r>
      </w:hyperlink>
      <w:r>
        <w:rPr>
          <w:rFonts w:ascii="Times New Roman" w:cs="Times New Roman" w:eastAsia="Times New Roman" w:hAnsi="Times New Roman"/>
          <w:sz w:val="14"/>
          <w:szCs w:val="14"/>
          <w:u w:val="single" w:color="auto"/>
          <w:color w:val="0000FF"/>
        </w:rPr>
        <w:t xml:space="preserve"> </w:t>
      </w:r>
      <w:hyperlink w:anchor="page167">
        <w:r>
          <w:rPr>
            <w:rFonts w:ascii="Times New Roman" w:cs="Times New Roman" w:eastAsia="Times New Roman" w:hAnsi="Times New Roman"/>
            <w:sz w:val="14"/>
            <w:szCs w:val="14"/>
            <w:u w:val="single" w:color="auto"/>
            <w:color w:val="0000FF"/>
          </w:rPr>
          <w:t>Technologies Inc. on Form S-8 and Form S-1</w:t>
        </w:r>
      </w:hyperlink>
    </w:p>
    <w:p>
      <w:pPr>
        <w:spacing w:after="0" w:line="2" w:lineRule="exact"/>
        <w:rPr>
          <w:rFonts w:ascii="Times New Roman" w:cs="Times New Roman" w:eastAsia="Times New Roman" w:hAnsi="Times New Roman"/>
          <w:sz w:val="14"/>
          <w:szCs w:val="14"/>
          <w:u w:val="single" w:color="auto"/>
          <w:color w:val="0000FF"/>
        </w:rPr>
      </w:pPr>
    </w:p>
    <w:p>
      <w:pPr>
        <w:sectPr>
          <w:pgSz w:w="11900" w:h="16838" w:orient="portrait"/>
          <w:cols w:equalWidth="0" w:num="2">
            <w:col w:w="660" w:space="340"/>
            <w:col w:w="10240"/>
          </w:cols>
          <w:pgMar w:left="320" w:top="111" w:right="339" w:bottom="1440" w:gutter="0" w:footer="0" w:header="0"/>
          <w:type w:val="continuous"/>
        </w:sectPr>
      </w:pPr>
    </w:p>
    <w:tbl>
      <w:tblPr>
        <w:tblLayout w:type="fixed"/>
        <w:tblInd w:w="200" w:type="dxa"/>
        <w:tblCellMar>
          <w:top w:w="0" w:type="dxa"/>
          <w:left w:w="0" w:type="dxa"/>
          <w:bottom w:w="0" w:type="dxa"/>
          <w:right w:w="0" w:type="dxa"/>
        </w:tblCellMar>
      </w:tblPr>
      <w:tr>
        <w:trPr>
          <w:trHeight w:val="197"/>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+24.1</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Power of Attorney (included in the signature page of this report)</w:t>
            </w:r>
          </w:p>
        </w:tc>
      </w:tr>
      <w:tr>
        <w:trPr>
          <w:trHeight w:val="170"/>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+31.1</w:t>
            </w:r>
          </w:p>
        </w:tc>
        <w:tc>
          <w:tcPr>
            <w:tcW w:w="576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w:anchor="page168">
              <w:r>
                <w:rPr>
                  <w:rFonts w:ascii="Times New Roman" w:cs="Times New Roman" w:eastAsia="Times New Roman" w:hAnsi="Times New Roman"/>
                  <w:sz w:val="14"/>
                  <w:szCs w:val="14"/>
                  <w:color w:val="0000FF"/>
                </w:rPr>
                <w:t>Certification of Principal Executive Officer pursuant to Exchange Act Rules 13a-14(a) and 15d-14(a),</w:t>
              </w:r>
            </w:hyperlink>
          </w:p>
        </w:tc>
      </w:tr>
      <w:tr>
        <w:trPr>
          <w:trHeight w:val="126"/>
        </w:trPr>
        <w:tc>
          <w:tcPr>
            <w:tcW w:w="800" w:type="dxa"/>
            <w:vAlign w:val="bottom"/>
          </w:tcPr>
          <w:p>
            <w:pPr>
              <w:spacing w:after="0"/>
              <w:rPr>
                <w:sz w:val="10"/>
                <w:szCs w:val="10"/>
                <w:color w:val="auto"/>
              </w:rPr>
            </w:pPr>
          </w:p>
        </w:tc>
        <w:tc>
          <w:tcPr>
            <w:tcW w:w="4020" w:type="dxa"/>
            <w:vAlign w:val="bottom"/>
            <w:tcBorders>
              <w:bottom w:val="single" w:sz="8" w:color="0000FF"/>
            </w:tcBorders>
          </w:tcPr>
          <w:p>
            <w:pPr>
              <w:spacing w:after="0" w:line="126" w:lineRule="exact"/>
              <w:rPr>
                <w:rFonts w:ascii="Times New Roman" w:cs="Times New Roman" w:eastAsia="Times New Roman" w:hAnsi="Times New Roman"/>
                <w:sz w:val="14"/>
                <w:szCs w:val="14"/>
                <w:color w:val="0000FF"/>
              </w:rPr>
            </w:pPr>
            <w:hyperlink w:anchor="page168">
              <w:r>
                <w:rPr>
                  <w:rFonts w:ascii="Times New Roman" w:cs="Times New Roman" w:eastAsia="Times New Roman" w:hAnsi="Times New Roman"/>
                  <w:sz w:val="14"/>
                  <w:szCs w:val="14"/>
                  <w:color w:val="0000FF"/>
                </w:rPr>
                <w:t>as adopted pursuant to Section 302 of the Sarbanes-Oxley Act of 2002.</w:t>
              </w:r>
            </w:hyperlink>
          </w:p>
        </w:tc>
        <w:tc>
          <w:tcPr>
            <w:tcW w:w="1740" w:type="dxa"/>
            <w:vAlign w:val="bottom"/>
            <w:gridSpan w:val="3"/>
          </w:tcPr>
          <w:p>
            <w:pPr>
              <w:spacing w:after="0"/>
              <w:rPr>
                <w:sz w:val="10"/>
                <w:szCs w:val="10"/>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+31.2</w:t>
            </w:r>
          </w:p>
        </w:tc>
        <w:tc>
          <w:tcPr>
            <w:tcW w:w="5760" w:type="dxa"/>
            <w:vAlign w:val="bottom"/>
            <w:gridSpan w:val="4"/>
          </w:tcPr>
          <w:p>
            <w:pPr>
              <w:spacing w:after="0"/>
              <w:rPr>
                <w:rFonts w:ascii="Times New Roman" w:cs="Times New Roman" w:eastAsia="Times New Roman" w:hAnsi="Times New Roman"/>
                <w:sz w:val="14"/>
                <w:szCs w:val="14"/>
                <w:color w:val="0000FF"/>
              </w:rPr>
            </w:pPr>
            <w:hyperlink w:anchor="page170">
              <w:r>
                <w:rPr>
                  <w:rFonts w:ascii="Times New Roman" w:cs="Times New Roman" w:eastAsia="Times New Roman" w:hAnsi="Times New Roman"/>
                  <w:sz w:val="14"/>
                  <w:szCs w:val="14"/>
                  <w:color w:val="0000FF"/>
                </w:rPr>
                <w:t>Certification of Principal Financial Officer pursuant to Exchange Act Rules 13a-14(a) and 15d-14(a),</w:t>
              </w:r>
            </w:hyperlink>
          </w:p>
        </w:tc>
      </w:tr>
      <w:tr>
        <w:trPr>
          <w:trHeight w:val="126"/>
        </w:trPr>
        <w:tc>
          <w:tcPr>
            <w:tcW w:w="800" w:type="dxa"/>
            <w:vAlign w:val="bottom"/>
          </w:tcPr>
          <w:p>
            <w:pPr>
              <w:spacing w:after="0"/>
              <w:rPr>
                <w:sz w:val="10"/>
                <w:szCs w:val="10"/>
                <w:color w:val="auto"/>
              </w:rPr>
            </w:pPr>
          </w:p>
        </w:tc>
        <w:tc>
          <w:tcPr>
            <w:tcW w:w="4020" w:type="dxa"/>
            <w:vAlign w:val="bottom"/>
            <w:tcBorders>
              <w:top w:val="single" w:sz="8" w:color="0000FF"/>
              <w:bottom w:val="single" w:sz="8" w:color="0000FF"/>
            </w:tcBorders>
          </w:tcPr>
          <w:p>
            <w:pPr>
              <w:spacing w:after="0" w:line="126" w:lineRule="exact"/>
              <w:rPr>
                <w:rFonts w:ascii="Times New Roman" w:cs="Times New Roman" w:eastAsia="Times New Roman" w:hAnsi="Times New Roman"/>
                <w:sz w:val="14"/>
                <w:szCs w:val="14"/>
                <w:color w:val="0000FF"/>
              </w:rPr>
            </w:pPr>
            <w:hyperlink w:anchor="page170">
              <w:r>
                <w:rPr>
                  <w:rFonts w:ascii="Times New Roman" w:cs="Times New Roman" w:eastAsia="Times New Roman" w:hAnsi="Times New Roman"/>
                  <w:sz w:val="14"/>
                  <w:szCs w:val="14"/>
                  <w:color w:val="0000FF"/>
                </w:rPr>
                <w:t>as adopted pursuant to Section 302 of the Sarbanes-Oxley Act of 2002.</w:t>
              </w:r>
            </w:hyperlink>
          </w:p>
        </w:tc>
        <w:tc>
          <w:tcPr>
            <w:tcW w:w="1700" w:type="dxa"/>
            <w:vAlign w:val="bottom"/>
            <w:tcBorders>
              <w:top w:val="single" w:sz="8" w:color="0000FF"/>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179"/>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+32.1*</w:t>
            </w:r>
          </w:p>
        </w:tc>
        <w:tc>
          <w:tcPr>
            <w:tcW w:w="5760" w:type="dxa"/>
            <w:vAlign w:val="bottom"/>
            <w:gridSpan w:val="4"/>
          </w:tcPr>
          <w:p>
            <w:pPr>
              <w:spacing w:after="0"/>
              <w:rPr>
                <w:rFonts w:ascii="Times New Roman" w:cs="Times New Roman" w:eastAsia="Times New Roman" w:hAnsi="Times New Roman"/>
                <w:sz w:val="14"/>
                <w:szCs w:val="14"/>
                <w:color w:val="0000FF"/>
              </w:rPr>
            </w:pPr>
            <w:hyperlink w:anchor="page172">
              <w:r>
                <w:rPr>
                  <w:rFonts w:ascii="Times New Roman" w:cs="Times New Roman" w:eastAsia="Times New Roman" w:hAnsi="Times New Roman"/>
                  <w:sz w:val="14"/>
                  <w:szCs w:val="14"/>
                  <w:color w:val="0000FF"/>
                </w:rPr>
                <w:t>Certifications of Principal Executive Officer and Principal Financial Officer pursuant to 18 U.S.C.</w:t>
              </w:r>
            </w:hyperlink>
          </w:p>
        </w:tc>
      </w:tr>
      <w:tr>
        <w:trPr>
          <w:trHeight w:val="156"/>
        </w:trPr>
        <w:tc>
          <w:tcPr>
            <w:tcW w:w="800" w:type="dxa"/>
            <w:vAlign w:val="bottom"/>
          </w:tcPr>
          <w:p>
            <w:pPr>
              <w:spacing w:after="0"/>
              <w:rPr>
                <w:sz w:val="13"/>
                <w:szCs w:val="13"/>
                <w:color w:val="auto"/>
              </w:rPr>
            </w:pPr>
          </w:p>
        </w:tc>
        <w:tc>
          <w:tcPr>
            <w:tcW w:w="5560" w:type="dxa"/>
            <w:vAlign w:val="bottom"/>
            <w:tcBorders>
              <w:top w:val="single" w:sz="8" w:color="0000FF"/>
            </w:tcBorders>
            <w:gridSpan w:val="2"/>
          </w:tcPr>
          <w:p>
            <w:pPr>
              <w:spacing w:after="0" w:line="156" w:lineRule="exact"/>
              <w:rPr>
                <w:rFonts w:ascii="Times New Roman" w:cs="Times New Roman" w:eastAsia="Times New Roman" w:hAnsi="Times New Roman"/>
                <w:sz w:val="14"/>
                <w:szCs w:val="14"/>
                <w:u w:val="single" w:color="auto"/>
                <w:color w:val="0000FF"/>
              </w:rPr>
            </w:pPr>
            <w:hyperlink w:anchor="page172">
              <w:r>
                <w:rPr>
                  <w:rFonts w:ascii="Times New Roman" w:cs="Times New Roman" w:eastAsia="Times New Roman" w:hAnsi="Times New Roman"/>
                  <w:sz w:val="14"/>
                  <w:szCs w:val="14"/>
                  <w:u w:val="single" w:color="auto"/>
                  <w:color w:val="0000FF"/>
                </w:rPr>
                <w:t>Section 1350, as adopted pursuant to Section 906 of the Sarbanes-Oxley Act of 2002.</w:t>
              </w:r>
            </w:hyperlink>
          </w:p>
        </w:tc>
        <w:tc>
          <w:tcPr>
            <w:tcW w:w="200" w:type="dxa"/>
            <w:vAlign w:val="bottom"/>
            <w:gridSpan w:val="2"/>
          </w:tcPr>
          <w:p>
            <w:pPr>
              <w:spacing w:after="0"/>
              <w:rPr>
                <w:sz w:val="13"/>
                <w:szCs w:val="13"/>
                <w:color w:val="auto"/>
              </w:rPr>
            </w:pPr>
          </w:p>
        </w:tc>
      </w:tr>
      <w:tr>
        <w:trPr>
          <w:trHeight w:val="184"/>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+101.INS</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185"/>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+101.SCH</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86"/>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+101.CAL</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185"/>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+101.DEF</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185"/>
        </w:trPr>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+101.LAB</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185"/>
        </w:trPr>
        <w:tc>
          <w:tcPr>
            <w:tcW w:w="80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+101.PRE</w:t>
            </w: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157" w:lineRule="exact"/>
        <w:rPr>
          <w:sz w:val="20"/>
          <w:szCs w:val="20"/>
          <w:color w:val="auto"/>
        </w:rPr>
      </w:pPr>
    </w:p>
    <w:p>
      <w:pPr>
        <w:jc w:val="both"/>
        <w:ind w:firstLine="6"/>
        <w:spacing w:after="0" w:line="254" w:lineRule="auto"/>
        <w:tabs>
          <w:tab w:leader="none" w:pos="10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53" w:name="page154"/>
    <w:bookmarkEnd w:id="15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54" w:name="page155"/>
    <w:bookmarkEnd w:id="15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February, 2021.</w:t>
      </w:r>
    </w:p>
    <w:p>
      <w:pPr>
        <w:spacing w:after="0" w:line="7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30" w:lineRule="exact"/>
        <w:rPr>
          <w:sz w:val="20"/>
          <w:szCs w:val="20"/>
          <w:color w:val="auto"/>
        </w:rPr>
      </w:pPr>
    </w:p>
    <w:p>
      <w:pPr>
        <w:ind w:left="692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wp:posOffset>
            </wp:positionV>
            <wp:extent cx="24314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Name: Henry Schuck</w:t>
      </w:r>
    </w:p>
    <w:p>
      <w:pPr>
        <w:ind w:left="7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Henry Schuck, Cameron Hyzer, Anthony Stark, and Christopher Arntzen and each of them, any of whom may act without joinder of the other, the individual’s true and lawful attorneys-in-fact and agents, with full power of substitution and resubstitution, for the person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3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and Power of Attorney have been signed below by the following persons on behalf of the registrant and in the capacities indicated on the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February, 2021.</w:t>
      </w:r>
    </w:p>
    <w:p>
      <w:pPr>
        <w:sectPr>
          <w:pgSz w:w="11900" w:h="16838" w:orient="portrait"/>
          <w:cols w:equalWidth="0" w:num="1">
            <w:col w:w="11240"/>
          </w:cols>
          <w:pgMar w:left="320" w:top="118" w:right="339" w:bottom="1440" w:gutter="0" w:footer="0" w:header="0"/>
        </w:sectPr>
      </w:pPr>
    </w:p>
    <w:p>
      <w:pPr>
        <w:spacing w:after="0" w:line="6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30454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6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Todd Crockett</w:t>
      </w:r>
    </w:p>
    <w:p>
      <w:pPr>
        <w:spacing w:after="0" w:line="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Mitesh Dhruv</w:t>
      </w:r>
    </w:p>
    <w:p>
      <w:pPr>
        <w:spacing w:after="0" w:line="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Keith Enright</w:t>
      </w:r>
    </w:p>
    <w:p>
      <w:pPr>
        <w:spacing w:after="0" w:line="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Ashley Evans</w:t>
      </w:r>
    </w:p>
    <w:p>
      <w:pPr>
        <w:spacing w:after="0" w:line="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Mark Mader</w:t>
      </w:r>
    </w:p>
    <w:p>
      <w:pPr>
        <w:spacing w:after="0" w:line="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0454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Patrick McCarter</w:t>
      </w:r>
    </w:p>
    <w:p>
      <w:pPr>
        <w:spacing w:after="0" w:line="7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 Jason Mironov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Jason Mironov</w:t>
      </w:r>
    </w:p>
    <w:p>
      <w:pPr>
        <w:spacing w:after="0" w:line="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0454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D. Randall Winn</w:t>
      </w:r>
    </w:p>
    <w:p>
      <w:pPr>
        <w:spacing w:after="0" w:line="7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Cameron Hyzer</w:t>
      </w:r>
    </w:p>
    <w:p>
      <w:pPr>
        <w:spacing w:after="0" w:line="7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 David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0454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David Reid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22860</wp:posOffset>
            </wp:positionV>
            <wp:extent cx="40303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 (principal executive</w:t>
      </w:r>
    </w:p>
    <w:p>
      <w:pPr>
        <w:jc w:val="center"/>
        <w:ind w:right="160"/>
        <w:spacing w:after="0"/>
        <w:rPr>
          <w:sz w:val="20"/>
          <w:szCs w:val="20"/>
          <w:color w:val="auto"/>
        </w:rPr>
      </w:pPr>
      <w:r>
        <w:rPr>
          <w:rFonts w:ascii="Times New Roman" w:cs="Times New Roman" w:eastAsia="Times New Roman" w:hAnsi="Times New Roman"/>
          <w:sz w:val="18"/>
          <w:szCs w:val="18"/>
          <w:color w:val="auto"/>
        </w:rPr>
        <w:t>officer)</w:t>
      </w:r>
    </w:p>
    <w:p>
      <w:pPr>
        <w:spacing w:after="0" w:line="2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3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Vice President of Accounting and Controller (principal accounting officer)</w:t>
      </w:r>
    </w:p>
    <w:p>
      <w:pPr>
        <w:spacing w:after="0" w:line="319" w:lineRule="exact"/>
        <w:rPr>
          <w:sz w:val="20"/>
          <w:szCs w:val="20"/>
          <w:color w:val="auto"/>
        </w:rPr>
      </w:pPr>
    </w:p>
    <w:p>
      <w:pPr>
        <w:sectPr>
          <w:pgSz w:w="11900" w:h="16838" w:orient="portrait"/>
          <w:cols w:equalWidth="0" w:num="2">
            <w:col w:w="4340" w:space="720"/>
            <w:col w:w="6180"/>
          </w:cols>
          <w:pgMar w:left="320" w:top="118"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1240"/>
          </w:cols>
          <w:pgMar w:left="320" w:top="118" w:right="339" w:bottom="1440" w:gutter="0" w:footer="0" w:header="0"/>
          <w:type w:val="continuous"/>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180"/>
        <w:spacing w:after="0" w:line="27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Class A common stock, par value $0.01 per share, is the only class of securities of ZoomInfo Technologies Inc., a Delaware corporation, registered pursuant to Section 12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Class A common stock is listed on the Nasdaq under the symbol “ZI”. As used in this Exhibit 4.1, unless the context otherwise requires, references to “we,” “us,” “our,” the “Company,” “ZoomInfo” and similar references refer to ZoomInfo Technologies Inc., and not to any of its subsidiaries. See “Certain Definitions” below for a summary of certain defined terms used in this Exhibit 4.1.</w:t>
      </w:r>
    </w:p>
    <w:p>
      <w:pPr>
        <w:spacing w:after="0" w:line="1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description of our Class A common stock is a summary and does not purport to be complete. It is subject to and qualified in its entirety by our amended and restated certificate of incorporation and amended and restated bylaws, each of which is incorporated by reference as an exhibit to the Annual Report on Form 10-K of which this Exhibit 4.1 is a part, and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We encourage you to read the amended and restated certificate of incorporation, amended and restated bylaws and the applicable provisions of the DGCL, as well as our stockholders agreement and the registration rights agreement entered into in connection with our initial public offering of our Class A common stock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both of which are incorporated by reference as exhibits to the Annual Report on Form 10-K of which this Exhibit 4.1 is a part, for additional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Unless our board of directors determines otherwise, we will issue all shares of our capital stock in uncertificated form.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5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our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our certificate of incorporation, any amendment to our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ectPr>
          <w:pgSz w:w="11900" w:h="16838" w:orient="portrait"/>
          <w:cols w:equalWidth="0" w:num="1">
            <w:col w:w="11240"/>
          </w:cols>
          <w:pgMar w:left="320" w:top="119" w:right="339" w:bottom="1440" w:gutter="0" w:footer="0" w:header="0"/>
        </w:sectPr>
      </w:pPr>
    </w:p>
    <w:bookmarkStart w:id="156" w:name="page157"/>
    <w:bookmarkEnd w:id="156"/>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1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1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4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w:t>
      </w:r>
    </w:p>
    <w:p>
      <w:pPr>
        <w:spacing w:after="0" w:line="1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1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1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Holders of shares of our Class C common stock are entitled to ten votes for each share held of record (for so long as the aggregate number of outstanding shares of our Class B common stock and Class C common stock</w:t>
      </w:r>
    </w:p>
    <w:p>
      <w:pPr>
        <w:sectPr>
          <w:pgSz w:w="11900" w:h="16838" w:orient="portrait"/>
          <w:cols w:equalWidth="0" w:num="1">
            <w:col w:w="11240"/>
          </w:cols>
          <w:pgMar w:left="320" w:top="1393" w:right="339" w:bottom="1440" w:gutter="0" w:footer="0" w:header="0"/>
        </w:sectPr>
      </w:pPr>
    </w:p>
    <w:bookmarkStart w:id="157" w:name="page158"/>
    <w:bookmarkEnd w:id="157"/>
    <w:p>
      <w:pPr>
        <w:jc w:val="both"/>
        <w:spacing w:after="0" w:line="271" w:lineRule="auto"/>
        <w:rPr>
          <w:sz w:val="20"/>
          <w:szCs w:val="20"/>
          <w:color w:val="auto"/>
        </w:rPr>
      </w:pPr>
      <w:r>
        <w:rPr>
          <w:rFonts w:ascii="Times New Roman" w:cs="Times New Roman" w:eastAsia="Times New Roman" w:hAnsi="Times New Roman"/>
          <w:sz w:val="17"/>
          <w:szCs w:val="17"/>
          <w:color w:val="auto"/>
        </w:rPr>
        <w:t>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2" w:lineRule="exact"/>
        <w:rPr>
          <w:sz w:val="20"/>
          <w:szCs w:val="20"/>
          <w:color w:val="auto"/>
        </w:rPr>
      </w:pPr>
    </w:p>
    <w:p>
      <w:pPr>
        <w:ind w:left="620" w:hanging="296"/>
        <w:spacing w:after="0"/>
        <w:tabs>
          <w:tab w:leader="none" w:pos="62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designation of the series;</w:t>
      </w:r>
    </w:p>
    <w:p>
      <w:pPr>
        <w:spacing w:after="0" w:line="33" w:lineRule="exact"/>
        <w:rPr>
          <w:rFonts w:ascii="Times New Roman" w:cs="Times New Roman" w:eastAsia="Times New Roman" w:hAnsi="Times New Roman"/>
          <w:sz w:val="23"/>
          <w:szCs w:val="23"/>
          <w:color w:val="auto"/>
        </w:rPr>
      </w:pPr>
    </w:p>
    <w:p>
      <w:pPr>
        <w:ind w:left="640" w:hanging="316"/>
        <w:spacing w:after="0" w:line="232" w:lineRule="auto"/>
        <w:tabs>
          <w:tab w:leader="none" w:pos="628"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ind w:left="620" w:hanging="296"/>
        <w:spacing w:after="0" w:line="228" w:lineRule="auto"/>
        <w:tabs>
          <w:tab w:leader="none" w:pos="62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6"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dates at which dividends, if any, will be payable on shares of such series;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34" w:lineRule="exact"/>
        <w:rPr>
          <w:rFonts w:ascii="Times New Roman" w:cs="Times New Roman" w:eastAsia="Times New Roman" w:hAnsi="Times New Roman"/>
          <w:sz w:val="23"/>
          <w:szCs w:val="23"/>
          <w:color w:val="auto"/>
        </w:rPr>
      </w:pPr>
    </w:p>
    <w:p>
      <w:pPr>
        <w:ind w:left="640" w:hanging="316"/>
        <w:spacing w:after="0" w:line="232" w:lineRule="auto"/>
        <w:tabs>
          <w:tab w:leader="none" w:pos="628"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our affairs or other event;</w:t>
      </w:r>
    </w:p>
    <w:p>
      <w:pPr>
        <w:spacing w:after="0" w:line="21" w:lineRule="exact"/>
        <w:rPr>
          <w:rFonts w:ascii="Times New Roman" w:cs="Times New Roman" w:eastAsia="Times New Roman" w:hAnsi="Times New Roman"/>
          <w:sz w:val="23"/>
          <w:szCs w:val="23"/>
          <w:color w:val="auto"/>
        </w:rPr>
      </w:pPr>
    </w:p>
    <w:p>
      <w:pPr>
        <w:jc w:val="both"/>
        <w:ind w:left="640" w:hanging="316"/>
        <w:spacing w:after="0" w:line="236" w:lineRule="auto"/>
        <w:tabs>
          <w:tab w:leader="none" w:pos="628"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 w:lineRule="exact"/>
        <w:rPr>
          <w:rFonts w:ascii="Times New Roman" w:cs="Times New Roman" w:eastAsia="Times New Roman" w:hAnsi="Times New Roman"/>
          <w:sz w:val="23"/>
          <w:szCs w:val="23"/>
          <w:color w:val="auto"/>
        </w:rPr>
      </w:pPr>
    </w:p>
    <w:p>
      <w:pPr>
        <w:ind w:left="620" w:hanging="296"/>
        <w:spacing w:after="0" w:line="228" w:lineRule="auto"/>
        <w:tabs>
          <w:tab w:leader="none" w:pos="62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restrictions on the issuance of shares of the same series or of any other class or series of our capital stock; and</w:t>
      </w:r>
    </w:p>
    <w:p>
      <w:pPr>
        <w:sectPr>
          <w:pgSz w:w="11900" w:h="16838" w:orient="portrait"/>
          <w:cols w:equalWidth="0" w:num="1">
            <w:col w:w="11240"/>
          </w:cols>
          <w:pgMar w:left="320" w:top="1393" w:right="339" w:bottom="1440" w:gutter="0" w:footer="0" w:header="0"/>
        </w:sectPr>
      </w:pPr>
    </w:p>
    <w:bookmarkStart w:id="158" w:name="page159"/>
    <w:bookmarkEnd w:id="158"/>
    <w:p>
      <w:pPr>
        <w:ind w:left="620" w:hanging="296"/>
        <w:spacing w:after="0"/>
        <w:tabs>
          <w:tab w:leader="none" w:pos="620" w:val="left"/>
        </w:tabs>
        <w:numPr>
          <w:ilvl w:val="0"/>
          <w:numId w:val="64"/>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voting rights, if any, of the holders of the series.</w:t>
      </w:r>
    </w:p>
    <w:p>
      <w:pPr>
        <w:spacing w:after="0" w:line="14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18"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8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Multi-Class Structure</w:t>
      </w:r>
    </w:p>
    <w:p>
      <w:pPr>
        <w:spacing w:after="0" w:line="1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w:t>
      </w:r>
    </w:p>
    <w:p>
      <w:pPr>
        <w:sectPr>
          <w:pgSz w:w="11900" w:h="16838" w:orient="portrait"/>
          <w:cols w:equalWidth="0" w:num="1">
            <w:col w:w="11240"/>
          </w:cols>
          <w:pgMar w:left="320" w:top="140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discourage others from initiating a potential merger, takeover or other change of control transaction that other stockholders may view as beneficial.</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4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the rights of holders of any series of preferred stock, our board of directors is divided into three classes of directors,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8" w:lineRule="exact"/>
        <w:rPr>
          <w:sz w:val="20"/>
          <w:szCs w:val="20"/>
          <w:color w:val="auto"/>
        </w:rPr>
      </w:pPr>
    </w:p>
    <w:p>
      <w:pPr>
        <w:ind w:left="640" w:hanging="316"/>
        <w:spacing w:after="0" w:line="232" w:lineRule="auto"/>
        <w:tabs>
          <w:tab w:leader="none" w:pos="628"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21" w:lineRule="exact"/>
        <w:rPr>
          <w:rFonts w:ascii="Times New Roman" w:cs="Times New Roman" w:eastAsia="Times New Roman" w:hAnsi="Times New Roman"/>
          <w:sz w:val="23"/>
          <w:szCs w:val="23"/>
          <w:color w:val="auto"/>
        </w:rPr>
      </w:pPr>
    </w:p>
    <w:p>
      <w:pPr>
        <w:ind w:left="640" w:hanging="316"/>
        <w:spacing w:after="0" w:line="232" w:lineRule="auto"/>
        <w:tabs>
          <w:tab w:leader="none" w:pos="628"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1" w:lineRule="exact"/>
        <w:rPr>
          <w:rFonts w:ascii="Times New Roman" w:cs="Times New Roman" w:eastAsia="Times New Roman" w:hAnsi="Times New Roman"/>
          <w:sz w:val="23"/>
          <w:szCs w:val="23"/>
          <w:color w:val="auto"/>
        </w:rPr>
      </w:pPr>
    </w:p>
    <w:p>
      <w:pPr>
        <w:ind w:left="640" w:hanging="316"/>
        <w:spacing w:after="0" w:line="232" w:lineRule="auto"/>
        <w:tabs>
          <w:tab w:leader="none" w:pos="628"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0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 and Newly Created Directorships</w:t>
      </w:r>
    </w:p>
    <w:p>
      <w:pPr>
        <w:spacing w:after="0" w:line="1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w:t>
      </w:r>
    </w:p>
    <w:p>
      <w:pPr>
        <w:sectPr>
          <w:pgSz w:w="11900" w:h="16838" w:orient="portrait"/>
          <w:cols w:equalWidth="0" w:num="1">
            <w:col w:w="11240"/>
          </w:cols>
          <w:pgMar w:left="320" w:top="1393" w:right="339" w:bottom="1440" w:gutter="0" w:footer="0" w:header="0"/>
        </w:sectPr>
      </w:pPr>
    </w:p>
    <w:bookmarkStart w:id="160" w:name="page161"/>
    <w:bookmarkEnd w:id="160"/>
    <w:p>
      <w:pPr>
        <w:jc w:val="both"/>
        <w:spacing w:after="0" w:line="248" w:lineRule="auto"/>
        <w:rPr>
          <w:sz w:val="20"/>
          <w:szCs w:val="20"/>
          <w:color w:val="auto"/>
        </w:rPr>
      </w:pPr>
      <w:r>
        <w:rPr>
          <w:rFonts w:ascii="Times New Roman" w:cs="Times New Roman" w:eastAsia="Times New Roman" w:hAnsi="Times New Roman"/>
          <w:sz w:val="18"/>
          <w:szCs w:val="18"/>
          <w:color w:val="auto"/>
        </w:rPr>
        <w:t>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our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4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5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4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w:t>
      </w:r>
    </w:p>
    <w:p>
      <w:pPr>
        <w:sectPr>
          <w:pgSz w:w="11900" w:h="16838" w:orient="portrait"/>
          <w:cols w:equalWidth="0" w:num="1">
            <w:col w:w="11240"/>
          </w:cols>
          <w:pgMar w:left="320" w:top="1393" w:right="339" w:bottom="1440" w:gutter="0" w:footer="0" w:header="0"/>
        </w:sectPr>
      </w:pPr>
    </w:p>
    <w:bookmarkStart w:id="161" w:name="page162"/>
    <w:bookmarkEnd w:id="161"/>
    <w:p>
      <w:pPr>
        <w:jc w:val="both"/>
        <w:spacing w:after="0" w:line="252" w:lineRule="auto"/>
        <w:rPr>
          <w:sz w:val="20"/>
          <w:szCs w:val="20"/>
          <w:color w:val="auto"/>
        </w:rPr>
      </w:pPr>
      <w:r>
        <w:rPr>
          <w:rFonts w:ascii="Times New Roman" w:cs="Times New Roman" w:eastAsia="Times New Roman" w:hAnsi="Times New Roman"/>
          <w:sz w:val="18"/>
          <w:szCs w:val="18"/>
          <w:color w:val="auto"/>
        </w:rPr>
        <w:t>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4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126" w:lineRule="exact"/>
        <w:rPr>
          <w:sz w:val="20"/>
          <w:szCs w:val="20"/>
          <w:color w:val="auto"/>
        </w:rPr>
      </w:pPr>
    </w:p>
    <w:p>
      <w:pPr>
        <w:ind w:left="620" w:hanging="296"/>
        <w:spacing w:after="0"/>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 requiring a 66⅔% supermajority vote for stockholders to amend our amended and restated bylaws;</w:t>
      </w:r>
    </w:p>
    <w:p>
      <w:pPr>
        <w:spacing w:after="0" w:line="15"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regarding resignation and removal of directors;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provision regarding forum selection; and</w:t>
      </w:r>
    </w:p>
    <w:p>
      <w:pPr>
        <w:spacing w:after="0" w:line="17" w:lineRule="exact"/>
        <w:rPr>
          <w:rFonts w:ascii="Times New Roman" w:cs="Times New Roman" w:eastAsia="Times New Roman" w:hAnsi="Times New Roman"/>
          <w:sz w:val="23"/>
          <w:szCs w:val="23"/>
          <w:color w:val="auto"/>
        </w:rPr>
      </w:pPr>
    </w:p>
    <w:p>
      <w:pPr>
        <w:ind w:left="620" w:hanging="296"/>
        <w:spacing w:after="0" w:line="225" w:lineRule="auto"/>
        <w:tabs>
          <w:tab w:leader="none" w:pos="620"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the amendment provision requiring that the above provisions be amended only with a 66⅔% supermajority vote.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w:t>
      </w:r>
    </w:p>
    <w:p>
      <w:pPr>
        <w:sectPr>
          <w:pgSz w:w="11900" w:h="16838" w:orient="portrait"/>
          <w:cols w:equalWidth="0" w:num="1">
            <w:col w:w="11240"/>
          </w:cols>
          <w:pgMar w:left="320" w:top="1393" w:right="339" w:bottom="1440" w:gutter="0" w:footer="0" w:header="0"/>
        </w:sectPr>
      </w:pPr>
    </w:p>
    <w:bookmarkStart w:id="162" w:name="page163"/>
    <w:bookmarkEnd w:id="162"/>
    <w:p>
      <w:pPr>
        <w:jc w:val="both"/>
        <w:spacing w:after="0" w:line="259" w:lineRule="auto"/>
        <w:rPr>
          <w:sz w:val="20"/>
          <w:szCs w:val="20"/>
          <w:color w:val="auto"/>
        </w:rPr>
      </w:pPr>
      <w:r>
        <w:rPr>
          <w:rFonts w:ascii="Times New Roman" w:cs="Times New Roman" w:eastAsia="Times New Roman" w:hAnsi="Times New Roman"/>
          <w:sz w:val="18"/>
          <w:szCs w:val="18"/>
          <w:color w:val="auto"/>
        </w:rPr>
        <w:t>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used in this Exhibit 4.1, unless the context otherwise requires, references to:</w:t>
      </w:r>
    </w:p>
    <w:p>
      <w:pPr>
        <w:spacing w:after="0" w:line="207" w:lineRule="exact"/>
        <w:rPr>
          <w:sz w:val="20"/>
          <w:szCs w:val="20"/>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22C Capital</w:t>
      </w:r>
      <w:r>
        <w:rPr>
          <w:rFonts w:ascii="Times New Roman" w:cs="Times New Roman" w:eastAsia="Times New Roman" w:hAnsi="Times New Roman"/>
          <w:sz w:val="18"/>
          <w:szCs w:val="18"/>
          <w:color w:val="auto"/>
        </w:rPr>
        <w:t>” refers to investment funds associated with 22C Capital LLC and its predecessor.</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of our Pre-IPO OpCo Unitholders that are taxable as corporations for U.S. federal income tax purposes.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w:t>
      </w:r>
      <w:r>
        <w:rPr>
          <w:rFonts w:ascii="Times New Roman" w:cs="Times New Roman" w:eastAsia="Times New Roman" w:hAnsi="Times New Roman"/>
          <w:sz w:val="18"/>
          <w:szCs w:val="18"/>
          <w:color w:val="auto"/>
        </w:rPr>
        <w:t>” refers to investment funds associated with The Carlyle Group.</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P Units</w:t>
      </w:r>
      <w:r>
        <w:rPr>
          <w:rFonts w:ascii="Times New Roman" w:cs="Times New Roman" w:eastAsia="Times New Roman" w:hAnsi="Times New Roman"/>
          <w:sz w:val="18"/>
          <w:szCs w:val="18"/>
          <w:color w:val="auto"/>
        </w:rPr>
        <w:t>” refers to Class P Units (including, without limitation, any indirectly held Class P Units) of ZoomInfo OpCo.</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refers to Henry Schuck, our Chief Executive Officer, and Kirk Brown.</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 Units</w:t>
      </w:r>
      <w:r>
        <w:rPr>
          <w:rFonts w:ascii="Times New Roman" w:cs="Times New Roman" w:eastAsia="Times New Roman" w:hAnsi="Times New Roman"/>
          <w:sz w:val="18"/>
          <w:szCs w:val="18"/>
          <w:color w:val="auto"/>
        </w:rPr>
        <w:t>” refers to the class of units of ZoomInfo HoldCo.</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refers to the class of units of ZoomInfo OpCo, and does not include Class P Units.</w:t>
      </w:r>
    </w:p>
    <w:p>
      <w:pPr>
        <w:spacing w:after="0" w:line="20"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Blocker Holders</w:t>
      </w:r>
      <w:r>
        <w:rPr>
          <w:rFonts w:ascii="Times New Roman" w:cs="Times New Roman" w:eastAsia="Times New Roman" w:hAnsi="Times New Roman"/>
          <w:sz w:val="18"/>
          <w:szCs w:val="18"/>
          <w:color w:val="auto"/>
        </w:rPr>
        <w:t>” refers to the pre-IPO owners that held their interests in us through the Blocker Companies immediately prior to the consummation of the IPO.</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HoldCo Unitholders</w:t>
      </w:r>
      <w:r>
        <w:rPr>
          <w:rFonts w:ascii="Times New Roman" w:cs="Times New Roman" w:eastAsia="Times New Roman" w:hAnsi="Times New Roman"/>
          <w:sz w:val="18"/>
          <w:szCs w:val="18"/>
          <w:color w:val="auto"/>
        </w:rPr>
        <w:t>” refers to the pre-IPO owners that held HoldCo Units immediately prior to the consummation of the IPO.</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OpCo Unitholders</w:t>
      </w:r>
      <w:r>
        <w:rPr>
          <w:rFonts w:ascii="Times New Roman" w:cs="Times New Roman" w:eastAsia="Times New Roman" w:hAnsi="Times New Roman"/>
          <w:sz w:val="18"/>
          <w:szCs w:val="18"/>
          <w:color w:val="auto"/>
        </w:rPr>
        <w:t>” refers to the pre-IPO owners that held OpCo Units immediately prior to the consummation of the IPO.</w:t>
      </w:r>
    </w:p>
    <w:p>
      <w:pPr>
        <w:spacing w:after="0" w:line="20"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owners</w:t>
      </w:r>
      <w:r>
        <w:rPr>
          <w:rFonts w:ascii="Times New Roman" w:cs="Times New Roman" w:eastAsia="Times New Roman" w:hAnsi="Times New Roman"/>
          <w:sz w:val="18"/>
          <w:szCs w:val="18"/>
          <w:color w:val="auto"/>
        </w:rPr>
        <w:t>” refers, collectively, to the Sponsors, the Founders, and the management and other equity holders who were the owners of ZoomInfo OpCo immediately prior to the IPO and certain related transactions.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TA Associates, Carlyle, and 22C Capital.</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 Associates</w:t>
      </w:r>
      <w:r>
        <w:rPr>
          <w:rFonts w:ascii="Times New Roman" w:cs="Times New Roman" w:eastAsia="Times New Roman" w:hAnsi="Times New Roman"/>
          <w:sz w:val="18"/>
          <w:szCs w:val="18"/>
          <w:color w:val="auto"/>
        </w:rPr>
        <w:t>” refers to investment funds associated with TA Associates.</w:t>
      </w:r>
    </w:p>
    <w:p>
      <w:pPr>
        <w:spacing w:after="0" w:line="20" w:lineRule="exact"/>
        <w:rPr>
          <w:rFonts w:ascii="Times New Roman" w:cs="Times New Roman" w:eastAsia="Times New Roman" w:hAnsi="Times New Roman"/>
          <w:sz w:val="21"/>
          <w:szCs w:val="21"/>
          <w:color w:val="auto"/>
        </w:rPr>
      </w:pPr>
    </w:p>
    <w:p>
      <w:pPr>
        <w:ind w:left="640" w:right="20" w:hanging="316"/>
        <w:spacing w:after="0" w:line="237" w:lineRule="auto"/>
        <w:tabs>
          <w:tab w:leader="none" w:pos="63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HoldCo</w:t>
      </w:r>
      <w:r>
        <w:rPr>
          <w:rFonts w:ascii="Times New Roman" w:cs="Times New Roman" w:eastAsia="Times New Roman" w:hAnsi="Times New Roman"/>
          <w:sz w:val="18"/>
          <w:szCs w:val="18"/>
          <w:color w:val="auto"/>
        </w:rPr>
        <w:t>” refers to ZoomInfo Intermediate Holdings LLC, a Delaware limited liability company, and a direct subsidiary of ZoomInfo Technologies Inc.</w:t>
      </w:r>
    </w:p>
    <w:p>
      <w:pPr>
        <w:spacing w:after="0" w:line="20"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OpCo</w:t>
      </w:r>
      <w:r>
        <w:rPr>
          <w:rFonts w:ascii="Times New Roman" w:cs="Times New Roman" w:eastAsia="Times New Roman" w:hAnsi="Times New Roman"/>
          <w:sz w:val="18"/>
          <w:szCs w:val="18"/>
          <w:color w:val="auto"/>
        </w:rPr>
        <w:t>” refers to ZoomInfo Holdings LLC (formerly known as DiscoverOrg Holdings, LLC), a Delaware limited liability company, and a direct subsidiary of ZoomInfo HoldCo and indirect subsidiary of ZoomInfo Technologies Inc.</w:t>
      </w:r>
    </w:p>
    <w:p>
      <w:pPr>
        <w:sectPr>
          <w:pgSz w:w="11900" w:h="16838" w:orient="portrait"/>
          <w:cols w:equalWidth="0" w:num="1">
            <w:col w:w="11240"/>
          </w:cols>
          <w:pgMar w:left="320" w:top="139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934845" cy="260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1934845"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800.914.1220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DISCOVERORG.COM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805 BROADWAY, SUITE 900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WA 98660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2019</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Nir Keren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Nir,</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behalf of DiscoverOrg, I am pleased to extend you an offer to join us as Chief Technology Officer. We believe you will be a valuable addition and are confident that DiscoverOrg will present a challenging and rewarding opportunity. This letter formally presents the specifics of our offer of employment, which you should read and carefully consider.</w:t>
      </w:r>
    </w:p>
    <w:p>
      <w:pPr>
        <w:spacing w:after="0" w:line="2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CTO, you will report to the company’s President, Katie Bullard, and you will be responsible for all of the duties typically incident to that position and those that may be designated from time to time by Ms. Bullard or the company’s CEO. Your annual salary will be $350,000, which will be paid according to the Company’s standard payroll schedule. You will be entitled to a one-time bonus of $100,000 after one year of service commencing February 1, 2019, and an additional one-time bonus of $100,000 after two years of service. In addition, you may earn a performance bonus of up to $150,000 based upon successful completion of measurable business objectives. If your employment is terminated without cause, provided you first execute a release of claims in favor of the company and its affiliates and personnel in a form reasonably acceptable to the company, you will be paid a severance equal to one half of your annual salary in effect at the time of such termination and, if such termination occurs prior to February 1, 2021, a pro-rated amount of any unpaid retention bonus. For example, if you are terminated without cause on August 1, 2019, you would receive the severance plus $50,000; if you are terminated without cause on August 1, 2020, you would receive the severance plus $50,000, as you would have already been paid the first retention bonus of $100,000 on February 1, 2020.</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subject to approval by the Company’s board of directors and due execution of the appropriate agreements, we also anticipate that you will be granted profits interests in DiscoverOrg (or comparable phantom equity), representing 40 basis points in the combined company and struck at the then-current fair market value. These interests would vest 50% on the 2-year anniversary of the closing and 1/24th each month thereafter for the subsequent two years. If there is an IPO or liquidity event sooner than 2 years from February 1, 2019, the vesting will accelerate, and will otherwise be subject to double trigger acceleration.</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you know, the options that you held in Zoom Information, Inc. (“Zoom”) that remain unvested at the time of closing of its acquisition by DiscoverOrg are being converted into a right to cash payments that will be made as those unvested shares would have vested under the Zoom plan. Those payments will be subject to the same acceleration as under the Zoom plan (double trigger acceleration), and the terms will be set forth in an appropriate agreement to be executed by you.</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offer is subject to due execution of an updated agreement setting forth these and additional customary terms and conditions of your employment, between you and Zoominfo Israel LTD or another DiscoverOrg affiliate, as appropriate.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hope that you will accept our offer on these terms, which can be modified only in writing signed by the CEO and which supersede any prior representations or agreements, whether written or oral. We know how important it is that you understand these aspects of employment at DiscoverOrg before you make a decision to join us. To indicate your agreement in principle to the offer outlined herein, please return one original signed copy of this letter to me at your earliest convenience, but no later than February 1, 2019.</w:t>
      </w:r>
    </w:p>
    <w:p>
      <w:pPr>
        <w:sectPr>
          <w:pgSz w:w="11900" w:h="16838" w:orient="portrait"/>
          <w:cols w:equalWidth="0" w:num="1">
            <w:col w:w="11240"/>
          </w:cols>
          <w:pgMar w:left="320" w:top="119" w:right="33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934845" cy="260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934845" cy="260985"/>
                    </a:xfrm>
                    <a:prstGeom prst="rect">
                      <a:avLst/>
                    </a:prstGeom>
                    <a:noFill/>
                  </pic:spPr>
                </pic:pic>
              </a:graphicData>
            </a:graphic>
          </wp:anchor>
        </w:drawing>
      </w:r>
    </w:p>
    <w:p>
      <w:pPr>
        <w:spacing w:after="0" w:line="25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Please contact me if you have any questions whatsoever about this letter or your employment. We are looking forward to you joining us as a member of the DiscoverOrg team.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w:t>
      </w:r>
    </w:p>
    <w:p>
      <w:pPr>
        <w:spacing w:after="0" w:line="200" w:lineRule="exact"/>
        <w:rPr>
          <w:sz w:val="20"/>
          <w:szCs w:val="20"/>
          <w:color w:val="auto"/>
        </w:rPr>
      </w:pPr>
    </w:p>
    <w:p>
      <w:pPr>
        <w:sectPr>
          <w:pgSz w:w="11900" w:h="16838" w:orient="portrait"/>
          <w:cols w:equalWidth="0" w:num="2">
            <w:col w:w="1960" w:space="720"/>
            <w:col w:w="8560"/>
          </w:cols>
          <w:pgMar w:left="320" w:top="1440" w:right="339"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Henry L. Schuck</w:t>
      </w:r>
    </w:p>
    <w:p>
      <w:pPr>
        <w:spacing w:after="0" w:line="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 Nir Keren</w:t>
      </w:r>
    </w:p>
    <w:p>
      <w:pPr>
        <w:sectPr>
          <w:pgSz w:w="11900" w:h="16838" w:orient="portrait"/>
          <w:cols w:equalWidth="0" w:num="1">
            <w:col w:w="11240"/>
          </w:cols>
          <w:pgMar w:left="320" w:top="1440"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Henry L. Schuck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DiscoverOrg Data,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Nir Keren</w:t>
      </w:r>
    </w:p>
    <w:p>
      <w:pPr>
        <w:sectPr>
          <w:pgSz w:w="11900" w:h="16838" w:orient="portrait"/>
          <w:cols w:equalWidth="0" w:num="2">
            <w:col w:w="2340" w:space="720"/>
            <w:col w:w="8180"/>
          </w:cols>
          <w:pgMar w:left="320" w:top="1440" w:right="339" w:bottom="1440" w:gutter="0" w:footer="0" w:header="0"/>
          <w:type w:val="continuous"/>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Times New Roman" w:cs="Times New Roman" w:eastAsia="Times New Roman" w:hAnsi="Times New Roman"/>
                <w:sz w:val="21"/>
                <w:szCs w:val="21"/>
                <w:b w:val="1"/>
                <w:bCs w:val="1"/>
                <w:color w:val="auto"/>
              </w:rPr>
              <w:t>Subsidiaries of ZoomInfo Technologies Inc.</w:t>
            </w:r>
          </w:p>
        </w:tc>
      </w:tr>
      <w:tr>
        <w:trPr>
          <w:trHeight w:val="716"/>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Name of Subsidiary</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b w:val="1"/>
                <w:bCs w:val="1"/>
                <w:color w:val="auto"/>
              </w:rPr>
              <w:t>Jurisdiction of Incorporation or Organization</w:t>
            </w:r>
          </w:p>
        </w:tc>
      </w:tr>
      <w:tr>
        <w:trPr>
          <w:trHeight w:val="29"/>
        </w:trPr>
        <w:tc>
          <w:tcPr>
            <w:tcW w:w="36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83"/>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Holdings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Intermediate Holdings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International,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Midco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Technologies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Clickagy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Cloud Virtual,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Datanyze,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DiscoverOrg Acquisition (Komiko),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DiscoverOrg Acquisition (Tellwise),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DiscoverOrg Acquisition Company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EverString Technology,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Neverbounce,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RKSI Acquisition Corporation</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Apollo LLC</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Israel Ltd</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Israel</w:t>
            </w:r>
          </w:p>
        </w:tc>
      </w:tr>
      <w:tr>
        <w:trPr>
          <w:trHeight w:val="318"/>
        </w:trPr>
        <w:tc>
          <w:tcPr>
            <w:tcW w:w="3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Finance Corp.</w:t>
            </w:r>
          </w:p>
        </w:tc>
        <w:tc>
          <w:tcPr>
            <w:tcW w:w="740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19"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ZoomInfo Technologies Inc.:</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consent to the incorporation by reference in the registration statement on Form S-8 (No. 333-238917) and on Form S-1 (No. 333-250905) of ZoomInfo Technologies Inc. of our report dated February 26, 2021, with respect to the consolidated balance sheets of ZoomInfo Technologies Inc. as of December 31, 2020 and 2019, the related consolidated statements of operations, comprehensive income (loss), changes in equity (deficit), and cash flows for each of the years in the three-year period ended December 31, 2020, and the related notes, which report appears in the December 31, 2020 annual report on Form 10-K of ZoomInfo Technologies, Inc.</w:t>
      </w:r>
    </w:p>
    <w:p>
      <w:pPr>
        <w:spacing w:after="0" w:line="20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Our report contains an explanatory paragraph that refers to a change in the method of accounting for leases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1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70" w:lineRule="exact"/>
        <w:rPr>
          <w:sz w:val="20"/>
          <w:szCs w:val="20"/>
          <w:color w:val="auto"/>
        </w:rPr>
      </w:pPr>
    </w:p>
    <w:p>
      <w:pPr>
        <w:ind w:left="180" w:hanging="174"/>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70"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8"/>
          <w:szCs w:val="18"/>
          <w:color w:val="auto"/>
        </w:rPr>
      </w:pPr>
    </w:p>
    <w:p>
      <w:pPr>
        <w:ind w:right="240" w:firstLine="6"/>
        <w:spacing w:after="0" w:line="304" w:lineRule="auto"/>
        <w:tabs>
          <w:tab w:leader="none" w:pos="1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1" w:lineRule="exact"/>
        <w:rPr>
          <w:rFonts w:ascii="Times New Roman" w:cs="Times New Roman" w:eastAsia="Times New Roman" w:hAnsi="Times New Roman"/>
          <w:sz w:val="18"/>
          <w:szCs w:val="18"/>
          <w:color w:val="auto"/>
        </w:rPr>
      </w:pPr>
    </w:p>
    <w:p>
      <w:pPr>
        <w:ind w:left="640" w:right="60" w:firstLine="2"/>
        <w:spacing w:after="0" w:line="290" w:lineRule="auto"/>
        <w:tabs>
          <w:tab w:leader="none" w:pos="8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70"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7"/>
          <w:szCs w:val="17"/>
          <w:color w:val="auto"/>
        </w:rPr>
      </w:pPr>
    </w:p>
    <w:p>
      <w:pPr>
        <w:jc w:val="both"/>
        <w:ind w:left="640" w:right="300" w:firstLine="2"/>
        <w:spacing w:after="0" w:line="290" w:lineRule="auto"/>
        <w:tabs>
          <w:tab w:leader="none" w:pos="8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right="680" w:firstLine="6"/>
        <w:spacing w:after="0" w:line="304" w:lineRule="auto"/>
        <w:tabs>
          <w:tab w:leader="none" w:pos="1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8"/>
          <w:szCs w:val="18"/>
          <w:color w:val="auto"/>
        </w:rPr>
      </w:pPr>
    </w:p>
    <w:p>
      <w:pPr>
        <w:ind w:left="960" w:right="160" w:hanging="318"/>
        <w:spacing w:after="0" w:line="304" w:lineRule="auto"/>
        <w:tabs>
          <w:tab w:leader="none" w:pos="95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2" w:right="339" w:bottom="1440" w:gutter="0" w:footer="0" w:header="0"/>
        </w:sectPr>
      </w:pPr>
    </w:p>
    <w:bookmarkStart w:id="168" w:name="page169"/>
    <w:bookmarkEnd w:id="168"/>
    <w:p>
      <w:pPr>
        <w:ind w:left="940" w:hanging="318"/>
        <w:spacing w:after="0" w:line="304" w:lineRule="auto"/>
        <w:tabs>
          <w:tab w:leader="none" w:pos="9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3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Henry Schuck</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40" w:top="1407" w:right="45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Cameron Hyzer, certify that:</w:t>
      </w:r>
    </w:p>
    <w:p>
      <w:pPr>
        <w:spacing w:after="0" w:line="270" w:lineRule="exact"/>
        <w:rPr>
          <w:sz w:val="20"/>
          <w:szCs w:val="20"/>
          <w:color w:val="auto"/>
        </w:rPr>
      </w:pPr>
    </w:p>
    <w:p>
      <w:pPr>
        <w:ind w:left="180" w:hanging="174"/>
        <w:spacing w:after="0"/>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70"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8"/>
          <w:szCs w:val="18"/>
          <w:color w:val="auto"/>
        </w:rPr>
      </w:pPr>
    </w:p>
    <w:p>
      <w:pPr>
        <w:ind w:right="240" w:firstLine="6"/>
        <w:spacing w:after="0" w:line="304" w:lineRule="auto"/>
        <w:tabs>
          <w:tab w:leader="none" w:pos="1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57" w:lineRule="exact"/>
        <w:rPr>
          <w:rFonts w:ascii="Times New Roman" w:cs="Times New Roman" w:eastAsia="Times New Roman" w:hAnsi="Times New Roman"/>
          <w:sz w:val="18"/>
          <w:szCs w:val="18"/>
          <w:color w:val="auto"/>
        </w:rPr>
      </w:pPr>
    </w:p>
    <w:p>
      <w:pPr>
        <w:ind w:left="640" w:right="60" w:firstLine="2"/>
        <w:spacing w:after="0" w:line="290" w:lineRule="auto"/>
        <w:tabs>
          <w:tab w:leader="none" w:pos="8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70"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7"/>
          <w:szCs w:val="17"/>
          <w:color w:val="auto"/>
        </w:rPr>
      </w:pPr>
    </w:p>
    <w:p>
      <w:pPr>
        <w:jc w:val="both"/>
        <w:ind w:left="640" w:right="300" w:firstLine="2"/>
        <w:spacing w:after="0" w:line="290" w:lineRule="auto"/>
        <w:tabs>
          <w:tab w:leader="none" w:pos="8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right="680" w:firstLine="6"/>
        <w:spacing w:after="0" w:line="304" w:lineRule="auto"/>
        <w:tabs>
          <w:tab w:leader="none" w:pos="1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8"/>
          <w:szCs w:val="18"/>
          <w:color w:val="auto"/>
        </w:rPr>
      </w:pPr>
    </w:p>
    <w:p>
      <w:pPr>
        <w:ind w:left="960" w:right="160" w:hanging="318"/>
        <w:spacing w:after="0" w:line="304" w:lineRule="auto"/>
        <w:tabs>
          <w:tab w:leader="none" w:pos="9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2" w:right="339" w:bottom="1440" w:gutter="0" w:footer="0" w:header="0"/>
        </w:sectPr>
      </w:pPr>
    </w:p>
    <w:bookmarkStart w:id="170" w:name="page171"/>
    <w:bookmarkEnd w:id="170"/>
    <w:p>
      <w:pPr>
        <w:spacing w:after="0" w:line="206" w:lineRule="exact"/>
        <w:rPr>
          <w:sz w:val="20"/>
          <w:szCs w:val="20"/>
          <w:color w:val="auto"/>
        </w:rPr>
      </w:pPr>
    </w:p>
    <w:p>
      <w:pPr>
        <w:ind w:left="620" w:firstLine="2"/>
        <w:spacing w:after="0" w:line="304" w:lineRule="auto"/>
        <w:tabs>
          <w:tab w:leader="none" w:pos="8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26, 2021</w:t>
      </w:r>
      <w:r>
        <w:rPr>
          <w:sz w:val="20"/>
          <w:szCs w:val="20"/>
          <w:color w:val="auto"/>
        </w:rPr>
        <w:tab/>
      </w:r>
      <w:r>
        <w:rPr>
          <w:rFonts w:ascii="Times New Roman" w:cs="Times New Roman" w:eastAsia="Times New Roman" w:hAnsi="Times New Roman"/>
          <w:sz w:val="17"/>
          <w:szCs w:val="17"/>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 Cameron Hyzer</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020"/>
          </w:cols>
          <w:pgMar w:left="340" w:top="1440" w:right="5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9" w:lineRule="exact"/>
        <w:rPr>
          <w:sz w:val="20"/>
          <w:szCs w:val="20"/>
          <w:color w:val="auto"/>
        </w:rPr>
      </w:pPr>
    </w:p>
    <w:p>
      <w:pPr>
        <w:ind w:right="40" w:firstLine="636"/>
        <w:spacing w:after="0" w:line="332" w:lineRule="auto"/>
        <w:rPr>
          <w:sz w:val="20"/>
          <w:szCs w:val="20"/>
          <w:color w:val="auto"/>
        </w:rPr>
      </w:pPr>
      <w:r>
        <w:rPr>
          <w:rFonts w:ascii="Times New Roman" w:cs="Times New Roman" w:eastAsia="Times New Roman" w:hAnsi="Times New Roman"/>
          <w:sz w:val="18"/>
          <w:szCs w:val="18"/>
          <w:color w:val="auto"/>
        </w:rPr>
        <w:t>In connection with the Annual Report on Form 10-K of ZoomInfo Technologies Inc. (the “Company”) for the year ended December 31, 2020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(2)The information contained in the Report fairly presents, in all material respects, the financial condition and results of operations of the Company.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 Cameron Hyzer</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lowerRoman"/>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lowerRoman"/>
      <w:start w:val="2"/>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lowerLetter"/>
      <w:start w:val="4"/>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Letter"/>
      <w:start w:val="1"/>
    </w:lvl>
  </w:abstractNum>
  <w:abstractNum w:abstractNumId="40">
    <w:nsid w:val="275AC794"/>
    <w:multiLevelType w:val="hybridMultilevel"/>
    <w:lvl w:ilvl="0">
      <w:lvlJc w:val="left"/>
      <w:lvlText w:val="(%1)"/>
      <w:numFmt w:val="lowerLetter"/>
      <w:start w:val="3"/>
    </w:lvl>
  </w:abstractNum>
  <w:abstractNum w:abstractNumId="41">
    <w:nsid w:val="39386575"/>
    <w:multiLevelType w:val="hybridMultilevel"/>
    <w:lvl w:ilvl="0">
      <w:lvlJc w:val="left"/>
      <w:lvlText w:val="(%1)"/>
      <w:numFmt w:val="lowerRoman"/>
      <w:start w:val="2"/>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emdash "/>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lowerRoman"/>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lowerRoman"/>
      <w:start w:val="10"/>
    </w:lvl>
  </w:abstractNum>
  <w:abstractNum w:abstractNumId="58">
    <w:nsid w:val="2F305DEF"/>
    <w:multiLevelType w:val="hybridMultilevel"/>
    <w:lvl w:ilvl="0">
      <w:lvlJc w:val="left"/>
      <w:lvlText w:val="(%1)"/>
      <w:numFmt w:val="upperLetter"/>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lowerLetter"/>
      <w:start w:val="1"/>
    </w:lvl>
    <w:lvl w:ilvl="1">
      <w:lvlJc w:val="left"/>
      <w:lvlText w:val="%2."/>
      <w:numFmt w:val="decimal"/>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lowerLetter"/>
      <w:start w:val="2"/>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12"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jpeg"/><Relationship Id="rId244" Type="http://schemas.openxmlformats.org/officeDocument/2006/relationships/image" Target="media/image205.jpe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194" Type="http://schemas.openxmlformats.org/officeDocument/2006/relationships/hyperlink" Target="http://www.sec.gov/Archives/edgar/data/1794515/000162828020009137/exhibit31-closing8xkxchart.htm" TargetMode="External"/><Relationship Id="rId195" Type="http://schemas.openxmlformats.org/officeDocument/2006/relationships/hyperlink" Target="http://www.sec.gov/Archives/edgar/data/1794515/000162828020009137/exhibit32-closing8xkxbylaws.htm" TargetMode="External"/><Relationship Id="rId196" Type="http://schemas.openxmlformats.org/officeDocument/2006/relationships/hyperlink" Target="https://www.sec.gov/Archives/edgar/data/1794515/000179451521000034/exhibit041xclosingxindent.htm" TargetMode="External"/><Relationship Id="rId197" Type="http://schemas.openxmlformats.org/officeDocument/2006/relationships/hyperlink" Target="http://www.sec.gov/Archives/edgar/data/1794515/000162828020009137/exhibit101-closing8xkxopco.htm" TargetMode="External"/><Relationship Id="rId198" Type="http://schemas.openxmlformats.org/officeDocument/2006/relationships/hyperlink" Target="http://www.sec.gov/Archives/edgar/data/1794515/000162828020009137/exhibit102-closing8xkxhold.htm" TargetMode="External"/><Relationship Id="rId199" Type="http://schemas.openxmlformats.org/officeDocument/2006/relationships/hyperlink" Target="http://www.sec.gov/Archives/edgar/data/1794515/000162828020009137/exhibit103-closing8xkxexch.htm" TargetMode="External"/><Relationship Id="rId200" Type="http://schemas.openxmlformats.org/officeDocument/2006/relationships/hyperlink" Target="http://www.sec.gov/Archives/edgar/data/1794515/000162828020009137/exhibit104-closing8xkxreor.htm" TargetMode="External"/><Relationship Id="rId201" Type="http://schemas.openxmlformats.org/officeDocument/2006/relationships/hyperlink" Target="http://www.sec.gov/Archives/edgar/data/1794515/000162828020009137/exhibit105-closing8xkxregi.htm" TargetMode="External"/><Relationship Id="rId202" Type="http://schemas.openxmlformats.org/officeDocument/2006/relationships/hyperlink" Target="http://www.sec.gov/Archives/edgar/data/1794515/000162828020009137/exhibit106-closing8xkxstoc.htm" TargetMode="External"/><Relationship Id="rId203" Type="http://schemas.openxmlformats.org/officeDocument/2006/relationships/hyperlink" Target="http://www.sec.gov/Archives/edgar/data/1794515/000162828020009137/exhibit107-closing8xkx2020.htm" TargetMode="External"/><Relationship Id="rId204" Type="http://schemas.openxmlformats.org/officeDocument/2006/relationships/hyperlink" Target="http://www.sec.gov/Archives/edgar/data/1794515/000162828020009137/exhibit108-closing8xkxempl.htm" TargetMode="External"/><Relationship Id="rId205" Type="http://schemas.openxmlformats.org/officeDocument/2006/relationships/hyperlink" Target="http://www.sec.gov/Archives/edgar/data/1794515/000162828020009137/exhibit109-closing8xkxform.htm" TargetMode="External"/><Relationship Id="rId206" Type="http://schemas.openxmlformats.org/officeDocument/2006/relationships/hyperlink" Target="http://www.sec.gov/Archives/edgar/data/1794515/000162828020002344/exhibit1010-firstliencredi.htm" TargetMode="External"/><Relationship Id="rId207" Type="http://schemas.openxmlformats.org/officeDocument/2006/relationships/hyperlink" Target="http://www.sec.gov/Archives/edgar/data/1794515/000162828020002344/exhibit1011-amendmentno1da.htm" TargetMode="External"/><Relationship Id="rId208" Type="http://schemas.openxmlformats.org/officeDocument/2006/relationships/hyperlink" Target="http://www.sec.gov/Archives/edgar/data/1794515/000162828020002344/exhibit1012-firstliensecur.htm" TargetMode="External"/><Relationship Id="rId209" Type="http://schemas.openxmlformats.org/officeDocument/2006/relationships/hyperlink" Target="http://www.sec.gov/Archives/edgar/data/1794515/000162828020002344/exhibit1013-firstlienholdi.htm" TargetMode="External"/><Relationship Id="rId210" Type="http://schemas.openxmlformats.org/officeDocument/2006/relationships/hyperlink" Target="http://www.sec.gov/Archives/edgar/data/1794515/000162828020002344/exhibit1014-firstliensubsi.htm" TargetMode="External"/><Relationship Id="rId211" Type="http://schemas.openxmlformats.org/officeDocument/2006/relationships/hyperlink" Target="http://www.sec.gov/Archives/edgar/data/1794515/000162828020002344/exhibit1015-firstlieninter.htm" TargetMode="External"/><Relationship Id="rId213" Type="http://schemas.openxmlformats.org/officeDocument/2006/relationships/hyperlink" Target="http://www.sec.gov/Archives/edgar/data/1794515/000162828020002344/exhibit1025-employmentagre.htm" TargetMode="External"/><Relationship Id="rId214" Type="http://schemas.openxmlformats.org/officeDocument/2006/relationships/hyperlink" Target="http://www.sec.gov/Archives/edgar/data/1794515/000162828020002344/exhibit1026-formofhskbfund.htm" TargetMode="External"/><Relationship Id="rId215" Type="http://schemas.openxmlformats.org/officeDocument/2006/relationships/hyperlink" Target="http://www.sec.gov/Archives/edgar/data/1794515/000162828020002344/exhibit1027-formofclasspin.htm" TargetMode="External"/><Relationship Id="rId216" Type="http://schemas.openxmlformats.org/officeDocument/2006/relationships/hyperlink" Target="http://www.sec.gov/Archives/edgar/data/1794515/000162828020008317/exhibit1028formofstandarde.htm" TargetMode="External"/><Relationship Id="rId217" Type="http://schemas.openxmlformats.org/officeDocument/2006/relationships/hyperlink" Target="http://www.sec.gov/Archives/edgar/data/1794515/000162828020008317/exhibit1029formofstockopti.htm" TargetMode="External"/><Relationship Id="rId218" Type="http://schemas.openxmlformats.org/officeDocument/2006/relationships/hyperlink" Target="http://www.sec.gov/Archives/edgar/data/1794515/000162828020008317/exhibit1030formofleverager.htm" TargetMode="External"/><Relationship Id="rId219" Type="http://schemas.openxmlformats.org/officeDocument/2006/relationships/hyperlink" Target="http://www.sec.gov/Archives/edgar/data/1794515/000162828020008317/exhibit1031formofstandarde.htm" TargetMode="External"/><Relationship Id="rId220" Type="http://schemas.openxmlformats.org/officeDocument/2006/relationships/hyperlink" Target="http://www.sec.gov/Archives/edgar/data/1794515/000162828020008317/exhibit1032formofnon-emplo.htm" TargetMode="External"/><Relationship Id="rId221" Type="http://schemas.openxmlformats.org/officeDocument/2006/relationships/hyperlink" Target="http://www.sec.gov/Archives/edgar/data/1794515/000162828020008317/exhibit1033formofnon-emplo.htm" TargetMode="External"/><Relationship Id="rId222" Type="http://schemas.openxmlformats.org/officeDocument/2006/relationships/hyperlink" Target="http://www.sec.gov/Archives/edgar/data/1794515/000162828020008317/exhibit1034formofclasspuni.htm" TargetMode="External"/><Relationship Id="rId223" Type="http://schemas.openxmlformats.org/officeDocument/2006/relationships/hyperlink" Target="http://www.sec.gov/Archives/edgar/data/1794515/000162828020008317/exhibit1035formofltipunita.htm" TargetMode="External"/><Relationship Id="rId224" Type="http://schemas.openxmlformats.org/officeDocument/2006/relationships/hyperlink" Target="http://www.sec.gov/Archives/edgar/data/1794515/000162828020008317/exhibit1036formofrestricti.htm" TargetMode="External"/><Relationship Id="rId225" Type="http://schemas.openxmlformats.org/officeDocument/2006/relationships/hyperlink" Target="http://www.sec.gov/Archives/edgar/data/1794515/000179451520000019/zi-ex1020x20200810.htm" TargetMode="External"/><Relationship Id="rId226" Type="http://schemas.openxmlformats.org/officeDocument/2006/relationships/hyperlink" Target="https://www.sec.gov/Archives/edgar/data/1794515/000179451521000034/exhibit101xclosingxcredx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2021-02-26T17:38:12Z</dcterms:created>
  <dcterms:modified xsi:type="dcterms:W3CDTF">2021-02-26T17:38:12Z</dcterms:modified>
</cp:coreProperties>
</file>