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1495.xml.htm"/>
      <w:bookmarkStart w:id="1" w:name="kswkform4_17912314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McGrane Ashley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Corp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107,818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108,429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108,981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113,449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49,219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27,913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3.79</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143,130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3.7541</w:t>
            </w:r>
            <w:r>
              <w:rPr>
                <w:rFonts w:ascii="Times;serif" w:hAnsi="Times;serif"/>
                <w:color w:val="008000"/>
                <w:position w:val="7"/>
                <w:sz w:val="16"/>
                <w:sz w:val="20"/>
                <w:shd w:fill="FFFFFF" w:val="clear"/>
              </w:rPr>
              <w:t>(4)</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140,669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3,309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50,250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49,219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295,313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withheld to cover the Reporting Person's tax liability in connection with the vesting of the restricted stock units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reported in this Form 4 was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ranging from $3.74 to $3.78,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received an original grant of restricted stock units on March 23, 2023, which vest in equal quarterly installments during the 27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received an original grant of restricted stock units on October 25, 2023, which vest in equal quarterly installments during the 33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received an original grant of restricted stock units on March 26, 2024, which vest as follows: (a) 25% on April 1, 2025; and (b) the remainder of the award in equal quarterly installments during the 36 months following April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received an original grant of restricted stock units on July 24, 2024, which vest as follows: (a) 25% on April 1, 2025; and (b) the remainder of the award in equal quarterly installments during the 36 months following April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 received an original grant of restricted stock units on May 30, 2025, which vest as follows: (a) 33% on April 1, 2026; and (b) the remainder of the award in equal quarterly installments during the 24 months following April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Reporting Person received an original grant of restricted stock units on May 29, 2026, which vest in equal quarterly installments during the 24 months following April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Meredith Weisshaar,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7389"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1077</Words>
  <Characters>5615</Characters>
  <CharactersWithSpaces>6486</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