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874177.xml.htm"/>
      <w:bookmarkStart w:id="1" w:name="kswkform4_178587417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HSKB Funds 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ZOOMINFO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W COLUMBIA WAY, FLOOR 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VANCOUVER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98660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ZoomInfo Technologies Inc.</w:t>
              </w:r>
            </w:hyperlink>
            <w:r>
              <w:rPr/>
              <w:t xml:space="preserve"> [ </w:t>
            </w:r>
            <w:r>
              <w:rPr>
                <w:rFonts w:ascii="Times;serif" w:hAnsi="Times;serif"/>
                <w:color w:val="0000FF"/>
                <w:sz w:val="24"/>
                <w:shd w:fill="FFFFFF" w:val="clear"/>
              </w:rPr>
              <w:t>GTM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27,278</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214,149</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distribution of Common Stock of ZoomInfo Technologies Inc. ("ZoomInfo") to one or more employees of ZoomInfo and its subsidiaries, including shares sold to cover such employees' tax liabilities in connection with the distribution of the securities reported 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HSKB FUNDS II, LLC By: HLS Management, LLC, its manager By: /s/ Meredith Weisshaar, Attorney-in-Fact for Henry Schuck,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4202" TargetMode="External"/><Relationship Id="rId5" Type="http://schemas.openxmlformats.org/officeDocument/2006/relationships/hyperlink" Target="http://www.sec.gov/cgi-bin/browse-edgar?action=getcompany&amp;CIK=00017945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624</Words>
  <Characters>3409</Characters>
  <CharactersWithSpaces>3965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