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1503.xml.htm"/>
      <w:bookmarkStart w:id="1" w:name="kswkform4_17912315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Roth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209,763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240,402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22,058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262,460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18,522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280,982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80,938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361,920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70,640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3.79</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291,280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20,773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3.7003</w:t>
            </w:r>
            <w:r>
              <w:rPr>
                <w:rFonts w:ascii="Times;serif" w:hAnsi="Times;serif"/>
                <w:color w:val="008000"/>
                <w:position w:val="7"/>
                <w:sz w:val="16"/>
                <w:sz w:val="20"/>
                <w:shd w:fill="FFFFFF" w:val="clear"/>
              </w:rPr>
              <w:t>(4)</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270,507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44,118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80,938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485,625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withheld to cover the Reporting Person's tax liability in connection with the vesting of the restricted stock units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reported in this Form 4 was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ranging from $3.655 to $3.770,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received an original grant of restricted stock units on March 23, 2023, which vest in equal quarterly installments during the 27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received an original grant of restricted stock units on October 25, 2023, which vest in equal quarterly installments during the 21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received an original grant of restricted stock units on March 26, 2024, which vest in equal quarterly installments during the 27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received an original grant of restricted stock units on May 15, 2025, which vest as follows: (a) 33% on April 1, 2026; and (b) the remainder of the award in equal quarterly installments during the 24 months following April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received an original grant of restricted stock units on May 29, 2026, which vest in equal quarterly installments during the 24 months following April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Meredith Weisshaar,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7761"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992</Words>
  <Characters>5249</Characters>
  <CharactersWithSpaces>6056</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