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1516.xml.htm"/>
      <w:bookmarkStart w:id="1" w:name="kswkform4_1791231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Schuck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9"/>
        <w:gridCol w:w="901"/>
        <w:gridCol w:w="772"/>
        <w:gridCol w:w="598"/>
        <w:gridCol w:w="342"/>
        <w:gridCol w:w="913"/>
        <w:gridCol w:w="437"/>
        <w:gridCol w:w="655"/>
        <w:gridCol w:w="1345"/>
        <w:gridCol w:w="975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13,787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11,403,237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3.79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11,398,639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237,376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1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5,803,333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82,721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Reporting Person's proportionate pecuniary interest in the securities held directly by DO Holdings (WA),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May 29, 2024, which vest as follows: (a) 25% on April 1, 2025; and (b) the remainder of the award in equal quarterly installments during the 36 months following April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217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3849</Characters>
  <CharactersWithSpaces>4459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