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80"/>
        <w:ind w:left="0" w:right="0" w:firstLine="360"/>
        <w:jc w:val="both"/>
        <w:rPr/>
      </w:pPr>
      <w:r>
        <w:rPr/>
      </w:r>
    </w:p>
    <w:p>
      <w:pPr>
        <w:pStyle w:val="TextBody"/>
        <w:bidi w:val="0"/>
        <w:spacing w:before="30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8"/>
        </w:rPr>
      </w:pPr>
      <w:r>
        <w:rPr>
          <w:rFonts w:ascii="Times New Roman;serif" w:hAnsi="Times New Roman;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left"/>
        <w:rPr>
          <w:color w:val="000000"/>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300" w:after="180"/>
        <w:ind w:left="0" w:right="0" w:firstLine="360"/>
        <w:jc w:val="left"/>
        <w:rPr>
          <w:color w:val="000000"/>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001-39310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ZoomInfo Technologies Inc.</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62" w:type="dxa"/>
        <w:jc w:val="center"/>
        <w:tblInd w:w="0" w:type="dxa"/>
        <w:tblLayout w:type="fixed"/>
        <w:tblCellMar>
          <w:top w:w="28" w:type="dxa"/>
          <w:left w:w="28" w:type="dxa"/>
          <w:bottom w:w="28" w:type="dxa"/>
          <w:right w:w="28" w:type="dxa"/>
        </w:tblCellMar>
      </w:tblPr>
      <w:tblGrid>
        <w:gridCol w:w="1090"/>
        <w:gridCol w:w="955"/>
        <w:gridCol w:w="961"/>
        <w:gridCol w:w="112"/>
        <w:gridCol w:w="112"/>
        <w:gridCol w:w="112"/>
        <w:gridCol w:w="821"/>
        <w:gridCol w:w="821"/>
        <w:gridCol w:w="1178"/>
      </w:tblGrid>
      <w:tr>
        <w:trPr/>
        <w:tc>
          <w:tcPr>
            <w:tcW w:w="109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87-3037521</w:t>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330 W Columbia Way, Floor 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Vancouver, Washington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98660</w:t>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(800) 914-1220</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678" w:type="dxa"/>
        <w:jc w:val="left"/>
        <w:tblInd w:w="0" w:type="dxa"/>
        <w:tblLayout w:type="fixed"/>
        <w:tblCellMar>
          <w:top w:w="28" w:type="dxa"/>
          <w:left w:w="28" w:type="dxa"/>
          <w:bottom w:w="28" w:type="dxa"/>
          <w:right w:w="28" w:type="dxa"/>
        </w:tblCellMar>
      </w:tblPr>
      <w:tblGrid>
        <w:gridCol w:w="1099"/>
        <w:gridCol w:w="965"/>
        <w:gridCol w:w="965"/>
        <w:gridCol w:w="473"/>
        <w:gridCol w:w="473"/>
        <w:gridCol w:w="478"/>
        <w:gridCol w:w="941"/>
        <w:gridCol w:w="941"/>
        <w:gridCol w:w="1343"/>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0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GTM</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7" w:type="dxa"/>
        <w:jc w:val="center"/>
        <w:tblInd w:w="0" w:type="dxa"/>
        <w:tblLayout w:type="fixed"/>
        <w:tblCellMar>
          <w:top w:w="28" w:type="dxa"/>
          <w:left w:w="28" w:type="dxa"/>
          <w:bottom w:w="28" w:type="dxa"/>
          <w:right w:w="28" w:type="dxa"/>
        </w:tblCellMar>
      </w:tblPr>
      <w:tblGrid>
        <w:gridCol w:w="601"/>
        <w:gridCol w:w="528"/>
        <w:gridCol w:w="535"/>
        <w:gridCol w:w="109"/>
        <w:gridCol w:w="109"/>
        <w:gridCol w:w="109"/>
        <w:gridCol w:w="673"/>
        <w:gridCol w:w="673"/>
        <w:gridCol w:w="678"/>
        <w:gridCol w:w="109"/>
        <w:gridCol w:w="109"/>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by Rule 12b-2 of the Exchange Act).  Yes ☐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As of October 29, 2025, there were 311,592,534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80"/>
                        <w:ind w:left="0" w:right="0" w:firstLine="360"/>
                        <w:jc w:val="both"/>
                        <w:rPr/>
                      </w:pPr>
                      <w:r>
                        <w:rPr/>
                      </w:r>
                    </w:p>
                  </w:txbxContent>
                </v:textbox>
                <w10:wrap type="none"/>
              </v:rect>
            </w:pict>
          </mc:Fallback>
        </mc:AlternateContent>
      </w:r>
    </w:p>
    <w:p>
      <w:pPr>
        <w:pStyle w:val="TextBody"/>
        <w:bidi w:val="0"/>
        <w:spacing w:before="180" w:after="180"/>
        <w:ind w:left="0" w:right="0" w:firstLine="360"/>
        <w:jc w:val="both"/>
        <w:rPr/>
      </w:pPr>
      <w:r>
        <w:rPr/>
      </w:r>
    </w:p>
    <w:p>
      <w:pPr>
        <w:pStyle w:val="TextBody"/>
        <w:bidi w:val="0"/>
        <w:spacing w:lineRule="auto" w:line="288" w:before="300" w:after="180"/>
        <w:ind w:left="0" w:right="0" w:firstLine="36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extBody"/>
        <w:bidi w:val="0"/>
        <w:spacing w:lineRule="auto" w:line="288" w:before="300" w:after="180"/>
        <w:ind w:left="0" w:right="0" w:firstLine="36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TABLE OF CONTENTS</w:t>
      </w:r>
    </w:p>
    <w:tbl>
      <w:tblPr>
        <w:tblW w:w="8551" w:type="dxa"/>
        <w:jc w:val="center"/>
        <w:tblInd w:w="0" w:type="dxa"/>
        <w:tblLayout w:type="fixed"/>
        <w:tblCellMar>
          <w:top w:w="28" w:type="dxa"/>
          <w:left w:w="28" w:type="dxa"/>
          <w:bottom w:w="28" w:type="dxa"/>
          <w:right w:w="28" w:type="dxa"/>
        </w:tblCellMar>
      </w:tblPr>
      <w:tblGrid>
        <w:gridCol w:w="2891"/>
        <w:gridCol w:w="2540"/>
        <w:gridCol w:w="2549"/>
        <w:gridCol w:w="167"/>
        <w:gridCol w:w="167"/>
        <w:gridCol w:w="237"/>
      </w:tblGrid>
      <w:tr>
        <w:trPr/>
        <w:tc>
          <w:tcPr>
            <w:tcW w:w="2891"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0">
              <w:r>
                <w:rPr>
                  <w:rStyle w:val="InternetLink"/>
                  <w:rFonts w:ascii="Times New Roman;serif" w:hAnsi="Times New Roman;serif"/>
                  <w:b w:val="false"/>
                  <w:color w:val="0000FF"/>
                  <w:sz w:val="20"/>
                  <w:u w:val="single"/>
                </w:rPr>
                <w:t>Cautionary</w:t>
              </w:r>
            </w:hyperlink>
            <w:r>
              <w:rPr>
                <w:color w:val="000000"/>
                <w:u w:val="single"/>
              </w:rPr>
              <w:t xml:space="preserve"> </w:t>
            </w:r>
            <w:hyperlink w:anchor="i34b8b57ff32c414aaaa98188ee026d9f_10">
              <w:r>
                <w:rPr>
                  <w:rStyle w:val="InternetLink"/>
                  <w:rFonts w:ascii="Times New Roman;serif" w:hAnsi="Times New Roman;serif"/>
                  <w:b w:val="false"/>
                  <w:color w:val="0000FF"/>
                  <w:sz w:val="20"/>
                  <w:u w:val="single"/>
                </w:rPr>
                <w:t>Statement Regarding Forward-Looking Statements</w:t>
              </w:r>
            </w:hyperlink>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34b8b57ff32c414aaaa98188ee026d9f_10">
              <w:r>
                <w:rPr>
                  <w:rStyle w:val="InternetLink"/>
                  <w:rFonts w:ascii="Times New Roman;serif" w:hAnsi="Times New Roman;serif"/>
                  <w:b w:val="false"/>
                  <w:color w:val="0000FF"/>
                  <w:sz w:val="20"/>
                  <w:u w:val="single"/>
                </w:rPr>
                <w:t>ii</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3">
              <w:r>
                <w:rPr>
                  <w:rStyle w:val="InternetLink"/>
                  <w:rFonts w:ascii="Times New Roman;serif" w:hAnsi="Times New Roman;serif"/>
                  <w:b w:val="false"/>
                  <w:color w:val="0000FF"/>
                  <w:sz w:val="20"/>
                  <w:u w:val="single"/>
                </w:rPr>
                <w:t>PART I - FINANCIAL INFORMATION</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6">
              <w:r>
                <w:rPr>
                  <w:rStyle w:val="InternetLink"/>
                  <w:rFonts w:ascii="Times New Roman;serif" w:hAnsi="Times New Roman;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6">
              <w:r>
                <w:rPr>
                  <w:rStyle w:val="InternetLink"/>
                  <w:rFonts w:ascii="Times New Roman;serif" w:hAnsi="Times New Roman;serif"/>
                  <w:b w:val="false"/>
                  <w:color w:val="0000FF"/>
                  <w:sz w:val="20"/>
                  <w:u w:val="singl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4b8b57ff32c414aaaa98188ee026d9f_25">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25">
              <w:r>
                <w:rPr>
                  <w:rStyle w:val="InternetLink"/>
                  <w:rFonts w:ascii="Times New Roman;serif" w:hAnsi="Times New Roman;serif"/>
                  <w:b w:val="false"/>
                  <w:color w:val="0000FF"/>
                  <w:sz w:val="20"/>
                  <w:u w:val="singl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4b8b57ff32c414aaaa98188ee026d9f_28">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28">
              <w:r>
                <w:rPr>
                  <w:rStyle w:val="InternetLink"/>
                  <w:rFonts w:ascii="Times New Roman;serif" w:hAnsi="Times New Roman;serif"/>
                  <w:b w:val="false"/>
                  <w:color w:val="0000FF"/>
                  <w:sz w:val="20"/>
                  <w:u w:val="single"/>
                </w:rPr>
                <w:t>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4b8b57ff32c414aaaa98188ee026d9f_31">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31">
              <w:r>
                <w:rPr>
                  <w:rStyle w:val="InternetLink"/>
                  <w:rFonts w:ascii="Times New Roman;serif" w:hAnsi="Times New Roman;serif"/>
                  <w:b w:val="false"/>
                  <w:color w:val="0000FF"/>
                  <w:sz w:val="20"/>
                  <w:u w:val="single"/>
                </w:rPr>
                <w:t>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4b8b57ff32c414aaaa98188ee026d9f_34">
              <w:r>
                <w:rPr>
                  <w:rStyle w:val="InternetLink"/>
                  <w:rFonts w:ascii="Times New Roman;serif" w:hAnsi="Times New Roman;serif"/>
                  <w:b w:val="false"/>
                  <w:color w:val="0000FF"/>
                  <w:sz w:val="20"/>
                  <w:u w:val="singl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34">
              <w:r>
                <w:rPr>
                  <w:rStyle w:val="InternetLink"/>
                  <w:rFonts w:ascii="Times New Roman;serif" w:hAnsi="Times New Roman;serif"/>
                  <w:b w:val="false"/>
                  <w:color w:val="0000FF"/>
                  <w:sz w:val="20"/>
                  <w:u w:val="single"/>
                </w:rPr>
                <w:t>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4b8b57ff32c414aaaa98188ee026d9f_37">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37">
              <w:r>
                <w:rPr>
                  <w:rStyle w:val="InternetLink"/>
                  <w:rFonts w:ascii="Times New Roman;serif" w:hAnsi="Times New Roman;serif"/>
                  <w:b w:val="false"/>
                  <w:color w:val="0000FF"/>
                  <w:sz w:val="20"/>
                  <w:u w:val="single"/>
                </w:rPr>
                <w:t>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4b8b57ff32c414aaaa98188ee026d9f_40">
              <w:r>
                <w:rPr>
                  <w:rStyle w:val="InternetLink"/>
                  <w:rFonts w:ascii="Times New Roman;serif" w:hAnsi="Times New Roman;serif"/>
                  <w:b w:val="false"/>
                  <w:color w:val="0000FF"/>
                  <w:sz w:val="20"/>
                  <w:u w:val="singl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40">
              <w:r>
                <w:rPr>
                  <w:rStyle w:val="InternetLink"/>
                  <w:rFonts w:ascii="Times New Roman;serif" w:hAnsi="Times New Roman;serif"/>
                  <w:b w:val="false"/>
                  <w:color w:val="0000FF"/>
                  <w:sz w:val="20"/>
                  <w:u w:val="single"/>
                </w:rPr>
                <w:t>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94">
              <w:r>
                <w:rPr>
                  <w:rStyle w:val="InternetLink"/>
                  <w:rFonts w:ascii="Times New Roman;serif" w:hAnsi="Times New Roman;serif"/>
                  <w:b w:val="false"/>
                  <w:color w:val="000080"/>
                  <w:sz w:val="20"/>
                  <w:u w:val="single"/>
                </w:rPr>
                <w:t>Item 2. Management</w:t>
              </w:r>
            </w:hyperlink>
            <w:hyperlink w:anchor="i34b8b57ff32c414aaaa98188ee026d9f_94">
              <w:r>
                <w:rPr>
                  <w:rStyle w:val="InternetLink"/>
                  <w:rFonts w:ascii="Times New Roman;serif" w:hAnsi="Times New Roman;serif"/>
                  <w:b w:val="false"/>
                  <w:color w:val="000080"/>
                  <w:sz w:val="20"/>
                  <w:u w:val="single"/>
                </w:rPr>
                <w:t>’</w:t>
              </w:r>
            </w:hyperlink>
            <w:hyperlink w:anchor="i34b8b57ff32c414aaaa98188ee026d9f_94">
              <w:r>
                <w:rPr>
                  <w:rStyle w:val="InternetLink"/>
                  <w:rFonts w:ascii="Times New Roman;serif" w:hAnsi="Times New Roman;serif"/>
                  <w:b w:val="false"/>
                  <w:color w:val="000080"/>
                  <w:sz w:val="20"/>
                  <w:u w:val="single"/>
                </w:rPr>
                <w: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94">
              <w:r>
                <w:rPr>
                  <w:rStyle w:val="InternetLink"/>
                  <w:rFonts w:ascii="Times New Roman;serif" w:hAnsi="Times New Roman;serif"/>
                  <w:b w:val="false"/>
                  <w:color w:val="0000FF"/>
                  <w:sz w:val="20"/>
                  <w:u w:val="single"/>
                </w:rPr>
                <w:t>41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30">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30">
              <w:r>
                <w:rPr>
                  <w:rStyle w:val="InternetLink"/>
                  <w:rFonts w:ascii="Times New Roman;serif" w:hAnsi="Times New Roman;serif"/>
                  <w:b w:val="false"/>
                  <w:color w:val="0000FF"/>
                  <w:sz w:val="20"/>
                  <w:u w:val="single"/>
                </w:rPr>
                <w:t>62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33">
              <w:r>
                <w:rPr>
                  <w:rStyle w:val="InternetLink"/>
                  <w:rFonts w:ascii="Times New Roman;serif" w:hAnsi="Times New Roman;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33">
              <w:r>
                <w:rPr>
                  <w:rStyle w:val="InternetLink"/>
                  <w:rFonts w:ascii="Times New Roman;serif" w:hAnsi="Times New Roman;serif"/>
                  <w:b w:val="false"/>
                  <w:color w:val="0000FF"/>
                  <w:sz w:val="20"/>
                  <w:u w:val="single"/>
                </w:rPr>
                <w:t>63</w:t>
              </w:r>
            </w:hyperlink>
          </w:p>
        </w:tc>
      </w:tr>
      <w:tr>
        <w:trPr/>
        <w:tc>
          <w:tcPr>
            <w:tcW w:w="855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36">
              <w:r>
                <w:rPr>
                  <w:rStyle w:val="InternetLink"/>
                  <w:rFonts w:ascii="Times New Roman;serif" w:hAnsi="Times New Roman;serif"/>
                  <w:b w:val="false"/>
                  <w:color w:val="0000FF"/>
                  <w:sz w:val="20"/>
                  <w:u w:val="single"/>
                </w:rPr>
                <w:t>PART II - OTHER INFORMATION</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39">
              <w:r>
                <w:rPr>
                  <w:rStyle w:val="InternetLink"/>
                  <w:rFonts w:ascii="Times New Roman;serif" w:hAnsi="Times New Roman;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39">
              <w:r>
                <w:rPr>
                  <w:rStyle w:val="InternetLink"/>
                  <w:rFonts w:ascii="Times New Roman;serif" w:hAnsi="Times New Roman;serif"/>
                  <w:b w:val="false"/>
                  <w:color w:val="0000FF"/>
                  <w:sz w:val="20"/>
                  <w:u w:val="single"/>
                </w:rPr>
                <w:t>64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42">
              <w:r>
                <w:rPr>
                  <w:rStyle w:val="InternetLink"/>
                  <w:rFonts w:ascii="Times New Roman;serif" w:hAnsi="Times New Roman;serif"/>
                  <w:b w:val="false"/>
                  <w:color w:val="0000FF"/>
                  <w:sz w:val="20"/>
                  <w:u w:val="singl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42">
              <w:r>
                <w:rPr>
                  <w:rStyle w:val="InternetLink"/>
                  <w:rFonts w:ascii="Times New Roman;serif" w:hAnsi="Times New Roman;serif"/>
                  <w:b w:val="false"/>
                  <w:color w:val="0000FF"/>
                  <w:sz w:val="20"/>
                  <w:u w:val="single"/>
                </w:rPr>
                <w:t>64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45">
              <w:r>
                <w:rPr>
                  <w:rStyle w:val="InternetLink"/>
                  <w:rFonts w:ascii="Times New Roman;serif" w:hAnsi="Times New Roman;serif"/>
                  <w:b w:val="false"/>
                  <w:color w:val="0000FF"/>
                  <w:sz w:val="20"/>
                  <w:u w:val="singl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45">
              <w:r>
                <w:rPr>
                  <w:rStyle w:val="InternetLink"/>
                  <w:rFonts w:ascii="Times New Roman;serif" w:hAnsi="Times New Roman;serif"/>
                  <w:b w:val="false"/>
                  <w:color w:val="0000FF"/>
                  <w:sz w:val="20"/>
                  <w:u w:val="single"/>
                </w:rPr>
                <w:t>64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48">
              <w:r>
                <w:rPr>
                  <w:rStyle w:val="InternetLink"/>
                  <w:rFonts w:ascii="Times New Roman;serif" w:hAnsi="Times New Roman;serif"/>
                  <w:b w:val="false"/>
                  <w:color w:val="0000FF"/>
                  <w:sz w:val="20"/>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48">
              <w:r>
                <w:rPr>
                  <w:rStyle w:val="InternetLink"/>
                  <w:rFonts w:ascii="Times New Roman;serif" w:hAnsi="Times New Roman;serif"/>
                  <w:b w:val="false"/>
                  <w:color w:val="0000FF"/>
                  <w:sz w:val="20"/>
                  <w:u w:val="single"/>
                </w:rPr>
                <w:t>64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51">
              <w:r>
                <w:rPr>
                  <w:rStyle w:val="InternetLink"/>
                  <w:rFonts w:ascii="Times New Roman;serif" w:hAnsi="Times New Roman;serif"/>
                  <w:b w:val="false"/>
                  <w:color w:val="0000FF"/>
                  <w:sz w:val="20"/>
                  <w:u w:val="singl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51">
              <w:r>
                <w:rPr>
                  <w:rStyle w:val="InternetLink"/>
                  <w:rFonts w:ascii="Times New Roman;serif" w:hAnsi="Times New Roman;serif"/>
                  <w:b w:val="false"/>
                  <w:color w:val="0000FF"/>
                  <w:sz w:val="20"/>
                  <w:u w:val="single"/>
                </w:rPr>
                <w:t>65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54">
              <w:r>
                <w:rPr>
                  <w:rStyle w:val="InternetLink"/>
                  <w:rFonts w:ascii="Times New Roman;serif" w:hAnsi="Times New Roman;serif"/>
                  <w:b w:val="false"/>
                  <w:color w:val="0000FF"/>
                  <w:sz w:val="20"/>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54">
              <w:r>
                <w:rPr>
                  <w:rStyle w:val="InternetLink"/>
                  <w:rFonts w:ascii="Times New Roman;serif" w:hAnsi="Times New Roman;serif"/>
                  <w:b w:val="false"/>
                  <w:color w:val="0000FF"/>
                  <w:sz w:val="20"/>
                  <w:u w:val="single"/>
                </w:rPr>
                <w:t>65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60">
              <w:r>
                <w:rPr>
                  <w:rStyle w:val="InternetLink"/>
                  <w:rFonts w:ascii="Times New Roman;serif" w:hAnsi="Times New Roman;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60">
              <w:r>
                <w:rPr>
                  <w:rStyle w:val="InternetLink"/>
                  <w:rFonts w:ascii="Times New Roman;serif" w:hAnsi="Times New Roman;serif"/>
                  <w:b w:val="false"/>
                  <w:color w:val="0000FF"/>
                  <w:sz w:val="20"/>
                  <w:u w:val="single"/>
                </w:rPr>
                <w:t>66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163">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163">
              <w:r>
                <w:rPr>
                  <w:rStyle w:val="InternetLink"/>
                  <w:rFonts w:ascii="Times New Roman;serif" w:hAnsi="Times New Roman;serif"/>
                  <w:b w:val="false"/>
                  <w:color w:val="0000FF"/>
                  <w:sz w:val="20"/>
                  <w:u w:val="singl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Quarterly Report on Form 10-Q (this “Form 10-Q”) contains forward-looking statements that reflect our current views with respect to, among other things, our operations and financial performance. These forward-looking statements are included throughout this Form 10-Q, including in the section entitled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2024 as filed with the Securities and Exchange Commission (the “SEC”) on February 25, 2025 (the “2024 Form 10-K”), and in other reports we file from time to time with the SEC:</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Our Business and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current and potential customers may reduce spending on sales, marketing, recruiting and other technology and information as a result of weaker economic conditions, which could harm our revenue, results of operations,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attract new customers, renew existing subscriptions, expand existing subscriptions, and collect revenue from our customers, which could harm our revenue growth, cash flows, and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not able to obtain and maintain accurate, comprehensive, or reliable data, we could experience reduced demand for our products and services and have an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experience competition from other companies and technologies that allow companies to gather and aggregate sales, marketing, recruiting, and other data, and competing products and services could provide greater appeal to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is, and the markets in which we compete are, rapidly evolving, including with respect to AI and AI-enabled products, which make it difficult to forecast demand for our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platform integrates or otherwise works with third-party systems that we do not control;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could be negatively affected by changes in search engine algorithms and dynamics or other traffic-generating arrangements;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our executive officers and other key employees, and the loss of or inability to attract, integrate, and retain these and other highly skilled employees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maintain, upgrade, or implement adequate operational and financial resources, including our IT systems, we may be unable to execute our business plan;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successfully integrate acquired businesses, services, databases, and technologies into our operations, which could have an adverse effect on our business.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Privacy, Technology, and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litigation for any variety of claims, which could harm our reputation and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adequately protect or enforce our proprietary and intellectual property rights in our data or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Investing in our artificial intelligence (“AI”) capability introduces risks, which, if realized, could adversely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Third-parties could use our products and services in a manner that is unlawful or contrary to our values or applicable law;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Cyber-attacks and security vulnerabilities could result in serious harm to our reputation, business,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Financial, Accounting and Credit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generate revenue from sales of subscriptions to our platform and data, and any decline in demand for the types of products and services we offer would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raise additional capital or generate cash flows necessary to expand our operations and invest in new technologies in the future could reduce our ability to compete successfully and harm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Downturns or upturns in new sales and renewals are not immediately reflected in full within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anticipate increasing operating expenses in the future, and we may not be able to maintain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substantial amount of debt, which could adversely affect our financial position and our ability to raise additional capital and prevent us from fulfilling our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generate sufficient cash to service all of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fluctuations may affect our results of operations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credit and other ratings could adversely impact our operations and lower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Taxation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a multinational organization faced with increasingly complex tax issues in many jurisdictions, and global tax developments may have a material impact to our business, cash flows, tax liabilities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or regulations applicable to our business, including for example, the enactment of the One Big Beautiful Bill Act on July 4, 2025, have in the past, and may in the future, impact our financial results;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results of operations may be adversely affected if we are required to collect sales or other related taxes for purchases of our products and services in jurisdictions where we have not historically done so.</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Geopolitical and Macroeconomic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Operations and sales outside the United States expose us to risks inherent in international operations;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economic uncertainty and catastrophic events, including global pandemics, continued hostilities, such as those between Russia and Ukraine, Israel and Hamas, as well as related and other conflicts due to rising tensions in the Middle East, have and may disrupt our business and adversely impact our business and future results of operations and financial condition.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Our Organizational Structure and Ownership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corporate structure and our tax receivable agreements may restrict our ability to make certain payments, increase the costs to consummate certain transactions, and limit our ability to realize the value of certain tax attributes;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parties to our stockholders agreement have special rights and interests that may conflict with ours or yours in the future.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Website Disclosure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or that can be accessed through our website is not incorporated herein or otherwise a part of this Form 10-Q, and the inclusion of our website address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before="18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8412" w:type="dxa"/>
        <w:jc w:val="left"/>
        <w:tblInd w:w="0" w:type="dxa"/>
        <w:tblLayout w:type="fixed"/>
        <w:tblCellMar>
          <w:top w:w="28" w:type="dxa"/>
          <w:left w:w="28" w:type="dxa"/>
          <w:bottom w:w="28" w:type="dxa"/>
          <w:right w:w="28" w:type="dxa"/>
        </w:tblCellMar>
      </w:tblPr>
      <w:tblGrid>
        <w:gridCol w:w="2911"/>
        <w:gridCol w:w="2557"/>
        <w:gridCol w:w="2572"/>
        <w:gridCol w:w="109"/>
        <w:gridCol w:w="109"/>
        <w:gridCol w:w="154"/>
      </w:tblGrid>
      <w:tr>
        <w:trPr/>
        <w:tc>
          <w:tcPr>
            <w:tcW w:w="291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Unaudited Consolidated Financial Statements of ZoomInfo Technologies Inc. and Subsidiaries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25">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25">
              <w:r>
                <w:rPr>
                  <w:rStyle w:val="InternetLink"/>
                  <w:rFonts w:ascii="Times New Roman;serif" w:hAnsi="Times New Roman;serif"/>
                  <w:b w:val="false"/>
                  <w:color w:val="0000FF"/>
                  <w:sz w:val="20"/>
                  <w:u w:val="single"/>
                </w:rPr>
                <w:t>2</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28">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28">
              <w:r>
                <w:rPr>
                  <w:rStyle w:val="InternetLink"/>
                  <w:rFonts w:ascii="Times New Roman;serif" w:hAnsi="Times New Roman;serif"/>
                  <w:b w:val="false"/>
                  <w:color w:val="0000FF"/>
                  <w:sz w:val="20"/>
                  <w:u w:val="single"/>
                </w:rPr>
                <w:t>3</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31">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31">
              <w:r>
                <w:rPr>
                  <w:rStyle w:val="InternetLink"/>
                  <w:rFonts w:ascii="Times New Roman;serif" w:hAnsi="Times New Roman;serif"/>
                  <w:b w:val="false"/>
                  <w:color w:val="0000FF"/>
                  <w:sz w:val="20"/>
                  <w:u w:val="single"/>
                </w:rPr>
                <w:t>4</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34">
              <w:r>
                <w:rPr>
                  <w:rStyle w:val="InternetLink"/>
                  <w:rFonts w:ascii="Times New Roman;serif" w:hAnsi="Times New Roman;serif"/>
                  <w:b w:val="false"/>
                  <w:color w:val="0000FF"/>
                  <w:sz w:val="20"/>
                  <w:u w:val="single"/>
                </w:rPr>
                <w:t>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34">
              <w:r>
                <w:rPr>
                  <w:rStyle w:val="InternetLink"/>
                  <w:rFonts w:ascii="Times New Roman;serif" w:hAnsi="Times New Roman;serif"/>
                  <w:b w:val="false"/>
                  <w:color w:val="0000FF"/>
                  <w:sz w:val="20"/>
                  <w:u w:val="single"/>
                </w:rPr>
                <w:t>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37">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37">
              <w:r>
                <w:rPr>
                  <w:rStyle w:val="InternetLink"/>
                  <w:rFonts w:ascii="Times New Roman;serif" w:hAnsi="Times New Roman;serif"/>
                  <w:b w:val="false"/>
                  <w:color w:val="0000FF"/>
                  <w:sz w:val="20"/>
                  <w:u w:val="single"/>
                </w:rPr>
                <w:t>7</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40">
              <w:r>
                <w:rPr>
                  <w:rStyle w:val="InternetLink"/>
                  <w:rFonts w:ascii="Times New Roman;serif" w:hAnsi="Times New Roman;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40">
              <w:r>
                <w:rPr>
                  <w:rStyle w:val="InternetLink"/>
                  <w:rFonts w:ascii="Times New Roman;serif" w:hAnsi="Times New Roman;serif"/>
                  <w:b w:val="false"/>
                  <w:color w:val="0000FF"/>
                  <w:sz w:val="20"/>
                  <w:u w:val="singl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before="30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02"/>
        <w:gridCol w:w="2354"/>
        <w:gridCol w:w="2331"/>
        <w:gridCol w:w="219"/>
        <w:gridCol w:w="790"/>
        <w:gridCol w:w="121"/>
        <w:gridCol w:w="109"/>
        <w:gridCol w:w="109"/>
        <w:gridCol w:w="109"/>
        <w:gridCol w:w="214"/>
        <w:gridCol w:w="774"/>
        <w:gridCol w:w="173"/>
      </w:tblGrid>
      <w:tr>
        <w:trPr/>
        <w:tc>
          <w:tcPr>
            <w:tcW w:w="2902"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millions, except share data)</w:t>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451.0 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 and other assets, net of current portion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6,369.7</w:t>
            </w:r>
            <w:r>
              <w:rPr>
                <w:color w:val="000000"/>
              </w:rPr>
              <w:t>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6,467.6</w:t>
            </w:r>
            <w:r>
              <w:rPr>
                <w:color w:val="000000"/>
              </w:rPr>
              <w:t>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current portion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tax receivable agreements liability</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556.8 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652.1 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net of current portion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agreements liability, net of current portion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4,839.2</w:t>
            </w: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4,774.1</w:t>
            </w:r>
            <w:r>
              <w:rPr>
                <w:color w:val="000000"/>
              </w:rPr>
              <w:t>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Common stock, par value $0.01; 3,300,000,000 shares authorized as of September 30, 2025 and December 31, 2024; 313,766,648 and 342,027,974 issued and outstanding as of September 30, 2025 and December 31, 2024, respectively</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stock, par value $0.01; 200,000,000 shares authorized as of September 30, 2025 and December 31, 2024; zero issued and outstanding as of September 30, 2025 and December 31, 2024</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1,530.5</w:t>
            </w: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1,693.5</w:t>
            </w:r>
            <w:r>
              <w:rPr>
                <w:color w:val="000000"/>
              </w:rPr>
              <w:t>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6,369.7</w:t>
            </w:r>
            <w:r>
              <w:rPr>
                <w:color w:val="000000"/>
              </w:rPr>
              <w:t>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6,467.6</w:t>
            </w:r>
            <w:r>
              <w:rPr>
                <w:color w:val="000000"/>
              </w:rPr>
              <w:t> </w:t>
            </w:r>
          </w:p>
        </w:tc>
        <w:tc>
          <w:tcPr>
            <w:tcW w:w="1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21105"/>
                <wp:effectExtent l="0" t="0" r="0" b="0"/>
                <wp:wrapNone/>
                <wp:docPr id="7" name="Frame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384"/>
        <w:gridCol w:w="1207"/>
        <w:gridCol w:w="1207"/>
        <w:gridCol w:w="294"/>
        <w:gridCol w:w="862"/>
        <w:gridCol w:w="151"/>
        <w:gridCol w:w="151"/>
        <w:gridCol w:w="151"/>
        <w:gridCol w:w="151"/>
        <w:gridCol w:w="294"/>
        <w:gridCol w:w="862"/>
        <w:gridCol w:w="151"/>
        <w:gridCol w:w="109"/>
        <w:gridCol w:w="109"/>
        <w:gridCol w:w="109"/>
        <w:gridCol w:w="282"/>
        <w:gridCol w:w="825"/>
        <w:gridCol w:w="145"/>
        <w:gridCol w:w="145"/>
        <w:gridCol w:w="145"/>
        <w:gridCol w:w="145"/>
        <w:gridCol w:w="282"/>
        <w:gridCol w:w="825"/>
        <w:gridCol w:w="219"/>
      </w:tblGrid>
      <w:tr>
        <w:trPr/>
        <w:tc>
          <w:tcPr>
            <w:tcW w:w="138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 unaudited)</w:t>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781.9 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702.1 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38.7</w:t>
            </w:r>
            <w:r>
              <w:rPr>
                <w:color w:val="000000"/>
              </w:rPr>
              <w:t>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w:t>
            </w:r>
            <w:r>
              <w:rPr>
                <w:color w:val="000000"/>
              </w:rPr>
              <w:t>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89.5</w:t>
            </w:r>
            <w:r>
              <w:rPr>
                <w:color w:val="000000"/>
              </w:rPr>
              <w:t> </w:t>
            </w:r>
          </w:p>
        </w:tc>
        <w:tc>
          <w:tcPr>
            <w:tcW w:w="1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w:t>
            </w:r>
            <w:r>
              <w:rPr>
                <w:color w:val="000000"/>
              </w:rPr>
              <w:t>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of common stock:</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jc w:val="both"/>
        <w:rPr/>
      </w:pPr>
      <w:r>
        <w:rPr>
          <w:rFonts w:ascii="Times New Roman;serif" w:hAnsi="Times New Roman;serif"/>
          <w:b w:val="false"/>
          <w:color w:val="000000"/>
          <w:sz w:val="18"/>
        </w:rPr>
        <w:t>(1)</w:t>
      </w:r>
      <w:r>
        <w:rPr>
          <w:rFonts w:ascii="Times New Roman;serif" w:hAnsi="Times New Roman;serif"/>
          <w:b w:val="false"/>
          <w:color w:val="000000"/>
          <w:sz w:val="18"/>
        </w:rPr>
        <w:t>Amounts include equity-based compensation expense, as follows:</w:t>
      </w:r>
    </w:p>
    <w:tbl>
      <w:tblPr>
        <w:tblW w:w="9123" w:type="dxa"/>
        <w:jc w:val="left"/>
        <w:tblInd w:w="0" w:type="dxa"/>
        <w:tblLayout w:type="fixed"/>
        <w:tblCellMar>
          <w:top w:w="28" w:type="dxa"/>
          <w:left w:w="28" w:type="dxa"/>
          <w:bottom w:w="28" w:type="dxa"/>
          <w:right w:w="28" w:type="dxa"/>
        </w:tblCellMar>
      </w:tblPr>
      <w:tblGrid>
        <w:gridCol w:w="1105"/>
        <w:gridCol w:w="971"/>
        <w:gridCol w:w="983"/>
        <w:gridCol w:w="303"/>
        <w:gridCol w:w="722"/>
        <w:gridCol w:w="168"/>
        <w:gridCol w:w="168"/>
        <w:gridCol w:w="168"/>
        <w:gridCol w:w="168"/>
        <w:gridCol w:w="303"/>
        <w:gridCol w:w="722"/>
        <w:gridCol w:w="168"/>
        <w:gridCol w:w="109"/>
        <w:gridCol w:w="109"/>
        <w:gridCol w:w="109"/>
        <w:gridCol w:w="278"/>
        <w:gridCol w:w="662"/>
        <w:gridCol w:w="155"/>
        <w:gridCol w:w="155"/>
        <w:gridCol w:w="155"/>
        <w:gridCol w:w="155"/>
        <w:gridCol w:w="278"/>
        <w:gridCol w:w="790"/>
        <w:gridCol w:w="219"/>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3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221105"/>
                <wp:effectExtent l="0" t="0" r="0" b="0"/>
                <wp:wrapNone/>
                <wp:docPr id="8" name="Frame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43"/>
        <w:gridCol w:w="1427"/>
        <w:gridCol w:w="1442"/>
        <w:gridCol w:w="275"/>
        <w:gridCol w:w="688"/>
        <w:gridCol w:w="142"/>
        <w:gridCol w:w="142"/>
        <w:gridCol w:w="142"/>
        <w:gridCol w:w="142"/>
        <w:gridCol w:w="275"/>
        <w:gridCol w:w="743"/>
        <w:gridCol w:w="142"/>
        <w:gridCol w:w="109"/>
        <w:gridCol w:w="109"/>
        <w:gridCol w:w="109"/>
        <w:gridCol w:w="262"/>
        <w:gridCol w:w="705"/>
        <w:gridCol w:w="135"/>
        <w:gridCol w:w="135"/>
        <w:gridCol w:w="135"/>
        <w:gridCol w:w="135"/>
        <w:gridCol w:w="262"/>
        <w:gridCol w:w="705"/>
        <w:gridCol w:w="201"/>
      </w:tblGrid>
      <w:tr>
        <w:trPr/>
        <w:tc>
          <w:tcPr>
            <w:tcW w:w="164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millions; unaudited)</w:t>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loss, net of tax:</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settlement of cash flow hedges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losses related to the dedesignated Interest Rate Swap</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w:t>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w:t>
            </w:r>
            <w:r>
              <w:rPr>
                <w:color w:val="000000"/>
              </w:rPr>
              <w:t>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15.2</w:t>
            </w:r>
            <w:r>
              <w:rPr>
                <w:color w:val="000000"/>
              </w:rPr>
              <w:t>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w:t>
            </w:r>
            <w:r>
              <w:rPr>
                <w:color w:val="000000"/>
              </w:rPr>
              <w:t> </w:t>
            </w:r>
          </w:p>
        </w:tc>
        <w:tc>
          <w:tcPr>
            <w:tcW w:w="1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221105"/>
                <wp:effectExtent l="0" t="0" r="0" b="0"/>
                <wp:wrapNone/>
                <wp:docPr id="9" name="Frame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0324" w:type="dxa"/>
        <w:jc w:val="left"/>
        <w:tblInd w:w="0" w:type="dxa"/>
        <w:tblLayout w:type="fixed"/>
        <w:tblCellMar>
          <w:top w:w="28" w:type="dxa"/>
          <w:left w:w="28" w:type="dxa"/>
          <w:bottom w:w="28" w:type="dxa"/>
          <w:right w:w="28" w:type="dxa"/>
        </w:tblCellMar>
      </w:tblPr>
      <w:tblGrid>
        <w:gridCol w:w="805"/>
        <w:gridCol w:w="272"/>
        <w:gridCol w:w="274"/>
        <w:gridCol w:w="593"/>
        <w:gridCol w:w="593"/>
        <w:gridCol w:w="226"/>
        <w:gridCol w:w="109"/>
        <w:gridCol w:w="109"/>
        <w:gridCol w:w="109"/>
        <w:gridCol w:w="222"/>
        <w:gridCol w:w="443"/>
        <w:gridCol w:w="116"/>
        <w:gridCol w:w="109"/>
        <w:gridCol w:w="109"/>
        <w:gridCol w:w="109"/>
        <w:gridCol w:w="211"/>
        <w:gridCol w:w="781"/>
        <w:gridCol w:w="109"/>
        <w:gridCol w:w="109"/>
        <w:gridCol w:w="109"/>
        <w:gridCol w:w="109"/>
        <w:gridCol w:w="350"/>
        <w:gridCol w:w="849"/>
        <w:gridCol w:w="182"/>
        <w:gridCol w:w="109"/>
        <w:gridCol w:w="109"/>
        <w:gridCol w:w="109"/>
        <w:gridCol w:w="211"/>
        <w:gridCol w:w="631"/>
        <w:gridCol w:w="109"/>
        <w:gridCol w:w="109"/>
        <w:gridCol w:w="109"/>
        <w:gridCol w:w="109"/>
        <w:gridCol w:w="109"/>
        <w:gridCol w:w="109"/>
        <w:gridCol w:w="109"/>
        <w:gridCol w:w="109"/>
        <w:gridCol w:w="234"/>
        <w:gridCol w:w="869"/>
        <w:gridCol w:w="173"/>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8721" w:type="dxa"/>
            <w:gridSpan w:val="3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ZoomInfo Technologies Inc.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 data; unaudited)</w:t>
            </w:r>
          </w:p>
        </w:tc>
        <w:tc>
          <w:tcPr>
            <w:tcW w:w="160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561" w:type="dxa"/>
            <w:gridSpan w:val="3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342,027,974 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1,693.5 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1,417,178 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(502,692)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(8,598,274)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334,344,186 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1,646.1 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2,155,151 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(15,876,573)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973" w:type="dxa"/>
            <w:gridSpan w:val="37"/>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453" w:type="dxa"/>
            <w:gridSpan w:val="28"/>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320,561,651 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1,552.0 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1,533,906 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(8,283,044)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September 30, 2025</w:t>
            </w:r>
          </w:p>
        </w:tc>
        <w:tc>
          <w:tcPr>
            <w:tcW w:w="1412"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313,766,648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w:t>
            </w:r>
            <w:r>
              <w:rPr>
                <w:color w:val="000000"/>
              </w:rPr>
              <w:t>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1,120.1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w:t>
            </w:r>
            <w:r>
              <w:rPr>
                <w:color w:val="000000"/>
              </w:rPr>
              <w:t> </w:t>
            </w:r>
          </w:p>
        </w:tc>
        <w:tc>
          <w:tcPr>
            <w:tcW w:w="1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401.9</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1,530.5</w:t>
            </w:r>
            <w:r>
              <w:rPr>
                <w:color w:val="000000"/>
              </w:rPr>
              <w:t> </w:t>
            </w:r>
          </w:p>
        </w:tc>
        <w:tc>
          <w:tcPr>
            <w:tcW w:w="1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221105"/>
                <wp:effectExtent l="0" t="0" r="0" b="0"/>
                <wp:wrapNone/>
                <wp:docPr id="10" name="Frame1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tbl>
      <w:tblPr>
        <w:tblW w:w="10542" w:type="dxa"/>
        <w:jc w:val="left"/>
        <w:tblInd w:w="0" w:type="dxa"/>
        <w:tblLayout w:type="fixed"/>
        <w:tblCellMar>
          <w:top w:w="28" w:type="dxa"/>
          <w:left w:w="28" w:type="dxa"/>
          <w:bottom w:w="28" w:type="dxa"/>
          <w:right w:w="28" w:type="dxa"/>
        </w:tblCellMar>
      </w:tblPr>
      <w:tblGrid>
        <w:gridCol w:w="805"/>
        <w:gridCol w:w="272"/>
        <w:gridCol w:w="274"/>
        <w:gridCol w:w="593"/>
        <w:gridCol w:w="593"/>
        <w:gridCol w:w="226"/>
        <w:gridCol w:w="109"/>
        <w:gridCol w:w="109"/>
        <w:gridCol w:w="109"/>
        <w:gridCol w:w="222"/>
        <w:gridCol w:w="443"/>
        <w:gridCol w:w="116"/>
        <w:gridCol w:w="109"/>
        <w:gridCol w:w="109"/>
        <w:gridCol w:w="109"/>
        <w:gridCol w:w="211"/>
        <w:gridCol w:w="781"/>
        <w:gridCol w:w="109"/>
        <w:gridCol w:w="109"/>
        <w:gridCol w:w="109"/>
        <w:gridCol w:w="109"/>
        <w:gridCol w:w="344"/>
        <w:gridCol w:w="858"/>
        <w:gridCol w:w="179"/>
        <w:gridCol w:w="109"/>
        <w:gridCol w:w="109"/>
        <w:gridCol w:w="109"/>
        <w:gridCol w:w="211"/>
        <w:gridCol w:w="631"/>
        <w:gridCol w:w="109"/>
        <w:gridCol w:w="109"/>
        <w:gridCol w:w="109"/>
        <w:gridCol w:w="109"/>
        <w:gridCol w:w="109"/>
        <w:gridCol w:w="109"/>
        <w:gridCol w:w="109"/>
        <w:gridCol w:w="109"/>
        <w:gridCol w:w="109"/>
        <w:gridCol w:w="109"/>
        <w:gridCol w:w="234"/>
        <w:gridCol w:w="869"/>
        <w:gridCol w:w="173"/>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8939"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ZoomInfo Technologies Inc.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 data; unaudited) (continued)</w:t>
            </w:r>
          </w:p>
        </w:tc>
        <w:tc>
          <w:tcPr>
            <w:tcW w:w="160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779" w:type="dxa"/>
            <w:gridSpan w:val="3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384,830,529 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1,359,913 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(9,623,255)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2024</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376,156,650 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1,672,136 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ESPP</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(10,799,791)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2024</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366,772,027 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1,862.9 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 / cancellations</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(24,478,696)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September 30, 2024</w:t>
            </w:r>
          </w:p>
        </w:tc>
        <w:tc>
          <w:tcPr>
            <w:tcW w:w="1412"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342,905,049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w:t>
            </w:r>
            <w:r>
              <w:rPr>
                <w:color w:val="000000"/>
              </w:rPr>
              <w:t>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1,351.3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w:t>
            </w:r>
            <w:r>
              <w:rPr>
                <w:color w:val="000000"/>
              </w:rPr>
              <w:t> </w:t>
            </w:r>
          </w:p>
        </w:tc>
        <w:tc>
          <w:tcPr>
            <w:tcW w:w="1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297.8</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1,668.4</w:t>
            </w:r>
            <w:r>
              <w:rPr>
                <w:color w:val="000000"/>
              </w:rPr>
              <w:t> </w:t>
            </w:r>
          </w:p>
        </w:tc>
        <w:tc>
          <w:tcPr>
            <w:tcW w:w="1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221105"/>
                <wp:effectExtent l="0" t="0" r="0" b="0"/>
                <wp:wrapNone/>
                <wp:docPr id="11" name="Frame1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tbl>
      <w:tblPr>
        <w:tblW w:w="9760" w:type="dxa"/>
        <w:jc w:val="left"/>
        <w:tblInd w:w="0" w:type="dxa"/>
        <w:tblLayout w:type="fixed"/>
        <w:tblCellMar>
          <w:top w:w="28" w:type="dxa"/>
          <w:left w:w="28" w:type="dxa"/>
          <w:bottom w:w="28" w:type="dxa"/>
          <w:right w:w="28" w:type="dxa"/>
        </w:tblCellMar>
      </w:tblPr>
      <w:tblGrid>
        <w:gridCol w:w="2435"/>
        <w:gridCol w:w="2135"/>
        <w:gridCol w:w="2149"/>
        <w:gridCol w:w="268"/>
        <w:gridCol w:w="879"/>
        <w:gridCol w:w="138"/>
        <w:gridCol w:w="138"/>
        <w:gridCol w:w="138"/>
        <w:gridCol w:w="138"/>
        <w:gridCol w:w="268"/>
        <w:gridCol w:w="879"/>
        <w:gridCol w:w="195"/>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60"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lease abandonment charges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remeasurement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and other assets, net of current portion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 initial direct costs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consideration</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modification costs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loans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the ESPP</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(596.8)</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221105"/>
                <wp:effectExtent l="0" t="0" r="0" b="0"/>
                <wp:wrapNone/>
                <wp:docPr id="12" name="Frame1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57"/>
        <w:gridCol w:w="2316"/>
        <w:gridCol w:w="2323"/>
        <w:gridCol w:w="264"/>
        <w:gridCol w:w="775"/>
        <w:gridCol w:w="137"/>
        <w:gridCol w:w="137"/>
        <w:gridCol w:w="137"/>
        <w:gridCol w:w="137"/>
        <w:gridCol w:w="264"/>
        <w:gridCol w:w="860"/>
        <w:gridCol w:w="198"/>
      </w:tblGrid>
      <w:tr>
        <w:trPr/>
        <w:tc>
          <w:tcPr>
            <w:tcW w:w="2657"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 (continued)</w:t>
            </w:r>
          </w:p>
        </w:tc>
      </w:tr>
      <w:tr>
        <w:trPr/>
        <w:tc>
          <w:tcPr>
            <w:tcW w:w="7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 and other current liabilities</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capitalized software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21105"/>
                <wp:effectExtent l="0" t="0" r="0" b="0"/>
                <wp:wrapNone/>
                <wp:docPr id="13" name="Frame1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share/unit data and per share/unit amounts, unless otherwise noted)</w:t>
      </w:r>
    </w:p>
    <w:tbl>
      <w:tblPr>
        <w:tblW w:w="7797" w:type="dxa"/>
        <w:jc w:val="center"/>
        <w:tblInd w:w="0" w:type="dxa"/>
        <w:tblLayout w:type="fixed"/>
        <w:tblCellMar>
          <w:top w:w="28" w:type="dxa"/>
          <w:left w:w="28" w:type="dxa"/>
          <w:bottom w:w="28" w:type="dxa"/>
          <w:right w:w="28" w:type="dxa"/>
        </w:tblCellMar>
      </w:tblPr>
      <w:tblGrid>
        <w:gridCol w:w="277"/>
        <w:gridCol w:w="242"/>
        <w:gridCol w:w="246"/>
        <w:gridCol w:w="2218"/>
        <w:gridCol w:w="2218"/>
        <w:gridCol w:w="2224"/>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43">
              <w:r>
                <w:rPr>
                  <w:rStyle w:val="InternetLink"/>
                  <w:rFonts w:ascii="Times New Roman;serif" w:hAnsi="Times New Roman;serif"/>
                  <w:b w:val="false"/>
                  <w:color w:val="0000FF"/>
                  <w:sz w:val="20"/>
                  <w:u w:val="single"/>
                </w:rPr>
                <w:t>Note 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43">
              <w:r>
                <w:rPr>
                  <w:rStyle w:val="InternetLink"/>
                  <w:rFonts w:ascii="Times New Roman;serif" w:hAnsi="Times New Roman;serif"/>
                  <w:b w:val="false"/>
                  <w:color w:val="0000FF"/>
                  <w:sz w:val="20"/>
                  <w:u w:val="single"/>
                </w:rPr>
                <w:t>Business, Basis of Presentation,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43">
              <w:r>
                <w:rPr>
                  <w:rStyle w:val="InternetLink"/>
                  <w:rFonts w:ascii="Times New Roman;serif" w:hAnsi="Times New Roman;serif"/>
                  <w:b w:val="false"/>
                  <w:color w:val="0000FF"/>
                  <w:sz w:val="20"/>
                  <w:u w:val="single"/>
                </w:rPr>
                <w:t>10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46">
              <w:r>
                <w:rPr>
                  <w:rStyle w:val="InternetLink"/>
                  <w:rFonts w:ascii="Times New Roman;serif" w:hAnsi="Times New Roman;serif"/>
                  <w:b w:val="false"/>
                  <w:color w:val="0000FF"/>
                  <w:sz w:val="20"/>
                  <w:u w:val="single"/>
                </w:rPr>
                <w:t>Note 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46">
              <w:r>
                <w:rPr>
                  <w:rStyle w:val="InternetLink"/>
                  <w:rFonts w:ascii="Times New Roman;serif" w:hAnsi="Times New Roman;serif"/>
                  <w:b w:val="false"/>
                  <w:color w:val="0000FF"/>
                  <w:sz w:val="20"/>
                  <w:u w:val="single"/>
                </w:rPr>
                <w:t>Revenue from Contracts with Customers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46">
              <w:r>
                <w:rPr>
                  <w:rStyle w:val="InternetLink"/>
                  <w:rFonts w:ascii="Times New Roman;serif" w:hAnsi="Times New Roman;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52">
              <w:r>
                <w:rPr>
                  <w:rStyle w:val="InternetLink"/>
                  <w:rFonts w:ascii="Times New Roman;serif" w:hAnsi="Times New Roman;serif"/>
                  <w:b w:val="false"/>
                  <w:color w:val="0000FF"/>
                  <w:sz w:val="20"/>
                  <w:u w:val="single"/>
                </w:rPr>
                <w:t>Note 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52">
              <w:r>
                <w:rPr>
                  <w:rStyle w:val="InternetLink"/>
                  <w:rFonts w:ascii="Times New Roman;serif" w:hAnsi="Times New Roman;serif"/>
                  <w:b w:val="false"/>
                  <w:color w:val="0000FF"/>
                  <w:sz w:val="20"/>
                  <w:u w:val="single"/>
                </w:rPr>
                <w:t>Cash, Cash Equivalents, and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52">
              <w:r>
                <w:rPr>
                  <w:rStyle w:val="InternetLink"/>
                  <w:rFonts w:ascii="Times New Roman;serif" w:hAnsi="Times New Roman;serif"/>
                  <w:b w:val="false"/>
                  <w:color w:val="0000FF"/>
                  <w:sz w:val="20"/>
                  <w:u w:val="single"/>
                </w:rPr>
                <w:t>22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55">
              <w:r>
                <w:rPr>
                  <w:rStyle w:val="InternetLink"/>
                  <w:rFonts w:ascii="Times New Roman;serif" w:hAnsi="Times New Roman;serif"/>
                  <w:b w:val="false"/>
                  <w:color w:val="0000FF"/>
                  <w:sz w:val="20"/>
                  <w:u w:val="single"/>
                </w:rPr>
                <w:t>Note 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55">
              <w:r>
                <w:rPr>
                  <w:rStyle w:val="InternetLink"/>
                  <w:rFonts w:ascii="Times New Roman;serif" w:hAnsi="Times New Roman;serif"/>
                  <w:b w:val="false"/>
                  <w:color w:val="0000FF"/>
                  <w:sz w:val="20"/>
                  <w:u w:val="single"/>
                </w:rPr>
                <w:t>Property and Equipment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55">
              <w:r>
                <w:rPr>
                  <w:rStyle w:val="InternetLink"/>
                  <w:rFonts w:ascii="Times New Roman;serif" w:hAnsi="Times New Roman;serif"/>
                  <w:b w:val="false"/>
                  <w:color w:val="0000FF"/>
                  <w:sz w:val="20"/>
                  <w:u w:val="single"/>
                </w:rPr>
                <w:t>23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58">
              <w:r>
                <w:rPr>
                  <w:rStyle w:val="InternetLink"/>
                  <w:rFonts w:ascii="Times New Roman;serif" w:hAnsi="Times New Roman;serif"/>
                  <w:b w:val="false"/>
                  <w:color w:val="0000FF"/>
                  <w:sz w:val="20"/>
                  <w:u w:val="single"/>
                </w:rPr>
                <w:t>Note 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58">
              <w:r>
                <w:rPr>
                  <w:rStyle w:val="InternetLink"/>
                  <w:rFonts w:ascii="Times New Roman;serif" w:hAnsi="Times New Roman;serif"/>
                  <w:b w:val="false"/>
                  <w:color w:val="0000FF"/>
                  <w:sz w:val="20"/>
                  <w:u w:val="single"/>
                </w:rPr>
                <w:t>Goodwill and Acquired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58">
              <w:r>
                <w:rPr>
                  <w:rStyle w:val="InternetLink"/>
                  <w:rFonts w:ascii="Times New Roman;serif" w:hAnsi="Times New Roman;serif"/>
                  <w:b w:val="false"/>
                  <w:color w:val="0000FF"/>
                  <w:sz w:val="20"/>
                  <w:u w:val="single"/>
                </w:rPr>
                <w:t>23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61">
              <w:r>
                <w:rPr>
                  <w:rStyle w:val="InternetLink"/>
                  <w:rFonts w:ascii="Times New Roman;serif" w:hAnsi="Times New Roman;serif"/>
                  <w:b w:val="false"/>
                  <w:color w:val="0000FF"/>
                  <w:sz w:val="20"/>
                  <w:u w:val="single"/>
                </w:rPr>
                <w:t>Note 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61">
              <w:r>
                <w:rPr>
                  <w:rStyle w:val="InternetLink"/>
                  <w:rFonts w:ascii="Times New Roman;serif" w:hAnsi="Times New Roman;serif"/>
                  <w:b w:val="false"/>
                  <w:color w:val="0000FF"/>
                  <w:sz w:val="20"/>
                  <w:u w:val="single"/>
                </w:rPr>
                <w:t>Financing Arrangements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61">
              <w:r>
                <w:rPr>
                  <w:rStyle w:val="InternetLink"/>
                  <w:rFonts w:ascii="Times New Roman;serif" w:hAnsi="Times New Roman;serif"/>
                  <w:b w:val="false"/>
                  <w:color w:val="0000FF"/>
                  <w:sz w:val="20"/>
                  <w:u w:val="single"/>
                </w:rPr>
                <w:t>25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64">
              <w:r>
                <w:rPr>
                  <w:rStyle w:val="InternetLink"/>
                  <w:rFonts w:ascii="Times New Roman;serif" w:hAnsi="Times New Roman;serif"/>
                  <w:b w:val="false"/>
                  <w:color w:val="0000FF"/>
                  <w:sz w:val="20"/>
                  <w:u w:val="single"/>
                </w:rPr>
                <w:t>Note 7</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64">
              <w:r>
                <w:rPr>
                  <w:rStyle w:val="InternetLink"/>
                  <w:rFonts w:ascii="Times New Roman;serif" w:hAnsi="Times New Roman;serif"/>
                  <w:b w:val="false"/>
                  <w:color w:val="0000FF"/>
                  <w:sz w:val="20"/>
                  <w:u w:val="single"/>
                </w:rPr>
                <w:t>Derivatives and Hedging Activities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64">
              <w:r>
                <w:rPr>
                  <w:rStyle w:val="InternetLink"/>
                  <w:rFonts w:ascii="Times New Roman;serif" w:hAnsi="Times New Roman;serif"/>
                  <w:b w:val="false"/>
                  <w:color w:val="0000FF"/>
                  <w:sz w:val="20"/>
                  <w:u w:val="single"/>
                </w:rPr>
                <w:t>26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67">
              <w:r>
                <w:rPr>
                  <w:rStyle w:val="InternetLink"/>
                  <w:rFonts w:ascii="Times New Roman;serif" w:hAnsi="Times New Roman;serif"/>
                  <w:b w:val="false"/>
                  <w:color w:val="0000FF"/>
                  <w:sz w:val="20"/>
                  <w:u w:val="single"/>
                </w:rPr>
                <w:t>Note 8</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67">
              <w:r>
                <w:rPr>
                  <w:rStyle w:val="InternetLink"/>
                  <w:rFonts w:ascii="Times New Roman;serif" w:hAnsi="Times New Roman;serif"/>
                  <w:b w:val="false"/>
                  <w:color w:val="0000FF"/>
                  <w:sz w:val="20"/>
                  <w:u w:val="single"/>
                </w:rPr>
                <w:t>Fair Value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67">
              <w:r>
                <w:rPr>
                  <w:rStyle w:val="InternetLink"/>
                  <w:rFonts w:ascii="Times New Roman;serif" w:hAnsi="Times New Roman;serif"/>
                  <w:b w:val="false"/>
                  <w:color w:val="0000FF"/>
                  <w:sz w:val="20"/>
                  <w:u w:val="single"/>
                </w:rPr>
                <w:t>27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0">
              <w:r>
                <w:rPr>
                  <w:rStyle w:val="InternetLink"/>
                  <w:rFonts w:ascii="Times New Roman;serif" w:hAnsi="Times New Roman;serif"/>
                  <w:b w:val="false"/>
                  <w:color w:val="0000FF"/>
                  <w:sz w:val="20"/>
                  <w:u w:val="single"/>
                </w:rPr>
                <w:t>Note 9</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0">
              <w:r>
                <w:rPr>
                  <w:rStyle w:val="InternetLink"/>
                  <w:rFonts w:ascii="Times New Roman;serif" w:hAnsi="Times New Roman;serif"/>
                  <w:b w:val="false"/>
                  <w:color w:val="0000FF"/>
                  <w:sz w:val="20"/>
                  <w:u w:val="single"/>
                </w:rPr>
                <w:t>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70">
              <w:r>
                <w:rPr>
                  <w:rStyle w:val="InternetLink"/>
                  <w:rFonts w:ascii="Times New Roman;serif" w:hAnsi="Times New Roman;serif"/>
                  <w:b w:val="false"/>
                  <w:color w:val="0000FF"/>
                  <w:sz w:val="20"/>
                  <w:u w:val="single"/>
                </w:rPr>
                <w:t>29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3">
              <w:r>
                <w:rPr>
                  <w:rStyle w:val="InternetLink"/>
                  <w:rFonts w:ascii="Times New Roman;serif" w:hAnsi="Times New Roman;serif"/>
                  <w:b w:val="false"/>
                  <w:color w:val="0000FF"/>
                  <w:sz w:val="20"/>
                  <w:u w:val="single"/>
                </w:rPr>
                <w:t>Note 10</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3">
              <w:r>
                <w:rPr>
                  <w:rStyle w:val="InternetLink"/>
                  <w:rFonts w:ascii="Times New Roman;serif" w:hAnsi="Times New Roman;serif"/>
                  <w:b w:val="false"/>
                  <w:color w:val="0000FF"/>
                  <w:sz w:val="20"/>
                  <w:u w:val="single"/>
                </w:rPr>
                <w:t>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73">
              <w:r>
                <w:rPr>
                  <w:rStyle w:val="InternetLink"/>
                  <w:rFonts w:ascii="Times New Roman;serif" w:hAnsi="Times New Roman;serif"/>
                  <w:b w:val="false"/>
                  <w:color w:val="0000FF"/>
                  <w:sz w:val="20"/>
                  <w:u w:val="single"/>
                </w:rPr>
                <w:t>31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6">
              <w:r>
                <w:rPr>
                  <w:rStyle w:val="InternetLink"/>
                  <w:rFonts w:ascii="Times New Roman;serif" w:hAnsi="Times New Roman;serif"/>
                  <w:b w:val="false"/>
                  <w:color w:val="0000FF"/>
                  <w:sz w:val="20"/>
                  <w:u w:val="single"/>
                </w:rPr>
                <w:t>Note 11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6">
              <w:r>
                <w:rPr>
                  <w:rStyle w:val="InternetLink"/>
                  <w:rFonts w:ascii="Times New Roman;serif" w:hAnsi="Times New Roman;serif"/>
                  <w:b w:val="false"/>
                  <w:color w:val="0000FF"/>
                  <w:sz w:val="20"/>
                  <w:u w:val="single"/>
                </w:rPr>
                <w:t>Leases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76">
              <w:r>
                <w:rPr>
                  <w:rStyle w:val="InternetLink"/>
                  <w:rFonts w:ascii="Times New Roman;serif" w:hAnsi="Times New Roman;serif"/>
                  <w:b w:val="false"/>
                  <w:color w:val="0000FF"/>
                  <w:sz w:val="20"/>
                  <w:u w:val="single"/>
                </w:rPr>
                <w:t>32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9">
              <w:r>
                <w:rPr>
                  <w:rStyle w:val="InternetLink"/>
                  <w:rFonts w:ascii="Times New Roman;serif" w:hAnsi="Times New Roman;serif"/>
                  <w:b w:val="false"/>
                  <w:color w:val="0000FF"/>
                  <w:sz w:val="20"/>
                  <w:u w:val="single"/>
                </w:rPr>
                <w:t>Note 12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79">
              <w:r>
                <w:rPr>
                  <w:rStyle w:val="InternetLink"/>
                  <w:rFonts w:ascii="Times New Roman;serif" w:hAnsi="Times New Roman;serif"/>
                  <w:b w:val="false"/>
                  <w:color w:val="0000FF"/>
                  <w:sz w:val="20"/>
                  <w:u w:val="single"/>
                </w:rPr>
                <w:t>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79">
              <w:r>
                <w:rPr>
                  <w:rStyle w:val="InternetLink"/>
                  <w:rFonts w:ascii="Times New Roman;serif" w:hAnsi="Times New Roman;serif"/>
                  <w:b w:val="false"/>
                  <w:color w:val="0000FF"/>
                  <w:sz w:val="20"/>
                  <w:u w:val="single"/>
                </w:rPr>
                <w:t>34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82">
              <w:r>
                <w:rPr>
                  <w:rStyle w:val="InternetLink"/>
                  <w:rFonts w:ascii="Times New Roman;serif" w:hAnsi="Times New Roman;serif"/>
                  <w:b w:val="false"/>
                  <w:color w:val="0000FF"/>
                  <w:sz w:val="20"/>
                  <w:u w:val="single"/>
                </w:rPr>
                <w:t>Note 13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82">
              <w:r>
                <w:rPr>
                  <w:rStyle w:val="InternetLink"/>
                  <w:rFonts w:ascii="Times New Roman;serif" w:hAnsi="Times New Roman;serif"/>
                  <w:b w:val="false"/>
                  <w:color w:val="0000FF"/>
                  <w:sz w:val="20"/>
                  <w:u w:val="single"/>
                </w:rPr>
                <w:t>Segment and Geographic Data</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82">
              <w:r>
                <w:rPr>
                  <w:rStyle w:val="InternetLink"/>
                  <w:rFonts w:ascii="Times New Roman;serif" w:hAnsi="Times New Roman;serif"/>
                  <w:b w:val="false"/>
                  <w:color w:val="0000FF"/>
                  <w:sz w:val="20"/>
                  <w:u w:val="single"/>
                </w:rPr>
                <w:t>38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85">
              <w:r>
                <w:rPr>
                  <w:rStyle w:val="InternetLink"/>
                  <w:rFonts w:ascii="Times New Roman;serif" w:hAnsi="Times New Roman;serif"/>
                  <w:b w:val="false"/>
                  <w:color w:val="0000FF"/>
                  <w:sz w:val="20"/>
                  <w:u w:val="single"/>
                </w:rPr>
                <w:t>Note 14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85">
              <w:r>
                <w:rPr>
                  <w:rStyle w:val="InternetLink"/>
                  <w:rFonts w:ascii="Times New Roman;serif" w:hAnsi="Times New Roman;serif"/>
                  <w:b w:val="false"/>
                  <w:color w:val="0000FF"/>
                  <w:sz w:val="20"/>
                  <w:u w:val="single"/>
                </w:rPr>
                <w:t>Tax Receivable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85">
              <w:r>
                <w:rPr>
                  <w:rStyle w:val="InternetLink"/>
                  <w:rFonts w:ascii="Times New Roman;serif" w:hAnsi="Times New Roman;serif"/>
                  <w:b w:val="false"/>
                  <w:color w:val="0000FF"/>
                  <w:sz w:val="20"/>
                  <w:u w:val="single"/>
                </w:rPr>
                <w:t>39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88">
              <w:r>
                <w:rPr>
                  <w:rStyle w:val="InternetLink"/>
                  <w:rFonts w:ascii="Times New Roman;serif" w:hAnsi="Times New Roman;serif"/>
                  <w:b w:val="false"/>
                  <w:color w:val="0000FF"/>
                  <w:sz w:val="20"/>
                  <w:u w:val="single"/>
                </w:rPr>
                <w:t>Note 15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88">
              <w:r>
                <w:rPr>
                  <w:rStyle w:val="InternetLink"/>
                  <w:rFonts w:ascii="Times New Roman;serif" w:hAnsi="Times New Roman;serif"/>
                  <w:b w:val="false"/>
                  <w:color w:val="0000FF"/>
                  <w:sz w:val="20"/>
                  <w:u w:val="singl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88">
              <w:r>
                <w:rPr>
                  <w:rStyle w:val="InternetLink"/>
                  <w:rFonts w:ascii="Times New Roman;serif" w:hAnsi="Times New Roman;serif"/>
                  <w:b w:val="false"/>
                  <w:color w:val="0000FF"/>
                  <w:sz w:val="20"/>
                  <w:u w:val="single"/>
                </w:rPr>
                <w:t>40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91">
              <w:r>
                <w:rPr>
                  <w:rStyle w:val="InternetLink"/>
                  <w:rFonts w:ascii="Times New Roman;serif" w:hAnsi="Times New Roman;serif"/>
                  <w:b w:val="false"/>
                  <w:color w:val="0000FF"/>
                  <w:sz w:val="20"/>
                  <w:u w:val="single"/>
                </w:rPr>
                <w:t>Note 16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8b57ff32c414aaaa98188ee026d9f_91">
              <w:r>
                <w:rPr>
                  <w:rStyle w:val="InternetLink"/>
                  <w:rFonts w:ascii="Times New Roman;serif" w:hAnsi="Times New Roman;serif"/>
                  <w:b w:val="false"/>
                  <w:color w:val="0000FF"/>
                  <w:sz w:val="20"/>
                  <w:u w:val="single"/>
                </w:rPr>
                <w:t>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4b8b57ff32c414aaaa98188ee026d9f_91">
              <w:r>
                <w:rPr>
                  <w:rStyle w:val="InternetLink"/>
                  <w:rFonts w:ascii="Times New Roman;serif" w:hAnsi="Times New Roman;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21105"/>
                <wp:effectExtent l="0" t="0" r="0" b="0"/>
                <wp:wrapNone/>
                <wp:docPr id="14" name="Frame1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Technologies Inc., through its operating subsidiaries, (the “Company”, “we”, “us”, “our”, and “ZoomInfo”) provides a go-to-market intelligence and engagement platform for sales, marketing, operations, and recruiting professionals.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Vancouver, Washington, and we have additional offices throughout the United States, and offices internationally in Israel, Canada, the United Kingdom, India, and Ireland.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2024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nine months ended September 30, 2025 are not necessarily indicative of the operating results that may be expected for the full fiscal year ending December 31, 2025 or any future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contain all adjustments necessary for a fair statement of financial position as of September 30, 2025, changes in stockholders’ equity and results of operations for the three and nine months ended September 30, 2025 and 2024, and cash flows for the nine months ended September 30, 2025 and 2024.</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ZoomInfo Technologies Inc. and its subsidiaries. All significant intercompany transactions and balances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21105"/>
                <wp:effectExtent l="0" t="0" r="0" b="0"/>
                <wp:wrapNone/>
                <wp:docPr id="15" name="Frame1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derives revenue primarily from subscription services. Our subscription services consist of our software as a service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revenue contracts with customers through the following steps:</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(1)Identify the contract with a customer;</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(2)Identify the performance obligations in the contract;</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(3)Determine the transaction price;</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(4)Allocate the transaction price; and</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(5)Recognize revenue when or as the Company satisfies a performance obligation.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Cash, Cash Equivalents, and Investments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have both short-term and long-term investments (which are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 xml:space="preserve">on our Consolidated Balance Sheets). Unrealized gains and losses, net of taxes, are included in </w:t>
      </w:r>
      <w:r>
        <w:rPr>
          <w:rFonts w:ascii="Times New Roman;serif" w:hAnsi="Times New Roman;serif"/>
          <w:b w:val="false"/>
          <w:i/>
          <w:color w:val="000000"/>
          <w:sz w:val="20"/>
        </w:rPr>
        <w:t>Accumulated other comprehensive income</w:t>
      </w:r>
      <w:r>
        <w:rPr>
          <w:rFonts w:ascii="Times New Roman;serif" w:hAnsi="Times New Roman;serif"/>
          <w:b w:val="false"/>
          <w:color w:val="000000"/>
          <w:sz w:val="20"/>
        </w:rPr>
        <w:t>, which is reflected as a separate component of stockholders’ equity on our Consolidated Balance Sheets. If we were to determine that a credit loss has occurred on either security type, the amount of the credit loss will be recognized in income.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lineRule="auto" w:line="288" w:before="180" w:after="18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Level 1 - Observable inputs that reflect unadjusted quoted prices in active markets for identical assets or liabilities</w:t>
      </w:r>
    </w:p>
    <w:p>
      <w:pPr>
        <w:pStyle w:val="TextBody"/>
        <w:bidi w:val="0"/>
        <w:spacing w:lineRule="auto" w:line="288" w:before="180" w:after="18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Level 2 - Other inputs that are directly or indirectly observable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21105"/>
                <wp:effectExtent l="0" t="0" r="0" b="0"/>
                <wp:wrapNone/>
                <wp:docPr id="16" name="Frame1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Level 3 - Unobservable inputs that are supported by little or no market activity, including the Company’s own assumptions in determining fair value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inputs or methodology used for valuing financial assets and liabilities are not necessarily an indication of the risk associated with investing in them.</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Concentrations of Credit Risk and Significant Customers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concentrations of credit risk consist principally of cash and cash equivalents, investments, and accounts receivable. The Company holds cash at major financial institutions that often exceed Federal Deposit Insurance Corporation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 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No single customer accounted for 10% or more of our revenue for the three and nine months ended September 30, 2025 and 2024, or accounted for more than 10% of accounts receivable as of September 30, 2025 and December 31, 2024.</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Accounts Receivable and Contract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represents the billed transaction price from revenue contracts, reflecting adjustments for variable consideration, and is presented net of allowance for expected credit losses. It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September 30, 2025 and December 31, 2024, the allowance for expected credit losses was $10.8 million and $12.6 million, respectively. The Company reassesses the adequacy of the allowance each reporting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represent a contractual right to consideration in the future. Contract assets are generated when contractual billing schedules differ from revenue recognition timing.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primarily consist of prepaid expenses, derivative assets, contract assets, and other current assets. Prepaid expenses were $27.4 million and $21.3 million as of September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21105"/>
                <wp:effectExtent l="0" t="0" r="0" b="0"/>
                <wp:wrapNone/>
                <wp:docPr id="17" name="Frame1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fifteen years.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Deferred Commissions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 xml:space="preserve">on our Consolidated Balance Sheets. Deferred sales commissions are amortized on a straight-line basis over the estimated period of benefit from the customer relationship which we have determined to be approximately two and four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on our Consolidated Statements of Operations.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Commissions payable at September 30, 2025 were $20.1 million, of which the current portion of $19.0 million was included in </w:t>
      </w:r>
      <w:r>
        <w:rPr>
          <w:rFonts w:ascii="Times New Roman;serif" w:hAnsi="Times New Roman;serif"/>
          <w:b w:val="false"/>
          <w:i/>
          <w:color w:val="000000"/>
          <w:sz w:val="20"/>
        </w:rPr>
        <w:t xml:space="preserve">Accrued expenses and other current liabilities </w:t>
      </w:r>
      <w:r>
        <w:rPr>
          <w:rFonts w:ascii="Times New Roman;serif" w:hAnsi="Times New Roman;serif"/>
          <w:b w:val="false"/>
          <w:color w:val="000000"/>
          <w:sz w:val="20"/>
        </w:rPr>
        <w:t>on our Consolidated Balance Sheets and the long-term portion of $1.1 million was included in</w:t>
      </w:r>
      <w:r>
        <w:rPr>
          <w:color w:val="000000"/>
        </w:rPr>
        <w:t xml:space="preserve"> </w:t>
      </w:r>
      <w:r>
        <w:rPr>
          <w:rFonts w:ascii="Times New Roman;serif" w:hAnsi="Times New Roman;serif"/>
          <w:b w:val="false"/>
          <w:i/>
          <w:color w:val="000000"/>
          <w:sz w:val="20"/>
        </w:rPr>
        <w:t>Other long-term liabilities</w:t>
      </w:r>
      <w:r>
        <w:rPr>
          <w:color w:val="000000"/>
        </w:rPr>
        <w:t xml:space="preserve"> </w:t>
      </w:r>
      <w:r>
        <w:rPr>
          <w:rFonts w:ascii="Times New Roman;serif" w:hAnsi="Times New Roman;serif"/>
          <w:b w:val="false"/>
          <w:color w:val="000000"/>
          <w:sz w:val="20"/>
        </w:rPr>
        <w:t xml:space="preserve">on our Consolidated Balance Sheets. Commissions payable at December 31, 2024 were $32.8 million, of which the current portion of $30.8 million was included in </w:t>
      </w:r>
      <w:r>
        <w:rPr>
          <w:rFonts w:ascii="Times New Roman;serif" w:hAnsi="Times New Roman;serif"/>
          <w:b w:val="false"/>
          <w:i/>
          <w:color w:val="000000"/>
          <w:sz w:val="20"/>
        </w:rPr>
        <w:t xml:space="preserve">Accrued expenses and other current liabilities </w:t>
      </w:r>
      <w:r>
        <w:rPr>
          <w:rFonts w:ascii="Times New Roman;serif" w:hAnsi="Times New Roman;serif"/>
          <w:b w:val="false"/>
          <w:color w:val="000000"/>
          <w:sz w:val="20"/>
        </w:rPr>
        <w:t>on our Consolidated Balance Sheets and the long-term portion of $2.0 million was included in</w:t>
      </w:r>
      <w:r>
        <w:rPr>
          <w:color w:val="000000"/>
        </w:rPr>
        <w:t xml:space="preserve"> </w:t>
      </w:r>
      <w:r>
        <w:rPr>
          <w:rFonts w:ascii="Times New Roman;serif" w:hAnsi="Times New Roman;serif"/>
          <w:b w:val="false"/>
          <w:i/>
          <w:color w:val="000000"/>
          <w:sz w:val="20"/>
        </w:rPr>
        <w:t>Other long-term liabilities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commissions are not capitalized as they do not represent incremental costs of obtaining a contract. Such commissions are expensed as incurred.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Advertising and Promotional Expenses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expenses advertising costs as incurred. Advertising expenses of $8.1 million and $9.2 million were recorded for the three months ended September 30, 2025 and 2024, respectively. Advertising expenses of $28.6 million and $28.5 million were recorded for the nine months ended September 30, 2025 and 2024, respectively. Advertising expenses are included in </w:t>
      </w: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on our Consolidated Statements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consist of employee compensation such as salaries, bonuses, equity-based compensation, and other employee-related benefits for our engineering and product management teams, as well as overhead costs, and technology.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21105"/>
                <wp:effectExtent l="0" t="0" r="0" b="0"/>
                <wp:wrapNone/>
                <wp:docPr id="18" name="Frame1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valuation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Goodwill and Acquired Intangible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fair value of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 lived intangible assets were recorded for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21105"/>
                <wp:effectExtent l="0" t="0" r="0" b="0"/>
                <wp:wrapNone/>
                <wp:docPr id="19" name="Frame1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Impairment and Abandonment of Long-lived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acquired intangible assets, and operating lease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fair value of the asset. The estimated future cash flows associated with the operating lease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No impairment charges were recorded for the three and nine months ended September 30, 2025. During the three and nine months ended September 30, 2024, we recorded impairment charges of $8.7 million and $53.3 million, respectively, to reduce the carrying values of our existing right-of-use assets associated with our offices in Ra’anana, Waltham, Vancouver and Grand Rapids.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an operating lease right-of-use asset has been abandoned, the estimated useful life of the asset is updated to reflect the cease use date, and the remaining carrying value of the asset is amortized ratably over the period between the commitment date and the cease use date. Lease abandonment charges were immaterial for the three and nine months ended September 30, 2025. During the three and nine months ended September 30, 2024, we recorded lease abandonment charges of zero and $4.1 million, respectively, related to the accelerated amortization of right-of-use assets.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finance leases. Operating leases are recorded on our Consolidated Balance Sheets. Operating lease right-of-use assets and operating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operating lease right-of-use assets and operating lease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21105"/>
                <wp:effectExtent l="0" t="0" r="0" b="0"/>
                <wp:wrapNone/>
                <wp:docPr id="20" name="Frame2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FASB’s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 risk-related contingent features in derivative instruments.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Unearned Revenue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serif" w:hAnsi="Times New Roman;serif"/>
          <w:b w:val="false"/>
          <w:i/>
          <w:color w:val="000000"/>
          <w:sz w:val="20"/>
        </w:rPr>
        <w:t>Unearned revenue, current portion</w:t>
      </w:r>
      <w:r>
        <w:rPr>
          <w:color w:val="000000"/>
        </w:rPr>
        <w:t xml:space="preserve"> </w:t>
      </w:r>
      <w:r>
        <w:rPr>
          <w:rFonts w:ascii="Times New Roman;serif" w:hAnsi="Times New Roman;serif"/>
          <w:b w:val="false"/>
          <w:color w:val="000000"/>
          <w:sz w:val="20"/>
        </w:rPr>
        <w:t xml:space="preserve">and the remaining portion is included in </w:t>
      </w:r>
      <w:r>
        <w:rPr>
          <w:rFonts w:ascii="Times New Roman;serif" w:hAnsi="Times New Roman;serif"/>
          <w:b w:val="false"/>
          <w:i/>
          <w:color w:val="000000"/>
          <w:sz w:val="20"/>
        </w:rPr>
        <w:t>Unearned revenue, net of current portion</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 xml:space="preserve">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serif" w:hAnsi="Times New Roman;serif"/>
          <w:b w:val="false"/>
          <w:i/>
          <w:color w:val="000000"/>
          <w:sz w:val="20"/>
        </w:rPr>
        <w:t xml:space="preserve">Loss on debt modification and extinguishment </w:t>
      </w:r>
      <w:r>
        <w:rPr>
          <w:rFonts w:ascii="Times New Roman;serif" w:hAnsi="Times New Roman;serif"/>
          <w:b w:val="false"/>
          <w:color w:val="000000"/>
          <w:sz w:val="20"/>
        </w:rPr>
        <w:t>in our Consolidated Statements of Operations.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21105"/>
                <wp:effectExtent l="0" t="0" r="0" b="0"/>
                <wp:wrapNone/>
                <wp:docPr id="21" name="Frame2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initial public offering, we entered into two Tax Receivable Agreements (the “TRAs”) with certain non-controlling interest holders (the “TRA Holders”). The TRAs generally provide for payment by the Company to the TRA Holders of 85% of the net cash savings, if any, in U.S. federal, state and local income tax or franchise tax based on income that the Company actually realizes or is deemed to realize in certain circumstances. The Company will retain the benefit of the remaining 15% of these net cash savings.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account for amounts payable under the TRAs in accordance with ASC Topic 450,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Amounts payable under the TRAs are accrued by a charge to income when it is probable that a liability has been incurred and the amount is estimable. Liabilities relating to our TRAs are classified as current or noncurrent based on the expected date of payment and are included on our Consolidated Balance Sheets under the captions </w:t>
      </w:r>
      <w:r>
        <w:rPr>
          <w:rFonts w:ascii="Times New Roman;serif" w:hAnsi="Times New Roman;serif"/>
          <w:b w:val="false"/>
          <w:i/>
          <w:color w:val="000000"/>
          <w:sz w:val="20"/>
        </w:rPr>
        <w:t>Current portion of tax receivable agreements liability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Tax receivable agreements liability, net of current portion,</w:t>
      </w:r>
      <w:r>
        <w:rPr>
          <w:color w:val="000000"/>
        </w:rPr>
        <w:t xml:space="preserve"> </w:t>
      </w:r>
      <w:r>
        <w:rPr>
          <w:rFonts w:ascii="Times New Roman;serif" w:hAnsi="Times New Roman;serif"/>
          <w:b w:val="false"/>
          <w:color w:val="000000"/>
          <w:sz w:val="20"/>
        </w:rPr>
        <w:t xml:space="preserve">respectively. Subsequent changes to the measurement of the liabilities relating to our TRAs are recognized in our Consolidated Statements of Operations as a component of </w:t>
      </w:r>
      <w:r>
        <w:rPr>
          <w:rFonts w:ascii="Times New Roman;serif" w:hAnsi="Times New Roman;serif"/>
          <w:b w:val="false"/>
          <w:i/>
          <w:color w:val="000000"/>
          <w:sz w:val="20"/>
        </w:rPr>
        <w:t>Other income, net</w:t>
      </w:r>
      <w:r>
        <w:rPr>
          <w:rFonts w:ascii="Times New Roman;serif" w:hAnsi="Times New Roman;serif"/>
          <w:b w:val="false"/>
          <w:color w:val="000000"/>
          <w:sz w:val="20"/>
        </w:rPr>
        <w:t>. Refer to Note 14 - Tax Receivable Agreements for additional information.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deferred tax assets and liabilities based on temporary differences between the financial statement carrying amounts and tax bases of existing assets and liabilities using tax rates expected to be in effect in the year in which the differences are expected to reverse. Deferred tax assets are reduced by a valuation allowance if it is more likely than not that some portion or all of the deferred tax assets will not be realized. </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on the Consolidated Statements of Operations. Refer to Note 15 - Income Taxes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Equity-Based Compensation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grants incentive awards to employees and non-employees, which generally vest over periods of up to four years. Incentive awards may be in the form of various equity-based awards such as common stock, subject to certain specified restrictions (which may include, without limitation, a requirement that the recipient remain continuously employed or provide continuous services for a specified period of time), granted under Section 8 of the 2020 Omnibus Incentive Plan (“Restricted Stock”) and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Plan (“restricted stock units”, or “RSU”), and common stock options.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 Compensation expense for market-based restricted stock units is measured at the estimated fair value using a Monte Carlo simulation model, which requires the use of various assumptions, including the stock price volatility and risk-free interest rate as of the valuation date corresponding to the length of time remaining in the performance period. This expense is recognized using the accelerated attribution method over the service period and is not reversed if the market condition is not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21105"/>
                <wp:effectExtent l="0" t="0" r="0" b="0"/>
                <wp:wrapNone/>
                <wp:docPr id="22" name="Frame2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a Black-Scholes option pricing model to determine the fair value of stock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Company’s Employee Stock Purchase Plan is measured at the estimated fair value using the Black-Scholes option pricing model using the estimated number of awards as of the beginning of the offering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presents equity-based compensation expense on our Consolidated Statements of Operations in the same manner in which the award recipient’s salary and related costs are classified or in which the award recipient’s service payments are classified.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2023, the Board authorized a program to repurchase the Company’s common stock (the “Share Repurchase Program”). In February 2025, the Board authorized an additional $500.0 million bringing the aggregate total authorizations as of September 30, 2025 to $1.6 billion, of which $309.6 million remained available and authorized for repurchases.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Company repurchased and subsequently retired 8,283,044 shares of common stock at an average price of $10.46 per share, for an aggregate $86.6 million. During the nine months ended September 30, 2025, the Company repurchased and subsequently retired 32,757,891 shares of common stock at an average price of $10.01 per share, for an aggregate $328.0 million. During the three months ended September 30, 2024, the Company repurchased and subsequently retired 24,478,696 shares of common stock at an average price of $9.89 per share, for an aggregate $242.1 million. During the nine months ended September 30, 2024, the Company repurchased and subsequently retired 44,901,742 shares of common stock at an average price of $12.08 per share, for an aggregate $542.6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21105"/>
                <wp:effectExtent l="0" t="0" r="0" b="0"/>
                <wp:wrapNone/>
                <wp:docPr id="23" name="Frame2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August 2024, the Company entered into an accelerated share repurchase agreement (the “ASR Transaction”) with a financial institution. The Company settled the ASR Transaction in September 2024 resulting in a total repurchase and subsequent retirement of 12,431,216 shares of the Company’s common stock for $125.0 million at an average price of $10.06 per share, recorded as a reduction of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The total number of shares delivered was determined at the settlement date based on the volume weighed average price, less an agreed upon discount. The ASR Transaction was completed under the Company’s previously announced Share Repurchase Program.</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Inflation Reduction Act of 2022, enacted into law on August 16, 2022, imposed a nondeductible 1% excise tax on the net value of certain stock repurchases made after December 31, 2022. The Company calculates excise tax due based on the year-to-date amount repurchased in excess of the fair market value of shares issued and is included within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on our Consolidated Balance Sheets. During the three months ended September 30, 2025, and 2024, the Company recorded the associated excise taxes of $0.7 million and $2.4 million, respectively. During the nine months ended September 30, 2025 and 2024, the Company recorded the associated excise taxes of $2.8 million and $5.0 million, respectively. Excise taxes associated with these share repurchases are presented within </w:t>
      </w:r>
      <w:r>
        <w:rPr>
          <w:rFonts w:ascii="Times New Roman;serif" w:hAnsi="Times New Roman;serif"/>
          <w:b w:val="false"/>
          <w:i/>
          <w:color w:val="000000"/>
          <w:sz w:val="20"/>
        </w:rPr>
        <w:t>Repurchase of common stock</w:t>
      </w:r>
      <w:r>
        <w:rPr>
          <w:color w:val="000000"/>
        </w:rPr>
        <w:t xml:space="preserve"> </w:t>
      </w:r>
      <w:r>
        <w:rPr>
          <w:rFonts w:ascii="Times New Roman;serif" w:hAnsi="Times New Roman;serif"/>
          <w:b w:val="false"/>
          <w:color w:val="000000"/>
          <w:sz w:val="20"/>
        </w:rPr>
        <w:t xml:space="preserve">on our Consolidated Statements of Changes in Stockholders’ Equity, as a reduction to </w:t>
      </w:r>
      <w:r>
        <w:rPr>
          <w:rFonts w:ascii="Times New Roman;serif" w:hAnsi="Times New Roman;serif"/>
          <w:b w:val="false"/>
          <w:i/>
          <w:color w:val="000000"/>
          <w:sz w:val="20"/>
        </w:rPr>
        <w:t>Additional paid-in capital</w:t>
      </w:r>
      <w:r>
        <w:rPr>
          <w:rFonts w:ascii="Times New Roman;serif" w:hAnsi="Times New Roman;serif"/>
          <w:b w:val="false"/>
          <w:color w:val="000000"/>
          <w:sz w:val="20"/>
        </w:rPr>
        <w:t>.</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2025, the Company announced a reduction in force (the “Plan”) to support the Company’s broader efforts to move upmarket and support durable and efficient growth. The Plan included a reduction of employees by approximately 6% in the second quarter of 2025. The Plan was substantially completed as of June 30, 2025.</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incurred restructuring charges of $0.3 million and $4.5 million, consisting primarily of severance and employee benefits as well as other associated costs. Restructuring costs are allocated to the respective financial statement line items on the Consolidated Statements of Operations. During the nine months ended September 30, 2025, the Company made cash payments of $4.5 million related to the Plan.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September 2025, the Financial Accounting Standards Board (“FASB”) issued Accounting Standards Update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which removes all references to software development stages (referred to as “project stages”) throughout Subtopic 350-40. The standard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standard is effective for the Company for the annual and interim periods beginning January 1, 2028, with early adoption permitted. The Company is currently evaluating the impacts of ASU 2025-06 on its consolidated financial statements as well as the impacts to its financial reporting process and related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21105"/>
                <wp:effectExtent l="0" t="0" r="0" b="0"/>
                <wp:wrapNone/>
                <wp:docPr id="24" name="Frame2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Pr>
          <w:t xml:space="preserve">Table of </w:t>
        </w:r>
      </w:hyperlink>
      <w:hyperlink w:anchor="i34b8b57ff32c414aaaa98188ee026d9f_7">
        <w:r>
          <w:rPr>
            <w:rStyle w:val="InternetLink"/>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which requires additional disclosure of the nature of expenses included in the income statement. The standard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This standard will be effective for the Company for the annual period beginning January 1, 2027 and interim period beginning January 1, 2028, with early adoption permitted. The requirements should be applied on a prospective basis while retrospective application is permitted.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rFonts w:ascii="Times New Roman;serif" w:hAnsi="Times New Roman;serif"/>
          <w:b w:val="false"/>
          <w:color w:val="000000"/>
          <w:sz w:val="20"/>
        </w:rPr>
        <w:t>. The Company is currently evaluating the disclosure impacts of ASU 2024-03 on its consolidated financial statements as well as the impacts to its financial reporting process and related internal controls.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Improvements: Codification Amendments in Response to the SEC’s Disclosure Update and Simplification Initiative</w:t>
      </w:r>
      <w:r>
        <w:rPr>
          <w:rFonts w:ascii="Times New Roman;serif" w:hAnsi="Times New Roman;serif"/>
          <w:b w:val="false"/>
          <w:color w:val="000000"/>
          <w:sz w:val="20"/>
        </w:rPr>
        <w:t>. The amendments in this ASU incorporate into the FASB’s ASC certain SEC disclosure requirements that were referred to the FASB 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which introduces a practical expedient for estimating expected credit losses on current accounts receivable and current contract assets arising from transactions under Topic 606. The practical expedient allows entities to assume that current conditions as of the balance sheet date would not change for the remaining life of the asset when evaluating expected credit losses. This standard is effective for the Company for the annual and interim periods beginning January 1, 2026, with early adoption permitted, and should be applied prospectively. The Company elected to early adopt this standard effective September 30, 2025 on a prospective basis. The adoption of this guidance did not have a material impact on our consolidated financial statements.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disaggregation of rate reconciliation categories and income taxes paid by jurisdiction. The new standard is effective for the Company for the annual period beginning January 1, 2025 on a prospective basis, with a retrospective option, and early adoption is permitted. The Company adopted this standard beginning in 2025 and expects to provide incremental annual disclosures beginning with the Company’s Annual Report on Form 10-K for the fiscal year ended December 31, 2025. There was no impact to the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21105"/>
                <wp:effectExtent l="0" t="0" r="0" b="0"/>
                <wp:wrapNone/>
                <wp:docPr id="25" name="Frame2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2 - Revenue from Contracts with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comprised the following service offerings:</w:t>
      </w:r>
    </w:p>
    <w:tbl>
      <w:tblPr>
        <w:tblW w:w="7728" w:type="dxa"/>
        <w:jc w:val="left"/>
        <w:tblInd w:w="0" w:type="dxa"/>
        <w:tblLayout w:type="fixed"/>
        <w:tblCellMar>
          <w:top w:w="28" w:type="dxa"/>
          <w:left w:w="28" w:type="dxa"/>
          <w:bottom w:w="28" w:type="dxa"/>
          <w:right w:w="28" w:type="dxa"/>
        </w:tblCellMar>
      </w:tblPr>
      <w:tblGrid>
        <w:gridCol w:w="450"/>
        <w:gridCol w:w="396"/>
        <w:gridCol w:w="398"/>
        <w:gridCol w:w="299"/>
        <w:gridCol w:w="874"/>
        <w:gridCol w:w="154"/>
        <w:gridCol w:w="154"/>
        <w:gridCol w:w="154"/>
        <w:gridCol w:w="154"/>
        <w:gridCol w:w="299"/>
        <w:gridCol w:w="874"/>
        <w:gridCol w:w="154"/>
        <w:gridCol w:w="109"/>
        <w:gridCol w:w="109"/>
        <w:gridCol w:w="109"/>
        <w:gridCol w:w="286"/>
        <w:gridCol w:w="836"/>
        <w:gridCol w:w="147"/>
        <w:gridCol w:w="147"/>
        <w:gridCol w:w="147"/>
        <w:gridCol w:w="147"/>
        <w:gridCol w:w="286"/>
        <w:gridCol w:w="836"/>
        <w:gridCol w:w="209"/>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Usage-based</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2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is comprised primarily of go-to-market business intelligence tools that allow our customers to access our SaaS to support sales, marketing, and recruiting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 is comprised largely of implementation and professional services fees. We recognize other revenue as services are delivered.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total revenue recognized in the three and nine months ended September 30, 2025, $68.8 million and $436.4 million, respectively, were included in the unearned revenue balance as of December 31, 2024. Of the total revenue recognized in the three and nine months ended September 30, 2024, $59.2 million and $407.2 million, respectively, were included in the unearned revenue balance as of December 31, 2023. Revenue recognized from performance obligations satisfied (or partially satisfied) in previous periods was not material.</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Contract Assets and Unearned 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As of September 30, 2025 and December 31, 2024, the Company had contract assets of $4.5 million and $5.0 million, respectively, which are recorded within</w:t>
      </w:r>
      <w:r>
        <w:rPr>
          <w:color w:val="000000"/>
        </w:rPr>
        <w:t xml:space="preserve">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on our Consolidated Balance Sheets. As of September 30, 2025 and December 31, 2024, the Company had unearned revenue of $431.9 million and $477.9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21105"/>
                <wp:effectExtent l="0" t="0" r="0" b="0"/>
                <wp:wrapNone/>
                <wp:docPr id="26" name="Frame2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2 - Revenue from Contracts with Customers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performance obligations consisted of the following:</w:t>
      </w:r>
    </w:p>
    <w:tbl>
      <w:tblPr>
        <w:tblW w:w="7499" w:type="dxa"/>
        <w:jc w:val="left"/>
        <w:tblInd w:w="0" w:type="dxa"/>
        <w:tblLayout w:type="fixed"/>
        <w:tblCellMar>
          <w:top w:w="28" w:type="dxa"/>
          <w:left w:w="28" w:type="dxa"/>
          <w:bottom w:w="28" w:type="dxa"/>
          <w:right w:w="28" w:type="dxa"/>
        </w:tblCellMar>
      </w:tblPr>
      <w:tblGrid>
        <w:gridCol w:w="798"/>
        <w:gridCol w:w="702"/>
        <w:gridCol w:w="704"/>
        <w:gridCol w:w="546"/>
        <w:gridCol w:w="1598"/>
        <w:gridCol w:w="285"/>
        <w:gridCol w:w="109"/>
        <w:gridCol w:w="109"/>
        <w:gridCol w:w="109"/>
        <w:gridCol w:w="243"/>
        <w:gridCol w:w="711"/>
        <w:gridCol w:w="127"/>
        <w:gridCol w:w="109"/>
        <w:gridCol w:w="109"/>
        <w:gridCol w:w="109"/>
        <w:gridCol w:w="211"/>
        <w:gridCol w:w="76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Recognized 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w:t>
            </w:r>
          </w:p>
        </w:tc>
        <w:tc>
          <w:tcPr>
            <w:tcW w:w="5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3 - Cash, Cash Equivalents, and Investments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cash equivalents, and investments consisted of the following as of September 30, 2025:</w:t>
      </w:r>
    </w:p>
    <w:tbl>
      <w:tblPr>
        <w:tblW w:w="10205" w:type="dxa"/>
        <w:jc w:val="left"/>
        <w:tblInd w:w="0" w:type="dxa"/>
        <w:tblLayout w:type="fixed"/>
        <w:tblCellMar>
          <w:top w:w="28" w:type="dxa"/>
          <w:left w:w="28" w:type="dxa"/>
          <w:bottom w:w="28" w:type="dxa"/>
          <w:right w:w="28" w:type="dxa"/>
        </w:tblCellMar>
      </w:tblPr>
      <w:tblGrid>
        <w:gridCol w:w="1160"/>
        <w:gridCol w:w="1013"/>
        <w:gridCol w:w="1022"/>
        <w:gridCol w:w="298"/>
        <w:gridCol w:w="875"/>
        <w:gridCol w:w="155"/>
        <w:gridCol w:w="109"/>
        <w:gridCol w:w="109"/>
        <w:gridCol w:w="109"/>
        <w:gridCol w:w="421"/>
        <w:gridCol w:w="811"/>
        <w:gridCol w:w="218"/>
        <w:gridCol w:w="109"/>
        <w:gridCol w:w="109"/>
        <w:gridCol w:w="109"/>
        <w:gridCol w:w="435"/>
        <w:gridCol w:w="837"/>
        <w:gridCol w:w="225"/>
        <w:gridCol w:w="109"/>
        <w:gridCol w:w="109"/>
        <w:gridCol w:w="109"/>
        <w:gridCol w:w="375"/>
        <w:gridCol w:w="1096"/>
        <w:gridCol w:w="283"/>
      </w:tblGrid>
      <w:tr>
        <w:trPr/>
        <w:tc>
          <w:tcPr>
            <w:tcW w:w="11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3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2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2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consisted of the following as of December 31, 2024:</w:t>
      </w:r>
    </w:p>
    <w:tbl>
      <w:tblPr>
        <w:tblW w:w="10205" w:type="dxa"/>
        <w:jc w:val="left"/>
        <w:tblInd w:w="0" w:type="dxa"/>
        <w:tblLayout w:type="fixed"/>
        <w:tblCellMar>
          <w:top w:w="28" w:type="dxa"/>
          <w:left w:w="28" w:type="dxa"/>
          <w:bottom w:w="28" w:type="dxa"/>
          <w:right w:w="28" w:type="dxa"/>
        </w:tblCellMar>
      </w:tblPr>
      <w:tblGrid>
        <w:gridCol w:w="964"/>
        <w:gridCol w:w="849"/>
        <w:gridCol w:w="856"/>
        <w:gridCol w:w="318"/>
        <w:gridCol w:w="933"/>
        <w:gridCol w:w="166"/>
        <w:gridCol w:w="109"/>
        <w:gridCol w:w="109"/>
        <w:gridCol w:w="109"/>
        <w:gridCol w:w="454"/>
        <w:gridCol w:w="874"/>
        <w:gridCol w:w="235"/>
        <w:gridCol w:w="109"/>
        <w:gridCol w:w="109"/>
        <w:gridCol w:w="109"/>
        <w:gridCol w:w="471"/>
        <w:gridCol w:w="907"/>
        <w:gridCol w:w="244"/>
        <w:gridCol w:w="109"/>
        <w:gridCol w:w="109"/>
        <w:gridCol w:w="109"/>
        <w:gridCol w:w="418"/>
        <w:gridCol w:w="1222"/>
        <w:gridCol w:w="313"/>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3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221105"/>
                <wp:effectExtent l="0" t="0" r="0" b="0"/>
                <wp:wrapNone/>
                <wp:docPr id="27" name="Frame2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300" w:after="180"/>
        <w:jc w:val="left"/>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3 - Cash, Cash Equivalents, and Investments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8 - Fair Value for further information regarding the fair value of our financial instruments.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unrealized losses on our available-for-sale securities were immaterial at September 30, 2025 and December 31, 2024.</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summarizes the estimated fair value of our securities classified as </w:t>
      </w:r>
      <w:r>
        <w:rPr>
          <w:rFonts w:ascii="Times New Roman;serif" w:hAnsi="Times New Roman;serif"/>
          <w:b w:val="false"/>
          <w:i/>
          <w:color w:val="000000"/>
          <w:sz w:val="20"/>
        </w:rPr>
        <w:t>Short-term investments</w:t>
      </w:r>
      <w:r>
        <w:rPr>
          <w:color w:val="000000"/>
        </w:rPr>
        <w:t xml:space="preserve"> </w:t>
      </w:r>
      <w:r>
        <w:rPr>
          <w:rFonts w:ascii="Times New Roman;serif" w:hAnsi="Times New Roman;serif"/>
          <w:b w:val="false"/>
          <w:color w:val="000000"/>
          <w:sz w:val="20"/>
        </w:rPr>
        <w:t xml:space="preserve">or long-term investments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on our Consolidated Balance Sheets) based on stated effective maturities as of September 30, 2025 and December 31, 2024:</w:t>
      </w:r>
    </w:p>
    <w:tbl>
      <w:tblPr>
        <w:tblW w:w="7062" w:type="dxa"/>
        <w:jc w:val="left"/>
        <w:tblInd w:w="0" w:type="dxa"/>
        <w:tblLayout w:type="fixed"/>
        <w:tblCellMar>
          <w:top w:w="28" w:type="dxa"/>
          <w:left w:w="28" w:type="dxa"/>
          <w:bottom w:w="28" w:type="dxa"/>
          <w:right w:w="28" w:type="dxa"/>
        </w:tblCellMar>
      </w:tblPr>
      <w:tblGrid>
        <w:gridCol w:w="1118"/>
        <w:gridCol w:w="984"/>
        <w:gridCol w:w="988"/>
        <w:gridCol w:w="109"/>
        <w:gridCol w:w="109"/>
        <w:gridCol w:w="448"/>
        <w:gridCol w:w="1088"/>
        <w:gridCol w:w="233"/>
        <w:gridCol w:w="109"/>
        <w:gridCol w:w="109"/>
        <w:gridCol w:w="174"/>
        <w:gridCol w:w="174"/>
        <w:gridCol w:w="174"/>
        <w:gridCol w:w="339"/>
        <w:gridCol w:w="653"/>
        <w:gridCol w:w="253"/>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two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Property and Equipment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property and equipment consist of the following:</w:t>
      </w:r>
    </w:p>
    <w:tbl>
      <w:tblPr>
        <w:tblW w:w="5622" w:type="dxa"/>
        <w:jc w:val="left"/>
        <w:tblInd w:w="0" w:type="dxa"/>
        <w:tblLayout w:type="fixed"/>
        <w:tblCellMar>
          <w:top w:w="28" w:type="dxa"/>
          <w:left w:w="28" w:type="dxa"/>
          <w:bottom w:w="28" w:type="dxa"/>
          <w:right w:w="28" w:type="dxa"/>
        </w:tblCellMar>
      </w:tblPr>
      <w:tblGrid>
        <w:gridCol w:w="970"/>
        <w:gridCol w:w="853"/>
        <w:gridCol w:w="862"/>
        <w:gridCol w:w="293"/>
        <w:gridCol w:w="859"/>
        <w:gridCol w:w="153"/>
        <w:gridCol w:w="109"/>
        <w:gridCol w:w="109"/>
        <w:gridCol w:w="109"/>
        <w:gridCol w:w="280"/>
        <w:gridCol w:w="819"/>
        <w:gridCol w:w="206"/>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developed software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2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2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$8.2 million and $7.4 million for the three months ended September 30, 2025 and 2024, respectively. Depreciation expense was $22.1 million and $18.4 million for the nine months ended September 30, 2025 and 2024, respectively. Depreciation expense for the three and nine months ended September 30, 2024 includes $1.1 million of accelerated depreciation associated with the Waltham Lease Restructuring (refer to Note 13 - Leases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5 - Goodwill and Acquired Intangible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was $1,692.7 million as of September 30, 2025 and December 31, 2024. There were no events or circumstances indicating that goodwill might be impaired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21105"/>
                <wp:effectExtent l="0" t="0" r="0" b="0"/>
                <wp:wrapNone/>
                <wp:docPr id="28" name="Frame2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5 - Goodwill and Acquired Intangible Assets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other than goodwill, consisted of the following as of September 30, 2025 and December 31, 2024, respectively:</w:t>
      </w:r>
    </w:p>
    <w:tbl>
      <w:tblPr>
        <w:tblW w:w="10205" w:type="dxa"/>
        <w:jc w:val="center"/>
        <w:tblInd w:w="0" w:type="dxa"/>
        <w:tblLayout w:type="fixed"/>
        <w:tblCellMar>
          <w:top w:w="28" w:type="dxa"/>
          <w:left w:w="28" w:type="dxa"/>
          <w:bottom w:w="28" w:type="dxa"/>
          <w:right w:w="28" w:type="dxa"/>
        </w:tblCellMar>
      </w:tblPr>
      <w:tblGrid>
        <w:gridCol w:w="1016"/>
        <w:gridCol w:w="772"/>
        <w:gridCol w:w="776"/>
        <w:gridCol w:w="326"/>
        <w:gridCol w:w="954"/>
        <w:gridCol w:w="168"/>
        <w:gridCol w:w="109"/>
        <w:gridCol w:w="109"/>
        <w:gridCol w:w="109"/>
        <w:gridCol w:w="382"/>
        <w:gridCol w:w="1146"/>
        <w:gridCol w:w="199"/>
        <w:gridCol w:w="109"/>
        <w:gridCol w:w="109"/>
        <w:gridCol w:w="109"/>
        <w:gridCol w:w="211"/>
        <w:gridCol w:w="616"/>
        <w:gridCol w:w="109"/>
        <w:gridCol w:w="109"/>
        <w:gridCol w:w="109"/>
        <w:gridCol w:w="109"/>
        <w:gridCol w:w="744"/>
        <w:gridCol w:w="744"/>
        <w:gridCol w:w="1061"/>
      </w:tblGrid>
      <w:tr>
        <w:trPr/>
        <w:tc>
          <w:tcPr>
            <w:tcW w:w="10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in Years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portfolio</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ZI brand portfolio</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not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w:t>
            </w:r>
          </w:p>
        </w:tc>
        <w:tc>
          <w:tcPr>
            <w:tcW w:w="1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6"/>
        <w:gridCol w:w="772"/>
        <w:gridCol w:w="776"/>
        <w:gridCol w:w="326"/>
        <w:gridCol w:w="954"/>
        <w:gridCol w:w="168"/>
        <w:gridCol w:w="109"/>
        <w:gridCol w:w="109"/>
        <w:gridCol w:w="109"/>
        <w:gridCol w:w="382"/>
        <w:gridCol w:w="1146"/>
        <w:gridCol w:w="199"/>
        <w:gridCol w:w="109"/>
        <w:gridCol w:w="109"/>
        <w:gridCol w:w="109"/>
        <w:gridCol w:w="211"/>
        <w:gridCol w:w="616"/>
        <w:gridCol w:w="109"/>
        <w:gridCol w:w="109"/>
        <w:gridCol w:w="109"/>
        <w:gridCol w:w="109"/>
        <w:gridCol w:w="744"/>
        <w:gridCol w:w="744"/>
        <w:gridCol w:w="1061"/>
      </w:tblGrid>
      <w:tr>
        <w:trPr/>
        <w:tc>
          <w:tcPr>
            <w:tcW w:w="10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in Years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portfolio</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ZI brand portfolio</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not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$14.6 million and $15.0 million for the three months ended September 30, 2025 and 2024, respectively. Amortization expense was $44.0 million and $44.9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21105"/>
                <wp:effectExtent l="0" t="0" r="0" b="0"/>
                <wp:wrapNone/>
                <wp:docPr id="29" name="Frame2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6 - Financing Arrangements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carrying values of the Company’s borrowings were as follows (in millions):</w:t>
      </w:r>
    </w:p>
    <w:tbl>
      <w:tblPr>
        <w:tblW w:w="10205" w:type="dxa"/>
        <w:jc w:val="left"/>
        <w:tblInd w:w="0" w:type="dxa"/>
        <w:tblLayout w:type="fixed"/>
        <w:tblCellMar>
          <w:top w:w="28" w:type="dxa"/>
          <w:left w:w="28" w:type="dxa"/>
          <w:bottom w:w="28" w:type="dxa"/>
          <w:right w:w="28" w:type="dxa"/>
        </w:tblCellMar>
      </w:tblPr>
      <w:tblGrid>
        <w:gridCol w:w="556"/>
        <w:gridCol w:w="487"/>
        <w:gridCol w:w="490"/>
        <w:gridCol w:w="109"/>
        <w:gridCol w:w="109"/>
        <w:gridCol w:w="109"/>
        <w:gridCol w:w="411"/>
        <w:gridCol w:w="411"/>
        <w:gridCol w:w="412"/>
        <w:gridCol w:w="109"/>
        <w:gridCol w:w="109"/>
        <w:gridCol w:w="109"/>
        <w:gridCol w:w="438"/>
        <w:gridCol w:w="438"/>
        <w:gridCol w:w="440"/>
        <w:gridCol w:w="109"/>
        <w:gridCol w:w="109"/>
        <w:gridCol w:w="109"/>
        <w:gridCol w:w="479"/>
        <w:gridCol w:w="479"/>
        <w:gridCol w:w="481"/>
        <w:gridCol w:w="109"/>
        <w:gridCol w:w="109"/>
        <w:gridCol w:w="109"/>
        <w:gridCol w:w="293"/>
        <w:gridCol w:w="1066"/>
        <w:gridCol w:w="151"/>
        <w:gridCol w:w="109"/>
        <w:gridCol w:w="109"/>
        <w:gridCol w:w="109"/>
        <w:gridCol w:w="285"/>
        <w:gridCol w:w="1035"/>
        <w:gridCol w:w="218"/>
      </w:tblGrid>
      <w:tr>
        <w:trPr/>
        <w:tc>
          <w:tcPr>
            <w:tcW w:w="5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Elected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SOFR + 1.75%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1,324.9 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1,227.7 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1,319.0 </w:t>
            </w:r>
          </w:p>
        </w:tc>
        <w:tc>
          <w:tcPr>
            <w:tcW w:w="1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2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 xml:space="preserve">First Lien Credit Agreement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Create or incur liens;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Engage in certain fundamental changes, including mergers or consolidations;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Sell or transfer assets;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Pay dividends and distributions on our subsidiaries’ capital stock;</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Make acquisitions, investments, loans or advances;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Engage in certain transactions with affiliates;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Enter into negative pledge clauses and clauses restricting subsidiary distributions.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draws more than $87.5 million of the First Lien Revolving Credit Facility,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First Lien Term Loan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we entered into an amendment to our existing First Lien Credit Agreement (the “Seventh Amendment”), pursuant to which the Company completed a repricing of its First Lien Term Loan, which decreased the applicable rate for Base Rate loans from 1.25% to 0.75% and SOFR based loans from 2.25% to 1.75%. Under the terms of the Seventh Amendment, the Company is obligated to make principal payments in the amount of 0.25% of the aggregate outstanding amount as of the latest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21105"/>
                <wp:effectExtent l="0" t="0" r="0" b="0"/>
                <wp:wrapNone/>
                <wp:docPr id="30" name="Frame3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6 - Financing Arrangements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on the First Lien Term Loan was 6.16% and 6.56% as of September 30, 2025 and December 31, 2024, respectively.</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First Lien Revolving Credit Facility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the Company drew $100.0 million of the $250.0 million available under its First Lien Revolving Credit Facility (the “First Lien Revolver”). The proceeds from the borrowing are intended to be used to fund our ongoing Share Repurchase Program. The First Lien Revolver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7 - Derivatives and Hedging Activities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Rate Hedges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the following outstanding interest rate derivatives that were designated as cash flow hedges of interest rate risk (in millions):</w:t>
      </w:r>
    </w:p>
    <w:tbl>
      <w:tblPr>
        <w:tblW w:w="10205" w:type="dxa"/>
        <w:jc w:val="left"/>
        <w:tblInd w:w="0" w:type="dxa"/>
        <w:tblLayout w:type="fixed"/>
        <w:tblCellMar>
          <w:top w:w="28" w:type="dxa"/>
          <w:left w:w="28" w:type="dxa"/>
          <w:bottom w:w="28" w:type="dxa"/>
          <w:right w:w="28" w:type="dxa"/>
        </w:tblCellMar>
      </w:tblPr>
      <w:tblGrid>
        <w:gridCol w:w="834"/>
        <w:gridCol w:w="733"/>
        <w:gridCol w:w="735"/>
        <w:gridCol w:w="567"/>
        <w:gridCol w:w="567"/>
        <w:gridCol w:w="569"/>
        <w:gridCol w:w="109"/>
        <w:gridCol w:w="109"/>
        <w:gridCol w:w="109"/>
        <w:gridCol w:w="820"/>
        <w:gridCol w:w="820"/>
        <w:gridCol w:w="822"/>
        <w:gridCol w:w="109"/>
        <w:gridCol w:w="109"/>
        <w:gridCol w:w="109"/>
        <w:gridCol w:w="373"/>
        <w:gridCol w:w="324"/>
        <w:gridCol w:w="741"/>
        <w:gridCol w:w="109"/>
        <w:gridCol w:w="109"/>
        <w:gridCol w:w="109"/>
        <w:gridCol w:w="383"/>
        <w:gridCol w:w="383"/>
        <w:gridCol w:w="553"/>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Rate Derivatives (Level 2)</w:t>
            </w:r>
          </w:p>
        </w:tc>
        <w:tc>
          <w:tcPr>
            <w:tcW w:w="1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Swap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r>
      <w:tr>
        <w:trPr/>
        <w:tc>
          <w:tcPr>
            <w:tcW w:w="23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1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0.370 </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30, 2026</w:t>
            </w:r>
          </w:p>
        </w:tc>
      </w:tr>
    </w:tbl>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derivative interest rate swaps are designated and qualify as cash flow hedges. Consequently, the change in the estimated fair value of the effective portion of the derivative is recognized in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on our Consolidated Balance Sheets and reclassified to </w:t>
      </w:r>
      <w:r>
        <w:rPr>
          <w:rFonts w:ascii="Times New Roman;serif" w:hAnsi="Times New Roman;serif"/>
          <w:b w:val="false"/>
          <w:i/>
          <w:color w:val="000000"/>
          <w:sz w:val="20"/>
        </w:rPr>
        <w:t>Interest expense, net</w:t>
      </w:r>
      <w:r>
        <w:rPr>
          <w:rFonts w:ascii="Times New Roman;serif" w:hAnsi="Times New Roman;serif"/>
          <w:b w:val="false"/>
          <w:color w:val="000000"/>
          <w:sz w:val="20"/>
        </w:rPr>
        <w:t xml:space="preserve">, when the underlying transaction has an impact on earnings. The Company expects to recognize approximately $5.9 million of net pre-tax gains from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as a reduction of </w:t>
      </w: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 the next twelve months associated with its interest rate swap.</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Refer to the Company’s Consolidated Statements of Comprehensive Income (Loss) for amounts reclassified from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into earnings related to the Company’s derivative instruments designated as cash flow hedging instruments for each of the reporting periods.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Foreign Currency Hedges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21105"/>
                <wp:effectExtent l="0" t="0" r="0" b="0"/>
                <wp:wrapNone/>
                <wp:docPr id="31" name="Frame3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7 - Derivatives and Hedging Activities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the Company engaged in foreign currency forward contract activities. For the three and nine months ended September 30, 2025, we have settled forward currency contracts with a cumulative notional amount of $9.9 million and $20.5 million, respectively. These transactions resulted in an immaterial gain during the three and nine months ended September 30, 2025, which offset higher operating expenses due to unfavorable changes in the foreign currency. At September 30, 2025, our derivative financial instruments consisted of foreign currency forward contracts with a total notional value of $9.6 million with maturities extending to December 2025.</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the Company settled foreign currency forward contracts with a cumulative notional amount of $11.9 million and $20.5 million, respectively. These transactions resulted in an immaterial gain due to favorable changes in the foreign currency.</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derivative foreign currency forward contracts are designated and qualify as cash flow hedges. Consequently, the change in the estimated fair value of the effective portion of the derivative is recognized in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on our Consolidated Balance Sheets and reclassified to revenue or operating expenses depending on the nature of the underlying transaction, when the underlying transaction has an impact on earnings. Impacts on </w:t>
      </w: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are presented as operating cash flows on our Consolidated Statements of Cash Flows in the period contracts are settled.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presentation on our Consolidated Balance Sheets for derivatives as of September 30, 2025 and December 31, 2024 (in millions):</w:t>
      </w:r>
    </w:p>
    <w:tbl>
      <w:tblPr>
        <w:tblW w:w="10205" w:type="dxa"/>
        <w:jc w:val="left"/>
        <w:tblInd w:w="0" w:type="dxa"/>
        <w:tblLayout w:type="fixed"/>
        <w:tblCellMar>
          <w:top w:w="28" w:type="dxa"/>
          <w:left w:w="28" w:type="dxa"/>
          <w:bottom w:w="28" w:type="dxa"/>
          <w:right w:w="28" w:type="dxa"/>
        </w:tblCellMar>
      </w:tblPr>
      <w:tblGrid>
        <w:gridCol w:w="847"/>
        <w:gridCol w:w="742"/>
        <w:gridCol w:w="746"/>
        <w:gridCol w:w="131"/>
        <w:gridCol w:w="131"/>
        <w:gridCol w:w="131"/>
        <w:gridCol w:w="496"/>
        <w:gridCol w:w="940"/>
        <w:gridCol w:w="234"/>
        <w:gridCol w:w="143"/>
        <w:gridCol w:w="143"/>
        <w:gridCol w:w="143"/>
        <w:gridCol w:w="143"/>
        <w:gridCol w:w="453"/>
        <w:gridCol w:w="872"/>
        <w:gridCol w:w="235"/>
        <w:gridCol w:w="119"/>
        <w:gridCol w:w="119"/>
        <w:gridCol w:w="119"/>
        <w:gridCol w:w="340"/>
        <w:gridCol w:w="824"/>
        <w:gridCol w:w="177"/>
        <w:gridCol w:w="119"/>
        <w:gridCol w:w="119"/>
        <w:gridCol w:w="119"/>
        <w:gridCol w:w="438"/>
        <w:gridCol w:w="845"/>
        <w:gridCol w:w="337"/>
      </w:tblGrid>
      <w:tr>
        <w:trPr/>
        <w:tc>
          <w:tcPr>
            <w:tcW w:w="84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620" w:type="dxa"/>
            <w:gridSpan w:val="3"/>
            <w:tcBorders/>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Instrument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4398" w:type="dxa"/>
            <w:gridSpan w:val="9"/>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 contracts</w:t>
            </w:r>
            <w:r>
              <w:rPr>
                <w:rFonts w:ascii="Times New Roman;serif" w:hAnsi="Times New Roman;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 contracts</w:t>
            </w:r>
            <w:r>
              <w:rPr>
                <w:rFonts w:ascii="Times New Roman;serif" w:hAnsi="Times New Roman;serif"/>
                <w:b w:val="false"/>
                <w:color w:val="000000"/>
                <w:sz w:val="13"/>
              </w:rPr>
              <w:t>(2)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Foreign currency forward contracts</w:t>
            </w:r>
            <w:r>
              <w:rPr>
                <w:rFonts w:ascii="Times New Roman;serif" w:hAnsi="Times New Roman;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designated derivative fair value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Prepaid expenses and other current assets</w:t>
      </w:r>
      <w:r>
        <w:rPr>
          <w:color w:val="000000"/>
        </w:rPr>
        <w:t xml:space="preserve"> </w:t>
      </w:r>
      <w:r>
        <w:rPr>
          <w:rFonts w:ascii="Times New Roman;serif" w:hAnsi="Times New Roman;serif"/>
          <w:b w:val="false"/>
          <w:color w:val="000000"/>
          <w:sz w:val="18"/>
        </w:rPr>
        <w:t>on our Consolidated Balance Sheets.</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Deferred costs and other assets, net of current portion</w:t>
      </w:r>
      <w:r>
        <w:rPr>
          <w:color w:val="000000"/>
        </w:rPr>
        <w:t xml:space="preserve"> </w:t>
      </w:r>
      <w:r>
        <w:rPr>
          <w:rFonts w:ascii="Times New Roman;serif" w:hAnsi="Times New Roman;serif"/>
          <w:b w:val="false"/>
          <w:color w:val="000000"/>
          <w:sz w:val="18"/>
        </w:rPr>
        <w:t>on our Consolidated Balance Sheets.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Refer to the Company’s Consolidated Statements of Comprehensive Income (Loss) for amounts reclassified from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into earnings related to the Company’s derivative instruments designated as cash flow hedging instruments for each of the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8 - Fair Value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Company's financial instruments consist principally of cash and cash equivalents, short-term investments, long-term investments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on our Consolidated Balance Sheets),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certificates of deposits and money market mutual funds as Level 1 within the fair value hierarchy. We classify our corporate debt securities, securities guaranteed by the U.S. government, and certificates of deposits as Level 2 within the fair value hierarchy. The fair value of our First Lien Term Loan and Senior Notes was $579.3 million and $612.6 million as of September 30, 2025, and $584.0 million and $585.0 million as of December 31, 2024, respectively, based on observable market prices in less active markets and categorized as Level 2 within the fair value measurement framework.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221105"/>
                <wp:effectExtent l="0" t="0" r="0" b="0"/>
                <wp:wrapNone/>
                <wp:docPr id="32" name="Frame3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8 - Fair Value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Inputs are collected from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financial assets (liabilities) was determined using the following inputs (in millions):</w:t>
      </w:r>
    </w:p>
    <w:tbl>
      <w:tblPr>
        <w:tblW w:w="6834" w:type="dxa"/>
        <w:jc w:val="left"/>
        <w:tblInd w:w="0" w:type="dxa"/>
        <w:tblLayout w:type="fixed"/>
        <w:tblCellMar>
          <w:top w:w="28" w:type="dxa"/>
          <w:left w:w="28" w:type="dxa"/>
          <w:bottom w:w="28" w:type="dxa"/>
          <w:right w:w="28" w:type="dxa"/>
        </w:tblCellMar>
      </w:tblPr>
      <w:tblGrid>
        <w:gridCol w:w="1272"/>
        <w:gridCol w:w="1117"/>
        <w:gridCol w:w="1120"/>
        <w:gridCol w:w="109"/>
        <w:gridCol w:w="109"/>
        <w:gridCol w:w="109"/>
        <w:gridCol w:w="213"/>
        <w:gridCol w:w="411"/>
        <w:gridCol w:w="110"/>
        <w:gridCol w:w="109"/>
        <w:gridCol w:w="109"/>
        <w:gridCol w:w="109"/>
        <w:gridCol w:w="211"/>
        <w:gridCol w:w="511"/>
        <w:gridCol w:w="109"/>
        <w:gridCol w:w="109"/>
        <w:gridCol w:w="109"/>
        <w:gridCol w:w="109"/>
        <w:gridCol w:w="213"/>
        <w:gridCol w:w="411"/>
        <w:gridCol w:w="155"/>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recurring basis: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221105"/>
                <wp:effectExtent l="0" t="0" r="0" b="0"/>
                <wp:wrapNone/>
                <wp:docPr id="33" name="Frame3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8 - Fair Value (continued)</w:t>
      </w:r>
    </w:p>
    <w:tbl>
      <w:tblPr>
        <w:tblW w:w="6654" w:type="dxa"/>
        <w:jc w:val="left"/>
        <w:tblInd w:w="0" w:type="dxa"/>
        <w:tblLayout w:type="fixed"/>
        <w:tblCellMar>
          <w:top w:w="28" w:type="dxa"/>
          <w:left w:w="28" w:type="dxa"/>
          <w:bottom w:w="28" w:type="dxa"/>
          <w:right w:w="28" w:type="dxa"/>
        </w:tblCellMar>
      </w:tblPr>
      <w:tblGrid>
        <w:gridCol w:w="1134"/>
        <w:gridCol w:w="999"/>
        <w:gridCol w:w="1002"/>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1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recurring basis: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non-recurring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Impaired lease-related assets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(1)Refer to Note 3 - Cash, Cash Equivalents, and Investments for further information regarding the fair value of our financial instruments.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Note 7 - Derivatives and Hedging Activities for further information regarding the fair value of our derivative instruments.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(3)Consists of right-of-use lease assets recorded at fair value pursuant to impairment charges that occurred during the second and third quarter of 2024. Refer to Note 13 - Leases in our 2024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measurements levels during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Non-cancelable purchase obligations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outstanding non-cancelable purchase obligations, refer to the amounts disclosed in the audited financial statements in our 2024 Form 10-K. Amounts mainly relate to third-party cloud hosting and software-as-a-service arrangements. For information regarding financing-related obligations, refer to Note 6 - Financing Arrangements. For information regarding lease-related obligations, refer to Note 11 - Leases.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Contingent earnout payments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Dogpatch Advisors, LLC in April 2022, the Company has issued $2.7 million in equity awards, representing all contingent earnout obligations related to this acquisition as of September 30, 2025. Refer to Note 3 - Business Combinations in our 2024 Form 10-K for additional information.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221105"/>
                <wp:effectExtent l="0" t="0" r="0" b="0"/>
                <wp:wrapNone/>
                <wp:docPr id="34" name="Frame3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ZoomInfo Publicity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2024, a putative class action lawsuit was filed against ZoomInfo Technologies LLC in the U.S. District Court for the Western District of Washington alleging ZoomInfo Technologies LLC’s use of individuals’ names in public-facing web pages violates the Washington Personality Rights Act, and seeking statutory, compensatory and punitive damages, costs, and attorneys’ fees. The Company intends to vigorously defend against this lawsuit.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Datanyze Publicity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was removed to the United States District Court for the Northern District of Illinois (Eastern Division). On October 23, 2024, a putative class action lawsuit was filed against Datanyze, LLC in the Northern District of California, San Francisco Division, alleging Datanyze’s use of California, Nevada, Indiana, and Alabama residents’ names in a free trial violates statutory rights-of-publicity in the respective states, and seeking statutory, compensatory and punitive damages, costs, and attorneys’ fees. On February 12, 2025, Datanyze entered into a binding term sheet with the plaintiffs in both of these class actions, to resolve these class actions for an immaterial amount. As contemplated in the parties’ agreement, the parties stipulated to the dismissal of both federal actions. The claims were re-filed as a single case in the Circuit Court of DuPage County, Illinois solely for purposes of facilitating settlement. The Circuit Court of DuPage County, Illinois granted final approval of the settlement on July 23, 2025.</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Quebec Privacy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17, 2025, a putative class action lawsuit was filed against ZoomInfo Technologies Inc., ZoomInfo Technologies LLC, and ZoomInfo Canada Corp. in the Superior Court of Quebec, alleging that the Company’s collection and publication of personal information violated the Quebec Civil Code, Quebec’s statute regarding the protection of personal information in the private sector (LPRPSP), and the Quebec Charter of Human Rights and Freedoms. The plaintiffs seek statutory, compensatory and punitive damages, as well as costs and legal fees. The Company intends to vigorously defend against this lawsuit.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Colorado Consumer Protection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2025, a putative class action lawsuit was filed against ZoomInfo Technologies LLC in the Superior Court of the State of Washington (Clark County), alleging that ZoomInfo Technologies LLC violated the State of Colorado’s Prevention of Telemarketing Fraud Act by listing cell phone numbers of Colorado residents in the Company’s online directory for commercial purposes without obtaining their consent. The suit seeks statutory damages, injunctive and other equitable relief, costs and attorneys’ fees. The Company intends to vigorously defend against this lawsuit.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Similarly, on June 26, 2025, a putative class action lawsuit was filed against Datanyze LLC in the United States District Court for the District of Colorado, alleging that Datanyze LLC violated the State of Colorado’s Prevention of Telemarketing Fraud Act, on substantially the same grounds as the action filed against ZoomInfo Technologies LLC referred to above. The suit seeks statutory damages, injunctive and other equitable relief, costs and attorneys’ fees. Datanyze LLC intends to vigorously defend against this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221105"/>
                <wp:effectExtent l="0" t="0" r="0" b="0"/>
                <wp:wrapNone/>
                <wp:docPr id="35" name="Frame3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12, 2024, certain of the Company’s current and former directors and officers were named as defendants in a derivative shareholder lawsuit (in which the Company is a nominal defendant) filed in the United States District Court for the Western District of Washington. A second derivative action was filed on February 4, 2025 in the United States District Court for the Western District of Washington. The factual allegations in the derivative cases mirror the securities case described above. The complaints assert violations of the United States securities laws and state fiduciary duty laws, in addition to common law claims involving unjust enrichment, abuse of control, gross mismanagement, and waste of corporate assets. The derivative cases seek, among other things, unspecified compensatory damages on behalf of the Company arising out of the individual defendants’ alleged wrongful conduct. The first-filed derivative action is currently stayed pending further developments in the securities action described above. The parties have requested that the court stay the second-filed derivative action and consolidate it with the first-filed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10 - Earnings Per Share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The following tables set forth the computation of basic and diluted net income per share of</w:t>
      </w:r>
      <w:r>
        <w:rPr>
          <w:color w:val="242424"/>
        </w:rPr>
        <w:t xml:space="preserve"> </w:t>
      </w:r>
      <w:r>
        <w:rPr>
          <w:rFonts w:ascii="Times New Roman;serif" w:hAnsi="Times New Roman;serif"/>
          <w:b w:val="false"/>
          <w:color w:val="242424"/>
          <w:sz w:val="20"/>
        </w:rPr>
        <w:t>common stock</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585"/>
        <w:gridCol w:w="2189"/>
        <w:gridCol w:w="2205"/>
        <w:gridCol w:w="346"/>
        <w:gridCol w:w="840"/>
        <w:gridCol w:w="157"/>
        <w:gridCol w:w="157"/>
        <w:gridCol w:w="157"/>
        <w:gridCol w:w="157"/>
        <w:gridCol w:w="346"/>
        <w:gridCol w:w="840"/>
        <w:gridCol w:w="226"/>
      </w:tblGrid>
      <w:tr>
        <w:trPr/>
        <w:tc>
          <w:tcPr>
            <w:tcW w:w="258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6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shares and per share amounts)</w:t>
            </w:r>
          </w:p>
        </w:tc>
        <w:tc>
          <w:tcPr>
            <w:tcW w:w="13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per share attributable to common stockholders</w:t>
            </w:r>
          </w:p>
        </w:tc>
        <w:tc>
          <w:tcPr>
            <w:tcW w:w="13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316,966,947 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354,940,772 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common stockholders</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attributable to common stockholders</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979"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979"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used in basic computation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316,966,947 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354,940,772 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weighted-average effect of dilutive securities exchangeable for common stock:</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979"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to calculate diluted net income per share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316,966,947 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355,131,093 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common stockholders</w:t>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221105"/>
                <wp:effectExtent l="0" t="0" r="0" b="0"/>
                <wp:wrapNone/>
                <wp:docPr id="36" name="Frame3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10 - Earnings Per Share (continued)</w:t>
      </w:r>
    </w:p>
    <w:tbl>
      <w:tblPr>
        <w:tblW w:w="10205" w:type="dxa"/>
        <w:jc w:val="left"/>
        <w:tblInd w:w="0" w:type="dxa"/>
        <w:tblLayout w:type="fixed"/>
        <w:tblCellMar>
          <w:top w:w="28" w:type="dxa"/>
          <w:left w:w="28" w:type="dxa"/>
          <w:bottom w:w="28" w:type="dxa"/>
          <w:right w:w="28" w:type="dxa"/>
        </w:tblCellMar>
      </w:tblPr>
      <w:tblGrid>
        <w:gridCol w:w="2593"/>
        <w:gridCol w:w="2198"/>
        <w:gridCol w:w="2214"/>
        <w:gridCol w:w="346"/>
        <w:gridCol w:w="840"/>
        <w:gridCol w:w="152"/>
        <w:gridCol w:w="152"/>
        <w:gridCol w:w="152"/>
        <w:gridCol w:w="152"/>
        <w:gridCol w:w="346"/>
        <w:gridCol w:w="840"/>
        <w:gridCol w:w="220"/>
      </w:tblGrid>
      <w:tr>
        <w:trPr/>
        <w:tc>
          <w:tcPr>
            <w:tcW w:w="25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shares and per share amounts)</w:t>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per share attributable to common stockholders</w:t>
            </w:r>
          </w:p>
        </w:tc>
        <w:tc>
          <w:tcPr>
            <w:tcW w:w="13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328,317,197 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368,446,379 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common stockholders</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attributable to common stockholders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used in basic computation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328,317,197 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368,446,379 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weighted-average effect of dilutive securities exchangeable for common stock:</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83,995 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179,936 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to calculate diluted net income per share</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328,317,197 </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368,710,310 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common stockholders</w:t>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242424"/>
          <w:sz w:val="20"/>
        </w:rPr>
      </w:pPr>
      <w:r>
        <w:rPr>
          <w:rFonts w:ascii="Times New Roman;serif" w:hAnsi="Times New Roman;serif"/>
          <w:b w:val="false"/>
          <w:color w:val="242424"/>
          <w:sz w:val="20"/>
        </w:rPr>
        <w:t>In periods of loss, the number of shares used to calculate diluted net income (loss) per share is the same as basic net income (loss) per share. The following weighted-average potentially dilutive securities were evaluated under the treasury stock method for potentially dilutive effects and have been excluded from diluted net income per share in the periods presented due to their anti-dilutive effect:</w:t>
      </w:r>
    </w:p>
    <w:tbl>
      <w:tblPr>
        <w:tblW w:w="10205" w:type="dxa"/>
        <w:jc w:val="left"/>
        <w:tblInd w:w="0" w:type="dxa"/>
        <w:tblLayout w:type="fixed"/>
        <w:tblCellMar>
          <w:top w:w="28" w:type="dxa"/>
          <w:left w:w="28" w:type="dxa"/>
          <w:bottom w:w="28" w:type="dxa"/>
          <w:right w:w="28" w:type="dxa"/>
        </w:tblCellMar>
      </w:tblPr>
      <w:tblGrid>
        <w:gridCol w:w="930"/>
        <w:gridCol w:w="776"/>
        <w:gridCol w:w="782"/>
        <w:gridCol w:w="791"/>
        <w:gridCol w:w="331"/>
        <w:gridCol w:w="288"/>
        <w:gridCol w:w="288"/>
        <w:gridCol w:w="288"/>
        <w:gridCol w:w="288"/>
        <w:gridCol w:w="786"/>
        <w:gridCol w:w="332"/>
        <w:gridCol w:w="306"/>
        <w:gridCol w:w="109"/>
        <w:gridCol w:w="109"/>
        <w:gridCol w:w="109"/>
        <w:gridCol w:w="791"/>
        <w:gridCol w:w="313"/>
        <w:gridCol w:w="270"/>
        <w:gridCol w:w="270"/>
        <w:gridCol w:w="270"/>
        <w:gridCol w:w="270"/>
        <w:gridCol w:w="786"/>
        <w:gridCol w:w="314"/>
        <w:gridCol w:w="408"/>
      </w:tblGrid>
      <w:tr>
        <w:trPr/>
        <w:tc>
          <w:tcPr>
            <w:tcW w:w="9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16,409,811 </w:t>
            </w:r>
          </w:p>
        </w:tc>
        <w:tc>
          <w:tcPr>
            <w:tcW w:w="2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15,207,584 </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15,776,487 </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15,381,553 </w:t>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186,026 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248,956 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150,791 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12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16,595,837 </w:t>
            </w:r>
          </w:p>
        </w:tc>
        <w:tc>
          <w:tcPr>
            <w:tcW w:w="2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15,456,540 </w:t>
            </w:r>
          </w:p>
        </w:tc>
        <w:tc>
          <w:tcPr>
            <w:tcW w:w="3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16,002,386 </w:t>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15,532,344 </w:t>
            </w:r>
          </w:p>
        </w:tc>
        <w:tc>
          <w:tcPr>
            <w:tcW w:w="4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11 - Leases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operating lease right-of-use assets and operating lease liabilities as well as the package of practical expedients relating to the adoption of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221105"/>
                <wp:effectExtent l="0" t="0" r="0" b="0"/>
                <wp:wrapNone/>
                <wp:docPr id="37" name="Frame3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11 - Leases (continued)</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subleases two offices. The subleases have remaining lease terms of less than eleven years. Sublease income, which is recorded as a reduction of rent expense and allocated to the appropriate financial statement line items to arrive at </w:t>
      </w:r>
      <w:r>
        <w:rPr>
          <w:rFonts w:ascii="Times New Roman;serif" w:hAnsi="Times New Roman;serif"/>
          <w:b w:val="false"/>
          <w:i/>
          <w:color w:val="000000"/>
          <w:sz w:val="20"/>
        </w:rPr>
        <w:t>Income from operations</w:t>
      </w:r>
      <w:r>
        <w:rPr>
          <w:color w:val="000000"/>
        </w:rPr>
        <w:t xml:space="preserve"> </w:t>
      </w:r>
      <w:r>
        <w:rPr>
          <w:rFonts w:ascii="Times New Roman;serif" w:hAnsi="Times New Roman;serif"/>
          <w:b w:val="false"/>
          <w:color w:val="000000"/>
          <w:sz w:val="20"/>
        </w:rPr>
        <w:t>on our Consolidated Statements of Operations, was immaterial for the three and nine months ended September 30, 2025 and 2024.</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additional details related to operating leases recorded on our Consolidated Balance Sheets as of September 30, 2025 and December 31, 2024:</w:t>
      </w:r>
    </w:p>
    <w:tbl>
      <w:tblPr>
        <w:tblW w:w="7283" w:type="dxa"/>
        <w:jc w:val="left"/>
        <w:tblInd w:w="0" w:type="dxa"/>
        <w:tblLayout w:type="fixed"/>
        <w:tblCellMar>
          <w:top w:w="28" w:type="dxa"/>
          <w:left w:w="28" w:type="dxa"/>
          <w:bottom w:w="28" w:type="dxa"/>
          <w:right w:w="28" w:type="dxa"/>
        </w:tblCellMar>
      </w:tblPr>
      <w:tblGrid>
        <w:gridCol w:w="1452"/>
        <w:gridCol w:w="1278"/>
        <w:gridCol w:w="1289"/>
        <w:gridCol w:w="109"/>
        <w:gridCol w:w="109"/>
        <w:gridCol w:w="109"/>
        <w:gridCol w:w="293"/>
        <w:gridCol w:w="859"/>
        <w:gridCol w:w="153"/>
        <w:gridCol w:w="109"/>
        <w:gridCol w:w="109"/>
        <w:gridCol w:w="109"/>
        <w:gridCol w:w="280"/>
        <w:gridCol w:w="819"/>
        <w:gridCol w:w="206"/>
      </w:tblGrid>
      <w:tr>
        <w:trPr/>
        <w:tc>
          <w:tcPr>
            <w:tcW w:w="145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Rent expense was $8.9 million, inclusive of $2.7 million related to the Waltham Lease Restructuring, and $12.1 million, inclusive of $6.0 million related to the Waltham Lease Restructuring, for the three months ended September 30, 2025 and 2024, respectively. Rent expense was $24.9 million, inclusive of $3.8 million related to the Waltham Lease Restructuring, and $28.8 million, inclusive of $6.0 million related to the Waltham Lease Restructuring and $4.1 million accelerated amortization of right-of-use assets, for the nine months ended September 30, 2025 and 2024, respectively. Refer to Note 13 - Leases in our 2024 Form 10-K for further information regarding the Waltham Lease Restructuring.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1657"/>
        <w:gridCol w:w="1443"/>
        <w:gridCol w:w="1454"/>
        <w:gridCol w:w="295"/>
        <w:gridCol w:w="567"/>
        <w:gridCol w:w="152"/>
        <w:gridCol w:w="152"/>
        <w:gridCol w:w="152"/>
        <w:gridCol w:w="152"/>
        <w:gridCol w:w="295"/>
        <w:gridCol w:w="715"/>
        <w:gridCol w:w="152"/>
        <w:gridCol w:w="109"/>
        <w:gridCol w:w="109"/>
        <w:gridCol w:w="109"/>
        <w:gridCol w:w="265"/>
        <w:gridCol w:w="642"/>
        <w:gridCol w:w="137"/>
        <w:gridCol w:w="137"/>
        <w:gridCol w:w="137"/>
        <w:gridCol w:w="137"/>
        <w:gridCol w:w="265"/>
        <w:gridCol w:w="774"/>
        <w:gridCol w:w="198"/>
      </w:tblGrid>
      <w:tr>
        <w:trPr/>
        <w:tc>
          <w:tcPr>
            <w:tcW w:w="165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for tenant incentive reimbursement</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Lease liabilities arising from obtaining right-of-use assets</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From new and existing lease agreements and modifications</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16" w:type="dxa"/>
        <w:jc w:val="left"/>
        <w:tblInd w:w="0" w:type="dxa"/>
        <w:tblLayout w:type="fixed"/>
        <w:tblCellMar>
          <w:top w:w="28" w:type="dxa"/>
          <w:left w:w="28" w:type="dxa"/>
          <w:bottom w:w="28" w:type="dxa"/>
          <w:right w:w="28" w:type="dxa"/>
        </w:tblCellMar>
      </w:tblPr>
      <w:tblGrid>
        <w:gridCol w:w="1574"/>
        <w:gridCol w:w="1384"/>
        <w:gridCol w:w="1392"/>
        <w:gridCol w:w="394"/>
        <w:gridCol w:w="394"/>
        <w:gridCol w:w="982"/>
        <w:gridCol w:w="109"/>
        <w:gridCol w:w="109"/>
        <w:gridCol w:w="109"/>
        <w:gridCol w:w="360"/>
        <w:gridCol w:w="360"/>
        <w:gridCol w:w="1049"/>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1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221105"/>
                <wp:effectExtent l="0" t="0" r="0" b="0"/>
                <wp:wrapNone/>
                <wp:docPr id="38" name="Frame3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11 - Leases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future minimum lease payments under non-cancelable leases to the total lease liabilities recognized as of September 30, 2025 (in millions):</w:t>
      </w:r>
    </w:p>
    <w:tbl>
      <w:tblPr>
        <w:tblW w:w="6418" w:type="dxa"/>
        <w:jc w:val="left"/>
        <w:tblInd w:w="0" w:type="dxa"/>
        <w:tblLayout w:type="fixed"/>
        <w:tblCellMar>
          <w:top w:w="28" w:type="dxa"/>
          <w:left w:w="28" w:type="dxa"/>
          <w:bottom w:w="28" w:type="dxa"/>
          <w:right w:w="28" w:type="dxa"/>
        </w:tblCellMar>
      </w:tblPr>
      <w:tblGrid>
        <w:gridCol w:w="1730"/>
        <w:gridCol w:w="1525"/>
        <w:gridCol w:w="1529"/>
        <w:gridCol w:w="350"/>
        <w:gridCol w:w="1027"/>
        <w:gridCol w:w="257"/>
      </w:tblGrid>
      <w:tr>
        <w:trPr/>
        <w:tc>
          <w:tcPr>
            <w:tcW w:w="17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(excluding nine months ended September 30, 2025)</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Effects of discounting</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2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the undiscounted future minimum lease payments for the years ended December 31, 2025 (excluding the nine months ended September 30, 2025), and 2026 are future tenant improvement allowance reimbursements related to our Ra’anana, Israel; Vancouver, Washington; and Waltham, Massachusetts leases.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Expense associated with short-term leases and variable lease costs were immaterial for the three and nine months ended September 30, 2025 and 2024. The expense related to short-term leases reasonably reflected our short-term lease commitments.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 Leasing Activity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Relating to our new office space in Waltham, Massachusetts, the lease commenced in May 2025 resulting in additional lease liabilities arising from obtaining right-of-use assets of $36.3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2025, the measurement for determining gross areas at the Company’s corporate headquarters under construction in Vancouver, Washington, was finalized. This resulted in additional rentable square footage that was previously indeterminate, increasing the corresponding fixed minimum lease payments. This remeasurement resulted in the Company recording additional right-of-use assets and lease liabilities of $12.0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 Equity-based Compensation</w:t>
      </w:r>
    </w:p>
    <w:p>
      <w:pPr>
        <w:pStyle w:val="TextBody"/>
        <w:bidi w:val="0"/>
        <w:spacing w:lineRule="auto" w:line="288" w:before="180" w:after="180"/>
        <w:ind w:left="0" w:right="0" w:firstLine="360"/>
        <w:jc w:val="both"/>
        <w:rPr/>
      </w:pPr>
      <w:r>
        <w:rPr>
          <w:rFonts w:ascii="Times New Roman;serif" w:hAnsi="Times New Roman;serif"/>
          <w:b/>
          <w:color w:val="000000"/>
          <w:sz w:val="20"/>
        </w:rPr>
        <w:t xml:space="preserve">2020 Omnibus Incentive Plan </w:t>
      </w:r>
      <w:r>
        <w:rPr>
          <w:rFonts w:ascii="Times New Roman;serif" w:hAnsi="Times New Roman;serif"/>
          <w:b w:val="false"/>
          <w:color w:val="000000"/>
          <w:sz w:val="20"/>
        </w:rPr>
        <w:t>- On May 26, 2020, the Board adopted the Omnibus Plan. The Omnibus Plan provides for potential grants of the 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221105"/>
                <wp:effectExtent l="0" t="0" r="0" b="0"/>
                <wp:wrapNone/>
                <wp:docPr id="39" name="Frame3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has equity-based compensation awards outstanding as follows: restricted stock units and common stock options. In addition, the Company recognizes equity-based compensation expense from awards granted to employees as further described below under HSKB Phantom Units.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Performance-based Restricted Stock Units (PRSUs) that generally vest in three annual tranches over a three-year performance period, with allocation percentages varying by specific award terms. The actual number of PRSUs that employees ultimately earn depends on performance and may range from 0% to between 50% and 200% of the originally granted PRSUs. This payout percentage is determined by whether the Company or individual achieves specific performance targets during the related performance period, and employees must also maintain continued service with the Company. Performance is evaluated solely during each applicable performance period, with no opportunity to make up for unmet targets related to a previous performance period. Once PRSUs are earned based on the achieved performance level, they are settled by issuing an equivalent number of shares of the Company's common stock to the recipients.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unit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994"/>
        <w:gridCol w:w="704"/>
        <w:gridCol w:w="646"/>
        <w:gridCol w:w="649"/>
        <w:gridCol w:w="561"/>
        <w:gridCol w:w="517"/>
        <w:gridCol w:w="185"/>
        <w:gridCol w:w="185"/>
        <w:gridCol w:w="185"/>
        <w:gridCol w:w="572"/>
        <w:gridCol w:w="1674"/>
        <w:gridCol w:w="295"/>
        <w:gridCol w:w="109"/>
        <w:gridCol w:w="109"/>
        <w:gridCol w:w="109"/>
        <w:gridCol w:w="923"/>
        <w:gridCol w:w="735"/>
        <w:gridCol w:w="1053"/>
      </w:tblGrid>
      <w:tr>
        <w:trPr/>
        <w:tc>
          <w:tcPr>
            <w:tcW w:w="99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period</w:t>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15,220,019 </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12,636,460 </w:t>
            </w:r>
          </w:p>
        </w:tc>
        <w:tc>
          <w:tcPr>
            <w:tcW w:w="10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1"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7,544,717 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9,149,767 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 performance-based </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1,617,489 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272,797 </w:t>
            </w:r>
          </w:p>
        </w:tc>
        <w:tc>
          <w:tcPr>
            <w:tcW w:w="10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market-based</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441,177 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(5,106,235)</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(3,969,023)</w:t>
            </w:r>
          </w:p>
        </w:tc>
        <w:tc>
          <w:tcPr>
            <w:tcW w:w="10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(2,866,179)</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(3,323,594)</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period</w:t>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16,409,811 </w:t>
            </w:r>
          </w:p>
        </w:tc>
        <w:tc>
          <w:tcPr>
            <w:tcW w:w="5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15,207,584 </w:t>
            </w:r>
          </w:p>
        </w:tc>
        <w:tc>
          <w:tcPr>
            <w:tcW w:w="10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802"/>
        <w:gridCol w:w="705"/>
        <w:gridCol w:w="707"/>
        <w:gridCol w:w="438"/>
        <w:gridCol w:w="438"/>
        <w:gridCol w:w="440"/>
        <w:gridCol w:w="224"/>
        <w:gridCol w:w="224"/>
        <w:gridCol w:w="224"/>
        <w:gridCol w:w="860"/>
        <w:gridCol w:w="1548"/>
        <w:gridCol w:w="414"/>
        <w:gridCol w:w="109"/>
        <w:gridCol w:w="109"/>
        <w:gridCol w:w="109"/>
        <w:gridCol w:w="879"/>
        <w:gridCol w:w="811"/>
        <w:gridCol w:w="1164"/>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w:t>
            </w:r>
          </w:p>
        </w:tc>
        <w:tc>
          <w:tcPr>
            <w:tcW w:w="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period</w:t>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347,976 </w:t>
            </w:r>
          </w:p>
        </w:tc>
        <w:tc>
          <w:tcPr>
            <w:tcW w:w="1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(327,564)</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(20,412)</w:t>
            </w:r>
          </w:p>
        </w:tc>
        <w:tc>
          <w:tcPr>
            <w:tcW w:w="1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period</w:t>
            </w:r>
          </w:p>
        </w:tc>
        <w:tc>
          <w:tcPr>
            <w:tcW w:w="8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221105"/>
                <wp:effectExtent l="0" t="0" r="0" b="0"/>
                <wp:wrapNone/>
                <wp:docPr id="40" name="Frame4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Common Stock Options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Common stock options activity was as follows during the period indicated:</w:t>
      </w:r>
    </w:p>
    <w:tbl>
      <w:tblPr>
        <w:tblW w:w="10205" w:type="dxa"/>
        <w:jc w:val="left"/>
        <w:tblInd w:w="0" w:type="dxa"/>
        <w:tblLayout w:type="fixed"/>
        <w:tblCellMar>
          <w:top w:w="28" w:type="dxa"/>
          <w:left w:w="28" w:type="dxa"/>
          <w:bottom w:w="28" w:type="dxa"/>
          <w:right w:w="28" w:type="dxa"/>
        </w:tblCellMar>
      </w:tblPr>
      <w:tblGrid>
        <w:gridCol w:w="940"/>
        <w:gridCol w:w="825"/>
        <w:gridCol w:w="829"/>
        <w:gridCol w:w="413"/>
        <w:gridCol w:w="413"/>
        <w:gridCol w:w="256"/>
        <w:gridCol w:w="210"/>
        <w:gridCol w:w="210"/>
        <w:gridCol w:w="210"/>
        <w:gridCol w:w="569"/>
        <w:gridCol w:w="1667"/>
        <w:gridCol w:w="294"/>
        <w:gridCol w:w="109"/>
        <w:gridCol w:w="109"/>
        <w:gridCol w:w="109"/>
        <w:gridCol w:w="919"/>
        <w:gridCol w:w="874"/>
        <w:gridCol w:w="1249"/>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6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Options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228,059 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279,553 </w:t>
            </w:r>
          </w:p>
        </w:tc>
        <w:tc>
          <w:tcPr>
            <w:tcW w:w="1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2"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2"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(27,989)</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2"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199,112 </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251,564 </w:t>
            </w:r>
          </w:p>
        </w:tc>
        <w:tc>
          <w:tcPr>
            <w:tcW w:w="1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Options have a maximum contractual term of ten years. As of September 30, 2025, the weighted average remaining contractual term was 4.6 years for both options outstanding and options exercisable. The aggregate intrinsic value of options outstanding and exercisable was zero as all options were out of the money.</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quarters of each fiscal year. The purchase price for one share of common stock under the ESPP is currently equal to 90% of the fair market value of one share of common stock on the first trading day of the offering period or the purchase date, whichever is lower.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aggregate number of shares of the common stock that may be issued under the ESPP is no more than 7,500,000 shares (the “ESPP Plan Share Reserve”). The ESPP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221105"/>
                <wp:effectExtent l="0" t="0" r="0" b="0"/>
                <wp:wrapNone/>
                <wp:docPr id="41" name="Frame4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ESPP purchase was determined using the Black-Scholes option pricing model outlined in the following table:</w:t>
      </w:r>
    </w:p>
    <w:tbl>
      <w:tblPr>
        <w:tblW w:w="9574" w:type="dxa"/>
        <w:jc w:val="left"/>
        <w:tblInd w:w="0" w:type="dxa"/>
        <w:tblLayout w:type="fixed"/>
        <w:tblCellMar>
          <w:top w:w="28" w:type="dxa"/>
          <w:left w:w="28" w:type="dxa"/>
          <w:bottom w:w="28" w:type="dxa"/>
          <w:right w:w="28" w:type="dxa"/>
        </w:tblCellMar>
      </w:tblPr>
      <w:tblGrid>
        <w:gridCol w:w="1119"/>
        <w:gridCol w:w="982"/>
        <w:gridCol w:w="988"/>
        <w:gridCol w:w="344"/>
        <w:gridCol w:w="344"/>
        <w:gridCol w:w="344"/>
        <w:gridCol w:w="344"/>
        <w:gridCol w:w="344"/>
        <w:gridCol w:w="344"/>
        <w:gridCol w:w="344"/>
        <w:gridCol w:w="344"/>
        <w:gridCol w:w="366"/>
        <w:gridCol w:w="109"/>
        <w:gridCol w:w="109"/>
        <w:gridCol w:w="109"/>
        <w:gridCol w:w="321"/>
        <w:gridCol w:w="321"/>
        <w:gridCol w:w="321"/>
        <w:gridCol w:w="321"/>
        <w:gridCol w:w="321"/>
        <w:gridCol w:w="321"/>
        <w:gridCol w:w="321"/>
        <w:gridCol w:w="321"/>
        <w:gridCol w:w="472"/>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57.3%</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 years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 years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 years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per unit</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suspended the ESPP effective December 12, 2024, such that the offering period which would otherwise have begun on December 15, 2024 did not commence. As of September 30, 2025, the ESPP continues to be suspended. As such, there was no activity related to the ESPP during the three and nine months ended September 30, 2025.</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withheld $0.8 million and $3.5 million worth of ESPP contributions for the three and nine months ended September 30, 2024, respectively, on behalf of participating employees through payroll deductions. The Company purchased zero and 248,742 shares of Common Stock under the ESPP for the three and nine months ended September 30, 2024. The Company recognized $0.4 million and $1.6 million of equity-based compensation expense related to the ESPP for the three and nine months ended September 30, 2024, respectively.</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HSKB Phantom Units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the HSKB Phantom Units, refer to Note 14 - Equity-based Compensation in our 2024 Form 10-K.</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Unamortized Equity-based Compensation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unamortized equity-based compensation costs related to each equity-based incentive award described above consist of the following:</w:t>
      </w:r>
    </w:p>
    <w:tbl>
      <w:tblPr>
        <w:tblW w:w="10205" w:type="dxa"/>
        <w:jc w:val="left"/>
        <w:tblInd w:w="0" w:type="dxa"/>
        <w:tblLayout w:type="fixed"/>
        <w:tblCellMar>
          <w:top w:w="28" w:type="dxa"/>
          <w:left w:w="28" w:type="dxa"/>
          <w:bottom w:w="28" w:type="dxa"/>
          <w:right w:w="28" w:type="dxa"/>
        </w:tblCellMar>
      </w:tblPr>
      <w:tblGrid>
        <w:gridCol w:w="1526"/>
        <w:gridCol w:w="1335"/>
        <w:gridCol w:w="1339"/>
        <w:gridCol w:w="211"/>
        <w:gridCol w:w="616"/>
        <w:gridCol w:w="109"/>
        <w:gridCol w:w="109"/>
        <w:gridCol w:w="109"/>
        <w:gridCol w:w="109"/>
        <w:gridCol w:w="1385"/>
        <w:gridCol w:w="1385"/>
        <w:gridCol w:w="1972"/>
      </w:tblGrid>
      <w:tr>
        <w:trPr/>
        <w:tc>
          <w:tcPr>
            <w:tcW w:w="15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Service Period (in years)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HSKB Phantom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unamortized equity-based compensation cost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7185"/>
                <wp:effectExtent l="0" t="0" r="0" b="0"/>
                <wp:wrapNone/>
                <wp:docPr id="42" name="Frame4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13 - Segment and Geographic Data</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operates as one operating segment, deriving revenues from customers by providing access to its go-to-market intelligence platform. The Company’s chief operating decision maker (“CODM”) is its Chief Executive Officer, who reviews financial information on a consolidated basis and uses net income (loss) for purposes of making operating decisions, assessing financial performance and allocating resources. The CODM also reviews total assets, as reported in our Consolidated Balance Sheets, and </w:t>
      </w:r>
      <w:r>
        <w:rPr>
          <w:rFonts w:ascii="Times New Roman;serif" w:hAnsi="Times New Roman;serif"/>
          <w:b w:val="false"/>
          <w:i/>
          <w:color w:val="000000"/>
          <w:sz w:val="20"/>
        </w:rPr>
        <w:t>Purchases of property and equipment and other assets</w:t>
      </w:r>
      <w:r>
        <w:rPr>
          <w:rFonts w:ascii="Times New Roman;serif" w:hAnsi="Times New Roman;serif"/>
          <w:b w:val="false"/>
          <w:color w:val="000000"/>
          <w:sz w:val="20"/>
        </w:rPr>
        <w:t xml:space="preserve">, as reported on our Consolidated Statements of Cash Flows. </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Long-lived assets by geographical region are based on the location of the legal entity that owns the assets, which includes </w:t>
      </w:r>
      <w:r>
        <w:rPr>
          <w:rFonts w:ascii="Times New Roman;serif" w:hAnsi="Times New Roman;serif"/>
          <w:b w:val="false"/>
          <w:i/>
          <w:color w:val="000000"/>
          <w:sz w:val="20"/>
        </w:rPr>
        <w:t>Property and equipment, 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Operating lease right-of-use assets, net</w:t>
      </w:r>
      <w:r>
        <w:rPr>
          <w:rFonts w:ascii="Times New Roman;serif" w:hAnsi="Times New Roman;serif"/>
          <w:b w:val="false"/>
          <w:color w:val="000000"/>
          <w:sz w:val="20"/>
        </w:rPr>
        <w:t>. As of September 30, 2025, long-lived assets held in the United States and Israel were $263.5 million and $16.2 million, respectively, representing approximately 99% of the consolidated total. As of December 31, 2024, long-lived assets held in the United States and Israel were $179.5 million and $19.0 million, respectively, representing approximately 98% of the consolidated total.</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Contracts denominated in currencies other than U.S. Dollar were not material for the three and nine months ended September 30, 2025 and 2024. Revenues derived from customers and partners located outside the United States, as determined based on the address provided by our customers and partners, accounted for approximately 12% and 12% of our total revenues for the three months ended September 30, 2025 and 2024, respectively, and approximately 12% and 12% of our total revenues for the nine months ended September 30, 2025 and 2024, respectively. Revenue by geographic region is as follows:</w:t>
      </w:r>
    </w:p>
    <w:tbl>
      <w:tblPr>
        <w:tblW w:w="7729" w:type="dxa"/>
        <w:jc w:val="left"/>
        <w:tblInd w:w="0" w:type="dxa"/>
        <w:tblLayout w:type="fixed"/>
        <w:tblCellMar>
          <w:top w:w="28" w:type="dxa"/>
          <w:left w:w="28" w:type="dxa"/>
          <w:bottom w:w="28" w:type="dxa"/>
          <w:right w:w="28" w:type="dxa"/>
        </w:tblCellMar>
      </w:tblPr>
      <w:tblGrid>
        <w:gridCol w:w="451"/>
        <w:gridCol w:w="396"/>
        <w:gridCol w:w="398"/>
        <w:gridCol w:w="299"/>
        <w:gridCol w:w="874"/>
        <w:gridCol w:w="154"/>
        <w:gridCol w:w="154"/>
        <w:gridCol w:w="154"/>
        <w:gridCol w:w="154"/>
        <w:gridCol w:w="299"/>
        <w:gridCol w:w="874"/>
        <w:gridCol w:w="154"/>
        <w:gridCol w:w="109"/>
        <w:gridCol w:w="109"/>
        <w:gridCol w:w="109"/>
        <w:gridCol w:w="286"/>
        <w:gridCol w:w="836"/>
        <w:gridCol w:w="147"/>
        <w:gridCol w:w="147"/>
        <w:gridCol w:w="147"/>
        <w:gridCol w:w="147"/>
        <w:gridCol w:w="286"/>
        <w:gridCol w:w="836"/>
        <w:gridCol w:w="209"/>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820.4 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2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221105"/>
                <wp:effectExtent l="0" t="0" r="0" b="0"/>
                <wp:wrapNone/>
                <wp:docPr id="43" name="Frame4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13 - Segment and Geographic Data (continued)</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619"/>
        <w:gridCol w:w="1178"/>
        <w:gridCol w:w="1001"/>
        <w:gridCol w:w="294"/>
        <w:gridCol w:w="862"/>
        <w:gridCol w:w="151"/>
        <w:gridCol w:w="151"/>
        <w:gridCol w:w="151"/>
        <w:gridCol w:w="151"/>
        <w:gridCol w:w="294"/>
        <w:gridCol w:w="862"/>
        <w:gridCol w:w="151"/>
        <w:gridCol w:w="109"/>
        <w:gridCol w:w="109"/>
        <w:gridCol w:w="109"/>
        <w:gridCol w:w="282"/>
        <w:gridCol w:w="825"/>
        <w:gridCol w:w="145"/>
        <w:gridCol w:w="145"/>
        <w:gridCol w:w="145"/>
        <w:gridCol w:w="145"/>
        <w:gridCol w:w="282"/>
        <w:gridCol w:w="825"/>
        <w:gridCol w:w="219"/>
      </w:tblGrid>
      <w:tr>
        <w:trPr/>
        <w:tc>
          <w:tcPr>
            <w:tcW w:w="161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 expense</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and benefits expense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Hosting and infrastructure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38.7</w:t>
            </w:r>
            <w:r>
              <w:rPr>
                <w:color w:val="000000"/>
              </w:rPr>
              <w:t> </w:t>
            </w:r>
          </w:p>
        </w:tc>
        <w:tc>
          <w:tcPr>
            <w:tcW w:w="1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w:t>
            </w:r>
            <w:r>
              <w:rPr>
                <w:color w:val="000000"/>
              </w:rPr>
              <w:t> </w:t>
            </w:r>
          </w:p>
        </w:tc>
        <w:tc>
          <w:tcPr>
            <w:tcW w:w="1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89.5</w:t>
            </w:r>
            <w:r>
              <w:rPr>
                <w:color w:val="000000"/>
              </w:rPr>
              <w:t> </w:t>
            </w:r>
          </w:p>
        </w:tc>
        <w:tc>
          <w:tcPr>
            <w:tcW w:w="1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w:t>
            </w:r>
            <w:r>
              <w:rPr>
                <w:color w:val="000000"/>
              </w:rPr>
              <w:t> </w:t>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(1)Primarily includes employee-related salaries, bonuses, and commissions.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segment items primarily include equity-based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14 - 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our TRAs, refer to Note 16 - Tax Receivable Agreements in our 2024 Form 10-K.</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As of September 30, 2025 and December 31, 2024, the Company had a liability of $2,725.1 million and $2,762.5 million, respectively, related to its projected obligations under the TRAs. This liability, or a portion thereof, becomes payable once the tax attributes under the TRAs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in our Consolidated Balance Sheets under the captions </w:t>
      </w:r>
      <w:r>
        <w:rPr>
          <w:rFonts w:ascii="Times New Roman;serif" w:hAnsi="Times New Roman;serif"/>
          <w:b w:val="false"/>
          <w:i/>
          <w:color w:val="000000"/>
          <w:sz w:val="20"/>
        </w:rPr>
        <w:t>Current portion of tax receivable agreements liability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Tax receivable agreements liability, net of current portion</w:t>
      </w:r>
      <w:r>
        <w:rPr>
          <w:rFonts w:ascii="Times New Roman;serif" w:hAnsi="Times New Roman;serif"/>
          <w:b w:val="false"/>
          <w:color w:val="000000"/>
          <w:sz w:val="20"/>
        </w:rPr>
        <w:t xml:space="preserve">, respectively. </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three months ended September 30, 2025 and 2024, we recognized a TRA measurement gain of $0.8 million,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 xml:space="preserve">a TRA measurement loss of $0.7 million, respectively, within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nine months ended September 30, 2025, we recognized a TRA measurement gain of $14.2 million, </w:t>
      </w:r>
      <w:r>
        <w:rPr>
          <w:rFonts w:ascii="Times New Roman;serif" w:hAnsi="Times New Roman;serif"/>
          <w:b w:val="false"/>
          <w:color w:val="000000"/>
          <w:sz w:val="20"/>
          <w:shd w:fill="FFFFFF" w:val="clear"/>
        </w:rPr>
        <w:t>principally due to movement in the blended state tax rate</w:t>
      </w:r>
      <w:r>
        <w:rPr>
          <w:rFonts w:ascii="Times New Roman;serif" w:hAnsi="Times New Roman;serif"/>
          <w:b w:val="false"/>
          <w:color w:val="000000"/>
          <w:sz w:val="20"/>
        </w:rPr>
        <w:t xml:space="preserve">. During the nine months ended September 30, 2024, we recognized a TRA measurement loss of $9.9 million, principally due to revaluation for the blended state tax rate, an increase to the cumulative liability due to TRA Holders resulting from a reduction in the management allocation percent withheld, and interest expense accrued on the current portion of the TRA liability within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the Company made TRA payments of $23.1 million and $31.6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221105"/>
                <wp:effectExtent l="0" t="0" r="0" b="0"/>
                <wp:wrapNone/>
                <wp:docPr id="44" name="Frame4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15 - 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for both the three and nine months ended September 30, 2025 and 2024 was based on our projected annual effective tax rate for fiscal year 2025 and 2024, respectively, adjusted for specific items that are required to be recognized in the period in which they occur.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inclusive of items specific to the period, for the three months ended September 30, 2025 and 2024 was 31.5% and 31.7%, respectively. The Company recorded income tax expense of $17.7 million and $11.1 million for the three months ended September 30, 2025 and 2024,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inclusive of items specific to the period, for the nine months ended September 30, 2025 and 2024 was 41.5% and 63.4%, respectively. The Company recorded income tax expense of $63.5 million and $25.3 million for the nine months ended September 30, 2025 and 2024,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projected 2025 annual effective tax rate differed from the U.S. federal statutory rate of 21.0% due to U.S. state taxes, foreign taxes and non-deductible equity compensation expense, offset by research and development credits. Further, the Company’s annual effective tax rate includes period specific costs associated with shortfalls in tax-deductible equity compensation compared to amounts recognized in our financial accounts and effects of changes in our state tax footprint.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liabilities for unrecognized tax benefits, which are reflected as a reduction of deferred tax assets, were $15.8 million and $14.6 million as of September 30, 2025 and December 31, 2024, respectively. No interest or penalties are accrued with respect to the unrecognized tax benefits. If the unrecognized tax benefits as of September 30, 2025 were recognized, the entire balance would impact the effective tax rate. It is not anticipated any of the unrecognized tax benefit will be recognized within the next twelve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H.R. 1 “A bill to provide for reconciliation pursuant to Title II of H. Con. Res. 14”, commonly referred to as the One Big Beautiful Bill Act (OBBBA). The legislation includes provisions for the immediate expensing of domestic research and development costs, the immediate expensing of certain capital expenditures, and other significant changes to the U.S. tax code. The Company has reflected the impacts of the enacted provisions in its financial statements for the three and nine months ended September 30, 2025, which were determined to be immaterial to our provision for income taxes. However, the enacted provisions will have an impact on the timing and amount of future TRA payments. We continue to evaluate the overall impact of the new legislation on our consolidated financial statements, including provisions that will become effective in subsequent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16 - Subsequent Events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evaluated subsequent events from September 30, 2025 through the date the financial statement was available to be issued and has determined there are no material subsequent events that require disclosure other than as described below.</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September 30, 2025 and up through October 29, 2025, the Company repurchased and subsequently retired 2,891,945 shares of the Company’s common stock in the open market at a cost of $30.6 million for an average price of $10.58 per share, under the Share Repurchase Program described further in Note 1 - Business, Basis of Presentation, and Summary of Significant Accounting Policies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221105"/>
                <wp:effectExtent l="0" t="0" r="0" b="0"/>
                <wp:wrapNone/>
                <wp:docPr id="45" name="Frame4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00" w:before="1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financial statements and related notes included in our 2024 Form 10-K, the information included under “Management’s Discussion and Analysis of Financial Condition and Results of Operations” in Part II, Item 7 of our 2024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2024 Form 10-K. Numerical figures included in this Form 10-Q have been subject to rounding adjustments. Accordingly, numerical figures shown as totals in various tables may not be arithmetic aggregations of the figures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is a global leader in modern go-to-market software, data, and intelligence for sales, marketing, operations, and recruiting teams. Our go-to-market intelligence platform empowers businesses with AI-ready insights, trusted data,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is the modern go-to-market intelligence platform, consisting of three distinct layers that build upon each other:</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Intelligence Layer</w:t>
      </w:r>
      <w:r>
        <w:rPr>
          <w:color w:val="000000"/>
        </w:rPr>
        <w:t xml:space="preserve"> </w:t>
      </w:r>
      <w:r>
        <w:rPr>
          <w:rFonts w:ascii="Times New Roman;serif" w:hAnsi="Times New Roman;serif"/>
          <w:b w:val="false"/>
          <w:color w:val="000000"/>
          <w:sz w:val="20"/>
        </w:rPr>
        <w:t>is the foundation of our data-driven strategy. Our best-in-class data, curated through first- and third-party sources, includes billions of data points about companies and contacts, such as intent, hierarchy, location, and financial information.</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Orchestration Layer</w:t>
      </w:r>
      <w:r>
        <w:rPr>
          <w:color w:val="000000"/>
        </w:rPr>
        <w:t xml:space="preserve"> </w:t>
      </w:r>
      <w:r>
        <w:rPr>
          <w:rFonts w:ascii="Times New Roman;serif" w:hAnsi="Times New Roman;serif"/>
          <w:b w:val="false"/>
          <w:color w:val="000000"/>
          <w:sz w:val="20"/>
        </w:rPr>
        <w:t>integrates and enriches our data sources. At this stage, our products assign and route data, leads, and insights to the 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Engagement Layer</w:t>
      </w:r>
      <w:r>
        <w:rPr>
          <w:color w:val="000000"/>
        </w:rPr>
        <w:t xml:space="preserve"> </w:t>
      </w:r>
      <w:r>
        <w:rPr>
          <w:rFonts w:ascii="Times New Roman;serif" w:hAnsi="Times New Roman;serif"/>
          <w:b w:val="false"/>
          <w:color w:val="000000"/>
          <w:sz w:val="20"/>
        </w:rPr>
        <w:t>allows sales, marketing, operations, and recruiting professionals to put data-driven insights into action to identify and 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able to deliver high-quality intelligence at scale by leveraging an artificial intelligence (“AI”) and machine learning (“ML”) powered engine that gathers data from millions of sources and standardizes, matches to entities, verifies, cleans, and applies the processed data to companies and people at scale. This data engine along with our team of research analysts and data scientists enrich our platform by providing deep insights. Our customers access insights directly in our platform and can also integrate our data and insights directly into their CRM system or sales and marketing automation systems, to improve their existing go-to-market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7245"/>
                <wp:effectExtent l="0" t="0" r="0" b="0"/>
                <wp:wrapNone/>
                <wp:docPr id="46" name="Frame4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substantially all of our revenue from sales of subscriptions to our platform. Subscriptions include the use of our platform and access to customer support. Subscriptions generally range from one to three years in length. About 53% of customer contracts (based on annualized value) are multi-year agreements. We typically bill our customers at the beginning of each annual, semi-annual, or quarterly period and recognize revenue ratably over the term of the subscription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access to our platform to both new and existing customers. We price our subscriptions based on the functionality, users, and records under management that are included in each product edition. Our core paid products are ZoomInfo Copilot, ZoomInfo Sales, ZoomInfo Marketing, ZoomInfo Operations, and ZoomInfo Talent (with add-on options for some products), and we have a free community edition, ZoomInfo Lite.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 xml:space="preserve">Impact of Macroeconomic Conditions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condition have and may continue to be impacted by adverse macroeconomic conditions. See “Risk Related to Geopolitical and Macroeconomic Factors” in Part I, Item 1A of our 2024 Form 10-K for further discussion of the possible impact of these issues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growth and future success of our business depends on many factors, including the following: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Acquiring New Customers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Increasing Usage of Our Platform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 Our net revenue retention rate was 90% and 85% as of September 30, 2025 and 2024, respectively. In the near term, we expect our net retention rate to be impacted by macroeconomic conditions. See the caption above entitled “—Recent Developments — 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more than $100,000 in ACV. As of September 30, 2025 and 2024, our number of customers with over $100,000 in ACV was 1,887 and 1,809,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erif" w:hAnsi="Times New Roman;serif"/>
          <w:b/>
          <w:color w:val="000000"/>
          <w:sz w:val="20"/>
        </w:rPr>
      </w:pPr>
      <w:r>
        <w:rPr>
          <w:rFonts w:ascii="Times New Roman;serif" w:hAnsi="Times New Roman;serif"/>
          <w:b/>
          <w:color w:val="000000"/>
          <w:sz w:val="20"/>
        </w:rPr>
        <w:t>Factors Affecting the Comparability of Our Results of Operations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7245"/>
                <wp:effectExtent l="0" t="0" r="0" b="0"/>
                <wp:wrapNone/>
                <wp:docPr id="47" name="Frame4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Changing the Mix of Our Customer Base and Reducing Write-offs and Bad Debts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we deployed a new business risk model to flag and require upfront prepayment from prospects at the greatest risk of non-payment. This process was implemented to mitigate the risk of future write-offs and to invest in the long-term health of the Company. Concurrently, our efforts have shifted to customers more likely to pay, renew, and grow with us over time.</w:t>
      </w:r>
    </w:p>
    <w:p>
      <w:pPr>
        <w:pStyle w:val="TextBody"/>
        <w:bidi w:val="0"/>
        <w:spacing w:lineRule="auto" w:line="256" w:before="180" w:after="180"/>
        <w:ind w:left="0" w:right="0" w:firstLine="360"/>
        <w:jc w:val="both"/>
        <w:rPr/>
      </w:pPr>
      <w:r>
        <w:rPr>
          <w:rFonts w:ascii="Times New Roman;serif" w:hAnsi="Times New Roman;serif"/>
          <w:b w:val="false"/>
          <w:color w:val="000000"/>
          <w:sz w:val="20"/>
        </w:rPr>
        <w:t xml:space="preserve">As a result, we recorded an incremental charge during the second quarter of 2024 impacting our reported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expenses on our Consolidated Statements of Operations. The charge represents a revision to our reserves for uncollectible accounts receivable, made up primarily of historical transactions with our SMB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 xml:space="preserve">Cost of service. </w:t>
      </w:r>
      <w:r>
        <w:rPr>
          <w:rFonts w:ascii="Times New Roman;serif" w:hAnsi="Times New Roman;serif"/>
          <w:b w:val="false"/>
          <w:color w:val="000000"/>
          <w:sz w:val="20"/>
        </w:rPr>
        <w:t>Cost of service includes direct expenses related to the support and operations of our services and research teams including salaries, benefits, equity-based compensation, and related expenses, such as employer taxes, allocated overhead for facilities, technology, third-party hosting fees, third-party data costs, amortization of internally developed capitalized software, and restructuring and transaction-related expenses.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continued investment in cost of service, with cost of service as a percentage of revenue expected to slightly increase in the near term. This is driven by rising AI consumption costs and customer onboarding expenses for offerings such as ZoomInfo Copilot and ZoomInfo GTM Studio.</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 xml:space="preserve">Amortization of acquired technology. </w:t>
      </w:r>
      <w:r>
        <w:rPr>
          <w:rFonts w:ascii="Times New Roman;serif" w:hAnsi="Times New Roman;serif"/>
          <w:b w:val="false"/>
          <w:color w:val="000000"/>
          <w:sz w:val="20"/>
        </w:rPr>
        <w:t>Amortization of acquired technology includes amortization expense for technology acquired in business combinations.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amortization of acquired technology will increase if we make additional acquisitions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7245"/>
                <wp:effectExtent l="0" t="0" r="0" b="0"/>
                <wp:wrapNone/>
                <wp:docPr id="48" name="Frame4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is revenue less cost of revenue,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litigation settlements, and restructuring and transaction-related expenses. We anticipate that restructuring and transaction-related expenses, including potential impairments, will be influenced by activities related to potential future acquisitions, strategic restructuring efforts, and leased spaces that we plan to sublease, which could cause these costs to vary, potentially significantly, from our historic levels. </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Sales and marketing expenses primarily consist of employee compensation such as salaries, bonuses, sales commissions, equity-based compensation, and other employee-related benefits for our sales and marketing teams, as well as overhead costs, technology, marketing programs, and restructuring and transaction-related expenses. Sales commissions and related payroll taxes directly related to contract acquisition are capitalized and recognized as expenses over the estimated period of benefit.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sales and marketing capacity to enable future growth. We anticipate that sales and marketing expense excluding equity-based compensation and restructuring and transaction-related expenses as a percentage of revenue will fluctuate from period to period depending on the interplay of our growing investments in sales and marketing capacity, the recognition of revenue, and the amortization of deferred commissions costs.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support our efforts to enhance our existing platform and develop new software products. Research and development expenses primarily consist of employee compensation such as salaries, bonuses, equity-based compensation, and other employee-related benefits for our engineering and product management teams, as well as overhead costs, technology, and restructuring and transaction-related expenses. Research and development expenses do not reflect amortization of internally developed capitalized software. We believe that our core technologies and ongoing innovation represent a significant competitive advantage for us.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short-term, but will modestly decrease in the long-term as we drive efficiencies in that organization.</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General and administrative expenses primarily consist of employee-related costs such as salaries, bonuses, equity-based 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We also incur charges associated with litigation settlements, such as the settlement of the Class Action (as defined in the Company’s 2024 Form 10-K), which are presented within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7245"/>
                <wp:effectExtent l="0" t="0" r="0" b="0"/>
                <wp:wrapNone/>
                <wp:docPr id="49" name="Frame4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Amortization of other acquired intangibles</w:t>
      </w:r>
      <w:r>
        <w:rPr>
          <w:rFonts w:ascii="Times New Roman;serif" w:hAnsi="Times New Roman;serif"/>
          <w:b w:val="false"/>
          <w:color w:val="000000"/>
          <w:sz w:val="20"/>
        </w:rPr>
        <w:t>. Amortization of acquired intangibles consists of amortization of customer relationships and brand portfolios.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amortization of other acquired intangibles will increase if we make additional acquisitions in the future.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represents the interest payable on our debt obligations and the amortization of debt discounts and debt issuance costs, less interest income.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interest expense could be impacted by changes in variable interest rates, the issuance of additional debt, or changes in our interest rate hedging strategies, such as entering into new hedging arrangements or the expiration of existing interest rate swaps.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Loss on debt modification and extinguishment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Loss on debt modification and extinguishment</w:t>
      </w:r>
      <w:r>
        <w:rPr>
          <w:color w:val="000000"/>
        </w:rPr>
        <w:t xml:space="preserve"> </w:t>
      </w:r>
      <w:r>
        <w:rPr>
          <w:rFonts w:ascii="Times New Roman;serif" w:hAnsi="Times New Roman;serif"/>
          <w:b w:val="false"/>
          <w:color w:val="000000"/>
          <w:sz w:val="20"/>
        </w:rPr>
        <w:t>consists of prepayment penalties and impairment of deferred financing costs associated with the modification or extinguishment of debt, as well as new fees incurred with third parties in connection with debt modifications.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losses related to debt modification and extinguishment will only occur if we extinguish indebtedness before the contractual repayment dates or amend our existing financing arrangements.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consists primarily of the remeasurement of TRA liabilities, investment income, and realized and unrealized gains and losses related to the impact of transactions denominated in a foreign currency.</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Changes to existing tax law, including changes to corporate income tax rates or the Company’s state tax footprint could lead to substantial remeasurement of the TRA liability recorded through </w:t>
      </w:r>
      <w:r>
        <w:rPr>
          <w:rFonts w:ascii="Times New Roman;serif" w:hAnsi="Times New Roman;serif"/>
          <w:b w:val="false"/>
          <w:i/>
          <w:color w:val="000000"/>
          <w:sz w:val="20"/>
        </w:rPr>
        <w:t>Other income, net</w:t>
      </w:r>
      <w:r>
        <w:rPr>
          <w:rFonts w:ascii="Times New Roman;serif" w:hAnsi="Times New Roman;serif"/>
          <w:b w:val="false"/>
          <w:color w:val="000000"/>
          <w:sz w:val="20"/>
        </w:rPr>
        <w:t xml:space="preserve">. Additionally, the magnitude of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 xml:space="preserve">may increase as we expand operations internationally and add complexity to our operations. Refer to the </w:t>
      </w: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section below for further information regarding remeasurement of TRA liability and deferred tax assets.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whether carryback is permitted under the law, and prudent and feasible tax planning strategies. A valuation allowance is established only if it is more likely than not that all or a portion of the deferred tax asset will not be realized.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U.S. federal and state deferred tax assets, including deferred tax assets created by various historical restructuring events. The preponderance of our deferred tax assets have long lives or are otherwise indefinite. We regularly review whether it is more likely than not that our deferred tax assets will be realizable. As of September 30, 2025, a valuation allowance continues to be recorded against certain state-level attributes.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7245"/>
                <wp:effectExtent l="0" t="0" r="0" b="0"/>
                <wp:wrapNone/>
                <wp:docPr id="50" name="Frame5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value of our deferred tax assets are regularly remeasured to consider the impact of statutory changes and other guidance, such as the One Big Beautiful Bill Act (OBBBA) passed on July 4, 2025, as well as changes in our state income apportionment factors. Given the amount of our deferred tax assets, minor changes can materially affect our </w:t>
      </w:r>
      <w:r>
        <w:rPr>
          <w:rFonts w:ascii="Times New Roman;serif" w:hAnsi="Times New Roman;serif"/>
          <w:b w:val="false"/>
          <w:i/>
          <w:color w:val="000000"/>
          <w:sz w:val="20"/>
        </w:rPr>
        <w:t>Provision for income taxes</w:t>
      </w:r>
      <w:r>
        <w:rPr>
          <w:rFonts w:ascii="Times New Roman;serif" w:hAnsi="Times New Roman;serif"/>
          <w:b w:val="false"/>
          <w:color w:val="000000"/>
          <w:sz w:val="20"/>
        </w:rPr>
        <w:t xml:space="preserve">. A significant portion of our deferred tax assets are associated with our TRA, and upon a remeasurement of our deferred tax assets, the TRA liability is typically concurrently remeasured with a partially offsetting impact within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on the Consolidated Statements of Operations.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have regularly taken tax positions, including with respect to our various corporate events and restructurings, in the ordinary course of determining our </w:t>
      </w:r>
      <w:r>
        <w:rPr>
          <w:rFonts w:ascii="Times New Roman;serif" w:hAnsi="Times New Roman;serif"/>
          <w:b w:val="false"/>
          <w:i/>
          <w:color w:val="000000"/>
          <w:sz w:val="20"/>
        </w:rPr>
        <w:t>Provision for income taxes</w:t>
      </w:r>
      <w:r>
        <w:rPr>
          <w:rFonts w:ascii="Times New Roman;serif" w:hAnsi="Times New Roman;serif"/>
          <w:b w:val="false"/>
          <w:color w:val="000000"/>
          <w:sz w:val="20"/>
        </w:rPr>
        <w:t xml:space="preserve">. We recognize the tax benefit of an uncertain tax position only if it is more likely than not the position will be sustainable upon examination by the taxing authority based on the technical merits of the position.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in the period in which we make the change, which could have a material impact on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results of operations for the three and nine months ended September 30, 2025 and 2024: </w:t>
      </w:r>
    </w:p>
    <w:tbl>
      <w:tblPr>
        <w:tblW w:w="10205" w:type="dxa"/>
        <w:jc w:val="left"/>
        <w:tblInd w:w="0" w:type="dxa"/>
        <w:tblLayout w:type="fixed"/>
        <w:tblCellMar>
          <w:top w:w="28" w:type="dxa"/>
          <w:left w:w="28" w:type="dxa"/>
          <w:bottom w:w="28" w:type="dxa"/>
          <w:right w:w="28" w:type="dxa"/>
        </w:tblCellMar>
      </w:tblPr>
      <w:tblGrid>
        <w:gridCol w:w="1387"/>
        <w:gridCol w:w="1208"/>
        <w:gridCol w:w="1203"/>
        <w:gridCol w:w="294"/>
        <w:gridCol w:w="862"/>
        <w:gridCol w:w="151"/>
        <w:gridCol w:w="151"/>
        <w:gridCol w:w="151"/>
        <w:gridCol w:w="151"/>
        <w:gridCol w:w="294"/>
        <w:gridCol w:w="862"/>
        <w:gridCol w:w="151"/>
        <w:gridCol w:w="109"/>
        <w:gridCol w:w="109"/>
        <w:gridCol w:w="109"/>
        <w:gridCol w:w="282"/>
        <w:gridCol w:w="825"/>
        <w:gridCol w:w="145"/>
        <w:gridCol w:w="145"/>
        <w:gridCol w:w="145"/>
        <w:gridCol w:w="145"/>
        <w:gridCol w:w="282"/>
        <w:gridCol w:w="825"/>
        <w:gridCol w:w="219"/>
      </w:tblGrid>
      <w:tr>
        <w:trPr/>
        <w:tc>
          <w:tcPr>
            <w:tcW w:w="13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781.9 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94"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51"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1"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45"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702.1 </w:t>
            </w:r>
          </w:p>
        </w:tc>
        <w:tc>
          <w:tcPr>
            <w:tcW w:w="21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38.7</w:t>
            </w:r>
            <w:r>
              <w:rPr>
                <w:color w:val="000000"/>
              </w:rPr>
              <w:t> </w:t>
            </w:r>
          </w:p>
        </w:tc>
        <w:tc>
          <w:tcPr>
            <w:tcW w:w="1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w:t>
            </w:r>
            <w:r>
              <w:rPr>
                <w:color w:val="000000"/>
              </w:rPr>
              <w:t> </w:t>
            </w:r>
          </w:p>
        </w:tc>
        <w:tc>
          <w:tcPr>
            <w:tcW w:w="1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89.5</w:t>
            </w:r>
            <w:r>
              <w:rPr>
                <w:color w:val="000000"/>
              </w:rPr>
              <w:t> </w:t>
            </w:r>
          </w:p>
        </w:tc>
        <w:tc>
          <w:tcPr>
            <w:tcW w:w="1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w:t>
            </w:r>
            <w:r>
              <w:rPr>
                <w:color w:val="000000"/>
              </w:rPr>
              <w:t> </w:t>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7245"/>
                <wp:effectExtent l="0" t="0" r="0" b="0"/>
                <wp:wrapNone/>
                <wp:docPr id="51" name="Frame5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include equity-based compensation expense, as follows:</w:t>
      </w:r>
    </w:p>
    <w:tbl>
      <w:tblPr>
        <w:tblW w:w="9123" w:type="dxa"/>
        <w:jc w:val="left"/>
        <w:tblInd w:w="0" w:type="dxa"/>
        <w:tblLayout w:type="fixed"/>
        <w:tblCellMar>
          <w:top w:w="28" w:type="dxa"/>
          <w:left w:w="28" w:type="dxa"/>
          <w:bottom w:w="28" w:type="dxa"/>
          <w:right w:w="28" w:type="dxa"/>
        </w:tblCellMar>
      </w:tblPr>
      <w:tblGrid>
        <w:gridCol w:w="1105"/>
        <w:gridCol w:w="971"/>
        <w:gridCol w:w="983"/>
        <w:gridCol w:w="303"/>
        <w:gridCol w:w="722"/>
        <w:gridCol w:w="168"/>
        <w:gridCol w:w="168"/>
        <w:gridCol w:w="168"/>
        <w:gridCol w:w="168"/>
        <w:gridCol w:w="303"/>
        <w:gridCol w:w="722"/>
        <w:gridCol w:w="168"/>
        <w:gridCol w:w="109"/>
        <w:gridCol w:w="109"/>
        <w:gridCol w:w="109"/>
        <w:gridCol w:w="278"/>
        <w:gridCol w:w="662"/>
        <w:gridCol w:w="155"/>
        <w:gridCol w:w="155"/>
        <w:gridCol w:w="155"/>
        <w:gridCol w:w="155"/>
        <w:gridCol w:w="278"/>
        <w:gridCol w:w="790"/>
        <w:gridCol w:w="219"/>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3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Three Months Ended September 30, 2025 and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Revenue was $318.0 million for the three months ended September 30, 2025, an increase of $14.4 million, or 5%, as compared to $303.6 million for the three months ended September 30, 2024. The increase was primarily due to the effects of shifting the mix of business upmarket and the resulting improvement in net revenue retention.</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Cost of revenue was $51.7 million for the three months ended September 30, 2025, an increase of $4.4 million, or 9%, as compared to $47.3 million for the three months ended September 30, 2024. Excluding equity-based compensation expense, cost of revenue was $48.8 million for three months ended September 30, 2025, an increase of $4.2 million, or 9%, as compared to $44.6 million for three months ended September 30, 2024, primarily due to increased hosting and infrastructure expense and depreciation expense on internally developed capitalized software.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for the three months ended September 30, 2025 was $266.3 million and represented a gross margin of 84%. Gross profit for the three months ended September 30, 2024 was $256.3 million and represented a gross margin of 84%. The increase in gross profit in the three months ended September 30, 2025 relative to the three months ended September 30, 2024 was $10.0 million, or 4%, primarily due to higher revenues, partially offset by increased hosting and infrastructure expense and depreciation expense on internally developed capitalized software.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Operating expenses.</w:t>
      </w:r>
      <w:r>
        <w:rPr>
          <w:color w:val="000000"/>
        </w:rPr>
        <w:t xml:space="preserve"> </w:t>
      </w:r>
      <w:r>
        <w:rPr>
          <w:rFonts w:ascii="Times New Roman;serif" w:hAnsi="Times New Roman;serif"/>
          <w:b w:val="false"/>
          <w:color w:val="000000"/>
          <w:sz w:val="20"/>
        </w:rPr>
        <w:t>Operating expenses were $198.8 million for the three months ended September 30, 2025, a decrease of $14.0 million, or 7%, as compared to $212.8 million for the three months ended September 30, 2024. Excluding equity-based compensation expense, operating expenses were $171.8 million for the three months ended September 30, 2025, a decrease of $7.1 million, or 4%, as compared to $178.9 million for the three months ended September 30, 2024.</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Sales and marketing for the three months ended September 30, 2025 was $101.6 million, representing an increase of $2.5 million, or 3%, as compared to $99.1 million for the three months ended September 30, 2024. Sales and marketing, excluding equity-based compensation expense, for the three months ended September 30, 2025 was $91.2 million, representing an increase of $4.4 million, or 5%, as compared to $86.8 million for the three months ended September 30, 2024, primarily due to increased employee compensation expense, technology expenses, and payroll tax and benefits expense, partially offset by lower restructuring facilities expense and marketing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7245"/>
                <wp:effectExtent l="0" t="0" r="0" b="0"/>
                <wp:wrapNone/>
                <wp:docPr id="52" name="Frame5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Research and development for the three months ended September 30, 2025 was $44.1 million representing a decrease of $3.6 million, or 8%, as compared to $47.7 million for the three months ended September 30, 2024. Research and development, excluding equity-based compensation expense, for the three months ended September 30, 2025 was $35.6 million, representing a decrease of $1.6 million, or 4%, as compared to $37.2 million for the three months ended September 30, 2024, primarily due to increased capitalization of employee compensation expense, partially offset by increased technology expense.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General and administrative for the three months ended September 30, 2025 was $47.9 million representing a decrease of $12.7 million, or 21%, as compared to $60.6 million for the three months ended September 30, 2024. General and administrative, excluding equity-based compensation expense, for the three months ended September 30, 2025 was $39.8 million, representing a decrease of $9.7 million, or 20%, as compared to $49.5 million for the three months ended September 30, 2024, primarily due to charges incurred in the comparative period related to lease impairment charges, partially offset by increased payroll tax and benefits expense.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Amortization of other acquired intangibles was $5.2 million for the three months ended September 30, 2025, relatively flat as compared to $5.4 million for the three months ended September 30,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Equity-based compensation expense.</w:t>
      </w:r>
      <w:r>
        <w:rPr>
          <w:color w:val="000000"/>
        </w:rPr>
        <w:t xml:space="preserve"> </w:t>
      </w:r>
      <w:r>
        <w:rPr>
          <w:rFonts w:ascii="Times New Roman;serif" w:hAnsi="Times New Roman;serif"/>
          <w:b w:val="false"/>
          <w:color w:val="000000"/>
          <w:sz w:val="20"/>
        </w:rPr>
        <w:t>Equity-based compensation expense was $29.9 million for the three months ended September 30, 2025, a decrease of $6.7 million, or 18%, as compared to $36.6 million for the three months ended September 30, 2024, primarily due to lower weighted average grant date fair values of shares being amortized in the current period compared to those that were amortized in the prior period.</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Income from operations</w:t>
      </w:r>
      <w:r>
        <w:rPr>
          <w:rFonts w:ascii="Times New Roman;serif" w:hAnsi="Times New Roman;serif"/>
          <w:b w:val="false"/>
          <w:color w:val="000000"/>
          <w:sz w:val="20"/>
        </w:rPr>
        <w:t>. Income from operations was $67.5 million for the three months ended September 30, 2025, an increase of $24.0 million, as compared to income from operations of $43.5 million for the three months ended September 30, 2024. The increase is primarily due to charges incurred in the comparative period related to lease impairment and abandonment charges, as well as lower equity-based compensation expense and higher revenues in the current period. Operating income margin was 21% for three months ended September 30, 2025 as compared to operating income margin of 14% for the three months ended September 30,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was $11.5 million for the three months ended September 30, 2025, an increase of $1.9 million, or 20%, as compared to $9.6 million for the three months ended September 30, 2024, primarily due to both lower interest income and increase expense from incremental borrowings, partially offset by lower interest rates.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net was $0.4 million for the three months ended September 30, 2025, which primarily consists of $0.8 million of TRA remeasurement gain and a $0.5 million loss on foreign currency transactions, as compared to other income, net of $1.0 million for the three months ended September 30, 2024, which primarily consists of $2.2 million of investment income and $0.7 million of TRA remeasurement loss.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The Company is subject to income taxes in the United States and various foreign jurisdictions. Provision for income taxes for the three months ended September 30, 2025 was $17.7 million, representing an effective tax rate of 31.5%, as compared to income tax provision of $11.1 million, representing an effective tax rate of 31.7%, for the three months ended September 30, 2024.</w:t>
      </w:r>
      <w:r>
        <w:rPr>
          <w:color w:val="000000"/>
          <w:shd w:fill="FFFFFF" w:val="clear"/>
        </w:rPr>
        <w:t xml:space="preserve"> </w:t>
      </w:r>
      <w:r>
        <w:rPr>
          <w:rFonts w:ascii="Times New Roman;serif" w:hAnsi="Times New Roman;serif"/>
          <w:b w:val="false"/>
          <w:color w:val="000000"/>
          <w:sz w:val="20"/>
          <w:shd w:fill="FFFFFF" w:val="clear"/>
        </w:rPr>
        <w:t xml:space="preserve">The effective tax rate differed from the U.S. federal statutory rate of </w:t>
      </w:r>
      <w:r>
        <w:rPr>
          <w:rFonts w:ascii="Times New Roman;serif" w:hAnsi="Times New Roman;serif"/>
          <w:b w:val="false"/>
          <w:color w:val="000000"/>
          <w:sz w:val="20"/>
        </w:rPr>
        <w:t>21.0%</w:t>
      </w:r>
      <w:r>
        <w:rPr>
          <w:color w:val="000000"/>
          <w:shd w:fill="FFFFFF" w:val="clear"/>
        </w:rPr>
        <w:t xml:space="preserve"> </w:t>
      </w:r>
      <w:r>
        <w:rPr>
          <w:rFonts w:ascii="Times New Roman;serif" w:hAnsi="Times New Roman;serif"/>
          <w:b w:val="false"/>
          <w:color w:val="000000"/>
          <w:sz w:val="20"/>
          <w:shd w:fill="FFFFFF" w:val="clear"/>
        </w:rPr>
        <w:t>due to non-deductible equity compensation costs, U.S. state taxes, foreign taxes, partially offset by research and development credits.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Net income</w:t>
      </w:r>
      <w:r>
        <w:rPr>
          <w:rFonts w:ascii="Times New Roman;serif" w:hAnsi="Times New Roman;serif"/>
          <w:b w:val="false"/>
          <w:color w:val="000000"/>
          <w:sz w:val="20"/>
        </w:rPr>
        <w:t>. Net income was $38.7 million for three months ended September 30, 2025, an increase of $14.9 million, as compared to net income of $23.8 million for the three months ended September 30, 2024. The increase was primarily due to charges incurred in the comparative period related to lease impairment and abandonment charges, as well as lower equity-based compensation expense and higher revenues in the current period, partially offset by increased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7245"/>
                <wp:effectExtent l="0" t="0" r="0" b="0"/>
                <wp:wrapNone/>
                <wp:docPr id="53" name="Frame5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Nine Months Ended September 30, 2025 and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Revenue was $930.4 million for the nine months ended September 30, 2025, an increase of $25.2 million, or 3%, as compared to $905.2 million for the nine months ended September 30, 2024. The increase was primarily due to the effects of the operational changes implemented during the second quarter of 2024. Refer to the “Factors Affecting the Comparability of Our Results of Operations” section above.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Cost of revenue was $148.5 million for the nine months ended September 30, 2025, an increase of $11.9 million, or 9%, as compared to $136.6 million for the nine months ended September 30, 2024. Excluding equity-based compensation expense, cost of revenue was $140.0 million for the nine months ended September 30, 2025, an increase of $11.3 million, or 9%, as compared to $128.7 million for the nine months ended September 30, 2024, primarily due to increased hosting and infrastructure expense and depreciation expense on internally developed capitalized software.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for the nine months ended September 30, 2025 was $781.9 million and represented a gross margin of 84%. Gross profit for the nine months ended September 30, 2024 was $768.6 million and represented a gross margin of 85%. The increase in gross profit in the nine months ended September 30, 2025 relative to the nine months ended September 30, 2024 was $13.3 million, or 2%, primarily due to lower revenues in the comparative period as described above, partially offset by increased hosting and infrastructure expense and depreciation expense on internally developed capitalized software.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Operating expenses.</w:t>
      </w:r>
      <w:r>
        <w:rPr>
          <w:color w:val="000000"/>
        </w:rPr>
        <w:t xml:space="preserve"> </w:t>
      </w:r>
      <w:r>
        <w:rPr>
          <w:rFonts w:ascii="Times New Roman;serif" w:hAnsi="Times New Roman;serif"/>
          <w:b w:val="false"/>
          <w:color w:val="000000"/>
          <w:sz w:val="20"/>
        </w:rPr>
        <w:t>Operating expenses were $610.4 million for the nine months ended September 30, 2025, a decrease of $91.7 million, or 13%, as compared to $702.1 million for the nine months ended September 30, 2024. Excluding equity-based compensation expense, operating expenses were $529.7 million for the nine months ended September 30, 2025, a decrease of $76.1 million, or 13%, as compared to $605.8 million for the nine months ended September 30, 2024.</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Sales and marketing for the nine months ended September 30, 2025 was $313.9 million, representing an increase of $14.7 million, or 5%, as compared to $299.2 million for the nine months ended September 30, 2024. Sales and marketing, excluding equity-based compensation expense, for the nine months ended September 30, 2025 was $280.7 million, representing an increase of $19.6 million, or 8%, as compared to $261.1 million for the nine months ended September 30, 2024, primarily due to increased employee compensation expense, payroll tax and benefits expense, and technology expense.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Research and development for the nine months ended September 30, 2025 was $139.8 million, relatively flat compared to $139.7 million for the nine months ended September 30, 2024. Research and development, excluding equity-based compensation expense, for the nine months ended September 30, 2025 was $114.3 million, representing an increase of $4.1 million, or 4%, as compared to $110.2 million for the nine months ended September 30, 2024, primarily due to increased severance costs, technology expense, hosting and infrastructure expense, and payroll tax and benefits expense, partially offset by the increased capitalization of employee compensation expense.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General and administrative for the nine months ended September 30, 2025 was $141.0 million representing a decrease of $106.0 million, or 43%, as compared to $247.0 million for the nine months ended September 30, 2024. General and administrative, excluding equity-based compensation expense, for the nine months ended September 30, 2025 was $119.0 million, representing a decrease of $99.3 million, or 45%, as compared to $218.3 million for the nine months ended September 30, 2024, primarily due to charges incurred in the comparative period related to lease impairment and abandonment charges, charges related to Class Actions, as well as incremental bad debt expense resulting from the change in accounting estimate.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Amortization of other acquired intangibles was $15.7 million for the nine months ended September 30, 2025, relatively flat as compared to $16.2 million for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7245"/>
                <wp:effectExtent l="0" t="0" r="0" b="0"/>
                <wp:wrapNone/>
                <wp:docPr id="54" name="Frame5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i/>
          <w:color w:val="000000"/>
          <w:sz w:val="20"/>
        </w:rPr>
        <w:t>Equity-based compensation expense.</w:t>
      </w:r>
      <w:r>
        <w:rPr>
          <w:color w:val="000000"/>
        </w:rPr>
        <w:t xml:space="preserve"> </w:t>
      </w:r>
      <w:r>
        <w:rPr>
          <w:rFonts w:ascii="Times New Roman;serif" w:hAnsi="Times New Roman;serif"/>
          <w:b w:val="false"/>
          <w:color w:val="000000"/>
          <w:sz w:val="20"/>
        </w:rPr>
        <w:t>Equity-based compensation expense was $89.2 million for the nine months ended September 30, 2025, a decrease of $15.0 million, or 14%, as compared to $104.2 million for the nine months ended September 30, 2024, due to lower weighted average grant date fair values of shares being amortized in the current period compared to those that were amortized in the prior period, partially offset by increased amortization of expenditures for internal use developed software which were previously capitalized.</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Income from operations</w:t>
      </w:r>
      <w:r>
        <w:rPr>
          <w:rFonts w:ascii="Times New Roman;serif" w:hAnsi="Times New Roman;serif"/>
          <w:b w:val="false"/>
          <w:color w:val="000000"/>
          <w:sz w:val="20"/>
        </w:rPr>
        <w:t>. Income from operations was $171.5 million for the nine months ended September 30, 2025, an increase of $105.0 million, as compared to income from operations of $66.5 million for the nine months ended September 30, 2024. The increase is primarily due to charges incurred in the comparative period related to lease impairment and abandonment charges, Class Actions, and incremental bad debt expense resulting from a change in the accounting estimate. Operating income margin was 18% for nine months ended September 30, 2025 as compared to operating income margin of 7% for the nine months ended September 30,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was $32.0 million for the nine months ended September 30, 2025, an increase of $2.5 million, or 8%, as compared to $29.5 million for the nine months ended September 30, 2024, primarily due to both lower interest income and increase expense from incremental borrowings, partially offset by lower interest rates.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net was $13.5 million for the nine months ended September 30, 2025, which consists of $14.2 million of TRA remeasurement gain, $0.2 million of investment income, and a $0.9 million of loss on foreign currency transactions, as compared to other income, net of $3.5 million for the nine months ended September 30, 2024, which primarily consists of $9.5 million of investment income, $1.4 million of foreign currency gain, and $9.9 million of TRA remeasurement loss.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The Company is subject to income taxes in the United States and various foreign jurisdictions. Provision for income taxes for the nine months ended September 30, 2025 was $63.5 million, representing an effective tax rate of 41.5%, as compared to provision for income taxes of $25.3 million, representing an effective tax rate of 63.4%, for the nine months ended September 30, 2024.</w:t>
      </w:r>
      <w:r>
        <w:rPr>
          <w:color w:val="000000"/>
          <w:shd w:fill="FFFFFF" w:val="clear"/>
        </w:rPr>
        <w:t xml:space="preserve"> </w:t>
      </w:r>
      <w:r>
        <w:rPr>
          <w:rFonts w:ascii="Times New Roman;serif" w:hAnsi="Times New Roman;serif"/>
          <w:b w:val="false"/>
          <w:color w:val="000000"/>
          <w:sz w:val="20"/>
          <w:shd w:fill="FFFFFF" w:val="clear"/>
        </w:rPr>
        <w:t xml:space="preserve">The effective tax rate differed from the U.S. federal statutory rate of </w:t>
      </w:r>
      <w:r>
        <w:rPr>
          <w:rFonts w:ascii="Times New Roman;serif" w:hAnsi="Times New Roman;serif"/>
          <w:b w:val="false"/>
          <w:color w:val="000000"/>
          <w:sz w:val="20"/>
        </w:rPr>
        <w:t>21.0%</w:t>
      </w:r>
      <w:r>
        <w:rPr>
          <w:color w:val="000000"/>
          <w:shd w:fill="FFFFFF" w:val="clear"/>
        </w:rPr>
        <w:t xml:space="preserve"> </w:t>
      </w:r>
      <w:r>
        <w:rPr>
          <w:rFonts w:ascii="Times New Roman;serif" w:hAnsi="Times New Roman;serif"/>
          <w:b w:val="false"/>
          <w:color w:val="000000"/>
          <w:sz w:val="20"/>
          <w:shd w:fill="FFFFFF" w:val="clear"/>
        </w:rPr>
        <w:t>due to non-deductible equity compensation costs, U.S. state taxes, foreign taxes, partially offset by research and development credits.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Net income</w:t>
      </w:r>
      <w:r>
        <w:rPr>
          <w:rFonts w:ascii="Times New Roman;serif" w:hAnsi="Times New Roman;serif"/>
          <w:b w:val="false"/>
          <w:color w:val="000000"/>
          <w:sz w:val="20"/>
        </w:rPr>
        <w:t>. Net income was $89.5 million for nine months ended September 30, 2025, an increase of $75.0 million, as compared to net income of $14.5 million for the nine months ended September 30, 2024. The increase was primarily due to charges incurred in the comparative period related to lease impairment and abandonment charges, Class Actions, and incremental bad debt expense resulting from the change in accounting estimate, partially offset by increased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7245"/>
                <wp:effectExtent l="0" t="0" r="0" b="0"/>
                <wp:wrapNone/>
                <wp:docPr id="55" name="Frame5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Operating Income and Adjusted Operating Income Margin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Operating Income as income (loss) from operations adjusted for, as applicable, (i) amortization of acquired technology and other acquired intangibles, (ii) equity-based compensation expense, (iii) restructuring and transaction-related expenses, (iv) integration costs and acquisition-related expenses, (v) and legal settlement. We exclude the impact of amortization of acquired technology and other acquired intangibles, as well as equity-based compensation expense, because these are non-cash expenses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litigation settlements related to class actions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We define Adjusted Operating Income Margin as Adjusted Operating Income divided by revenue.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Income from operations</w:t>
      </w:r>
      <w:r>
        <w:rPr>
          <w:color w:val="000000"/>
        </w:rPr>
        <w:t xml:space="preserve"> </w:t>
      </w:r>
      <w:r>
        <w:rPr>
          <w:rFonts w:ascii="Times New Roman;serif" w:hAnsi="Times New Roman;serif"/>
          <w:b w:val="false"/>
          <w:color w:val="000000"/>
          <w:sz w:val="20"/>
        </w:rPr>
        <w:t>to Adjusted Operating Income for the periods presented:</w:t>
      </w:r>
    </w:p>
    <w:tbl>
      <w:tblPr>
        <w:tblW w:w="10205" w:type="dxa"/>
        <w:jc w:val="left"/>
        <w:tblInd w:w="0" w:type="dxa"/>
        <w:tblLayout w:type="fixed"/>
        <w:tblCellMar>
          <w:top w:w="28" w:type="dxa"/>
          <w:left w:w="28" w:type="dxa"/>
          <w:bottom w:w="28" w:type="dxa"/>
          <w:right w:w="28" w:type="dxa"/>
        </w:tblCellMar>
      </w:tblPr>
      <w:tblGrid>
        <w:gridCol w:w="1437"/>
        <w:gridCol w:w="1225"/>
        <w:gridCol w:w="1233"/>
        <w:gridCol w:w="419"/>
        <w:gridCol w:w="225"/>
        <w:gridCol w:w="543"/>
        <w:gridCol w:w="216"/>
        <w:gridCol w:w="216"/>
        <w:gridCol w:w="216"/>
        <w:gridCol w:w="419"/>
        <w:gridCol w:w="225"/>
        <w:gridCol w:w="543"/>
        <w:gridCol w:w="109"/>
        <w:gridCol w:w="109"/>
        <w:gridCol w:w="109"/>
        <w:gridCol w:w="397"/>
        <w:gridCol w:w="213"/>
        <w:gridCol w:w="517"/>
        <w:gridCol w:w="205"/>
        <w:gridCol w:w="205"/>
        <w:gridCol w:w="205"/>
        <w:gridCol w:w="397"/>
        <w:gridCol w:w="213"/>
        <w:gridCol w:w="609"/>
      </w:tblGrid>
      <w:tr>
        <w:trPr/>
        <w:tc>
          <w:tcPr>
            <w:tcW w:w="143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 (GAAP)</w:t>
            </w:r>
          </w:p>
        </w:tc>
        <w:tc>
          <w:tcPr>
            <w:tcW w:w="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Adjusted Operating Income (Non-GAAP)</w:t>
            </w:r>
          </w:p>
        </w:tc>
        <w:tc>
          <w:tcPr>
            <w:tcW w:w="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w:t>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905.2</w:t>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Income Margin (GAAP)</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 Margin (Non-GAAP)</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7245"/>
                <wp:effectExtent l="0" t="0" r="0" b="0"/>
                <wp:wrapNone/>
                <wp:docPr id="56" name="Frame5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nine months ended September 30, 2025, this expense is primarily related to employee severance and termination benefits and lease restructuring activities. For the three and nine months ended September 30, 2024, this expense is primarily related to lease impairment and abandonment charges as well as lease restructuring activities. This expense is included in cost of service, sales and marketing, research and development, and general and administrative as follows:</w:t>
      </w:r>
    </w:p>
    <w:tbl>
      <w:tblPr>
        <w:tblW w:w="10205" w:type="dxa"/>
        <w:jc w:val="left"/>
        <w:tblInd w:w="0" w:type="dxa"/>
        <w:tblLayout w:type="fixed"/>
        <w:tblCellMar>
          <w:top w:w="28" w:type="dxa"/>
          <w:left w:w="28" w:type="dxa"/>
          <w:bottom w:w="28" w:type="dxa"/>
          <w:right w:w="28" w:type="dxa"/>
        </w:tblCellMar>
      </w:tblPr>
      <w:tblGrid>
        <w:gridCol w:w="1350"/>
        <w:gridCol w:w="1185"/>
        <w:gridCol w:w="1199"/>
        <w:gridCol w:w="342"/>
        <w:gridCol w:w="657"/>
        <w:gridCol w:w="190"/>
        <w:gridCol w:w="190"/>
        <w:gridCol w:w="190"/>
        <w:gridCol w:w="190"/>
        <w:gridCol w:w="342"/>
        <w:gridCol w:w="814"/>
        <w:gridCol w:w="190"/>
        <w:gridCol w:w="109"/>
        <w:gridCol w:w="109"/>
        <w:gridCol w:w="109"/>
        <w:gridCol w:w="310"/>
        <w:gridCol w:w="739"/>
        <w:gridCol w:w="172"/>
        <w:gridCol w:w="172"/>
        <w:gridCol w:w="172"/>
        <w:gridCol w:w="172"/>
        <w:gridCol w:w="310"/>
        <w:gridCol w:w="739"/>
        <w:gridCol w:w="253"/>
      </w:tblGrid>
      <w:tr>
        <w:trPr/>
        <w:tc>
          <w:tcPr>
            <w:tcW w:w="135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3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certain legal settlements. For the three and nine months ended September 30, 2024, these charges are related to costs incurred due to the Class Actions.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three months ended September 30, 2025 was $117.7 million and represented an Adjusted Operating Income Margin of 37%. Adjusted Operating Income for the three months ended September 30, 2024 was $111.7 million and represented an Adjusted Operating Income Margin of 37%. The increase of $6.0 million, or 5%, in Adjusted Operating Income was primarily due to increased revenue partially offset by increased hosting and infrastructure expense, technology expense, and payroll tax and benefits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nine months ended September 30, 2025 was $323.3 million and represented an Adjusted Operating Income Margin of 35%. Adjusted Operating Income for the nine months ended September 30, 2024 was $312.6 million and represented an Adjusted Operating Income Margin of 35%. The increase of $10.7 million, or 3%, in Adjusted Operating Income was primarily due to charges incurred in the comparative period related to a change in the accounting estimate of collectability of accounts receivable, and higher revenue in the current period, mostly offset by increased employee compensation expense, technology expense, hosting and infrastructure expense, and payroll tax and benefits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7245"/>
                <wp:effectExtent l="0" t="0" r="0" b="0"/>
                <wp:wrapNone/>
                <wp:docPr id="57" name="Frame5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Net Income as net income (loss) adjusted for, as applicable, (i) loss on debt modification and extinguishment, (ii) amortization of acquired technology and other acquired intangibles, (iii) equity-based compensation expense, (iv) restructuring and transaction-related expenses, (v) integration costs and acquisition-related expenses, (vi) legal settlement, (vii) TRA liability remeasurement (benefit) expense, (viii) other (income) loss, net and (ix)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 xml:space="preserve">Net income </w:t>
      </w:r>
      <w:r>
        <w:rPr>
          <w:rFonts w:ascii="Times New Roman;serif" w:hAnsi="Times New Roman;serif"/>
          <w:b w:val="false"/>
          <w:color w:val="000000"/>
          <w:sz w:val="20"/>
        </w:rPr>
        <w:t>to Adjusted Net Income for the periods presented:</w:t>
      </w:r>
    </w:p>
    <w:tbl>
      <w:tblPr>
        <w:tblW w:w="10205" w:type="dxa"/>
        <w:jc w:val="left"/>
        <w:tblInd w:w="0" w:type="dxa"/>
        <w:tblLayout w:type="fixed"/>
        <w:tblCellMar>
          <w:top w:w="28" w:type="dxa"/>
          <w:left w:w="28" w:type="dxa"/>
          <w:bottom w:w="28" w:type="dxa"/>
          <w:right w:w="28" w:type="dxa"/>
        </w:tblCellMar>
      </w:tblPr>
      <w:tblGrid>
        <w:gridCol w:w="1427"/>
        <w:gridCol w:w="1234"/>
        <w:gridCol w:w="1211"/>
        <w:gridCol w:w="305"/>
        <w:gridCol w:w="739"/>
        <w:gridCol w:w="157"/>
        <w:gridCol w:w="157"/>
        <w:gridCol w:w="157"/>
        <w:gridCol w:w="157"/>
        <w:gridCol w:w="305"/>
        <w:gridCol w:w="892"/>
        <w:gridCol w:w="157"/>
        <w:gridCol w:w="109"/>
        <w:gridCol w:w="109"/>
        <w:gridCol w:w="109"/>
        <w:gridCol w:w="279"/>
        <w:gridCol w:w="817"/>
        <w:gridCol w:w="143"/>
        <w:gridCol w:w="143"/>
        <w:gridCol w:w="143"/>
        <w:gridCol w:w="143"/>
        <w:gridCol w:w="279"/>
        <w:gridCol w:w="817"/>
        <w:gridCol w:w="216"/>
      </w:tblGrid>
      <w:tr>
        <w:trPr/>
        <w:tc>
          <w:tcPr>
            <w:tcW w:w="14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remeasurement expense (benefit)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impacts of adjustments to net income</w:t>
            </w:r>
            <w:r>
              <w:rPr>
                <w:rFonts w:ascii="Times New Roman;serif" w:hAnsi="Times New Roman;serif"/>
                <w:b w:val="false"/>
                <w:color w:val="000000"/>
                <w:sz w:val="13"/>
              </w:rPr>
              <w:t>(3)</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3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nine months ended September 30, 2025, this expense is primarily related to employee severance and termination benefits and lease restructuring activities. For the three and nine months ended September 30, 2024, this expense is primarily related to lease impairment and abandonment charges as well as lease restructuring activities. This expense is included in cost of service, sales and marketing, research and development, and general and administrative as follows:</w:t>
      </w:r>
    </w:p>
    <w:tbl>
      <w:tblPr>
        <w:tblW w:w="9816" w:type="dxa"/>
        <w:jc w:val="left"/>
        <w:tblInd w:w="0" w:type="dxa"/>
        <w:tblLayout w:type="fixed"/>
        <w:tblCellMar>
          <w:top w:w="28" w:type="dxa"/>
          <w:left w:w="28" w:type="dxa"/>
          <w:bottom w:w="28" w:type="dxa"/>
          <w:right w:w="28" w:type="dxa"/>
        </w:tblCellMar>
      </w:tblPr>
      <w:tblGrid>
        <w:gridCol w:w="1354"/>
        <w:gridCol w:w="1190"/>
        <w:gridCol w:w="1205"/>
        <w:gridCol w:w="319"/>
        <w:gridCol w:w="612"/>
        <w:gridCol w:w="177"/>
        <w:gridCol w:w="177"/>
        <w:gridCol w:w="177"/>
        <w:gridCol w:w="177"/>
        <w:gridCol w:w="319"/>
        <w:gridCol w:w="758"/>
        <w:gridCol w:w="177"/>
        <w:gridCol w:w="109"/>
        <w:gridCol w:w="109"/>
        <w:gridCol w:w="109"/>
        <w:gridCol w:w="291"/>
        <w:gridCol w:w="694"/>
        <w:gridCol w:w="162"/>
        <w:gridCol w:w="162"/>
        <w:gridCol w:w="162"/>
        <w:gridCol w:w="162"/>
        <w:gridCol w:w="291"/>
        <w:gridCol w:w="694"/>
        <w:gridCol w:w="229"/>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certain legal settlements. For the three and nine months ended September 30, 2024, these charges are related to costs incurred due to the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7245"/>
                <wp:effectExtent l="0" t="0" r="0" b="0"/>
                <wp:wrapNone/>
                <wp:docPr id="58" name="Frame5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tax expense associated with Net income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restructuring and transaction-related expenses, and items that are deemed to be unrelated to current year operating income or are one-time in nature, such as provision to return true-ups. For the three months ended September 30, 2025, these primarily relate to recognizing $15.8 million of tax benefit related to the amortization of costs associated with corporate structure simplification, adjusting out $0.1 million of tax expense from the effects of changes in state tax law and apportionment, and adjusting out $2.8 million of tax expense from non-deductible stock-based compensation. For three months ended September 30, 2024, these primarily relate to recognizing $20.6 million of tax benefit related to the amortization of costs associated with corporate structure simplification, and adjusting out $4.7 million of tax expense from non-deductible stock-based compensation, and adjusting out $0.3 million of tax expense from the effects of changes in state tax law and apportionment. For the nine months ended September 30, 2025, these primarily relate to recognizing $44.6 million of tax benefit related to the amortization of costs associated with corporate structure simplification, adjusting out $13.5 million of tax expense from the effects of changes in state tax law and apportionment, and adjusting out $9.8 million of tax expense from non-deductible stock-based compensation. For nine months ended September 30, 2024, these primarily relate to recognizing $45.1 million of tax benefit related to the amortization of costs associated with corporate structure simplification, adjusting out $13.0 million of tax expense from non-deductible stock-based compensation, and adjusting out $1.8 million of tax expense from the effects of changes in state tax law and apportionment.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for the three months ended September 30, 2025 was $95.0 million compared to $103.7 million, representing a decrease of $8.7 million, or 8%, relative to the three months ended September 30, 2024. This decrease was primarily due to higher income tax expense and increased interest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for the nine months ended September 30, 2025 was $263.0 million compared to $270.2 million, representing a decrease of $7.2 million, or 3%, relative to the nine months ended September 30, 2024. This decrease was primarily due to higher income tax expense and increased interest expense.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taxes, depreciation, and amortization. Management further adjusts EBITDA to exclude certain items of a significant or unusual nature, including, as applicable, other (income) expense, net, loss on debt modification and extinguishment, impact of certain non-cash items, such as equity-based compensation expense, restructuring and transaction-related expenses, integration costs and acquisition-related expenses, and litigation settlement. We exclude these items because these are either non-cash expenses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7245"/>
                <wp:effectExtent l="0" t="0" r="0" b="0"/>
                <wp:wrapNone/>
                <wp:docPr id="59" name="Frame5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Net income</w:t>
      </w:r>
      <w:r>
        <w:rPr>
          <w:color w:val="000000"/>
        </w:rPr>
        <w:t xml:space="preserve"> </w:t>
      </w:r>
      <w:r>
        <w:rPr>
          <w:rFonts w:ascii="Times New Roman;serif" w:hAnsi="Times New Roman;serif"/>
          <w:b w:val="false"/>
          <w:color w:val="000000"/>
          <w:sz w:val="20"/>
        </w:rPr>
        <w:t>to Adjusted EBITDA for the periods presented:</w:t>
      </w:r>
    </w:p>
    <w:tbl>
      <w:tblPr>
        <w:tblW w:w="10205" w:type="dxa"/>
        <w:jc w:val="left"/>
        <w:tblInd w:w="0" w:type="dxa"/>
        <w:tblLayout w:type="fixed"/>
        <w:tblCellMar>
          <w:top w:w="28" w:type="dxa"/>
          <w:left w:w="28" w:type="dxa"/>
          <w:bottom w:w="28" w:type="dxa"/>
          <w:right w:w="28" w:type="dxa"/>
        </w:tblCellMar>
      </w:tblPr>
      <w:tblGrid>
        <w:gridCol w:w="1442"/>
        <w:gridCol w:w="1216"/>
        <w:gridCol w:w="1209"/>
        <w:gridCol w:w="291"/>
        <w:gridCol w:w="851"/>
        <w:gridCol w:w="150"/>
        <w:gridCol w:w="150"/>
        <w:gridCol w:w="150"/>
        <w:gridCol w:w="150"/>
        <w:gridCol w:w="291"/>
        <w:gridCol w:w="851"/>
        <w:gridCol w:w="150"/>
        <w:gridCol w:w="109"/>
        <w:gridCol w:w="109"/>
        <w:gridCol w:w="109"/>
        <w:gridCol w:w="279"/>
        <w:gridCol w:w="817"/>
        <w:gridCol w:w="143"/>
        <w:gridCol w:w="143"/>
        <w:gridCol w:w="143"/>
        <w:gridCol w:w="143"/>
        <w:gridCol w:w="279"/>
        <w:gridCol w:w="817"/>
        <w:gridCol w:w="213"/>
      </w:tblGrid>
      <w:tr>
        <w:trPr/>
        <w:tc>
          <w:tcPr>
            <w:tcW w:w="144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(1)</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 net</w:t>
            </w:r>
            <w:r>
              <w:rPr>
                <w:rFonts w:ascii="Times New Roman;serif" w:hAnsi="Times New Roman;serif"/>
                <w:b w:val="false"/>
                <w:color w:val="000000"/>
                <w:sz w:val="13"/>
              </w:rPr>
              <w:t>(2)</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(3)</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(4)</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Adjusted EBITDA (Non-GAAP)</w:t>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nine months ended September 30, 2025 and three and nine months ended September 30, 2024 exclude the accelerated depreciation associated with the Waltham Lease Restructuring. Refer to Note 5 - Property and Equipment and Note 13 - Leases in our 2024 Form 10-K for further information.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(2)Primarily represents revaluations on tax receivable agreement liability and foreign exchange remeasurement gains and losses.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costs directly associated with acquisition or disposal activities, including employee severance and termination benefits, contract termination fees and penalties, and other exit or disposal costs. For three and nine months ended September 30, 2025, this expense is primarily related to employee severance and termination benefits and lease restructuring activities. For the three and nine months ended September 30, 2024, this expense is primarily related to lease impairment and abandonment charges as well as lease restructuring activities. This expense is included in cost of service, sales and marketing, research and development, and general and administrative as follows:</w:t>
      </w:r>
    </w:p>
    <w:tbl>
      <w:tblPr>
        <w:tblW w:w="9816" w:type="dxa"/>
        <w:jc w:val="left"/>
        <w:tblInd w:w="0" w:type="dxa"/>
        <w:tblLayout w:type="fixed"/>
        <w:tblCellMar>
          <w:top w:w="28" w:type="dxa"/>
          <w:left w:w="28" w:type="dxa"/>
          <w:bottom w:w="28" w:type="dxa"/>
          <w:right w:w="28" w:type="dxa"/>
        </w:tblCellMar>
      </w:tblPr>
      <w:tblGrid>
        <w:gridCol w:w="1354"/>
        <w:gridCol w:w="1190"/>
        <w:gridCol w:w="1205"/>
        <w:gridCol w:w="319"/>
        <w:gridCol w:w="612"/>
        <w:gridCol w:w="177"/>
        <w:gridCol w:w="177"/>
        <w:gridCol w:w="177"/>
        <w:gridCol w:w="177"/>
        <w:gridCol w:w="319"/>
        <w:gridCol w:w="758"/>
        <w:gridCol w:w="177"/>
        <w:gridCol w:w="109"/>
        <w:gridCol w:w="109"/>
        <w:gridCol w:w="109"/>
        <w:gridCol w:w="291"/>
        <w:gridCol w:w="694"/>
        <w:gridCol w:w="162"/>
        <w:gridCol w:w="162"/>
        <w:gridCol w:w="162"/>
        <w:gridCol w:w="162"/>
        <w:gridCol w:w="291"/>
        <w:gridCol w:w="694"/>
        <w:gridCol w:w="229"/>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(4)Represents charges associated with certain legal settlements. For the three and nine months ended September 30, 2024, these charges are related to costs incurred due to the Class Actions.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September 30, 2025 was $125.9 million compared to $118.0 million, representing an increase of $7.9 million, or 7%, relative to the three months ended September 30, 2024. This increase was primarily due to increased revenue partially offset by increased hosting and infrastructure expense, technology expense, and payroll tax and benefits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7245"/>
                <wp:effectExtent l="0" t="0" r="0" b="0"/>
                <wp:wrapNone/>
                <wp:docPr id="60" name="Frame6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for the nine months ended September 30, 2025 was $344.9 million compared to $329.9 million, representing an increase of $15.0 million, or 5%, relative to the nine months ended September 30, 2024. This increase was primarily due to charges incurred in the comparative period related to a change in the accounting estimate of collectability of accounts receivable, and higher revenue in the current period, mostly offset by increased employee compensation expense, technology expense, hosting and infrastructure expense, and payroll tax and benefits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$124.8 million of cash and cash equivalents, $10.2 million of short-term investments, $0.5 million of long-term investments, and $150.0 million available under our first lien revolving credit facility. We have financed our operations primarily through cash generated from operations and financed various acquisitions through cash generated from operations supplemented with debt offerings.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invoice our subscription customers for services annually, semi-annually, or quarterly in advance of delivery.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September 30, 2025, we had unearned revenue of $431.9 million, of which $429.0 million was recorded as a current liability and is expected to be recorded as revenue in the next 12 months, provided all other revenue recognition criteria have been met.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2024 Form 10-K.</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9383" w:type="dxa"/>
        <w:jc w:val="left"/>
        <w:tblInd w:w="0" w:type="dxa"/>
        <w:tblLayout w:type="fixed"/>
        <w:tblCellMar>
          <w:top w:w="28" w:type="dxa"/>
          <w:left w:w="28" w:type="dxa"/>
          <w:bottom w:w="28" w:type="dxa"/>
          <w:right w:w="28" w:type="dxa"/>
        </w:tblCellMar>
      </w:tblPr>
      <w:tblGrid>
        <w:gridCol w:w="1732"/>
        <w:gridCol w:w="1523"/>
        <w:gridCol w:w="1529"/>
        <w:gridCol w:w="109"/>
        <w:gridCol w:w="109"/>
        <w:gridCol w:w="283"/>
        <w:gridCol w:w="283"/>
        <w:gridCol w:w="548"/>
        <w:gridCol w:w="1601"/>
        <w:gridCol w:w="283"/>
        <w:gridCol w:w="109"/>
        <w:gridCol w:w="109"/>
        <w:gridCol w:w="109"/>
        <w:gridCol w:w="211"/>
        <w:gridCol w:w="691"/>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383" w:type="dxa"/>
            <w:gridSpan w:val="6"/>
            <w:tcBorders/>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7245"/>
                <wp:effectExtent l="0" t="0" r="0" b="0"/>
                <wp:wrapNone/>
                <wp:docPr id="61" name="Frame6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$321.9 million for the nine months ended September 30, 2025 as a result of net income of $89.5 million, adjusted by non-cash charges of $286.1 million and the net decrease in our operating assets and liabilities of $53.7 million. The non-cash charges are primarily comprised of equity-based compensation of $89.2 million, amortization of deferred commission costs of $66.5 million, depreciation and amortization of $66.1 million, and a decrease in deferred tax assets of $59.0 million. The net change in operating assets and liabilities was primarily the result of an increase in deferred costs and other assets of $54.7 million and a decrease in unearned revenue of $46.1 million, as well as a decrease in accounts receivable of $53.2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$260.4 million for the nine months ended September 30, 2024 as a result of net income of $14.5 million, adjusted by non-cash charges of $335.5 million and the net change in our operating assets and liabilities of $89.6 million. The non-cash charges are primarily comprised of equity-based compensation of $104.2 million, depreciation and amortization of $63.3 million, asset impairments and lease abandonment charges of $57.4 million, amortization of deferred commission costs of $49.5 million, provision for bad debt expense of $39.3 million, a decrease in deferred tax assets net of deferred tax liabilities of $11.0 million, and TRA remeasurement of $9.9 million. The net change in operating assets and liabilities was primarily the result of a decrease in accrued expenses and other liabilities of $64.7 million, an increase in deferred costs and other assets of $30.4 million, a decrease in unearned revenue of $22.6 million, an increase in prepaid and other current assets of $21.1 million, and a decrease in accounts payable of $17.6 million, partially offset by a decrease in accounts receivable of $69.7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continue to make future acquisitions as part of our business strategy which may require the use of capital resources and drive additional future restructuring and transaction-related cash expenditures as well as integration and acquisition-related cash costs. During the nine months ended September 30, 2025 and 2024, we incurred the following cash expenditures:</w:t>
      </w:r>
    </w:p>
    <w:tbl>
      <w:tblPr>
        <w:tblW w:w="8801" w:type="dxa"/>
        <w:jc w:val="left"/>
        <w:tblInd w:w="0" w:type="dxa"/>
        <w:tblLayout w:type="fixed"/>
        <w:tblCellMar>
          <w:top w:w="28" w:type="dxa"/>
          <w:left w:w="28" w:type="dxa"/>
          <w:bottom w:w="28" w:type="dxa"/>
          <w:right w:w="28" w:type="dxa"/>
        </w:tblCellMar>
      </w:tblPr>
      <w:tblGrid>
        <w:gridCol w:w="2085"/>
        <w:gridCol w:w="1834"/>
        <w:gridCol w:w="1840"/>
        <w:gridCol w:w="315"/>
        <w:gridCol w:w="765"/>
        <w:gridCol w:w="163"/>
        <w:gridCol w:w="163"/>
        <w:gridCol w:w="163"/>
        <w:gridCol w:w="163"/>
        <w:gridCol w:w="315"/>
        <w:gridCol w:w="765"/>
        <w:gridCol w:w="230"/>
      </w:tblGrid>
      <w:tr>
        <w:trPr/>
        <w:tc>
          <w:tcPr>
            <w:tcW w:w="208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Restructuring and transaction-related expenses paid in cash</w:t>
            </w:r>
            <w:r>
              <w:rPr>
                <w:rFonts w:ascii="Times New Roman;serif" w:hAnsi="Times New Roman;serif"/>
                <w:b w:val="false"/>
                <w:color w:val="000000"/>
                <w:sz w:val="13"/>
              </w:rPr>
              <w:t>(1)</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Integration costs and acquisition-related compensation paid in cash</w:t>
            </w:r>
            <w:r>
              <w:rPr>
                <w:rFonts w:ascii="Times New Roman;serif" w:hAnsi="Times New Roman;serif"/>
                <w:b w:val="false"/>
                <w:color w:val="000000"/>
                <w:sz w:val="13"/>
              </w:rPr>
              <w:t>(2)</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Litigation settlement payments</w:t>
            </w:r>
            <w:r>
              <w:rPr>
                <w:rFonts w:ascii="Times New Roman;serif" w:hAnsi="Times New Roman;serif"/>
                <w:b w:val="false"/>
                <w:color w:val="000000"/>
                <w:sz w:val="13"/>
              </w:rPr>
              <w:t>(3)</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cash payments directly associated with acquisition or disposal activities, including employee severance and termination benefits, contract termination fees and penalties, and other exit or disposal costs. For the nine months ended September 30, 2025, these payments related primarily to employee severance and termination benefits payments and Waltham Lease Restructuring charges. For the nine months ended September 30, 2024, these payments related primarily to Waltham lease restructuring charges.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cash payments directly associated with integration activities for acquisitions and acquisition-related compensation, which includes transaction bonuses and retention awards. For the nine months ended September 30, 2024, these payments related to deferred compensation from the acquisition of Insent.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cash payments for legal fees associated with legal settlements. For the nine months ended September 30, 2024, these payments related to legal costs incurred due to the Class Actions.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7245"/>
                <wp:effectExtent l="0" t="0" r="0" b="0"/>
                <wp:wrapNone/>
                <wp:docPr id="62" name="Frame6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2025 was $71.1 million, primarily consisting of purchases of property and equipment and other assets of $59.7 million and purchases of investments of $14.2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nine months ended September 30, 2024 was $36.8 million, primarily consisting of maturities of investments of $82.2 million, as well as purchases of property and equipment and other assets of $41.5 million and payments of initial direct costs of $3.4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grow and invest in our business, we expect to continue to invest in property and equipment and opportunistically pursue acquisitions.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nine months ended September 30, 2025 was $265.4 million and comprised of payments relating to the repurchase of common stock of $331.3 million, TRA payments of $23.1 million, payments of taxes related to net share settlement of equity awards of $6.6 million, and repayment of debt of $4.4 million, as well as proceeds from revolving credit loans of $100.0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nine months ended September 30, 2024 was $596.8 million and primarily comprised of payments relating to the repurchase of common stock of $542.6 million, TRA payments of $31.6 million, and payments of taxes related to net share settlement of equity awards of $18.1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6 - Financing Arrangements of our unaudited consolidated financial statements included in Part I, Item 1 of this Form 10-Q for additional information related to each of our borrowings.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Debt Obligations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aggregate balance of $100.0 million under the First Lien Revolver is due, in its entirety, at the contractual maturity date of February 28, 2028. As of September 30, 2025, the aggregate remaining balance of $650.0 million of 3.875% Senior Notes is due, in its entirety, at the contractual maturity date of February 1, 2029. Interest on the Senior Notes is payable semi-annually in arrears. As of September 30, 2025, the Company has a remaining balance of $583.6 million with respect to its First Lien Term Loan. The Company is obligated to make principal payments each quarter in the amount of 0.25% of the aggregate initial outstanding amount as of the latest amendment, with the remaining balance due at the contractual maturity date of February 28, 2030. The foregoing currently represent the only existing required future debt principal repayment obligations that will require future uses of the Company’s cash.</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First Lien Term Loan has a variable interest rate whereby the Company can elect to use a Base Rate or SOFR plus an applicable rate. The applicable rate is 0.75% for Base Rate loans or 1.75% for SOFR loans. The effective interest rate on the first lien debt was 6.16% and 6.56% as of September 30, 2025 and December 31, 2024,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First Lien Revolver, which has $100.0 million outstanding as of September 30, 2025,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 The effective interest rate on the First Lien Revolver was 6.53% as of September 30, 2025. There was no outstanding balance under the First Lien Revolver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7245"/>
                <wp:effectExtent l="0" t="0" r="0" b="0"/>
                <wp:wrapNone/>
                <wp:docPr id="63" name="Frame6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net leverage ratio to Adjusted EBITDA is defined as total contractual maturity of outstanding indebtedness less cash, cash equivalents, and investments (as applicable), divided by trailing twelve months Adjusted EBITDA. Adjusted EBITDA for the twelve months ended September 30, 2025 was $467.3 million. Our total net leverage ratio to Adjusted EBITDA as of September 30, 2025 was 2.6x.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Adjusted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 to Adjusted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2.6x</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First Lien Net Leverage Ratio is defined in the agreement governing our existing first lien credit facilities (the “First Lien Credit Agreement”) as total contractual maturity of outstanding First Lien indebtedness less cash, cash equivalents and investments (as applicable),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twelve months ended September 30, 2025 was $490.7 million. Our Consolidated First Lien Net Leverage Ratio as of September 30, 2025 was 1.1x.</w:t>
      </w:r>
    </w:p>
    <w:tbl>
      <w:tblPr>
        <w:tblW w:w="5376" w:type="dxa"/>
        <w:jc w:val="left"/>
        <w:tblInd w:w="0" w:type="dxa"/>
        <w:tblLayout w:type="fixed"/>
        <w:tblCellMar>
          <w:top w:w="28" w:type="dxa"/>
          <w:left w:w="28" w:type="dxa"/>
          <w:bottom w:w="28" w:type="dxa"/>
          <w:right w:w="28" w:type="dxa"/>
        </w:tblCellMar>
      </w:tblPr>
      <w:tblGrid>
        <w:gridCol w:w="1589"/>
        <w:gridCol w:w="1396"/>
        <w:gridCol w:w="1410"/>
        <w:gridCol w:w="211"/>
        <w:gridCol w:w="616"/>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First Lien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and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First Lien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First Lien Net Leverage Ratio</w:t>
            </w:r>
          </w:p>
        </w:tc>
        <w:tc>
          <w:tcPr>
            <w:tcW w:w="98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1.1x</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net leverage ratio to Cash EBITDA (defined as Consolidated EBITDA in our Credit Agreements) is defined as total contractual maturity of outstanding indebtedness less cash, cash equivalents, and investments (as applicable), divided by trailing twelve months Cash EBITDA. Cash EBITDA for the twelve months ended September 30, 2025 was $490.7 million. Our total net leverage ratio to Cash EBITDA as of September 30, 2025 was 2.4x.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 to Cash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2.4x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7245"/>
                <wp:effectExtent l="0" t="0" r="0" b="0"/>
                <wp:wrapNone/>
                <wp:docPr id="64" name="Frame6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tbl>
      <w:tblPr>
        <w:tblW w:w="6719" w:type="dxa"/>
        <w:jc w:val="left"/>
        <w:tblInd w:w="0" w:type="dxa"/>
        <w:tblLayout w:type="fixed"/>
        <w:tblCellMar>
          <w:top w:w="28" w:type="dxa"/>
          <w:left w:w="28" w:type="dxa"/>
          <w:bottom w:w="28" w:type="dxa"/>
          <w:right w:w="28" w:type="dxa"/>
        </w:tblCellMar>
      </w:tblPr>
      <w:tblGrid>
        <w:gridCol w:w="1478"/>
        <w:gridCol w:w="1298"/>
        <w:gridCol w:w="1303"/>
        <w:gridCol w:w="568"/>
        <w:gridCol w:w="1658"/>
        <w:gridCol w:w="41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Trailing Twelve Months as of</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5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(1)</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loss, net</w:t>
            </w:r>
            <w:r>
              <w:rPr>
                <w:rFonts w:ascii="Times New Roman;serif" w:hAnsi="Times New Roman;serif"/>
                <w:b w:val="false"/>
                <w:color w:val="000000"/>
                <w:sz w:val="13"/>
              </w:rPr>
              <w:t>(2)</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(3)</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(4)</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5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adjustment</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rent adjustment</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lender adjustments</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EBITDA (Non-GAAP)</w:t>
            </w:r>
          </w:p>
        </w:tc>
        <w:tc>
          <w:tcPr>
            <w:tcW w:w="5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4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for the trailing twelve months ended September 30, 2025 exclude the accelerated depreciation associated with the Waltham Lease Restructuring. Refer to Note 5 - Property and Equipment and Note 13 - Leases in our 2024 Form 10-K.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(2)Primarily represents revaluations on TRA liability and investment income.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costs directly associated with acquisition or disposal activities, including employee severance and termination benefits, contract termination fees and penalties, and other exit or disposal costs. For the trailing twelve months ended September 30, 2025, this expense related primarily to lease restructuring, impairment and abandonment charges and employee severance and termination benefits.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(4)Represents charges associated with legal settlements and associated legal fees.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 expenditures increased by $18.2 million, or 44%, to $59.7 million for nine months ended September 30, 2025 compared to the nine months ended September 30, 2024, as a result of increased capitalization of internal use developed software and increased expenditures related to new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17245"/>
                <wp:effectExtent l="0" t="0" r="0" b="0"/>
                <wp:wrapNone/>
                <wp:docPr id="65" name="Frame6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our TRA, refer to Note 16 - Tax Receivable Agreements in our 2024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a liability of $2,725.1 million related to its projected obligations under the TRA. During the nine months ended September 30, 2025 and 2024, $23.1 million and $31.6 million, respectively, was paid to TRA Holders pursuant to the TRA.</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1 - Business, Basis of Presentation, and Summary of Significant Accounting Policies of our unaudited consolidated financial statements included in Part I, Item 1 of this Form 10-Q regarding recently issued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17245"/>
                <wp:effectExtent l="0" t="0" r="0" b="0"/>
                <wp:wrapNone/>
                <wp:docPr id="66" name="Frame6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market risk in the ordinary course of business.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Inflation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“Risks Related to Geopolitical and Macroeconomic Factors” in Part I, Item 1A of our 2024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results are subject to market risk from interest rate fluctuations on both our First Lien Term Loan and First Lien Revolving Credit Facility, which bear a variable interest rate based on SOFR. As of September 30, 2025, the total principal balance outstanding was $683.6 million. We have implemented a hedging strategy to mitigate the interest rate risk on our First Lien Term Loan by entering into certain derivative instruments (refer to Note 7 - Derivatives and Hedging Activities of our unaudited consolidated financial statements included in Part I, Item 1 of this Form 10-Q). Based on the outstanding balances and interest rates of our debt as of September 30, 2025, a hypothetical relative increase or decrease in our effective interest rate by 100 basis points or 1% would have caused an immaterial corresponding change over the next 12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from time to time, we have dedesignated certain cash flow hedging relationships due to repricing of the terms and partial prepayment of the outstanding principal of our First Lien Term Loan since loan inception. As of September 30, 2025, all cash flow hedging relationships are designated as accounting hedges.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our sales contracts have primarily been denominated in U.S. dollars. We have foreign entities established in Israel, Canada, the United Kingdom, Ireland, and India.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manage the foreign currency exchange rate risk and to reduce the volatility associated with the fluctuation of foreign currencies, we may use foreign exchange forward contracts or other financial instruments from time to time. In the second quarter of 2025, the Company initiated a foreign currency hedging program (see Note 7 - Derivatives and Hedging Activities). This program aimed to mitigate potential adverse effects on our financial results from significant currency movements.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17245"/>
                <wp:effectExtent l="0" t="0" r="0" b="0"/>
                <wp:wrapNone/>
                <wp:docPr id="67" name="Frame6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instruments that are exposed to concentrations of credit risk consist primarily of cash and cash equivalents, investments,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September 30, 2025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17245"/>
                <wp:effectExtent l="0" t="0" r="0" b="0"/>
                <wp:wrapNone/>
                <wp:docPr id="68" name="Frame6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certain legal and regulatory proceedings, please read “Legal Matters” in Note 9 - Commitments and Contingencies to our unaudited consolidated financial statements included in Part I, Item 1 of this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business, financial position, results of operations or cash flows. Although it is not possible to predict or identify all such risks and uncertainties, they may include, but are not limited to, the factors discussed under “Risk Factors” in Part I, Item 1A of our 2024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shares of common stock purchased by the Company during the periods indicated:</w:t>
      </w:r>
    </w:p>
    <w:tbl>
      <w:tblPr>
        <w:tblW w:w="10205" w:type="dxa"/>
        <w:jc w:val="left"/>
        <w:tblInd w:w="0" w:type="dxa"/>
        <w:tblLayout w:type="fixed"/>
        <w:tblCellMar>
          <w:top w:w="28" w:type="dxa"/>
          <w:left w:w="28" w:type="dxa"/>
          <w:bottom w:w="28" w:type="dxa"/>
          <w:right w:w="28" w:type="dxa"/>
        </w:tblCellMar>
      </w:tblPr>
      <w:tblGrid>
        <w:gridCol w:w="438"/>
        <w:gridCol w:w="352"/>
        <w:gridCol w:w="259"/>
        <w:gridCol w:w="702"/>
        <w:gridCol w:w="463"/>
        <w:gridCol w:w="464"/>
        <w:gridCol w:w="109"/>
        <w:gridCol w:w="109"/>
        <w:gridCol w:w="109"/>
        <w:gridCol w:w="304"/>
        <w:gridCol w:w="889"/>
        <w:gridCol w:w="157"/>
        <w:gridCol w:w="109"/>
        <w:gridCol w:w="109"/>
        <w:gridCol w:w="109"/>
        <w:gridCol w:w="927"/>
        <w:gridCol w:w="696"/>
        <w:gridCol w:w="698"/>
        <w:gridCol w:w="109"/>
        <w:gridCol w:w="109"/>
        <w:gridCol w:w="109"/>
        <w:gridCol w:w="615"/>
        <w:gridCol w:w="1800"/>
        <w:gridCol w:w="460"/>
      </w:tblGrid>
      <w:tr>
        <w:trPr/>
        <w:tc>
          <w:tcPr>
            <w:tcW w:w="4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6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that May Yet be Purchased Under the Plan or Programs (in millions)</w:t>
            </w:r>
          </w:p>
        </w:tc>
      </w:tr>
      <w:tr>
        <w:trPr/>
        <w:tc>
          <w:tcPr>
            <w:tcW w:w="10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w:t>
            </w:r>
          </w:p>
        </w:tc>
        <w:tc>
          <w:tcPr>
            <w:tcW w:w="116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2,501,095 </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2,501,095 </w:t>
            </w:r>
          </w:p>
        </w:tc>
        <w:tc>
          <w:tcPr>
            <w:tcW w:w="6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4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4,086,919 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4,086,405 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1,695,759 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1,695,544 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65"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8,283,773 </w:t>
            </w:r>
          </w:p>
        </w:tc>
        <w:tc>
          <w:tcPr>
            <w:tcW w:w="46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8,283,044 </w:t>
            </w:r>
          </w:p>
        </w:tc>
        <w:tc>
          <w:tcPr>
            <w:tcW w:w="698"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 March 2023, the Board authorized a program to repurchase the Company’s common stock (the “Share Repurchase Program”). In February 2025, the Board authorized an additional $500.0 million bringing the aggregate total authorizations as of September 30, 2025 to $1.6 billion.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17245"/>
                <wp:effectExtent l="0" t="0" r="0" b="0"/>
                <wp:wrapNone/>
                <wp:docPr id="69" name="Frame6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17245"/>
                <wp:effectExtent l="0" t="0" r="0" b="0"/>
                <wp:wrapNone/>
                <wp:docPr id="70" name="Frame7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300"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353"/>
        <w:gridCol w:w="309"/>
        <w:gridCol w:w="311"/>
        <w:gridCol w:w="1635"/>
        <w:gridCol w:w="1635"/>
        <w:gridCol w:w="1639"/>
        <w:gridCol w:w="526"/>
        <w:gridCol w:w="526"/>
        <w:gridCol w:w="528"/>
        <w:gridCol w:w="527"/>
        <w:gridCol w:w="527"/>
        <w:gridCol w:w="529"/>
        <w:gridCol w:w="337"/>
        <w:gridCol w:w="337"/>
        <w:gridCol w:w="48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4909" w:type="dxa"/>
            <w:gridSpan w:val="3"/>
            <w:tcBorders/>
            <w:tcMar>
              <w:top w:w="0" w:type="dxa"/>
              <w:left w:w="0" w:type="dxa"/>
              <w:bottom w:w="0" w:type="dxa"/>
              <w:right w:w="0" w:type="dxa"/>
            </w:tcMar>
            <w:vAlign w:val="center"/>
          </w:tcPr>
          <w:p>
            <w:pPr>
              <w:pStyle w:val="TableContents"/>
              <w:bidi w:val="0"/>
              <w:spacing w:lineRule="auto" w:line="288" w:before="180" w:after="180"/>
              <w:ind w:left="0" w:right="0" w:firstLine="360"/>
              <w:jc w:val="center"/>
              <w:rPr>
                <w:rFonts w:ascii="Times New Roman;serif" w:hAnsi="Times New Roman;serif"/>
                <w:b/>
                <w:color w:val="000000"/>
                <w:sz w:val="20"/>
              </w:rPr>
            </w:pPr>
            <w:r>
              <w:rPr>
                <w:rFonts w:ascii="Times New Roman;serif" w:hAnsi="Times New Roman;serif"/>
                <w:b/>
                <w:color w:val="000000"/>
                <w:sz w:val="20"/>
              </w:rPr>
              <w:t>Description</w:t>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Report or Registration Statement</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SEC File or Registration Number</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Reference</w:t>
            </w:r>
          </w:p>
        </w:tc>
      </w:tr>
      <w:tr>
        <w:trPr/>
        <w:tc>
          <w:tcPr>
            <w:tcW w:w="9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49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6"/>
                  <w:u w:val="single"/>
                </w:rPr>
                <w:t>Second Amended and Restated Certificate of Incorporation of ZoomInfo Technologies Inc.</w:t>
              </w:r>
            </w:hyperlink>
          </w:p>
        </w:tc>
        <w:tc>
          <w:tcPr>
            <w:tcW w:w="15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May 19, 2022</w:t>
            </w:r>
          </w:p>
        </w:tc>
        <w:tc>
          <w:tcPr>
            <w:tcW w:w="15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6"/>
                  <w:u w:val="single"/>
                </w:rPr>
                <w:t>Amended and Restated Bylaws of ZoomInfo Technologies Inc.</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10-Q filed October 30, 2023</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6"/>
                  <w:u w:val="single"/>
                </w:rPr>
                <w:t xml:space="preserve">Indenture, dated as of February 2, 2021, by and among ZoomInfo Technologies LLC, ZoomInfo Finance Corp., the guarantors named on the signature pages thereto, and Wells Fargo National Association, as trustee </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6"/>
                  <w:u w:val="single"/>
                </w:rPr>
                <w:t>Supplemental Indenture, dated as of July 15, 2021, by and among ZoomInfo Technologies LLC, ZoomInfo Finance Corp., the guarantors named on the signature pages thereto, and Wells Fargo National Association, as trustee</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6"/>
                  <w:u w:val="single"/>
                </w:rPr>
                <w:t>Form of 3.875% Senior Note due 2029 (included in Exhibit 4.1)</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16"/>
              </w:rPr>
              <w:t>10.1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6"/>
                  <w:u w:val="single"/>
                </w:rPr>
                <w:t>Employment Agreement dated August 1, 2025, between the Company and M. Graham O’Brien</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10-Q filed August 4, 2025</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zi-ex311x20250930.htm">
              <w:r>
                <w:rPr>
                  <w:rStyle w:val="InternetLink"/>
                  <w:rFonts w:ascii="Times New Roman;serif" w:hAnsi="Times New Roman;serif"/>
                  <w:b w:val="false"/>
                  <w:color w:val="0000FF"/>
                  <w:sz w:val="16"/>
                  <w:u w:val="single"/>
                </w:rPr>
                <w:t>Certification of Principal Executive Officer pursuant to Exchange Act Rules 13a-14(a) and 15d-14(a), as adopted pursuant to Section 302 of the Sarbanes-Oxley Act of 2002.</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zi-ex312x20250930.htm">
              <w:r>
                <w:rPr>
                  <w:rStyle w:val="InternetLink"/>
                  <w:rFonts w:ascii="Times New Roman;serif" w:hAnsi="Times New Roman;serif"/>
                  <w:b w:val="false"/>
                  <w:color w:val="0000FF"/>
                  <w:sz w:val="16"/>
                  <w:u w:val="single"/>
                </w:rPr>
                <w:t>Certification of Principal Financial Officer pursuant to Exchange Act Rules 13a-14(a) and 15d-14(a), as adopted pursuant to Section 302 of the Sarbanes-Oxley Act of 2002.</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zi-ex321x20250930.htm">
              <w:r>
                <w:rPr>
                  <w:rStyle w:val="InternetLink"/>
                  <w:rFonts w:ascii="Times New Roman;serif" w:hAnsi="Times New Roman;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18"/>
        </w:rPr>
        <w:t>Management contract or compensatory plan or arrangement.</w:t>
      </w:r>
    </w:p>
    <w:p>
      <w:pPr>
        <w:pStyle w:val="TextBody"/>
        <w:bidi w:val="0"/>
        <w:spacing w:lineRule="auto" w:line="300" w:before="180" w:after="160"/>
        <w:jc w:val="both"/>
        <w:rPr>
          <w:rFonts w:ascii="Times New Roman;serif" w:hAnsi="Times New Roman;serif"/>
          <w:b w:val="false"/>
          <w:color w:val="000000"/>
          <w:sz w:val="18"/>
        </w:rPr>
      </w:pPr>
      <w:r>
        <w:rPr>
          <w:rFonts w:ascii="Times New Roman;serif" w:hAnsi="Times New Roman;serif"/>
          <w:b w:val="false"/>
          <w:color w:val="000000"/>
          <w:sz w:val="18"/>
        </w:rPr>
        <w:t>* The certifications attached as Exhibit 32.1, which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6745"/>
                <wp:effectExtent l="0" t="0" r="0" b="0"/>
                <wp:wrapNone/>
                <wp:docPr id="71" name="Frame71"/>
                <a:graphic xmlns:a="http://schemas.openxmlformats.org/drawingml/2006/main">
                  <a:graphicData uri="http://schemas.microsoft.com/office/word/2010/wordprocessingShape">
                    <wps:wsp>
                      <wps:cNvSpPr txBox="1"/>
                      <wps:spPr>
                        <a:xfrm>
                          <a:off x="0" y="0"/>
                          <a:ext cx="6480175" cy="6267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80" w:after="180"/>
        <w:jc w:val="both"/>
        <w:rPr/>
      </w:pPr>
      <w:hyperlink w:anchor="i34b8b57ff32c414aaaa98188ee026d9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034" w:type="dxa"/>
        <w:jc w:val="right"/>
        <w:tblInd w:w="0" w:type="dxa"/>
        <w:tblLayout w:type="fixed"/>
        <w:tblCellMar>
          <w:top w:w="28" w:type="dxa"/>
          <w:left w:w="28" w:type="dxa"/>
          <w:bottom w:w="28" w:type="dxa"/>
          <w:right w:w="28" w:type="dxa"/>
        </w:tblCellMar>
      </w:tblPr>
      <w:tblGrid>
        <w:gridCol w:w="535"/>
        <w:gridCol w:w="470"/>
        <w:gridCol w:w="470"/>
        <w:gridCol w:w="1329"/>
        <w:gridCol w:w="1329"/>
        <w:gridCol w:w="1901"/>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ZOOMINFO TECHNOLOGIES INC.</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5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/s/ M. Graham O’Brien</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Name: M. Graham O’Brien </w:t>
            </w:r>
          </w:p>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475"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Signatory)</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Date: November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17245"/>
                <wp:effectExtent l="0" t="0" r="0" b="0"/>
                <wp:wrapNone/>
                <wp:docPr id="72" name="Frame7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Management Certification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Henry Schuck,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257"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733"/>
        <w:gridCol w:w="733"/>
        <w:gridCol w:w="103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Henry Schuck</w:t>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November 3, 2025</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Henry Schuck</w:t>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Management Certification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 Graham O'Brien,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273"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736"/>
        <w:gridCol w:w="736"/>
        <w:gridCol w:w="104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527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November 3, 2025</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 Graham O'Brien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 Graham O'Brien</w:t>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33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ZoomInfo Technologies Inc. (the “Company”) for the quarterly period ended September 30, 2025 as filed with the Securities and Exchange Commission on the date hereof (the “Report”), Henry Schuck, as Chief Executive Officer of the Company, and M. Graham O'Brien, as Chief Financial Officer of the Company, each hereby certifies, pursuant to 18 U.S.C. § 1350, as adopted pursuant to §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3, 2025</w:t>
      </w:r>
    </w:p>
    <w:tbl>
      <w:tblPr>
        <w:tblW w:w="35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51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 Graham O'Brien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 Graham O'Brien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15/000179451522000095/zi-ex31x20220518.htm" TargetMode="External"/><Relationship Id="rId3" Type="http://schemas.openxmlformats.org/officeDocument/2006/relationships/hyperlink" Target="https://www.sec.gov/Archives/edgar/data/1794515/000179451523000169/zi-ex32x20231030.htm" TargetMode="External"/><Relationship Id="rId4" Type="http://schemas.openxmlformats.org/officeDocument/2006/relationships/hyperlink" Target="https://www.sec.gov/Archives/edgar/data/0001794515/000179451521000034/exhibit041xclosingxindent.htm" TargetMode="External"/><Relationship Id="rId5" Type="http://schemas.openxmlformats.org/officeDocument/2006/relationships/hyperlink" Target="https://www.sec.gov/Archives/edgar/data/0001794515/000179451521000174/zi-8kex42x20210715.htm" TargetMode="External"/><Relationship Id="rId6" Type="http://schemas.openxmlformats.org/officeDocument/2006/relationships/hyperlink" Target="https://www.sec.gov/Archives/edgar/data/1794515/000179451521000034/exhibit041xclosingxindent.htm" TargetMode="External"/><Relationship Id="rId7" Type="http://schemas.openxmlformats.org/officeDocument/2006/relationships/hyperlink" Target="https://www.sec.gov/Archives/edgar/data/1794515/000179451525000167/zi-ex102x20250630.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34186</Words>
  <Characters>192641</Characters>
  <CharactersWithSpaces>224815</CharactersWithSpaces>
  <Paragraphs>3578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