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9.jpeg" ContentType="image/jpeg"/>
  <Override PartName="/word/media/image11.jpeg" ContentType="image/jpeg"/>
  <Override PartName="/word/media/image13.jpeg" ContentType="image/jpeg"/>
  <Override PartName="/word/media/image17.jpeg" ContentType="image/jpeg"/>
  <Override PartName="/word/media/image16.jpeg" ContentType="image/jpeg"/>
  <Override PartName="/word/media/image15.jpeg" ContentType="image/jpeg"/>
  <Override PartName="/word/media/image14.jpeg" ContentType="image/jpeg"/>
  <Override PartName="/word/media/image1.jpeg" ContentType="image/jpeg"/>
  <Override PartName="/word/media/image2.jpeg" ContentType="image/jpeg"/>
  <Override PartName="/word/media/image3.jpeg" ContentType="image/jpeg"/>
  <Override PartName="/word/media/image4.jpeg" ContentType="image/jpeg"/>
  <Override PartName="/word/media/image5.jpeg" ContentType="image/jpeg"/>
  <Override PartName="/word/media/image8.jpeg" ContentType="image/jpeg"/>
  <Override PartName="/word/media/image10.jpeg" ContentType="image/jpeg"/>
  <Override PartName="/word/media/image6.jpeg" ContentType="image/jpeg"/>
  <Override PartName="/word/media/image7.jpeg" ContentType="image/jpeg"/>
  <Override PartName="/word/media/image1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before="240" w:after="283"/>
        <w:jc w:val="center"/>
        <w:rPr/>
      </w:pPr>
      <w:r>
        <w:rPr/>
      </w:r>
    </w:p>
    <w:p>
      <w:pPr>
        <w:pStyle w:val="TextBody"/>
        <w:bidi w:val="0"/>
        <w:spacing w:lineRule="auto" w:line="288" w:before="600" w:after="283"/>
        <w:jc w:val="center"/>
        <w:rPr>
          <w:rFonts w:ascii="Lato Black;sans-serif" w:hAnsi="Lato Black;sans-serif"/>
          <w:b/>
          <w:color w:val="000000"/>
          <w:sz w:val="36"/>
        </w:rPr>
      </w:pPr>
      <w:r>
        <w:rPr>
          <w:rFonts w:ascii="Lato Black;sans-serif" w:hAnsi="Lato Black;sans-serif"/>
          <w:b/>
          <w:color w:val="000000"/>
          <w:sz w:val="36"/>
        </w:rPr>
        <w:t>UNITED STATES</w:t>
      </w:r>
    </w:p>
    <w:p>
      <w:pPr>
        <w:pStyle w:val="TextBody"/>
        <w:bidi w:val="0"/>
        <w:spacing w:lineRule="auto" w:line="288" w:before="0" w:after="0"/>
        <w:jc w:val="center"/>
        <w:rPr>
          <w:rFonts w:ascii="Lato Black;sans-serif" w:hAnsi="Lato Black;sans-serif"/>
          <w:b/>
          <w:color w:val="000000"/>
          <w:sz w:val="36"/>
        </w:rPr>
      </w:pPr>
      <w:r>
        <w:rPr>
          <w:rFonts w:ascii="Lato Black;sans-serif" w:hAnsi="Lato Black;sans-serif"/>
          <w:b/>
          <w:color w:val="000000"/>
          <w:sz w:val="36"/>
        </w:rPr>
        <w:t>SECURITIES AND EXCHANGE COMMISSION</w:t>
      </w:r>
    </w:p>
    <w:p>
      <w:pPr>
        <w:pStyle w:val="TextBody"/>
        <w:bidi w:val="0"/>
        <w:spacing w:lineRule="auto" w:line="288" w:before="0" w:after="0"/>
        <w:jc w:val="center"/>
        <w:rPr>
          <w:rFonts w:ascii="Lato;sans-serif" w:hAnsi="Lato;sans-serif"/>
          <w:b/>
          <w:color w:val="000000"/>
          <w:sz w:val="20"/>
        </w:rPr>
      </w:pPr>
      <w:r>
        <w:rPr>
          <w:rFonts w:ascii="Lato;sans-serif" w:hAnsi="Lato;sans-serif"/>
          <w:b/>
          <w:color w:val="000000"/>
          <w:sz w:val="20"/>
        </w:rPr>
        <w:t>WASHINGTON, D.C. 20549</w:t>
      </w:r>
    </w:p>
    <w:p>
      <w:pPr>
        <w:pStyle w:val="TextBody"/>
        <w:bidi w:val="0"/>
        <w:spacing w:lineRule="auto" w:line="288" w:before="0" w:after="0"/>
        <w:jc w:val="left"/>
        <w:rPr>
          <w:color w:val="000000"/>
        </w:rPr>
      </w:pPr>
      <w:r>
        <w:rPr>
          <w:color w:val="000000"/>
        </w:rPr>
        <w:t> </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color w:val="000000"/>
              </w:rPr>
            </w:pPr>
            <w:r>
              <w:rPr>
                <w:color w:val="000000"/>
              </w:rPr>
              <w:t> </w:t>
            </w:r>
          </w:p>
        </w:tc>
      </w:tr>
    </w:tbl>
    <w:p>
      <w:pPr>
        <w:pStyle w:val="TextBody"/>
        <w:bidi w:val="0"/>
        <w:spacing w:lineRule="auto" w:line="288" w:before="240" w:after="283"/>
        <w:jc w:val="center"/>
        <w:rPr>
          <w:rFonts w:ascii="Lato;sans-serif" w:hAnsi="Lato;sans-serif"/>
          <w:b/>
          <w:color w:val="000000"/>
          <w:sz w:val="36"/>
        </w:rPr>
      </w:pPr>
      <w:r>
        <w:rPr>
          <w:rFonts w:ascii="Lato;sans-serif" w:hAnsi="Lato;sans-serif"/>
          <w:b/>
          <w:color w:val="000000"/>
          <w:sz w:val="36"/>
        </w:rPr>
        <w:t>SCHEDULE 14A</w:t>
      </w:r>
    </w:p>
    <w:p>
      <w:pPr>
        <w:pStyle w:val="TextBody"/>
        <w:bidi w:val="0"/>
        <w:spacing w:lineRule="auto" w:line="288" w:before="240" w:after="283"/>
        <w:jc w:val="center"/>
        <w:rPr>
          <w:rFonts w:ascii="Lato;sans-serif" w:hAnsi="Lato;sans-serif"/>
          <w:b/>
          <w:color w:val="000000"/>
          <w:sz w:val="20"/>
        </w:rPr>
      </w:pPr>
      <w:r>
        <w:rPr>
          <w:rFonts w:ascii="Lato;sans-serif" w:hAnsi="Lato;sans-serif"/>
          <w:b/>
          <w:color w:val="000000"/>
          <w:sz w:val="20"/>
        </w:rPr>
        <w:t>Proxy Statement Pursuant to Section 14(a) of the</w:t>
      </w:r>
    </w:p>
    <w:p>
      <w:pPr>
        <w:pStyle w:val="TextBody"/>
        <w:bidi w:val="0"/>
        <w:spacing w:lineRule="auto" w:line="288" w:before="0" w:after="0"/>
        <w:jc w:val="center"/>
        <w:rPr>
          <w:rFonts w:ascii="Lato;sans-serif" w:hAnsi="Lato;sans-serif"/>
          <w:b/>
          <w:color w:val="000000"/>
          <w:sz w:val="20"/>
        </w:rPr>
      </w:pPr>
      <w:r>
        <w:rPr>
          <w:rFonts w:ascii="Lato;sans-serif" w:hAnsi="Lato;sans-serif"/>
          <w:b/>
          <w:color w:val="000000"/>
          <w:sz w:val="20"/>
        </w:rPr>
        <w:t>Securities Exchange Act of 1934</w:t>
      </w:r>
    </w:p>
    <w:p>
      <w:pPr>
        <w:pStyle w:val="TextBody"/>
        <w:bidi w:val="0"/>
        <w:spacing w:lineRule="auto" w:line="288" w:before="0" w:after="0"/>
        <w:jc w:val="center"/>
        <w:rPr>
          <w:rFonts w:ascii="Lato;sans-serif" w:hAnsi="Lato;sans-serif"/>
          <w:b/>
          <w:color w:val="000000"/>
          <w:sz w:val="20"/>
        </w:rPr>
      </w:pPr>
      <w:r>
        <w:rPr>
          <w:rFonts w:ascii="Lato;sans-serif" w:hAnsi="Lato;sans-serif"/>
          <w:b/>
          <w:color w:val="000000"/>
          <w:sz w:val="20"/>
        </w:rPr>
        <w:t>(Amendment No.        )</w:t>
      </w:r>
    </w:p>
    <w:p>
      <w:pPr>
        <w:pStyle w:val="TextBody"/>
        <w:bidi w:val="0"/>
        <w:spacing w:lineRule="auto" w:line="288" w:before="0" w:after="0"/>
        <w:jc w:val="left"/>
        <w:rPr>
          <w:color w:val="000000"/>
        </w:rPr>
      </w:pPr>
      <w:r>
        <w:rPr>
          <w:color w:val="000000"/>
        </w:rPr>
        <w:t> </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color w:val="000000"/>
              </w:rPr>
            </w:pPr>
            <w:r>
              <w:rPr>
                <w:color w:val="000000"/>
              </w:rPr>
              <w:t> </w:t>
            </w:r>
          </w:p>
        </w:tc>
      </w:tr>
    </w:tbl>
    <w:p>
      <w:pPr>
        <w:pStyle w:val="TextBody"/>
        <w:bidi w:val="0"/>
        <w:spacing w:before="0" w:after="120"/>
        <w:jc w:val="left"/>
        <w:rPr/>
      </w:pPr>
      <w:r>
        <w:rPr/>
      </w:r>
    </w:p>
    <w:p>
      <w:pPr>
        <w:pStyle w:val="TextBody"/>
        <w:bidi w:val="0"/>
        <w:spacing w:lineRule="auto" w:line="288" w:before="240" w:after="283"/>
        <w:jc w:val="left"/>
        <w:rPr>
          <w:rFonts w:ascii="Lato;sans-serif" w:hAnsi="Lato;sans-serif"/>
          <w:b w:val="false"/>
          <w:color w:val="000000"/>
          <w:sz w:val="20"/>
        </w:rPr>
      </w:pPr>
      <w:r>
        <w:rPr>
          <w:rFonts w:ascii="Lato;sans-serif" w:hAnsi="Lato;sans-serif"/>
          <w:b w:val="false"/>
          <w:color w:val="000000"/>
          <w:sz w:val="20"/>
        </w:rPr>
        <w:t>Filed by the Registrant  ☒                            </w:t>
      </w:r>
    </w:p>
    <w:p>
      <w:pPr>
        <w:pStyle w:val="TextBody"/>
        <w:bidi w:val="0"/>
        <w:spacing w:lineRule="auto" w:line="288" w:before="0" w:after="0"/>
        <w:jc w:val="left"/>
        <w:rPr>
          <w:rFonts w:ascii="Lato;sans-serif" w:hAnsi="Lato;sans-serif"/>
          <w:b w:val="false"/>
          <w:color w:val="000000"/>
          <w:sz w:val="20"/>
        </w:rPr>
      </w:pPr>
      <w:r>
        <w:rPr>
          <w:rFonts w:ascii="Lato;sans-serif" w:hAnsi="Lato;sans-serif"/>
          <w:b w:val="false"/>
          <w:color w:val="000000"/>
          <w:sz w:val="20"/>
        </w:rPr>
        <w:t>Filed by a Party other than the Registrant  ☐</w:t>
      </w:r>
    </w:p>
    <w:p>
      <w:pPr>
        <w:pStyle w:val="TextBody"/>
        <w:bidi w:val="0"/>
        <w:spacing w:lineRule="auto" w:line="288" w:before="240" w:after="283"/>
        <w:jc w:val="left"/>
        <w:rPr>
          <w:rFonts w:ascii="Lato;sans-serif" w:hAnsi="Lato;sans-serif"/>
          <w:b w:val="false"/>
          <w:color w:val="000000"/>
          <w:sz w:val="20"/>
        </w:rPr>
      </w:pPr>
      <w:r>
        <w:rPr>
          <w:rFonts w:ascii="Lato;sans-serif" w:hAnsi="Lato;sans-serif"/>
          <w:b w:val="false"/>
          <w:color w:val="000000"/>
          <w:sz w:val="20"/>
        </w:rPr>
        <w:t>Check the appropriate box:</w:t>
      </w:r>
    </w:p>
    <w:tbl>
      <w:tblPr>
        <w:tblW w:w="9668"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630"/>
        <w:gridCol w:w="2630"/>
        <w:gridCol w:w="373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0" w:type="dxa"/>
            <w:tcBorders/>
            <w:vAlign w:val="center"/>
          </w:tcPr>
          <w:p>
            <w:pPr>
              <w:pStyle w:val="TableContents"/>
              <w:bidi w:val="0"/>
              <w:spacing w:before="0" w:after="283"/>
              <w:jc w:val="left"/>
              <w:rPr>
                <w:sz w:val="4"/>
                <w:szCs w:val="4"/>
              </w:rPr>
            </w:pPr>
            <w:r>
              <w:rPr>
                <w:sz w:val="4"/>
                <w:szCs w:val="4"/>
              </w:rPr>
            </w:r>
          </w:p>
        </w:tc>
        <w:tc>
          <w:tcPr>
            <w:tcW w:w="2630" w:type="dxa"/>
            <w:tcBorders/>
            <w:vAlign w:val="center"/>
          </w:tcPr>
          <w:p>
            <w:pPr>
              <w:pStyle w:val="TableContents"/>
              <w:bidi w:val="0"/>
              <w:spacing w:before="0" w:after="283"/>
              <w:jc w:val="left"/>
              <w:rPr>
                <w:sz w:val="4"/>
                <w:szCs w:val="4"/>
              </w:rPr>
            </w:pPr>
            <w:r>
              <w:rPr>
                <w:sz w:val="4"/>
                <w:szCs w:val="4"/>
              </w:rPr>
            </w:r>
          </w:p>
        </w:tc>
        <w:tc>
          <w:tcPr>
            <w:tcW w:w="373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9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20"/>
              </w:rPr>
            </w:pPr>
            <w:r>
              <w:rPr>
                <w:rFonts w:ascii="Lato;sans-serif" w:hAnsi="Lato;sans-serif"/>
                <w:b w:val="false"/>
                <w:color w:val="000000"/>
                <w:sz w:val="20"/>
              </w:rPr>
              <w:t>Preliminary Proxy Statement</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6"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9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color w:val="000000"/>
                <w:sz w:val="20"/>
              </w:rPr>
            </w:pPr>
            <w:r>
              <w:rPr>
                <w:rFonts w:ascii="Lato;sans-serif" w:hAnsi="Lato;sans-serif"/>
                <w:b/>
                <w:color w:val="000000"/>
                <w:sz w:val="20"/>
              </w:rPr>
              <w:t>Confidential, for Use of the Commission Only (as permitted by Rule 14a-6(e)(2))</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6"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9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20"/>
              </w:rPr>
            </w:pPr>
            <w:r>
              <w:rPr>
                <w:rFonts w:ascii="Lato;sans-serif" w:hAnsi="Lato;sans-serif"/>
                <w:b w:val="false"/>
                <w:color w:val="000000"/>
                <w:sz w:val="20"/>
              </w:rPr>
              <w:t>Definitive Proxy Statement</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6"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9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20"/>
              </w:rPr>
            </w:pPr>
            <w:r>
              <w:rPr>
                <w:rFonts w:ascii="Lato;sans-serif" w:hAnsi="Lato;sans-serif"/>
                <w:b w:val="false"/>
                <w:color w:val="000000"/>
                <w:sz w:val="20"/>
              </w:rPr>
              <w:t>Definitive Additional Materials</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6"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9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20"/>
              </w:rPr>
            </w:pPr>
            <w:r>
              <w:rPr>
                <w:rFonts w:ascii="Lato;sans-serif" w:hAnsi="Lato;sans-serif"/>
                <w:b w:val="false"/>
                <w:color w:val="000000"/>
                <w:sz w:val="20"/>
              </w:rPr>
              <w:t>Soliciting Material Pursuant to §240.14a-12</w:t>
            </w:r>
          </w:p>
        </w:tc>
      </w:tr>
    </w:tbl>
    <w:p>
      <w:pPr>
        <w:pStyle w:val="TextBody"/>
        <w:bidi w:val="0"/>
        <w:spacing w:before="0" w:after="120"/>
        <w:jc w:val="left"/>
        <w:rPr/>
      </w:pPr>
      <w:r>
        <w:rPr/>
      </w:r>
    </w:p>
    <w:p>
      <w:pPr>
        <w:pStyle w:val="TextBody"/>
        <w:bidi w:val="0"/>
        <w:spacing w:lineRule="auto" w:line="288" w:before="360" w:after="283"/>
        <w:jc w:val="center"/>
        <w:rPr>
          <w:rFonts w:ascii="Lato;sans-serif" w:hAnsi="Lato;sans-serif"/>
          <w:b/>
          <w:color w:val="000000"/>
          <w:sz w:val="44"/>
        </w:rPr>
      </w:pPr>
      <w:r>
        <w:rPr>
          <w:rFonts w:ascii="Lato;sans-serif" w:hAnsi="Lato;sans-serif"/>
          <w:b/>
          <w:color w:val="000000"/>
          <w:sz w:val="44"/>
        </w:rPr>
        <w:t>ZOOMINFO TECHNOLOGIES INC.</w:t>
      </w:r>
    </w:p>
    <w:p>
      <w:pPr>
        <w:pStyle w:val="TextBody"/>
        <w:bidi w:val="0"/>
        <w:spacing w:lineRule="auto" w:line="288" w:before="0" w:after="0"/>
        <w:jc w:val="center"/>
        <w:rPr>
          <w:rFonts w:ascii="Lato;sans-serif" w:hAnsi="Lato;sans-serif"/>
          <w:b/>
          <w:color w:val="000000"/>
          <w:sz w:val="20"/>
        </w:rPr>
      </w:pPr>
      <w:r>
        <w:rPr>
          <w:rFonts w:ascii="Lato;sans-serif" w:hAnsi="Lato;sans-serif"/>
          <w:b/>
          <w:color w:val="000000"/>
          <w:sz w:val="20"/>
        </w:rPr>
        <w:t>(Name of Registrant as Specified In Its Charter)</w:t>
      </w:r>
    </w:p>
    <w:p>
      <w:pPr>
        <w:pStyle w:val="TextBody"/>
        <w:bidi w:val="0"/>
        <w:spacing w:lineRule="auto" w:line="288" w:before="360" w:after="283"/>
        <w:jc w:val="center"/>
        <w:rPr>
          <w:rFonts w:ascii="Lato;sans-serif" w:hAnsi="Lato;sans-serif"/>
          <w:b/>
          <w:color w:val="000000"/>
          <w:sz w:val="16"/>
        </w:rPr>
      </w:pPr>
      <w:r>
        <w:rPr>
          <w:rFonts w:ascii="Lato;sans-serif" w:hAnsi="Lato;sans-serif"/>
          <w:b/>
          <w:color w:val="000000"/>
          <w:sz w:val="16"/>
        </w:rPr>
        <w:t>(Name of Person(s) Filing Proxy Statement, if Other Than the Registrant)</w:t>
      </w:r>
    </w:p>
    <w:p>
      <w:pPr>
        <w:pStyle w:val="TextBody"/>
        <w:bidi w:val="0"/>
        <w:spacing w:lineRule="auto" w:line="288" w:before="360" w:after="283"/>
        <w:jc w:val="left"/>
        <w:rPr>
          <w:rFonts w:ascii="Lato;sans-serif" w:hAnsi="Lato;sans-serif"/>
          <w:b w:val="false"/>
          <w:color w:val="000000"/>
          <w:sz w:val="20"/>
        </w:rPr>
      </w:pPr>
      <w:r>
        <w:rPr>
          <w:rFonts w:ascii="Lato;sans-serif" w:hAnsi="Lato;sans-serif"/>
          <w:b w:val="false"/>
          <w:color w:val="000000"/>
          <w:sz w:val="20"/>
        </w:rPr>
        <w:t>Payment of Filing Fee (Check all boxes that apply):</w:t>
      </w:r>
    </w:p>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14"/>
        <w:gridCol w:w="1014"/>
        <w:gridCol w:w="1014"/>
        <w:gridCol w:w="1013"/>
        <w:gridCol w:w="1011"/>
        <w:gridCol w:w="1011"/>
        <w:gridCol w:w="1011"/>
        <w:gridCol w:w="1011"/>
        <w:gridCol w:w="143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14" w:type="dxa"/>
            <w:tcBorders/>
            <w:vAlign w:val="center"/>
          </w:tcPr>
          <w:p>
            <w:pPr>
              <w:pStyle w:val="TableContents"/>
              <w:bidi w:val="0"/>
              <w:spacing w:before="0" w:after="283"/>
              <w:jc w:val="left"/>
              <w:rPr>
                <w:sz w:val="4"/>
                <w:szCs w:val="4"/>
              </w:rPr>
            </w:pPr>
            <w:r>
              <w:rPr>
                <w:sz w:val="4"/>
                <w:szCs w:val="4"/>
              </w:rPr>
            </w:r>
          </w:p>
        </w:tc>
        <w:tc>
          <w:tcPr>
            <w:tcW w:w="1014" w:type="dxa"/>
            <w:tcBorders/>
            <w:vAlign w:val="center"/>
          </w:tcPr>
          <w:p>
            <w:pPr>
              <w:pStyle w:val="TableContents"/>
              <w:bidi w:val="0"/>
              <w:spacing w:before="0" w:after="283"/>
              <w:jc w:val="left"/>
              <w:rPr>
                <w:sz w:val="4"/>
                <w:szCs w:val="4"/>
              </w:rPr>
            </w:pPr>
            <w:r>
              <w:rPr>
                <w:sz w:val="4"/>
                <w:szCs w:val="4"/>
              </w:rPr>
            </w:r>
          </w:p>
        </w:tc>
        <w:tc>
          <w:tcPr>
            <w:tcW w:w="1014" w:type="dxa"/>
            <w:tcBorders/>
            <w:vAlign w:val="center"/>
          </w:tcPr>
          <w:p>
            <w:pPr>
              <w:pStyle w:val="TableContents"/>
              <w:bidi w:val="0"/>
              <w:spacing w:before="0" w:after="283"/>
              <w:jc w:val="left"/>
              <w:rPr>
                <w:sz w:val="4"/>
                <w:szCs w:val="4"/>
              </w:rPr>
            </w:pPr>
            <w:r>
              <w:rPr>
                <w:sz w:val="4"/>
                <w:szCs w:val="4"/>
              </w:rPr>
            </w:r>
          </w:p>
        </w:tc>
        <w:tc>
          <w:tcPr>
            <w:tcW w:w="1013" w:type="dxa"/>
            <w:tcBorders/>
            <w:vAlign w:val="center"/>
          </w:tcPr>
          <w:p>
            <w:pPr>
              <w:pStyle w:val="TableContents"/>
              <w:bidi w:val="0"/>
              <w:spacing w:before="0" w:after="283"/>
              <w:jc w:val="left"/>
              <w:rPr>
                <w:sz w:val="4"/>
                <w:szCs w:val="4"/>
              </w:rPr>
            </w:pPr>
            <w:r>
              <w:rPr>
                <w:sz w:val="4"/>
                <w:szCs w:val="4"/>
              </w:rPr>
            </w:r>
          </w:p>
        </w:tc>
        <w:tc>
          <w:tcPr>
            <w:tcW w:w="1011" w:type="dxa"/>
            <w:tcBorders/>
            <w:vAlign w:val="center"/>
          </w:tcPr>
          <w:p>
            <w:pPr>
              <w:pStyle w:val="TableContents"/>
              <w:bidi w:val="0"/>
              <w:spacing w:before="0" w:after="283"/>
              <w:jc w:val="left"/>
              <w:rPr>
                <w:sz w:val="4"/>
                <w:szCs w:val="4"/>
              </w:rPr>
            </w:pPr>
            <w:r>
              <w:rPr>
                <w:sz w:val="4"/>
                <w:szCs w:val="4"/>
              </w:rPr>
            </w:r>
          </w:p>
        </w:tc>
        <w:tc>
          <w:tcPr>
            <w:tcW w:w="1011" w:type="dxa"/>
            <w:tcBorders/>
            <w:vAlign w:val="center"/>
          </w:tcPr>
          <w:p>
            <w:pPr>
              <w:pStyle w:val="TableContents"/>
              <w:bidi w:val="0"/>
              <w:spacing w:before="0" w:after="283"/>
              <w:jc w:val="left"/>
              <w:rPr>
                <w:sz w:val="4"/>
                <w:szCs w:val="4"/>
              </w:rPr>
            </w:pPr>
            <w:r>
              <w:rPr>
                <w:sz w:val="4"/>
                <w:szCs w:val="4"/>
              </w:rPr>
            </w:r>
          </w:p>
        </w:tc>
        <w:tc>
          <w:tcPr>
            <w:tcW w:w="1011" w:type="dxa"/>
            <w:tcBorders/>
            <w:vAlign w:val="center"/>
          </w:tcPr>
          <w:p>
            <w:pPr>
              <w:pStyle w:val="TableContents"/>
              <w:bidi w:val="0"/>
              <w:spacing w:before="0" w:after="283"/>
              <w:jc w:val="left"/>
              <w:rPr>
                <w:sz w:val="4"/>
                <w:szCs w:val="4"/>
              </w:rPr>
            </w:pPr>
            <w:r>
              <w:rPr>
                <w:sz w:val="4"/>
                <w:szCs w:val="4"/>
              </w:rPr>
            </w:r>
          </w:p>
        </w:tc>
        <w:tc>
          <w:tcPr>
            <w:tcW w:w="1011" w:type="dxa"/>
            <w:tcBorders/>
            <w:vAlign w:val="center"/>
          </w:tcPr>
          <w:p>
            <w:pPr>
              <w:pStyle w:val="TableContents"/>
              <w:bidi w:val="0"/>
              <w:spacing w:before="0" w:after="283"/>
              <w:jc w:val="left"/>
              <w:rPr>
                <w:sz w:val="4"/>
                <w:szCs w:val="4"/>
              </w:rPr>
            </w:pPr>
            <w:r>
              <w:rPr>
                <w:sz w:val="4"/>
                <w:szCs w:val="4"/>
              </w:rPr>
            </w:r>
          </w:p>
        </w:tc>
        <w:tc>
          <w:tcPr>
            <w:tcW w:w="143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536"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20"/>
              </w:rPr>
            </w:pPr>
            <w:r>
              <w:rPr>
                <w:rFonts w:ascii="Lato;sans-serif" w:hAnsi="Lato;sans-serif"/>
                <w:b w:val="false"/>
                <w:color w:val="000000"/>
                <w:sz w:val="20"/>
              </w:rPr>
              <w:t>No fee required</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3" w:type="dxa"/>
            <w:gridSpan w:val="12"/>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536"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20"/>
              </w:rPr>
            </w:pPr>
            <w:r>
              <w:rPr>
                <w:rFonts w:ascii="Lato;sans-serif" w:hAnsi="Lato;sans-serif"/>
                <w:b w:val="false"/>
                <w:color w:val="000000"/>
                <w:sz w:val="20"/>
              </w:rPr>
              <w:t>Fee paid previously with preliminary materials</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3" w:type="dxa"/>
            <w:gridSpan w:val="12"/>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536"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20"/>
              </w:rPr>
            </w:pPr>
            <w:r>
              <w:rPr>
                <w:rFonts w:ascii="Lato;sans-serif" w:hAnsi="Lato;sans-serif"/>
                <w:b w:val="false"/>
                <w:color w:val="000000"/>
                <w:sz w:val="20"/>
              </w:rPr>
              <w:t>Fee computed on table in exhibit required by Item 25(b) per Exchange Act Rules 14a-6(i)(1) and 0-11</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9"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4"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color w:val="000000"/>
        </w:rPr>
      </w:pPr>
      <w:r>
        <w:rPr>
          <w:color w:val="000000"/>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left"/>
                              <w:rPr>
                                <w:color w:val="000000"/>
                              </w:rPr>
                            </w:pPr>
                            <w:r>
                              <w:rPr>
                                <w:color w:val="000000"/>
                              </w:rPr>
                              <w:t>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color w:val="000000"/>
                        </w:rPr>
                      </w:pPr>
                      <w:r>
                        <w:rPr>
                          <w:color w:val="000000"/>
                        </w:rPr>
                        <w:t>        </w:t>
                      </w:r>
                    </w:p>
                  </w:txbxContent>
                </v:textbox>
                <w10:wrap type="none"/>
              </v:rect>
            </w:pict>
          </mc:Fallback>
        </mc:AlternateContent>
      </w:r>
    </w:p>
    <w:p>
      <w:pPr>
        <w:pStyle w:val="TextBody"/>
        <w:bidi w:val="0"/>
        <w:spacing w:before="0" w:after="0"/>
        <w:jc w:val="left"/>
        <w:rPr/>
      </w:pPr>
      <w:r>
        <w:rPr/>
      </w:r>
    </w:p>
    <w:p>
      <w:pPr>
        <w:pStyle w:val="TextBody"/>
        <w:bidi w:val="0"/>
        <w:spacing w:before="0" w:after="0"/>
        <w:jc w:val="center"/>
        <w:rPr/>
      </w:pPr>
      <w:r>
        <w:rPr/>
        <w:drawing>
          <wp:inline distT="0" distB="0" distL="0" distR="0">
            <wp:extent cx="2371725" cy="638175"/>
            <wp:effectExtent l="0" t="0" r="0" b="0"/>
            <wp:docPr id="2"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 descr=""/>
                    <pic:cNvPicPr>
                      <a:picLocks noChangeAspect="1" noChangeArrowheads="1"/>
                    </pic:cNvPicPr>
                  </pic:nvPicPr>
                  <pic:blipFill>
                    <a:blip r:embed="rId2"/>
                    <a:stretch>
                      <a:fillRect/>
                    </a:stretch>
                  </pic:blipFill>
                  <pic:spPr bwMode="auto">
                    <a:xfrm>
                      <a:off x="0" y="0"/>
                      <a:ext cx="2371725" cy="638175"/>
                    </a:xfrm>
                    <a:prstGeom prst="rect">
                      <a:avLst/>
                    </a:prstGeom>
                  </pic:spPr>
                </pic:pic>
              </a:graphicData>
            </a:graphic>
          </wp:inline>
        </w:drawing>
      </w:r>
      <w:bookmarkStart w:id="0" w:name="i-1"/>
      <w:bookmarkEnd w:id="0"/>
    </w:p>
    <w:p>
      <w:pPr>
        <w:pStyle w:val="TextBody"/>
        <w:bidi w:val="0"/>
        <w:spacing w:lineRule="auto" w:line="288" w:before="300" w:after="283"/>
        <w:jc w:val="right"/>
        <w:rPr>
          <w:rFonts w:ascii="Lato;sans-serif" w:hAnsi="Lato;sans-serif"/>
          <w:b w:val="false"/>
          <w:color w:val="000000"/>
          <w:sz w:val="20"/>
        </w:rPr>
      </w:pPr>
      <w:r>
        <w:rPr>
          <w:rFonts w:ascii="Lato;sans-serif" w:hAnsi="Lato;sans-serif"/>
          <w:b w:val="false"/>
          <w:color w:val="000000"/>
          <w:sz w:val="20"/>
        </w:rPr>
        <w:t>March 26, 2026</w:t>
      </w:r>
    </w:p>
    <w:p>
      <w:pPr>
        <w:pStyle w:val="TextBody"/>
        <w:bidi w:val="0"/>
        <w:spacing w:lineRule="auto" w:line="288" w:before="240" w:after="180"/>
        <w:jc w:val="left"/>
        <w:rPr>
          <w:rFonts w:ascii="Lato;sans-serif" w:hAnsi="Lato;sans-serif"/>
          <w:b w:val="false"/>
          <w:color w:val="000000"/>
          <w:sz w:val="20"/>
        </w:rPr>
      </w:pPr>
      <w:r>
        <w:rPr>
          <w:rFonts w:ascii="Lato;sans-serif" w:hAnsi="Lato;sans-serif"/>
          <w:b w:val="false"/>
          <w:color w:val="000000"/>
          <w:sz w:val="20"/>
        </w:rPr>
        <w:t>Dear Stockholder:</w:t>
      </w:r>
    </w:p>
    <w:p>
      <w:pPr>
        <w:pStyle w:val="TextBody"/>
        <w:bidi w:val="0"/>
        <w:spacing w:lineRule="auto" w:line="288" w:before="0" w:after="0"/>
        <w:jc w:val="both"/>
        <w:rPr>
          <w:rFonts w:ascii="Lato;sans-serif" w:hAnsi="Lato;sans-serif"/>
          <w:b w:val="false"/>
          <w:color w:val="000000"/>
          <w:sz w:val="20"/>
        </w:rPr>
      </w:pPr>
      <w:r>
        <w:rPr>
          <w:rFonts w:ascii="Lato;sans-serif" w:hAnsi="Lato;sans-serif"/>
          <w:b w:val="false"/>
          <w:color w:val="000000"/>
          <w:sz w:val="20"/>
        </w:rPr>
        <w:t>Please join us for ZoomInfo Technologies Inc.’s Annual Meeting of Stockholders on Thursday, May 14, 2026, at 12:00 p.m., Eastern Time. Consistent with past practice, the Annual Meeting will be held in a virtual meeting format only and will be conducted via live audio webcast. You will be able to attend the Annual Meeting online, vote your shares electronically and submit your questions during the Annual Meeting via a live audio webcast by visiting www.virtualshareholdermeeting.com/GTM2026.</w:t>
      </w:r>
    </w:p>
    <w:p>
      <w:pPr>
        <w:pStyle w:val="TextBody"/>
        <w:bidi w:val="0"/>
        <w:spacing w:before="0" w:after="0"/>
        <w:jc w:val="both"/>
        <w:rPr/>
      </w:pPr>
      <w:r>
        <w:rPr/>
      </w:r>
    </w:p>
    <w:p>
      <w:pPr>
        <w:pStyle w:val="TextBody"/>
        <w:bidi w:val="0"/>
        <w:spacing w:lineRule="auto" w:line="288" w:before="0" w:after="0"/>
        <w:jc w:val="both"/>
        <w:rPr>
          <w:rFonts w:ascii="Lato;sans-serif" w:hAnsi="Lato;sans-serif"/>
          <w:b w:val="false"/>
          <w:color w:val="000000"/>
          <w:sz w:val="20"/>
        </w:rPr>
      </w:pPr>
      <w:r>
        <w:rPr>
          <w:rFonts w:ascii="Lato;sans-serif" w:hAnsi="Lato;sans-serif"/>
          <w:b w:val="false"/>
          <w:color w:val="000000"/>
          <w:sz w:val="20"/>
        </w:rPr>
        <w:t>Attached to this letter are a Notice of Annual Meeting of Stockholders and Proxy Statement, which describe the business to be conducted at the meeting. The Notice of Internet Availability of this Proxy Statement and Annual Report and the proxy card are first being sent to stockholders on or about March 26, 2026. We urge you to read the accompanying materials regarding the matters to be voted on at the meeting and to submit your voting instructions by proxy. At the Annual Meeting, you will be asked to:</w:t>
      </w:r>
    </w:p>
    <w:p>
      <w:pPr>
        <w:pStyle w:val="TextBody"/>
        <w:bidi w:val="0"/>
        <w:spacing w:before="0" w:after="0"/>
        <w:jc w:val="left"/>
        <w:rPr/>
      </w:pPr>
      <w:r>
        <w:rPr/>
      </w:r>
    </w:p>
    <w:p>
      <w:pPr>
        <w:pStyle w:val="TextBody"/>
        <w:bidi w:val="0"/>
        <w:spacing w:lineRule="auto" w:line="417" w:before="0" w:after="0"/>
        <w:ind w:left="0" w:right="0" w:hanging="360"/>
        <w:jc w:val="both"/>
        <w:rPr>
          <w:rFonts w:ascii="Lato;sans-serif" w:hAnsi="Lato;sans-serif"/>
          <w:b w:val="false"/>
          <w:color w:val="000000"/>
          <w:sz w:val="20"/>
        </w:rPr>
      </w:pPr>
      <w:r>
        <w:rPr>
          <w:rFonts w:ascii="Lato;sans-serif" w:hAnsi="Lato;sans-serif"/>
          <w:b w:val="false"/>
          <w:color w:val="000000"/>
          <w:sz w:val="20"/>
        </w:rPr>
        <w:t>1.Elect three Class III directors, to serve until our 2029 annual meeting of stockholders;</w:t>
      </w:r>
    </w:p>
    <w:p>
      <w:pPr>
        <w:pStyle w:val="TextBody"/>
        <w:bidi w:val="0"/>
        <w:spacing w:lineRule="auto" w:line="417" w:before="0" w:after="0"/>
        <w:ind w:left="0" w:right="0" w:hanging="360"/>
        <w:jc w:val="both"/>
        <w:rPr>
          <w:rFonts w:ascii="Lato;sans-serif" w:hAnsi="Lato;sans-serif"/>
          <w:b w:val="false"/>
          <w:color w:val="000000"/>
          <w:sz w:val="20"/>
        </w:rPr>
      </w:pPr>
      <w:r>
        <w:rPr>
          <w:rFonts w:ascii="Lato;sans-serif" w:hAnsi="Lato;sans-serif"/>
          <w:b w:val="false"/>
          <w:color w:val="000000"/>
          <w:sz w:val="20"/>
        </w:rPr>
        <w:t>2.Ratify the appointment of KPMG LLP as our independent registered public accounting firm for 2026; and</w:t>
      </w:r>
    </w:p>
    <w:p>
      <w:pPr>
        <w:pStyle w:val="TextBody"/>
        <w:bidi w:val="0"/>
        <w:spacing w:lineRule="auto" w:line="417" w:before="0" w:after="180"/>
        <w:ind w:left="0" w:right="0" w:hanging="360"/>
        <w:jc w:val="both"/>
        <w:rPr>
          <w:rFonts w:ascii="Lato;sans-serif" w:hAnsi="Lato;sans-serif"/>
          <w:b w:val="false"/>
          <w:color w:val="000000"/>
          <w:sz w:val="20"/>
        </w:rPr>
      </w:pPr>
      <w:r>
        <w:rPr>
          <w:rFonts w:ascii="Lato;sans-serif" w:hAnsi="Lato;sans-serif"/>
          <w:b w:val="false"/>
          <w:color w:val="000000"/>
          <w:sz w:val="20"/>
        </w:rPr>
        <w:t>3.Approve, on an advisory, non-binding basis, the compensation of our named executive officers.</w:t>
      </w:r>
    </w:p>
    <w:p>
      <w:pPr>
        <w:pStyle w:val="TextBody"/>
        <w:bidi w:val="0"/>
        <w:spacing w:lineRule="auto" w:line="288" w:before="0" w:after="0"/>
        <w:jc w:val="both"/>
        <w:rPr>
          <w:rFonts w:ascii="Lato;sans-serif" w:hAnsi="Lato;sans-serif"/>
          <w:b w:val="false"/>
          <w:color w:val="000000"/>
          <w:sz w:val="20"/>
        </w:rPr>
      </w:pPr>
      <w:r>
        <w:rPr>
          <w:rFonts w:ascii="Lato;sans-serif" w:hAnsi="Lato;sans-serif"/>
          <w:b w:val="false"/>
          <w:color w:val="000000"/>
          <w:sz w:val="20"/>
        </w:rPr>
        <w:t>Whether or not you plan to attend the virtual meeting, your vote is important to us. You may vote your shares by proxy on the Internet, by telephone or by completing, signing and promptly returning a proxy card, or you may vote via the Internet at the Annual Meeting. We encourage you to vote by Internet, by telephone or by proxy card in advance even if you plan to attend the Annual Meeting. By doing so, you will ensure that your shares are represented and voted at the Annual Meeting.</w:t>
      </w:r>
    </w:p>
    <w:p>
      <w:pPr>
        <w:pStyle w:val="TextBody"/>
        <w:bidi w:val="0"/>
        <w:spacing w:lineRule="auto" w:line="417" w:before="180" w:after="180"/>
        <w:jc w:val="both"/>
        <w:rPr>
          <w:rFonts w:ascii="Lato;sans-serif" w:hAnsi="Lato;sans-serif"/>
          <w:b w:val="false"/>
          <w:color w:val="000000"/>
          <w:sz w:val="20"/>
        </w:rPr>
      </w:pPr>
      <w:r>
        <w:rPr>
          <w:rFonts w:ascii="Lato;sans-serif" w:hAnsi="Lato;sans-serif"/>
          <w:b w:val="false"/>
          <w:color w:val="000000"/>
          <w:sz w:val="20"/>
        </w:rPr>
        <w:t>Thank you for your continued support of ZoomInfo Technologies Inc.</w:t>
      </w:r>
    </w:p>
    <w:p>
      <w:pPr>
        <w:pStyle w:val="TextBody"/>
        <w:bidi w:val="0"/>
        <w:spacing w:lineRule="auto" w:line="288" w:before="0" w:after="0"/>
        <w:jc w:val="left"/>
        <w:rPr>
          <w:color w:val="000000"/>
        </w:rPr>
      </w:pPr>
      <w:r>
        <w:rPr>
          <w:color w:val="000000"/>
        </w:rPr>
        <w:t> </w:t>
      </w:r>
    </w:p>
    <w:tbl>
      <w:tblPr>
        <w:tblW w:w="4419" w:type="dxa"/>
        <w:jc w:val="left"/>
        <w:tblInd w:w="0" w:type="dxa"/>
        <w:tblLayout w:type="fixed"/>
        <w:tblCellMar>
          <w:top w:w="28" w:type="dxa"/>
          <w:left w:w="28" w:type="dxa"/>
          <w:bottom w:w="28" w:type="dxa"/>
          <w:right w:w="28" w:type="dxa"/>
        </w:tblCellMar>
      </w:tblPr>
      <w:tblGrid>
        <w:gridCol w:w="124"/>
        <w:gridCol w:w="109"/>
        <w:gridCol w:w="109"/>
        <w:gridCol w:w="174"/>
        <w:gridCol w:w="174"/>
        <w:gridCol w:w="174"/>
        <w:gridCol w:w="1036"/>
        <w:gridCol w:w="1036"/>
        <w:gridCol w:w="148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48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55" w:type="dxa"/>
            <w:gridSpan w:val="3"/>
            <w:tcBorders/>
            <w:tcMar>
              <w:top w:w="0" w:type="dxa"/>
              <w:left w:w="0" w:type="dxa"/>
              <w:bottom w:w="0" w:type="dxa"/>
              <w:right w:w="0" w:type="dxa"/>
            </w:tcMar>
            <w:vAlign w:val="center"/>
          </w:tcPr>
          <w:p>
            <w:pPr>
              <w:pStyle w:val="TableContents"/>
              <w:bidi w:val="0"/>
              <w:spacing w:before="0" w:after="283"/>
              <w:jc w:val="left"/>
              <w:rPr/>
            </w:pPr>
            <w:r>
              <w:rPr/>
              <w:t>Sincerely,</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77" w:type="dxa"/>
            <w:gridSpan w:val="6"/>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1304925" cy="466725"/>
                  <wp:effectExtent l="0" t="0" r="0" b="0"/>
                  <wp:docPr id="3"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2" descr=""/>
                          <pic:cNvPicPr>
                            <a:picLocks noChangeAspect="1" noChangeArrowheads="1"/>
                          </pic:cNvPicPr>
                        </pic:nvPicPr>
                        <pic:blipFill>
                          <a:blip r:embed="rId3"/>
                          <a:stretch>
                            <a:fillRect/>
                          </a:stretch>
                        </pic:blipFill>
                        <pic:spPr bwMode="auto">
                          <a:xfrm>
                            <a:off x="0" y="0"/>
                            <a:ext cx="1304925" cy="466725"/>
                          </a:xfrm>
                          <a:prstGeom prst="rect">
                            <a:avLst/>
                          </a:prstGeom>
                        </pic:spPr>
                      </pic:pic>
                    </a:graphicData>
                  </a:graphic>
                </wp:inline>
              </w:drawing>
            </w:r>
            <w:bookmarkStart w:id="1" w:name="i-2"/>
            <w:bookmarkEnd w:id="1"/>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p>
            <w:pPr>
              <w:pStyle w:val="TableContents"/>
              <w:bidi w:val="0"/>
              <w:spacing w:before="0" w:after="20"/>
              <w:jc w:val="left"/>
              <w:rPr/>
            </w:pPr>
            <w:r>
              <w:rPr/>
            </w:r>
          </w:p>
        </w:tc>
        <w:tc>
          <w:tcPr>
            <w:tcW w:w="52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555" w:type="dxa"/>
            <w:gridSpan w:val="3"/>
            <w:tcBorders/>
            <w:tcMar>
              <w:top w:w="0" w:type="dxa"/>
              <w:left w:w="0" w:type="dxa"/>
              <w:bottom w:w="0" w:type="dxa"/>
              <w:right w:w="0" w:type="dxa"/>
            </w:tcMar>
            <w:vAlign w:val="center"/>
          </w:tcPr>
          <w:p>
            <w:pPr>
              <w:pStyle w:val="TableContents"/>
              <w:bidi w:val="0"/>
              <w:spacing w:lineRule="auto" w:line="288" w:before="0" w:after="20"/>
              <w:jc w:val="left"/>
              <w:rPr>
                <w:rFonts w:ascii="Lato;sans-serif" w:hAnsi="Lato;sans-serif"/>
                <w:b w:val="false"/>
                <w:i/>
                <w:color w:val="000000"/>
                <w:sz w:val="20"/>
                <w:u w:val="single"/>
              </w:rPr>
            </w:pPr>
            <w:r>
              <w:rPr>
                <w:rFonts w:ascii="Lato;sans-serif" w:hAnsi="Lato;sans-serif"/>
                <w:b w:val="false"/>
                <w:i/>
                <w:color w:val="000000"/>
                <w:sz w:val="20"/>
                <w:u w:val="single"/>
              </w:rPr>
              <w:t>Henry L. Schuck</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5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i/>
                <w:color w:val="000000"/>
                <w:sz w:val="20"/>
              </w:rPr>
            </w:pPr>
            <w:r>
              <w:rPr>
                <w:rFonts w:ascii="Lato;sans-serif" w:hAnsi="Lato;sans-serif"/>
                <w:b w:val="false"/>
                <w:i/>
                <w:color w:val="000000"/>
                <w:sz w:val="20"/>
              </w:rPr>
              <w:t xml:space="preserve">Chief Executive Officer and </w:t>
              <w:br/>
              <w:t>Chairman of the Board of Directors</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55" w:type="dxa"/>
            <w:gridSpan w:val="3"/>
            <w:tcBorders/>
            <w:tcMar>
              <w:top w:w="0" w:type="dxa"/>
              <w:left w:w="0" w:type="dxa"/>
              <w:bottom w:w="0" w:type="dxa"/>
              <w:right w:w="0" w:type="dxa"/>
            </w:tcMar>
            <w:vAlign w:val="center"/>
          </w:tcPr>
          <w:p>
            <w:pPr>
              <w:pStyle w:val="TableContents"/>
              <w:bidi w:val="0"/>
              <w:spacing w:lineRule="auto" w:line="240" w:before="0" w:after="20"/>
              <w:jc w:val="left"/>
              <w:rPr>
                <w:rFonts w:ascii="Lato;sans-serif" w:hAnsi="Lato;sans-serif"/>
                <w:b w:val="false"/>
                <w:i/>
                <w:color w:val="000000"/>
                <w:sz w:val="20"/>
              </w:rPr>
            </w:pPr>
            <w:r>
              <w:rPr>
                <w:rFonts w:ascii="Lato;sans-serif" w:hAnsi="Lato;sans-serif"/>
                <w:b w:val="false"/>
                <w:i/>
                <w:color w:val="000000"/>
                <w:sz w:val="20"/>
              </w:rPr>
              <w:t>March 26, 2026</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75260"/>
                <wp:effectExtent l="0" t="0" r="0" b="0"/>
                <wp:wrapNone/>
                <wp:docPr id="4"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left"/>
                              <w:rPr>
                                <w:color w:val="000000"/>
                              </w:rPr>
                            </w:pPr>
                            <w:r>
                              <w:rPr>
                                <w:color w:val="000000"/>
                              </w:rPr>
                              <w:t>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color w:val="000000"/>
                        </w:rPr>
                      </w:pPr>
                      <w:r>
                        <w:rPr>
                          <w:color w:val="000000"/>
                        </w:rPr>
                        <w:t>        </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Lato;sans-serif" w:hAnsi="Lato;sans-serif"/>
          <w:b/>
          <w:color w:val="000000"/>
          <w:sz w:val="20"/>
        </w:rPr>
      </w:pPr>
      <w:r>
        <w:rPr>
          <w:rFonts w:ascii="Lato;sans-serif" w:hAnsi="Lato;sans-serif"/>
          <w:b/>
          <w:color w:val="000000"/>
          <w:sz w:val="20"/>
        </w:rPr>
        <w:t>ZOOMINFO TECHNOLOGIES INC.</w:t>
      </w:r>
    </w:p>
    <w:p>
      <w:pPr>
        <w:pStyle w:val="TextBody"/>
        <w:bidi w:val="0"/>
        <w:spacing w:lineRule="auto" w:line="288" w:before="0" w:after="300"/>
        <w:jc w:val="center"/>
        <w:rPr>
          <w:rFonts w:ascii="Lato;sans-serif" w:hAnsi="Lato;sans-serif"/>
          <w:b/>
          <w:color w:val="000000"/>
          <w:sz w:val="20"/>
        </w:rPr>
      </w:pPr>
      <w:r>
        <w:rPr>
          <w:rFonts w:ascii="Lato;sans-serif" w:hAnsi="Lato;sans-serif"/>
          <w:b/>
          <w:color w:val="000000"/>
          <w:sz w:val="20"/>
        </w:rPr>
        <w:t>NOTICE OF ANNUAL MEETING OF STOCKHOLDERS</w:t>
      </w:r>
    </w:p>
    <w:tbl>
      <w:tblPr>
        <w:tblW w:w="10205" w:type="dxa"/>
        <w:jc w:val="left"/>
        <w:tblInd w:w="0" w:type="dxa"/>
        <w:tblLayout w:type="fixed"/>
        <w:tblCellMar>
          <w:top w:w="28" w:type="dxa"/>
          <w:left w:w="28" w:type="dxa"/>
          <w:bottom w:w="28" w:type="dxa"/>
          <w:right w:w="28" w:type="dxa"/>
        </w:tblCellMar>
      </w:tblPr>
      <w:tblGrid>
        <w:gridCol w:w="586"/>
        <w:gridCol w:w="448"/>
        <w:gridCol w:w="455"/>
        <w:gridCol w:w="2920"/>
        <w:gridCol w:w="2920"/>
        <w:gridCol w:w="2876"/>
      </w:tblGrid>
      <w:tr>
        <w:trPr/>
        <w:tc>
          <w:tcPr>
            <w:tcW w:w="586" w:type="dxa"/>
            <w:tcBorders/>
            <w:vAlign w:val="center"/>
          </w:tcPr>
          <w:p>
            <w:pPr>
              <w:pStyle w:val="TableContents"/>
              <w:bidi w:val="0"/>
              <w:spacing w:before="0" w:after="283"/>
              <w:jc w:val="left"/>
              <w:rPr>
                <w:sz w:val="4"/>
                <w:szCs w:val="4"/>
              </w:rPr>
            </w:pPr>
            <w:r>
              <w:rPr>
                <w:sz w:val="4"/>
                <w:szCs w:val="4"/>
              </w:rPr>
            </w:r>
          </w:p>
        </w:tc>
        <w:tc>
          <w:tcPr>
            <w:tcW w:w="448"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c>
          <w:tcPr>
            <w:tcW w:w="2920" w:type="dxa"/>
            <w:tcBorders/>
            <w:vAlign w:val="center"/>
          </w:tcPr>
          <w:p>
            <w:pPr>
              <w:pStyle w:val="TableContents"/>
              <w:bidi w:val="0"/>
              <w:spacing w:before="0" w:after="283"/>
              <w:jc w:val="left"/>
              <w:rPr>
                <w:sz w:val="4"/>
                <w:szCs w:val="4"/>
              </w:rPr>
            </w:pPr>
            <w:r>
              <w:rPr>
                <w:sz w:val="4"/>
                <w:szCs w:val="4"/>
              </w:rPr>
            </w:r>
          </w:p>
        </w:tc>
        <w:tc>
          <w:tcPr>
            <w:tcW w:w="2920" w:type="dxa"/>
            <w:tcBorders/>
            <w:vAlign w:val="center"/>
          </w:tcPr>
          <w:p>
            <w:pPr>
              <w:pStyle w:val="TableContents"/>
              <w:bidi w:val="0"/>
              <w:spacing w:before="0" w:after="283"/>
              <w:jc w:val="left"/>
              <w:rPr>
                <w:sz w:val="4"/>
                <w:szCs w:val="4"/>
              </w:rPr>
            </w:pPr>
            <w:r>
              <w:rPr>
                <w:sz w:val="4"/>
                <w:szCs w:val="4"/>
              </w:rPr>
            </w:r>
          </w:p>
        </w:tc>
        <w:tc>
          <w:tcPr>
            <w:tcW w:w="2876" w:type="dxa"/>
            <w:tcBorders/>
            <w:vAlign w:val="center"/>
          </w:tcPr>
          <w:p>
            <w:pPr>
              <w:pStyle w:val="TableContents"/>
              <w:bidi w:val="0"/>
              <w:spacing w:before="0" w:after="283"/>
              <w:jc w:val="left"/>
              <w:rPr>
                <w:sz w:val="4"/>
                <w:szCs w:val="4"/>
              </w:rPr>
            </w:pPr>
            <w:r>
              <w:rPr>
                <w:sz w:val="4"/>
                <w:szCs w:val="4"/>
              </w:rPr>
            </w:r>
          </w:p>
        </w:tc>
      </w:tr>
      <w:tr>
        <w:trPr/>
        <w:tc>
          <w:tcPr>
            <w:tcW w:w="148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color w:val="000000"/>
                <w:sz w:val="20"/>
              </w:rPr>
            </w:pPr>
            <w:r>
              <w:rPr>
                <w:rFonts w:ascii="Lato;sans-serif" w:hAnsi="Lato;sans-serif"/>
                <w:b/>
                <w:color w:val="000000"/>
                <w:sz w:val="20"/>
              </w:rPr>
              <w:t>TIME</w:t>
            </w:r>
          </w:p>
        </w:tc>
        <w:tc>
          <w:tcPr>
            <w:tcW w:w="8716"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Lato;sans-serif" w:hAnsi="Lato;sans-serif"/>
                <w:b w:val="false"/>
                <w:color w:val="000000"/>
                <w:sz w:val="20"/>
              </w:rPr>
            </w:pPr>
            <w:r>
              <w:rPr>
                <w:rFonts w:ascii="Lato;sans-serif" w:hAnsi="Lato;sans-serif"/>
                <w:b w:val="false"/>
                <w:color w:val="000000"/>
                <w:sz w:val="20"/>
              </w:rPr>
              <w:t>12:00 p.m., Eastern Time, on Thursday, May 14, 2026</w:t>
            </w:r>
          </w:p>
        </w:tc>
      </w:tr>
      <w:tr>
        <w:trPr/>
        <w:tc>
          <w:tcPr>
            <w:tcW w:w="14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8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color w:val="000000"/>
                <w:sz w:val="20"/>
              </w:rPr>
            </w:pPr>
            <w:r>
              <w:rPr>
                <w:rFonts w:ascii="Lato;sans-serif" w:hAnsi="Lato;sans-serif"/>
                <w:b/>
                <w:color w:val="000000"/>
                <w:sz w:val="20"/>
              </w:rPr>
              <w:t>VIRTUAL LOCATION</w:t>
            </w:r>
          </w:p>
        </w:tc>
        <w:tc>
          <w:tcPr>
            <w:tcW w:w="8716"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Lato;sans-serif" w:hAnsi="Lato;sans-serif"/>
                <w:b w:val="false"/>
                <w:color w:val="000000"/>
                <w:sz w:val="20"/>
              </w:rPr>
            </w:pPr>
            <w:r>
              <w:rPr>
                <w:rFonts w:ascii="Lato;sans-serif" w:hAnsi="Lato;sans-serif"/>
                <w:b w:val="false"/>
                <w:color w:val="000000"/>
                <w:sz w:val="20"/>
              </w:rPr>
              <w:t>You can attend the Annual Meeting online, vote your shares electronically and submit your questions during the Annual Meeting, by visiting www.virtualshareholdermeeting.com/GTM2026. You will need to have your 16-Digit Control Number included on your proxy card or the instructions that accompanied your proxy materials in order to join the Annual Meeting.</w:t>
            </w:r>
          </w:p>
        </w:tc>
      </w:tr>
      <w:tr>
        <w:trPr/>
        <w:tc>
          <w:tcPr>
            <w:tcW w:w="14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8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color w:val="000000"/>
                <w:sz w:val="20"/>
              </w:rPr>
            </w:pPr>
            <w:r>
              <w:rPr>
                <w:rFonts w:ascii="Lato;sans-serif" w:hAnsi="Lato;sans-serif"/>
                <w:b/>
                <w:color w:val="000000"/>
                <w:sz w:val="20"/>
              </w:rPr>
              <w:t>ITEMS OF BUSINESS</w:t>
            </w:r>
          </w:p>
        </w:tc>
        <w:tc>
          <w:tcPr>
            <w:tcW w:w="8716" w:type="dxa"/>
            <w:gridSpan w:val="3"/>
            <w:tcBorders/>
            <w:tcMar>
              <w:top w:w="0" w:type="dxa"/>
              <w:left w:w="0" w:type="dxa"/>
              <w:bottom w:w="0" w:type="dxa"/>
              <w:right w:w="0" w:type="dxa"/>
            </w:tcMar>
            <w:vAlign w:val="center"/>
          </w:tcPr>
          <w:p>
            <w:pPr>
              <w:pStyle w:val="TableContents"/>
              <w:bidi w:val="0"/>
              <w:spacing w:lineRule="auto" w:line="240" w:before="0" w:after="0"/>
              <w:ind w:left="0" w:right="0" w:hanging="360"/>
              <w:jc w:val="left"/>
              <w:rPr>
                <w:rFonts w:ascii="Lato;sans-serif" w:hAnsi="Lato;sans-serif"/>
                <w:b w:val="false"/>
                <w:color w:val="000000"/>
                <w:sz w:val="20"/>
              </w:rPr>
            </w:pPr>
            <w:r>
              <w:rPr>
                <w:rFonts w:ascii="Lato;sans-serif" w:hAnsi="Lato;sans-serif"/>
                <w:b w:val="false"/>
                <w:color w:val="000000"/>
                <w:sz w:val="20"/>
              </w:rPr>
              <w:t>1.To elect the director nominees listed in the Proxy Statement.</w:t>
            </w:r>
          </w:p>
        </w:tc>
      </w:tr>
      <w:tr>
        <w:trPr/>
        <w:tc>
          <w:tcPr>
            <w:tcW w:w="14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6" w:type="dxa"/>
            <w:gridSpan w:val="3"/>
            <w:tcBorders/>
            <w:tcMar>
              <w:top w:w="0" w:type="dxa"/>
              <w:left w:w="0" w:type="dxa"/>
              <w:bottom w:w="0" w:type="dxa"/>
              <w:right w:w="0" w:type="dxa"/>
            </w:tcMar>
            <w:vAlign w:val="center"/>
          </w:tcPr>
          <w:p>
            <w:pPr>
              <w:pStyle w:val="TableContents"/>
              <w:bidi w:val="0"/>
              <w:spacing w:lineRule="auto" w:line="240" w:before="0" w:after="0"/>
              <w:ind w:left="0" w:right="0" w:hanging="360"/>
              <w:jc w:val="left"/>
              <w:rPr>
                <w:rFonts w:ascii="Lato;sans-serif" w:hAnsi="Lato;sans-serif"/>
                <w:b w:val="false"/>
                <w:color w:val="000000"/>
                <w:sz w:val="20"/>
              </w:rPr>
            </w:pPr>
            <w:r>
              <w:rPr>
                <w:rFonts w:ascii="Lato;sans-serif" w:hAnsi="Lato;sans-serif"/>
                <w:b w:val="false"/>
                <w:color w:val="000000"/>
                <w:sz w:val="20"/>
              </w:rPr>
              <w:t>2.To ratify the appointment of KPMG LLP as our independent registered public accounting firm for 2026.</w:t>
            </w:r>
          </w:p>
        </w:tc>
      </w:tr>
      <w:tr>
        <w:trPr/>
        <w:tc>
          <w:tcPr>
            <w:tcW w:w="14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6" w:type="dxa"/>
            <w:gridSpan w:val="3"/>
            <w:tcBorders/>
            <w:tcMar>
              <w:top w:w="0" w:type="dxa"/>
              <w:left w:w="0" w:type="dxa"/>
              <w:bottom w:w="0" w:type="dxa"/>
              <w:right w:w="0" w:type="dxa"/>
            </w:tcMar>
            <w:vAlign w:val="center"/>
          </w:tcPr>
          <w:p>
            <w:pPr>
              <w:pStyle w:val="TableContents"/>
              <w:bidi w:val="0"/>
              <w:spacing w:lineRule="auto" w:line="240" w:before="0" w:after="0"/>
              <w:ind w:left="0" w:right="0" w:hanging="360"/>
              <w:jc w:val="left"/>
              <w:rPr>
                <w:rFonts w:ascii="Lato;sans-serif" w:hAnsi="Lato;sans-serif"/>
                <w:b w:val="false"/>
                <w:color w:val="000000"/>
                <w:sz w:val="20"/>
              </w:rPr>
            </w:pPr>
            <w:r>
              <w:rPr>
                <w:rFonts w:ascii="Lato;sans-serif" w:hAnsi="Lato;sans-serif"/>
                <w:b w:val="false"/>
                <w:color w:val="000000"/>
                <w:sz w:val="20"/>
              </w:rPr>
              <w:t>3.To approve, on an advisory, non-binding basis, the compensation of our named executive officers.</w:t>
            </w:r>
          </w:p>
        </w:tc>
      </w:tr>
      <w:tr>
        <w:trPr/>
        <w:tc>
          <w:tcPr>
            <w:tcW w:w="14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6" w:type="dxa"/>
            <w:gridSpan w:val="3"/>
            <w:tcBorders/>
            <w:tcMar>
              <w:top w:w="0" w:type="dxa"/>
              <w:left w:w="0" w:type="dxa"/>
              <w:bottom w:w="0" w:type="dxa"/>
              <w:right w:w="0" w:type="dxa"/>
            </w:tcMar>
            <w:vAlign w:val="center"/>
          </w:tcPr>
          <w:p>
            <w:pPr>
              <w:pStyle w:val="TableContents"/>
              <w:bidi w:val="0"/>
              <w:spacing w:lineRule="auto" w:line="240" w:before="0" w:after="0"/>
              <w:ind w:left="0" w:right="0" w:hanging="360"/>
              <w:jc w:val="left"/>
              <w:rPr>
                <w:rFonts w:ascii="Lato;sans-serif" w:hAnsi="Lato;sans-serif"/>
                <w:b w:val="false"/>
                <w:color w:val="000000"/>
                <w:sz w:val="20"/>
              </w:rPr>
            </w:pPr>
            <w:r>
              <w:rPr>
                <w:rFonts w:ascii="Lato;sans-serif" w:hAnsi="Lato;sans-serif"/>
                <w:b w:val="false"/>
                <w:color w:val="000000"/>
                <w:sz w:val="20"/>
              </w:rPr>
              <w:t>4.To consider such other business as may properly come before the Annual Meeting and any adjournments or postponements thereof.</w:t>
            </w:r>
          </w:p>
        </w:tc>
      </w:tr>
      <w:tr>
        <w:trPr/>
        <w:tc>
          <w:tcPr>
            <w:tcW w:w="14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8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color w:val="000000"/>
                <w:sz w:val="20"/>
              </w:rPr>
            </w:pPr>
            <w:r>
              <w:rPr>
                <w:rFonts w:ascii="Lato;sans-serif" w:hAnsi="Lato;sans-serif"/>
                <w:b/>
                <w:color w:val="000000"/>
                <w:sz w:val="20"/>
              </w:rPr>
              <w:t>RECORD DATE</w:t>
            </w:r>
          </w:p>
        </w:tc>
        <w:tc>
          <w:tcPr>
            <w:tcW w:w="8716" w:type="dxa"/>
            <w:gridSpan w:val="3"/>
            <w:tcBorders/>
            <w:tcMar>
              <w:top w:w="0" w:type="dxa"/>
              <w:left w:w="0" w:type="dxa"/>
              <w:bottom w:w="0" w:type="dxa"/>
              <w:right w:w="0" w:type="dxa"/>
            </w:tcMar>
            <w:vAlign w:val="center"/>
          </w:tcPr>
          <w:p>
            <w:pPr>
              <w:pStyle w:val="TableContents"/>
              <w:bidi w:val="0"/>
              <w:spacing w:lineRule="auto" w:line="240" w:before="0" w:after="0"/>
              <w:jc w:val="both"/>
              <w:rPr>
                <w:rFonts w:ascii="Lato;sans-serif" w:hAnsi="Lato;sans-serif"/>
                <w:b w:val="false"/>
                <w:color w:val="000000"/>
                <w:sz w:val="20"/>
              </w:rPr>
            </w:pPr>
            <w:r>
              <w:rPr>
                <w:rFonts w:ascii="Lato;sans-serif" w:hAnsi="Lato;sans-serif"/>
                <w:b w:val="false"/>
                <w:color w:val="000000"/>
                <w:sz w:val="20"/>
              </w:rPr>
              <w:t>You may vote at the Annual Meeting if you were a stockholder of record at the close of business on March 17, 2026.</w:t>
            </w:r>
          </w:p>
        </w:tc>
      </w:tr>
      <w:tr>
        <w:trPr/>
        <w:tc>
          <w:tcPr>
            <w:tcW w:w="14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8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color w:val="000000"/>
                <w:sz w:val="20"/>
              </w:rPr>
            </w:pPr>
            <w:r>
              <w:rPr>
                <w:rFonts w:ascii="Lato;sans-serif" w:hAnsi="Lato;sans-serif"/>
                <w:b/>
                <w:color w:val="000000"/>
                <w:sz w:val="20"/>
              </w:rPr>
              <w:t>VOTING BY PROXY</w:t>
            </w:r>
          </w:p>
        </w:tc>
        <w:tc>
          <w:tcPr>
            <w:tcW w:w="871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Lato;sans-serif" w:hAnsi="Lato;sans-serif"/>
                <w:b w:val="false"/>
                <w:color w:val="000000"/>
                <w:sz w:val="20"/>
              </w:rPr>
            </w:pPr>
            <w:r>
              <w:rPr>
                <w:rFonts w:ascii="Lato;sans-serif" w:hAnsi="Lato;sans-serif"/>
                <w:b w:val="false"/>
                <w:color w:val="000000"/>
                <w:sz w:val="20"/>
              </w:rPr>
              <w:t>To ensure your shares are voted, you may vote your shares over the Internet, by telephone or by completing, signing and mailing the proxy card. Voting procedures are described on the following page and on the proxy card.</w:t>
            </w:r>
          </w:p>
        </w:tc>
      </w:tr>
    </w:tbl>
    <w:tbl>
      <w:tblPr>
        <w:tblW w:w="4811" w:type="dxa"/>
        <w:jc w:val="left"/>
        <w:tblInd w:w="0" w:type="dxa"/>
        <w:tblLayout w:type="fixed"/>
        <w:tblCellMar>
          <w:top w:w="28" w:type="dxa"/>
          <w:left w:w="28" w:type="dxa"/>
          <w:bottom w:w="28" w:type="dxa"/>
          <w:right w:w="28" w:type="dxa"/>
        </w:tblCellMar>
      </w:tblPr>
      <w:tblGrid>
        <w:gridCol w:w="124"/>
        <w:gridCol w:w="109"/>
        <w:gridCol w:w="109"/>
        <w:gridCol w:w="1306"/>
        <w:gridCol w:w="1306"/>
        <w:gridCol w:w="185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06" w:type="dxa"/>
            <w:tcBorders/>
            <w:vAlign w:val="center"/>
          </w:tcPr>
          <w:p>
            <w:pPr>
              <w:pStyle w:val="TableContents"/>
              <w:bidi w:val="0"/>
              <w:spacing w:before="0" w:after="283"/>
              <w:jc w:val="left"/>
              <w:rPr>
                <w:sz w:val="4"/>
                <w:szCs w:val="4"/>
              </w:rPr>
            </w:pPr>
            <w:r>
              <w:rPr>
                <w:sz w:val="4"/>
                <w:szCs w:val="4"/>
              </w:rPr>
            </w:r>
          </w:p>
        </w:tc>
        <w:tc>
          <w:tcPr>
            <w:tcW w:w="1306" w:type="dxa"/>
            <w:tcBorders/>
            <w:vAlign w:val="center"/>
          </w:tcPr>
          <w:p>
            <w:pPr>
              <w:pStyle w:val="TableContents"/>
              <w:bidi w:val="0"/>
              <w:spacing w:before="0" w:after="283"/>
              <w:jc w:val="left"/>
              <w:rPr>
                <w:sz w:val="4"/>
                <w:szCs w:val="4"/>
              </w:rPr>
            </w:pPr>
            <w:r>
              <w:rPr>
                <w:sz w:val="4"/>
                <w:szCs w:val="4"/>
              </w:rPr>
            </w:r>
          </w:p>
        </w:tc>
        <w:tc>
          <w:tcPr>
            <w:tcW w:w="185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20"/>
              </w:rPr>
            </w:pPr>
            <w:r>
              <w:rPr>
                <w:rFonts w:ascii="Lato;sans-serif" w:hAnsi="Lato;sans-serif"/>
                <w:b w:val="false"/>
                <w:color w:val="000000"/>
                <w:sz w:val="20"/>
              </w:rPr>
              <w:t>By Order of the Board of Directors,</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69"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2743200" cy="1114425"/>
                  <wp:effectExtent l="0" t="0" r="0" b="0"/>
                  <wp:docPr id="5"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3" descr=""/>
                          <pic:cNvPicPr>
                            <a:picLocks noChangeAspect="1" noChangeArrowheads="1"/>
                          </pic:cNvPicPr>
                        </pic:nvPicPr>
                        <pic:blipFill>
                          <a:blip r:embed="rId4"/>
                          <a:stretch>
                            <a:fillRect/>
                          </a:stretch>
                        </pic:blipFill>
                        <pic:spPr bwMode="auto">
                          <a:xfrm>
                            <a:off x="0" y="0"/>
                            <a:ext cx="2743200" cy="1114425"/>
                          </a:xfrm>
                          <a:prstGeom prst="rect">
                            <a:avLst/>
                          </a:prstGeom>
                        </pic:spPr>
                      </pic:pic>
                    </a:graphicData>
                  </a:graphic>
                </wp:inline>
              </w:drawing>
            </w:r>
            <w:bookmarkStart w:id="2" w:name="i-3"/>
            <w:bookmarkEnd w:id="2"/>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69" w:type="dxa"/>
            <w:gridSpan w:val="3"/>
            <w:tcBorders/>
            <w:tcMar>
              <w:top w:w="0" w:type="dxa"/>
              <w:left w:w="0" w:type="dxa"/>
              <w:bottom w:w="0" w:type="dxa"/>
              <w:right w:w="0" w:type="dxa"/>
            </w:tcMar>
            <w:vAlign w:val="center"/>
          </w:tcPr>
          <w:p>
            <w:pPr>
              <w:pStyle w:val="TableContents"/>
              <w:bidi w:val="0"/>
              <w:spacing w:lineRule="auto" w:line="288" w:before="0" w:after="20"/>
              <w:jc w:val="left"/>
              <w:rPr>
                <w:rFonts w:ascii="Lato;sans-serif" w:hAnsi="Lato;sans-serif"/>
                <w:b w:val="false"/>
                <w:i/>
                <w:color w:val="000000"/>
                <w:sz w:val="20"/>
                <w:u w:val="single"/>
              </w:rPr>
            </w:pPr>
            <w:r>
              <w:rPr>
                <w:rFonts w:ascii="Lato;sans-serif" w:hAnsi="Lato;sans-serif"/>
                <w:b w:val="false"/>
                <w:i/>
                <w:color w:val="000000"/>
                <w:sz w:val="20"/>
                <w:u w:val="single"/>
              </w:rPr>
              <w:t>Ashley McGrane</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6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Lato;sans-serif" w:hAnsi="Lato;sans-serif"/>
                <w:b w:val="false"/>
                <w:i/>
                <w:color w:val="000000"/>
                <w:sz w:val="20"/>
              </w:rPr>
            </w:pPr>
            <w:r>
              <w:rPr>
                <w:rFonts w:ascii="Lato;sans-serif" w:hAnsi="Lato;sans-serif"/>
                <w:b w:val="false"/>
                <w:i/>
                <w:color w:val="000000"/>
                <w:sz w:val="20"/>
              </w:rPr>
              <w:t>EVP, General Counsel &amp; Corporate Secretary</w:t>
            </w:r>
          </w:p>
          <w:p>
            <w:pPr>
              <w:pStyle w:val="TableContents"/>
              <w:bidi w:val="0"/>
              <w:spacing w:lineRule="auto" w:line="288" w:before="0" w:after="20"/>
              <w:jc w:val="left"/>
              <w:rPr>
                <w:rFonts w:ascii="Lato;sans-serif" w:hAnsi="Lato;sans-serif"/>
                <w:b w:val="false"/>
                <w:i/>
                <w:color w:val="000000"/>
                <w:sz w:val="20"/>
              </w:rPr>
            </w:pPr>
            <w:r>
              <w:rPr>
                <w:rFonts w:ascii="Lato;sans-serif" w:hAnsi="Lato;sans-serif"/>
                <w:b w:val="false"/>
                <w:i/>
                <w:color w:val="000000"/>
                <w:sz w:val="20"/>
              </w:rPr>
              <w:t>March 26, 2026</w:t>
            </w:r>
          </w:p>
        </w:tc>
      </w:tr>
    </w:tbl>
    <w:p>
      <w:pPr>
        <w:pStyle w:val="TextBody"/>
        <w:bidi w:val="0"/>
        <w:spacing w:lineRule="auto" w:line="288" w:before="240" w:after="283"/>
        <w:jc w:val="center"/>
        <w:rPr>
          <w:rFonts w:ascii="Lato;sans-serif" w:hAnsi="Lato;sans-serif"/>
          <w:b/>
          <w:i/>
          <w:color w:val="000000"/>
          <w:sz w:val="20"/>
        </w:rPr>
      </w:pPr>
      <w:r>
        <w:rPr>
          <w:rFonts w:ascii="Lato;sans-serif" w:hAnsi="Lato;sans-serif"/>
          <w:b/>
          <w:i/>
          <w:color w:val="000000"/>
          <w:sz w:val="20"/>
        </w:rPr>
        <w:t>Important Notice Regarding the Availability of Proxy Materials for the Stockholder Meeting to Be Held on Thursday, May 14, 2026: This Proxy Statement and our Annual Report are available free of charge at www.proxyvote.com. A list of the stockholders of record at the close of business on March 17, 2026 will also be available electronically during the Annual Meeting at www.virtualshareholdermeeting.com/GTM2026.</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2" w:space="0" w:color="000000"/>
            </w:tcBorders>
            <w:tcMar>
              <w:top w:w="0" w:type="dxa"/>
              <w:left w:w="0" w:type="dxa"/>
              <w:bottom w:w="30" w:type="dxa"/>
              <w:right w:w="0" w:type="dxa"/>
            </w:tcMar>
            <w:vAlign w:val="center"/>
          </w:tcPr>
          <w:p>
            <w:pPr>
              <w:pStyle w:val="TableContents"/>
              <w:bidi w:val="0"/>
              <w:spacing w:lineRule="auto" w:line="240" w:before="0" w:after="283"/>
              <w:jc w:val="left"/>
              <w:rPr>
                <w:color w:val="000000"/>
              </w:rPr>
            </w:pPr>
            <w:r>
              <w:rPr>
                <w:color w:val="000000"/>
              </w:rPr>
              <w:t> </w:t>
            </w:r>
          </w:p>
        </w:tc>
      </w:tr>
    </w:tbl>
    <w:p>
      <w:pPr>
        <w:pStyle w:val="TextBody"/>
        <w:bidi w:val="0"/>
        <w:spacing w:before="0" w:after="0"/>
        <w:jc w:val="left"/>
        <w:rPr/>
      </w:pPr>
      <w:r>
        <w:rPr/>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75260"/>
                <wp:effectExtent l="0" t="0" r="0" b="0"/>
                <wp:wrapNone/>
                <wp:docPr id="6"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left"/>
                              <w:rPr>
                                <w:color w:val="000000"/>
                              </w:rPr>
                            </w:pPr>
                            <w:r>
                              <w:rPr>
                                <w:color w:val="000000"/>
                              </w:rPr>
                              <w:t>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color w:val="000000"/>
                        </w:rPr>
                      </w:pPr>
                      <w:r>
                        <w:rPr>
                          <w:color w:val="000000"/>
                        </w:rPr>
                        <w:t>        </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300" w:after="180"/>
        <w:jc w:val="center"/>
        <w:rPr>
          <w:rFonts w:ascii="Lato;sans-serif" w:hAnsi="Lato;sans-serif"/>
          <w:b/>
          <w:color w:val="000000"/>
          <w:sz w:val="20"/>
        </w:rPr>
      </w:pPr>
      <w:r>
        <w:rPr>
          <w:rFonts w:ascii="Lato;sans-serif" w:hAnsi="Lato;sans-serif"/>
          <w:b/>
          <w:color w:val="000000"/>
          <w:sz w:val="20"/>
        </w:rPr>
        <w:t>PROXY VOTING METHODS</w:t>
      </w:r>
    </w:p>
    <w:p>
      <w:pPr>
        <w:pStyle w:val="TextBody"/>
        <w:bidi w:val="0"/>
        <w:spacing w:lineRule="auto" w:line="288" w:before="180" w:after="180"/>
        <w:jc w:val="both"/>
        <w:rPr>
          <w:rFonts w:ascii="Lato;sans-serif" w:hAnsi="Lato;sans-serif"/>
          <w:b w:val="false"/>
          <w:color w:val="000000"/>
          <w:sz w:val="20"/>
        </w:rPr>
      </w:pPr>
      <w:r>
        <w:rPr>
          <w:rFonts w:ascii="Lato;sans-serif" w:hAnsi="Lato;sans-serif"/>
          <w:b w:val="false"/>
          <w:color w:val="000000"/>
          <w:sz w:val="20"/>
        </w:rPr>
        <w:t>If you were a stockholder of record at the close of business on March 17, 2026, you may vote your shares (i) over the Internet, by telephone or by mail in advance of the Annual Meeting or (ii) over the Internet at the Annual Meeting. You may also revoke your proxy at the times and in the manners described in the General Information section of this Proxy Statement. For shares held through a broker, bank or other nominee, you may submit voting instructions to your broker, bank or other nominee. Please refer to information from your broker, bank or other nominee on how to submit voting instructions.</w:t>
      </w:r>
    </w:p>
    <w:p>
      <w:pPr>
        <w:pStyle w:val="TextBody"/>
        <w:bidi w:val="0"/>
        <w:spacing w:lineRule="auto" w:line="288" w:before="180" w:after="180"/>
        <w:jc w:val="both"/>
        <w:rPr>
          <w:rFonts w:ascii="Lato;sans-serif" w:hAnsi="Lato;sans-serif"/>
          <w:b/>
          <w:color w:val="000000"/>
          <w:sz w:val="20"/>
        </w:rPr>
      </w:pPr>
      <w:r>
        <w:rPr>
          <w:rFonts w:ascii="Lato;sans-serif" w:hAnsi="Lato;sans-serif"/>
          <w:b/>
          <w:color w:val="000000"/>
          <w:sz w:val="20"/>
        </w:rPr>
        <w:t>If you are a stockholder of record, your Internet, telephone or mail vote must be received by 11:59 p.m., Eastern Time, on May 13, 2026 to be counted. If you hold shares through a broker, bank or other nominee, please refer to information from your broker, bank or nominee for voting instructions.</w:t>
      </w:r>
    </w:p>
    <w:p>
      <w:pPr>
        <w:pStyle w:val="TextBody"/>
        <w:bidi w:val="0"/>
        <w:spacing w:lineRule="auto" w:line="288" w:before="180" w:after="180"/>
        <w:jc w:val="both"/>
        <w:rPr>
          <w:rFonts w:ascii="Lato;sans-serif" w:hAnsi="Lato;sans-serif"/>
          <w:b w:val="false"/>
          <w:color w:val="000000"/>
          <w:sz w:val="20"/>
        </w:rPr>
      </w:pPr>
      <w:r>
        <w:rPr>
          <w:rFonts w:ascii="Lato;sans-serif" w:hAnsi="Lato;sans-serif"/>
          <w:b w:val="false"/>
          <w:color w:val="000000"/>
          <w:sz w:val="20"/>
        </w:rPr>
        <w:t>To vote by proxy if you are a stockholder of record:</w:t>
      </w:r>
    </w:p>
    <w:p>
      <w:pPr>
        <w:pStyle w:val="TextBody"/>
        <w:bidi w:val="0"/>
        <w:spacing w:lineRule="auto" w:line="288" w:before="300" w:after="180"/>
        <w:jc w:val="left"/>
        <w:rPr>
          <w:rFonts w:ascii="Lato;sans-serif" w:hAnsi="Lato;sans-serif"/>
          <w:b/>
          <w:color w:val="000000"/>
          <w:sz w:val="20"/>
        </w:rPr>
      </w:pPr>
      <w:r>
        <w:rPr>
          <w:rFonts w:ascii="Lato;sans-serif" w:hAnsi="Lato;sans-serif"/>
          <w:b/>
          <w:color w:val="000000"/>
          <w:sz w:val="20"/>
        </w:rPr>
        <w:t>BY INTERNET</w:t>
      </w:r>
    </w:p>
    <w:p>
      <w:pPr>
        <w:pStyle w:val="TextBody"/>
        <w:bidi w:val="0"/>
        <w:spacing w:lineRule="auto" w:line="288" w:before="100" w:after="100"/>
        <w:ind w:left="0" w:right="0" w:hanging="360"/>
        <w:jc w:val="left"/>
        <w:rPr/>
      </w:pPr>
      <w:r>
        <w:rPr>
          <w:color w:val="000000"/>
        </w:rPr>
        <w:t>•</w:t>
      </w:r>
      <w:r>
        <w:rPr>
          <w:rFonts w:ascii="Lato;sans-serif" w:hAnsi="Lato;sans-serif"/>
          <w:b w:val="false"/>
          <w:color w:val="000000"/>
          <w:sz w:val="20"/>
        </w:rPr>
        <w:t>Go to the website www.proxyvote.com and follow the instructions, 24 hours a day, seven days a week.</w:t>
      </w:r>
    </w:p>
    <w:p>
      <w:pPr>
        <w:pStyle w:val="TextBody"/>
        <w:bidi w:val="0"/>
        <w:spacing w:lineRule="auto" w:line="288" w:before="100" w:after="100"/>
        <w:ind w:left="0" w:right="0" w:hanging="360"/>
        <w:jc w:val="left"/>
        <w:rPr/>
      </w:pPr>
      <w:r>
        <w:rPr>
          <w:color w:val="000000"/>
        </w:rPr>
        <w:t>•</w:t>
      </w:r>
      <w:r>
        <w:rPr>
          <w:rFonts w:ascii="Lato;sans-serif" w:hAnsi="Lato;sans-serif"/>
          <w:b w:val="false"/>
          <w:color w:val="000000"/>
          <w:sz w:val="20"/>
        </w:rPr>
        <w:t>You will need the 16-digit number included on your proxy card to obtain your records and to create an electronic voting instruction form.</w:t>
      </w:r>
    </w:p>
    <w:p>
      <w:pPr>
        <w:pStyle w:val="TextBody"/>
        <w:bidi w:val="0"/>
        <w:spacing w:lineRule="auto" w:line="288" w:before="300" w:after="180"/>
        <w:jc w:val="left"/>
        <w:rPr>
          <w:rFonts w:ascii="Lato;sans-serif" w:hAnsi="Lato;sans-serif"/>
          <w:b/>
          <w:color w:val="000000"/>
          <w:sz w:val="20"/>
        </w:rPr>
      </w:pPr>
      <w:r>
        <w:rPr>
          <w:rFonts w:ascii="Lato;sans-serif" w:hAnsi="Lato;sans-serif"/>
          <w:b/>
          <w:color w:val="000000"/>
          <w:sz w:val="20"/>
        </w:rPr>
        <w:t>BY TELEPHONE</w:t>
      </w:r>
    </w:p>
    <w:p>
      <w:pPr>
        <w:pStyle w:val="TextBody"/>
        <w:bidi w:val="0"/>
        <w:spacing w:lineRule="auto" w:line="288" w:before="100" w:after="100"/>
        <w:ind w:left="0" w:right="0" w:hanging="360"/>
        <w:jc w:val="left"/>
        <w:rPr/>
      </w:pPr>
      <w:r>
        <w:rPr>
          <w:color w:val="000000"/>
        </w:rPr>
        <w:t>•</w:t>
      </w:r>
      <w:r>
        <w:rPr>
          <w:rFonts w:ascii="Lato;sans-serif" w:hAnsi="Lato;sans-serif"/>
          <w:b w:val="false"/>
          <w:color w:val="000000"/>
          <w:sz w:val="20"/>
        </w:rPr>
        <w:t>From a touch-tone telephone, dial 1-800-690-6903 and follow the recorded instructions, 24 hours a day, seven days a week.</w:t>
      </w:r>
    </w:p>
    <w:p>
      <w:pPr>
        <w:pStyle w:val="TextBody"/>
        <w:bidi w:val="0"/>
        <w:spacing w:lineRule="auto" w:line="288" w:before="100" w:after="100"/>
        <w:ind w:left="0" w:right="0" w:hanging="360"/>
        <w:jc w:val="left"/>
        <w:rPr/>
      </w:pPr>
      <w:r>
        <w:rPr>
          <w:color w:val="000000"/>
        </w:rPr>
        <w:t>•</w:t>
      </w:r>
      <w:r>
        <w:rPr>
          <w:rFonts w:ascii="Lato;sans-serif" w:hAnsi="Lato;sans-serif"/>
          <w:b w:val="false"/>
          <w:color w:val="000000"/>
          <w:sz w:val="20"/>
        </w:rPr>
        <w:t>You will need the 16-digit number included on your proxy card in order to vote by telephone.</w:t>
      </w:r>
    </w:p>
    <w:p>
      <w:pPr>
        <w:pStyle w:val="TextBody"/>
        <w:bidi w:val="0"/>
        <w:spacing w:lineRule="auto" w:line="288" w:before="300" w:after="180"/>
        <w:jc w:val="left"/>
        <w:rPr>
          <w:rFonts w:ascii="Lato;sans-serif" w:hAnsi="Lato;sans-serif"/>
          <w:b/>
          <w:color w:val="000000"/>
          <w:sz w:val="20"/>
        </w:rPr>
      </w:pPr>
      <w:r>
        <w:rPr>
          <w:rFonts w:ascii="Lato;sans-serif" w:hAnsi="Lato;sans-serif"/>
          <w:b/>
          <w:color w:val="000000"/>
          <w:sz w:val="20"/>
        </w:rPr>
        <w:t>BY MAIL</w:t>
      </w:r>
    </w:p>
    <w:p>
      <w:pPr>
        <w:pStyle w:val="TextBody"/>
        <w:bidi w:val="0"/>
        <w:spacing w:lineRule="auto" w:line="288" w:before="100" w:after="100"/>
        <w:ind w:left="0" w:right="0" w:hanging="360"/>
        <w:jc w:val="left"/>
        <w:rPr/>
      </w:pPr>
      <w:r>
        <w:rPr>
          <w:color w:val="000000"/>
        </w:rPr>
        <w:t>•</w:t>
      </w:r>
      <w:r>
        <w:rPr>
          <w:rFonts w:ascii="Lato;sans-serif" w:hAnsi="Lato;sans-serif"/>
          <w:b w:val="false"/>
          <w:color w:val="000000"/>
          <w:sz w:val="20"/>
        </w:rPr>
        <w:t>Mark your selections on the proxy card.</w:t>
      </w:r>
    </w:p>
    <w:p>
      <w:pPr>
        <w:pStyle w:val="TextBody"/>
        <w:bidi w:val="0"/>
        <w:spacing w:lineRule="auto" w:line="288" w:before="100" w:after="100"/>
        <w:ind w:left="0" w:right="0" w:hanging="360"/>
        <w:jc w:val="left"/>
        <w:rPr/>
      </w:pPr>
      <w:r>
        <w:rPr>
          <w:color w:val="000000"/>
        </w:rPr>
        <w:t>•</w:t>
      </w:r>
      <w:r>
        <w:rPr>
          <w:rFonts w:ascii="Lato;sans-serif" w:hAnsi="Lato;sans-serif"/>
          <w:b w:val="false"/>
          <w:color w:val="000000"/>
          <w:sz w:val="20"/>
        </w:rPr>
        <w:t>Date and sign your name exactly as it appears on your proxy card.</w:t>
      </w:r>
    </w:p>
    <w:p>
      <w:pPr>
        <w:pStyle w:val="TextBody"/>
        <w:bidi w:val="0"/>
        <w:spacing w:lineRule="auto" w:line="288" w:before="100" w:after="100"/>
        <w:ind w:left="0" w:right="0" w:hanging="360"/>
        <w:jc w:val="left"/>
        <w:rPr/>
      </w:pPr>
      <w:r>
        <w:rPr>
          <w:color w:val="000000"/>
        </w:rPr>
        <w:t>•</w:t>
      </w:r>
      <w:r>
        <w:rPr>
          <w:rFonts w:ascii="Lato;sans-serif" w:hAnsi="Lato;sans-serif"/>
          <w:b w:val="false"/>
          <w:color w:val="000000"/>
          <w:sz w:val="20"/>
        </w:rPr>
        <w:t>Mail the proxy card in the enclosed postage-paid envelope provided to you.</w:t>
      </w:r>
    </w:p>
    <w:p>
      <w:pPr>
        <w:pStyle w:val="TextBody"/>
        <w:bidi w:val="0"/>
        <w:spacing w:lineRule="auto" w:line="288" w:before="480" w:after="283"/>
        <w:jc w:val="center"/>
        <w:rPr>
          <w:rFonts w:ascii="Lato;sans-serif" w:hAnsi="Lato;sans-serif"/>
          <w:b/>
          <w:color w:val="000000"/>
          <w:sz w:val="20"/>
        </w:rPr>
      </w:pPr>
      <w:r>
        <w:rPr>
          <w:rFonts w:ascii="Lato;sans-serif" w:hAnsi="Lato;sans-serif"/>
          <w:b/>
          <w:color w:val="000000"/>
          <w:sz w:val="20"/>
        </w:rPr>
        <w:t>YOUR VOTE IS IMPORTANT TO US. THANK YOU FOR VOTING.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75260"/>
                <wp:effectExtent l="0" t="0" r="0" b="0"/>
                <wp:wrapNone/>
                <wp:docPr id="7"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left"/>
                              <w:rPr>
                                <w:color w:val="000000"/>
                              </w:rPr>
                            </w:pPr>
                            <w:r>
                              <w:rPr>
                                <w:color w:val="000000"/>
                              </w:rPr>
                              <w:t>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color w:val="000000"/>
                        </w:rPr>
                      </w:pPr>
                      <w:r>
                        <w:rPr>
                          <w:color w:val="000000"/>
                        </w:rPr>
                        <w:t>        </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Lato;sans-serif" w:hAnsi="Lato;sans-serif"/>
          <w:b/>
          <w:color w:val="000000"/>
          <w:sz w:val="20"/>
        </w:rPr>
      </w:pPr>
      <w:r>
        <w:rPr>
          <w:rFonts w:ascii="Lato;sans-serif" w:hAnsi="Lato;sans-serif"/>
          <w:b/>
          <w:color w:val="000000"/>
          <w:sz w:val="20"/>
        </w:rPr>
        <w:t>Table of Contents</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3610"/>
        <w:gridCol w:w="3094"/>
        <w:gridCol w:w="3108"/>
        <w:gridCol w:w="114"/>
        <w:gridCol w:w="114"/>
        <w:gridCol w:w="165"/>
      </w:tblGrid>
      <w:tr>
        <w:trPr/>
        <w:tc>
          <w:tcPr>
            <w:tcW w:w="3610" w:type="dxa"/>
            <w:tcBorders/>
            <w:vAlign w:val="center"/>
          </w:tcPr>
          <w:p>
            <w:pPr>
              <w:pStyle w:val="TableContents"/>
              <w:bidi w:val="0"/>
              <w:spacing w:before="0" w:after="283"/>
              <w:jc w:val="left"/>
              <w:rPr>
                <w:sz w:val="4"/>
                <w:szCs w:val="4"/>
              </w:rPr>
            </w:pPr>
            <w:r>
              <w:rPr>
                <w:sz w:val="4"/>
                <w:szCs w:val="4"/>
              </w:rPr>
            </w:r>
          </w:p>
        </w:tc>
        <w:tc>
          <w:tcPr>
            <w:tcW w:w="3094" w:type="dxa"/>
            <w:tcBorders/>
            <w:vAlign w:val="center"/>
          </w:tcPr>
          <w:p>
            <w:pPr>
              <w:pStyle w:val="TableContents"/>
              <w:bidi w:val="0"/>
              <w:spacing w:before="0" w:after="283"/>
              <w:jc w:val="left"/>
              <w:rPr>
                <w:sz w:val="4"/>
                <w:szCs w:val="4"/>
              </w:rPr>
            </w:pPr>
            <w:r>
              <w:rPr>
                <w:sz w:val="4"/>
                <w:szCs w:val="4"/>
              </w:rPr>
            </w:r>
          </w:p>
        </w:tc>
        <w:tc>
          <w:tcPr>
            <w:tcW w:w="3108"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981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09e1ad647de4075ad613c1a43ff4b94_13">
              <w:r>
                <w:rPr>
                  <w:rStyle w:val="InternetLink"/>
                  <w:rFonts w:ascii="Lato;sans-serif" w:hAnsi="Lato;sans-serif"/>
                  <w:b/>
                  <w:color w:val="0000FF"/>
                  <w:sz w:val="20"/>
                  <w:u w:val="single"/>
                </w:rPr>
                <w:t>GENERAL INFORMATION</w:t>
              </w:r>
            </w:hyperlink>
          </w:p>
        </w:tc>
        <w:tc>
          <w:tcPr>
            <w:tcW w:w="393"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b09e1ad647de4075ad613c1a43ff4b94_13">
              <w:r>
                <w:rPr>
                  <w:rStyle w:val="InternetLink"/>
                  <w:rFonts w:ascii="Lato;sans-serif" w:hAnsi="Lato;sans-serif"/>
                  <w:b w:val="false"/>
                  <w:color w:val="0000FF"/>
                  <w:sz w:val="20"/>
                  <w:u w:val="single"/>
                </w:rPr>
                <w:t>1</w:t>
              </w:r>
            </w:hyperlink>
          </w:p>
        </w:tc>
      </w:tr>
      <w:tr>
        <w:trPr/>
        <w:tc>
          <w:tcPr>
            <w:tcW w:w="98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81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09e1ad647de4075ad613c1a43ff4b94_16">
              <w:r>
                <w:rPr>
                  <w:rStyle w:val="InternetLink"/>
                  <w:rFonts w:ascii="Lato;sans-serif" w:hAnsi="Lato;sans-serif"/>
                  <w:b/>
                  <w:color w:val="0000FF"/>
                  <w:sz w:val="20"/>
                  <w:u w:val="single"/>
                </w:rPr>
                <w:t>PROPOSAL NO. 1—ELECTION OF DIRECTORS</w:t>
              </w:r>
            </w:hyperlink>
          </w:p>
        </w:tc>
        <w:tc>
          <w:tcPr>
            <w:tcW w:w="393"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b09e1ad647de4075ad613c1a43ff4b94_16">
              <w:r>
                <w:rPr>
                  <w:rStyle w:val="InternetLink"/>
                  <w:rFonts w:ascii="Lato;sans-serif" w:hAnsi="Lato;sans-serif"/>
                  <w:b w:val="false"/>
                  <w:color w:val="0000FF"/>
                  <w:sz w:val="20"/>
                  <w:u w:val="single"/>
                </w:rPr>
                <w:t>7</w:t>
              </w:r>
            </w:hyperlink>
          </w:p>
        </w:tc>
      </w:tr>
      <w:tr>
        <w:trPr/>
        <w:tc>
          <w:tcPr>
            <w:tcW w:w="98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812" w:type="dxa"/>
            <w:gridSpan w:val="3"/>
            <w:tcBorders/>
            <w:tcMar>
              <w:top w:w="0" w:type="dxa"/>
              <w:left w:w="0" w:type="dxa"/>
              <w:bottom w:w="0" w:type="dxa"/>
              <w:right w:w="0" w:type="dxa"/>
            </w:tcMar>
            <w:vAlign w:val="center"/>
          </w:tcPr>
          <w:p>
            <w:pPr>
              <w:pStyle w:val="TableContents"/>
              <w:bidi w:val="0"/>
              <w:spacing w:lineRule="auto" w:line="288" w:before="0" w:after="0"/>
              <w:ind w:left="0" w:right="0" w:firstLine="400"/>
              <w:jc w:val="left"/>
              <w:rPr/>
            </w:pPr>
            <w:hyperlink w:anchor="ib09e1ad647de4075ad613c1a43ff4b94_19">
              <w:r>
                <w:rPr>
                  <w:rStyle w:val="InternetLink"/>
                  <w:rFonts w:ascii="Lato;sans-serif" w:hAnsi="Lato;sans-serif"/>
                  <w:b w:val="false"/>
                  <w:i/>
                  <w:color w:val="0000FF"/>
                  <w:sz w:val="20"/>
                  <w:u w:val="single"/>
                </w:rPr>
                <w:t>Nominees for Election to the Board of Directors in 2026</w:t>
              </w:r>
            </w:hyperlink>
          </w:p>
        </w:tc>
        <w:tc>
          <w:tcPr>
            <w:tcW w:w="393"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b09e1ad647de4075ad613c1a43ff4b94_19">
              <w:r>
                <w:rPr>
                  <w:rStyle w:val="InternetLink"/>
                  <w:rFonts w:ascii="Lato;sans-serif" w:hAnsi="Lato;sans-serif"/>
                  <w:b w:val="false"/>
                  <w:color w:val="0000FF"/>
                  <w:sz w:val="20"/>
                  <w:u w:val="single"/>
                </w:rPr>
                <w:t>7</w:t>
              </w:r>
            </w:hyperlink>
          </w:p>
        </w:tc>
      </w:tr>
      <w:tr>
        <w:trPr/>
        <w:tc>
          <w:tcPr>
            <w:tcW w:w="9812" w:type="dxa"/>
            <w:gridSpan w:val="3"/>
            <w:tcBorders/>
            <w:tcMar>
              <w:top w:w="0" w:type="dxa"/>
              <w:left w:w="0" w:type="dxa"/>
              <w:bottom w:w="0" w:type="dxa"/>
              <w:right w:w="0" w:type="dxa"/>
            </w:tcMar>
            <w:vAlign w:val="center"/>
          </w:tcPr>
          <w:p>
            <w:pPr>
              <w:pStyle w:val="TableContents"/>
              <w:bidi w:val="0"/>
              <w:spacing w:lineRule="auto" w:line="288" w:before="0" w:after="0"/>
              <w:ind w:left="0" w:right="0" w:firstLine="400"/>
              <w:jc w:val="left"/>
              <w:rPr/>
            </w:pPr>
            <w:hyperlink w:anchor="ib09e1ad647de4075ad613c1a43ff4b94_22">
              <w:r>
                <w:rPr>
                  <w:rStyle w:val="InternetLink"/>
                  <w:rFonts w:ascii="Lato;sans-serif" w:hAnsi="Lato;sans-serif"/>
                  <w:b w:val="false"/>
                  <w:i/>
                  <w:color w:val="0000FF"/>
                  <w:sz w:val="20"/>
                  <w:u w:val="single"/>
                </w:rPr>
                <w:t>Continuing Members of the Board of Directors</w:t>
              </w:r>
            </w:hyperlink>
          </w:p>
        </w:tc>
        <w:tc>
          <w:tcPr>
            <w:tcW w:w="393"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b09e1ad647de4075ad613c1a43ff4b94_22">
              <w:r>
                <w:rPr>
                  <w:rStyle w:val="InternetLink"/>
                  <w:rFonts w:ascii="Lato;sans-serif" w:hAnsi="Lato;sans-serif"/>
                  <w:b w:val="false"/>
                  <w:color w:val="0000FF"/>
                  <w:sz w:val="20"/>
                  <w:u w:val="single"/>
                </w:rPr>
                <w:t>9</w:t>
              </w:r>
            </w:hyperlink>
          </w:p>
        </w:tc>
      </w:tr>
      <w:tr>
        <w:trPr/>
        <w:tc>
          <w:tcPr>
            <w:tcW w:w="98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81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09e1ad647de4075ad613c1a43ff4b94_25">
              <w:r>
                <w:rPr>
                  <w:rStyle w:val="InternetLink"/>
                  <w:rFonts w:ascii="Lato;sans-serif" w:hAnsi="Lato;sans-serif"/>
                  <w:b/>
                  <w:color w:val="0000FF"/>
                  <w:sz w:val="20"/>
                  <w:u w:val="single"/>
                </w:rPr>
                <w:t>THE BOARD OF DIRECTORS AND CERTAIN GOVERNANCE MATTERS</w:t>
              </w:r>
            </w:hyperlink>
          </w:p>
        </w:tc>
        <w:tc>
          <w:tcPr>
            <w:tcW w:w="393"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b09e1ad647de4075ad613c1a43ff4b94_25">
              <w:r>
                <w:rPr>
                  <w:rStyle w:val="InternetLink"/>
                  <w:rFonts w:ascii="Lato;sans-serif" w:hAnsi="Lato;sans-serif"/>
                  <w:b w:val="false"/>
                  <w:color w:val="0000FF"/>
                  <w:sz w:val="20"/>
                  <w:u w:val="single"/>
                </w:rPr>
                <w:t>13</w:t>
              </w:r>
            </w:hyperlink>
          </w:p>
        </w:tc>
      </w:tr>
      <w:tr>
        <w:trPr/>
        <w:tc>
          <w:tcPr>
            <w:tcW w:w="98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812" w:type="dxa"/>
            <w:gridSpan w:val="3"/>
            <w:tcBorders/>
            <w:tcMar>
              <w:top w:w="0" w:type="dxa"/>
              <w:left w:w="0" w:type="dxa"/>
              <w:bottom w:w="0" w:type="dxa"/>
              <w:right w:w="0" w:type="dxa"/>
            </w:tcMar>
            <w:vAlign w:val="center"/>
          </w:tcPr>
          <w:p>
            <w:pPr>
              <w:pStyle w:val="TableContents"/>
              <w:bidi w:val="0"/>
              <w:spacing w:lineRule="auto" w:line="288" w:before="0" w:after="0"/>
              <w:ind w:left="0" w:right="0" w:firstLine="400"/>
              <w:jc w:val="left"/>
              <w:rPr/>
            </w:pPr>
            <w:hyperlink w:anchor="ib09e1ad647de4075ad613c1a43ff4b94_28">
              <w:r>
                <w:rPr>
                  <w:rStyle w:val="InternetLink"/>
                  <w:rFonts w:ascii="Lato;sans-serif" w:hAnsi="Lato;sans-serif"/>
                  <w:b w:val="false"/>
                  <w:i/>
                  <w:color w:val="0000FF"/>
                  <w:sz w:val="20"/>
                  <w:u w:val="single"/>
                </w:rPr>
                <w:t>Director Independence and Independence Determinations</w:t>
              </w:r>
            </w:hyperlink>
          </w:p>
        </w:tc>
        <w:tc>
          <w:tcPr>
            <w:tcW w:w="393"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b09e1ad647de4075ad613c1a43ff4b94_28">
              <w:r>
                <w:rPr>
                  <w:rStyle w:val="InternetLink"/>
                  <w:rFonts w:ascii="Lato;sans-serif" w:hAnsi="Lato;sans-serif"/>
                  <w:b w:val="false"/>
                  <w:color w:val="0000FF"/>
                  <w:sz w:val="20"/>
                  <w:u w:val="single"/>
                </w:rPr>
                <w:t>13</w:t>
              </w:r>
            </w:hyperlink>
          </w:p>
        </w:tc>
      </w:tr>
      <w:tr>
        <w:trPr/>
        <w:tc>
          <w:tcPr>
            <w:tcW w:w="9812" w:type="dxa"/>
            <w:gridSpan w:val="3"/>
            <w:tcBorders/>
            <w:tcMar>
              <w:top w:w="0" w:type="dxa"/>
              <w:left w:w="0" w:type="dxa"/>
              <w:bottom w:w="0" w:type="dxa"/>
              <w:right w:w="0" w:type="dxa"/>
            </w:tcMar>
            <w:vAlign w:val="center"/>
          </w:tcPr>
          <w:p>
            <w:pPr>
              <w:pStyle w:val="TableContents"/>
              <w:bidi w:val="0"/>
              <w:spacing w:lineRule="auto" w:line="288" w:before="0" w:after="0"/>
              <w:ind w:left="0" w:right="0" w:firstLine="400"/>
              <w:jc w:val="left"/>
              <w:rPr/>
            </w:pPr>
            <w:hyperlink w:anchor="ib09e1ad647de4075ad613c1a43ff4b94_31">
              <w:r>
                <w:rPr>
                  <w:rStyle w:val="InternetLink"/>
                  <w:rFonts w:ascii="Lato;sans-serif" w:hAnsi="Lato;sans-serif"/>
                  <w:b w:val="false"/>
                  <w:i/>
                  <w:color w:val="0000FF"/>
                  <w:sz w:val="20"/>
                  <w:u w:val="single"/>
                </w:rPr>
                <w:t>Director Nomination Process</w:t>
              </w:r>
            </w:hyperlink>
          </w:p>
        </w:tc>
        <w:tc>
          <w:tcPr>
            <w:tcW w:w="393"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b09e1ad647de4075ad613c1a43ff4b94_31">
              <w:r>
                <w:rPr>
                  <w:rStyle w:val="InternetLink"/>
                  <w:rFonts w:ascii="Lato;sans-serif" w:hAnsi="Lato;sans-serif"/>
                  <w:b w:val="false"/>
                  <w:color w:val="0000FF"/>
                  <w:sz w:val="20"/>
                  <w:u w:val="single"/>
                </w:rPr>
                <w:t>14</w:t>
              </w:r>
            </w:hyperlink>
          </w:p>
        </w:tc>
      </w:tr>
      <w:tr>
        <w:trPr/>
        <w:tc>
          <w:tcPr>
            <w:tcW w:w="9812" w:type="dxa"/>
            <w:gridSpan w:val="3"/>
            <w:tcBorders/>
            <w:tcMar>
              <w:top w:w="0" w:type="dxa"/>
              <w:left w:w="0" w:type="dxa"/>
              <w:bottom w:w="0" w:type="dxa"/>
              <w:right w:w="0" w:type="dxa"/>
            </w:tcMar>
            <w:vAlign w:val="center"/>
          </w:tcPr>
          <w:p>
            <w:pPr>
              <w:pStyle w:val="TableContents"/>
              <w:bidi w:val="0"/>
              <w:spacing w:lineRule="auto" w:line="288" w:before="0" w:after="0"/>
              <w:ind w:left="0" w:right="0" w:firstLine="400"/>
              <w:jc w:val="left"/>
              <w:rPr/>
            </w:pPr>
            <w:hyperlink w:anchor="ib09e1ad647de4075ad613c1a43ff4b94_34">
              <w:r>
                <w:rPr>
                  <w:rStyle w:val="InternetLink"/>
                  <w:rFonts w:ascii="Lato;sans-serif" w:hAnsi="Lato;sans-serif"/>
                  <w:b w:val="false"/>
                  <w:i/>
                  <w:color w:val="0000FF"/>
                  <w:sz w:val="20"/>
                  <w:u w:val="single"/>
                </w:rPr>
                <w:t>Stockholder Engagement</w:t>
              </w:r>
            </w:hyperlink>
          </w:p>
        </w:tc>
        <w:tc>
          <w:tcPr>
            <w:tcW w:w="393"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b09e1ad647de4075ad613c1a43ff4b94_34">
              <w:r>
                <w:rPr>
                  <w:rStyle w:val="InternetLink"/>
                  <w:rFonts w:ascii="Lato;sans-serif" w:hAnsi="Lato;sans-serif"/>
                  <w:b w:val="false"/>
                  <w:color w:val="0000FF"/>
                  <w:sz w:val="20"/>
                  <w:u w:val="single"/>
                </w:rPr>
                <w:t>16</w:t>
              </w:r>
            </w:hyperlink>
          </w:p>
        </w:tc>
      </w:tr>
      <w:tr>
        <w:trPr/>
        <w:tc>
          <w:tcPr>
            <w:tcW w:w="9812" w:type="dxa"/>
            <w:gridSpan w:val="3"/>
            <w:tcBorders/>
            <w:tcMar>
              <w:top w:w="0" w:type="dxa"/>
              <w:left w:w="0" w:type="dxa"/>
              <w:bottom w:w="0" w:type="dxa"/>
              <w:right w:w="0" w:type="dxa"/>
            </w:tcMar>
            <w:vAlign w:val="center"/>
          </w:tcPr>
          <w:p>
            <w:pPr>
              <w:pStyle w:val="TableContents"/>
              <w:bidi w:val="0"/>
              <w:spacing w:lineRule="auto" w:line="288" w:before="0" w:after="0"/>
              <w:ind w:left="0" w:right="0" w:firstLine="400"/>
              <w:jc w:val="left"/>
              <w:rPr/>
            </w:pPr>
            <w:hyperlink w:anchor="ib09e1ad647de4075ad613c1a43ff4b94_37">
              <w:r>
                <w:rPr>
                  <w:rStyle w:val="InternetLink"/>
                  <w:rFonts w:ascii="Lato;sans-serif" w:hAnsi="Lato;sans-serif"/>
                  <w:b w:val="false"/>
                  <w:i/>
                  <w:color w:val="000080"/>
                  <w:sz w:val="20"/>
                  <w:u w:val="single"/>
                </w:rPr>
                <w:t>Our Values and Our Commitment to Corporate R</w:t>
              </w:r>
            </w:hyperlink>
            <w:r>
              <w:rPr>
                <w:rFonts w:ascii="Lato;sans-serif" w:hAnsi="Lato;sans-serif"/>
                <w:b w:val="false"/>
                <w:i/>
                <w:color w:val="3051F2"/>
                <w:sz w:val="20"/>
                <w:u w:val="single"/>
              </w:rPr>
              <w:t>esponsibility</w:t>
            </w:r>
          </w:p>
        </w:tc>
        <w:tc>
          <w:tcPr>
            <w:tcW w:w="393"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b09e1ad647de4075ad613c1a43ff4b94_37">
              <w:r>
                <w:rPr>
                  <w:rStyle w:val="InternetLink"/>
                  <w:rFonts w:ascii="Lato;sans-serif" w:hAnsi="Lato;sans-serif"/>
                  <w:b w:val="false"/>
                  <w:color w:val="0000FF"/>
                  <w:sz w:val="20"/>
                  <w:u w:val="single"/>
                </w:rPr>
                <w:t>17</w:t>
              </w:r>
            </w:hyperlink>
          </w:p>
        </w:tc>
      </w:tr>
      <w:tr>
        <w:trPr/>
        <w:tc>
          <w:tcPr>
            <w:tcW w:w="9812" w:type="dxa"/>
            <w:gridSpan w:val="3"/>
            <w:tcBorders/>
            <w:tcMar>
              <w:top w:w="0" w:type="dxa"/>
              <w:left w:w="0" w:type="dxa"/>
              <w:bottom w:w="0" w:type="dxa"/>
              <w:right w:w="0" w:type="dxa"/>
            </w:tcMar>
            <w:vAlign w:val="center"/>
          </w:tcPr>
          <w:p>
            <w:pPr>
              <w:pStyle w:val="TableContents"/>
              <w:bidi w:val="0"/>
              <w:spacing w:lineRule="auto" w:line="288" w:before="0" w:after="0"/>
              <w:ind w:left="0" w:right="0" w:firstLine="400"/>
              <w:jc w:val="left"/>
              <w:rPr/>
            </w:pPr>
            <w:hyperlink w:anchor="ib09e1ad647de4075ad613c1a43ff4b94_40">
              <w:r>
                <w:rPr>
                  <w:rStyle w:val="InternetLink"/>
                  <w:rFonts w:ascii="Lato;sans-serif" w:hAnsi="Lato;sans-serif"/>
                  <w:b w:val="false"/>
                  <w:i/>
                  <w:color w:val="0000FF"/>
                  <w:sz w:val="20"/>
                  <w:u w:val="single"/>
                </w:rPr>
                <w:t>Board Leadership Structure</w:t>
              </w:r>
            </w:hyperlink>
          </w:p>
        </w:tc>
        <w:tc>
          <w:tcPr>
            <w:tcW w:w="393"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b09e1ad647de4075ad613c1a43ff4b94_40">
              <w:r>
                <w:rPr>
                  <w:rStyle w:val="InternetLink"/>
                  <w:rFonts w:ascii="Lato;sans-serif" w:hAnsi="Lato;sans-serif"/>
                  <w:b w:val="false"/>
                  <w:color w:val="0000FF"/>
                  <w:sz w:val="20"/>
                  <w:u w:val="single"/>
                </w:rPr>
                <w:t>18</w:t>
              </w:r>
            </w:hyperlink>
          </w:p>
        </w:tc>
      </w:tr>
      <w:tr>
        <w:trPr/>
        <w:tc>
          <w:tcPr>
            <w:tcW w:w="9812" w:type="dxa"/>
            <w:gridSpan w:val="3"/>
            <w:tcBorders/>
            <w:tcMar>
              <w:top w:w="0" w:type="dxa"/>
              <w:left w:w="0" w:type="dxa"/>
              <w:bottom w:w="0" w:type="dxa"/>
              <w:right w:w="0" w:type="dxa"/>
            </w:tcMar>
            <w:vAlign w:val="center"/>
          </w:tcPr>
          <w:p>
            <w:pPr>
              <w:pStyle w:val="TableContents"/>
              <w:bidi w:val="0"/>
              <w:spacing w:lineRule="auto" w:line="288" w:before="0" w:after="0"/>
              <w:ind w:left="0" w:right="0" w:firstLine="400"/>
              <w:jc w:val="left"/>
              <w:rPr/>
            </w:pPr>
            <w:hyperlink w:anchor="ib09e1ad647de4075ad613c1a43ff4b94_43">
              <w:r>
                <w:rPr>
                  <w:rStyle w:val="InternetLink"/>
                  <w:rFonts w:ascii="Lato;sans-serif" w:hAnsi="Lato;sans-serif"/>
                  <w:b w:val="false"/>
                  <w:i/>
                  <w:color w:val="0000FF"/>
                  <w:sz w:val="20"/>
                  <w:u w:val="single"/>
                </w:rPr>
                <w:t>Compensation Committee Interlocks and Insider Participation</w:t>
              </w:r>
            </w:hyperlink>
          </w:p>
        </w:tc>
        <w:tc>
          <w:tcPr>
            <w:tcW w:w="393"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b09e1ad647de4075ad613c1a43ff4b94_43">
              <w:r>
                <w:rPr>
                  <w:rStyle w:val="InternetLink"/>
                  <w:rFonts w:ascii="Lato;sans-serif" w:hAnsi="Lato;sans-serif"/>
                  <w:b w:val="false"/>
                  <w:color w:val="0000FF"/>
                  <w:sz w:val="20"/>
                  <w:u w:val="single"/>
                </w:rPr>
                <w:t>20</w:t>
              </w:r>
            </w:hyperlink>
          </w:p>
        </w:tc>
      </w:tr>
      <w:tr>
        <w:trPr/>
        <w:tc>
          <w:tcPr>
            <w:tcW w:w="9812" w:type="dxa"/>
            <w:gridSpan w:val="3"/>
            <w:tcBorders/>
            <w:tcMar>
              <w:top w:w="0" w:type="dxa"/>
              <w:left w:w="0" w:type="dxa"/>
              <w:bottom w:w="0" w:type="dxa"/>
              <w:right w:w="0" w:type="dxa"/>
            </w:tcMar>
            <w:vAlign w:val="center"/>
          </w:tcPr>
          <w:p>
            <w:pPr>
              <w:pStyle w:val="TableContents"/>
              <w:bidi w:val="0"/>
              <w:spacing w:lineRule="auto" w:line="288" w:before="0" w:after="0"/>
              <w:ind w:left="0" w:right="0" w:firstLine="400"/>
              <w:jc w:val="left"/>
              <w:rPr/>
            </w:pPr>
            <w:hyperlink w:anchor="ib09e1ad647de4075ad613c1a43ff4b94_46">
              <w:r>
                <w:rPr>
                  <w:rStyle w:val="InternetLink"/>
                  <w:rFonts w:ascii="Lato;sans-serif" w:hAnsi="Lato;sans-serif"/>
                  <w:b w:val="false"/>
                  <w:i/>
                  <w:color w:val="0000FF"/>
                  <w:sz w:val="20"/>
                  <w:u w:val="single"/>
                </w:rPr>
                <w:t>Executive Sessions</w:t>
              </w:r>
            </w:hyperlink>
          </w:p>
        </w:tc>
        <w:tc>
          <w:tcPr>
            <w:tcW w:w="393"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b09e1ad647de4075ad613c1a43ff4b94_46">
              <w:r>
                <w:rPr>
                  <w:rStyle w:val="InternetLink"/>
                  <w:rFonts w:ascii="Lato;sans-serif" w:hAnsi="Lato;sans-serif"/>
                  <w:b w:val="false"/>
                  <w:color w:val="0000FF"/>
                  <w:sz w:val="20"/>
                  <w:u w:val="single"/>
                </w:rPr>
                <w:t>20</w:t>
              </w:r>
            </w:hyperlink>
          </w:p>
        </w:tc>
      </w:tr>
      <w:tr>
        <w:trPr/>
        <w:tc>
          <w:tcPr>
            <w:tcW w:w="9812" w:type="dxa"/>
            <w:gridSpan w:val="3"/>
            <w:tcBorders/>
            <w:tcMar>
              <w:top w:w="0" w:type="dxa"/>
              <w:left w:w="0" w:type="dxa"/>
              <w:bottom w:w="0" w:type="dxa"/>
              <w:right w:w="0" w:type="dxa"/>
            </w:tcMar>
            <w:vAlign w:val="center"/>
          </w:tcPr>
          <w:p>
            <w:pPr>
              <w:pStyle w:val="TableContents"/>
              <w:bidi w:val="0"/>
              <w:spacing w:lineRule="auto" w:line="288" w:before="0" w:after="0"/>
              <w:ind w:left="0" w:right="0" w:firstLine="400"/>
              <w:jc w:val="left"/>
              <w:rPr/>
            </w:pPr>
            <w:hyperlink w:anchor="ib09e1ad647de4075ad613c1a43ff4b94_49">
              <w:r>
                <w:rPr>
                  <w:rStyle w:val="InternetLink"/>
                  <w:rFonts w:ascii="Lato;sans-serif" w:hAnsi="Lato;sans-serif"/>
                  <w:b w:val="false"/>
                  <w:i/>
                  <w:color w:val="0000FF"/>
                  <w:sz w:val="20"/>
                  <w:u w:val="single"/>
                </w:rPr>
                <w:t>Communications with the Board</w:t>
              </w:r>
            </w:hyperlink>
          </w:p>
        </w:tc>
        <w:tc>
          <w:tcPr>
            <w:tcW w:w="393"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b09e1ad647de4075ad613c1a43ff4b94_49">
              <w:r>
                <w:rPr>
                  <w:rStyle w:val="InternetLink"/>
                  <w:rFonts w:ascii="Lato;sans-serif" w:hAnsi="Lato;sans-serif"/>
                  <w:b w:val="false"/>
                  <w:color w:val="0000FF"/>
                  <w:sz w:val="20"/>
                  <w:u w:val="single"/>
                </w:rPr>
                <w:t>20</w:t>
              </w:r>
            </w:hyperlink>
          </w:p>
        </w:tc>
      </w:tr>
      <w:tr>
        <w:trPr/>
        <w:tc>
          <w:tcPr>
            <w:tcW w:w="9812" w:type="dxa"/>
            <w:gridSpan w:val="3"/>
            <w:tcBorders/>
            <w:tcMar>
              <w:top w:w="0" w:type="dxa"/>
              <w:left w:w="0" w:type="dxa"/>
              <w:bottom w:w="0" w:type="dxa"/>
              <w:right w:w="0" w:type="dxa"/>
            </w:tcMar>
            <w:vAlign w:val="center"/>
          </w:tcPr>
          <w:p>
            <w:pPr>
              <w:pStyle w:val="TableContents"/>
              <w:bidi w:val="0"/>
              <w:spacing w:lineRule="auto" w:line="288" w:before="0" w:after="0"/>
              <w:ind w:left="0" w:right="0" w:firstLine="400"/>
              <w:jc w:val="left"/>
              <w:rPr/>
            </w:pPr>
            <w:hyperlink w:anchor="ib09e1ad647de4075ad613c1a43ff4b94_52">
              <w:r>
                <w:rPr>
                  <w:rStyle w:val="InternetLink"/>
                  <w:rFonts w:ascii="Lato;sans-serif" w:hAnsi="Lato;sans-serif"/>
                  <w:b w:val="false"/>
                  <w:i/>
                  <w:color w:val="0000FF"/>
                  <w:sz w:val="20"/>
                  <w:u w:val="single"/>
                </w:rPr>
                <w:t>Board Committees and Meetings</w:t>
              </w:r>
            </w:hyperlink>
          </w:p>
        </w:tc>
        <w:tc>
          <w:tcPr>
            <w:tcW w:w="393"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b09e1ad647de4075ad613c1a43ff4b94_52">
              <w:r>
                <w:rPr>
                  <w:rStyle w:val="InternetLink"/>
                  <w:rFonts w:ascii="Lato;sans-serif" w:hAnsi="Lato;sans-serif"/>
                  <w:b w:val="false"/>
                  <w:color w:val="0000FF"/>
                  <w:sz w:val="20"/>
                  <w:u w:val="single"/>
                </w:rPr>
                <w:t>21</w:t>
              </w:r>
            </w:hyperlink>
          </w:p>
        </w:tc>
      </w:tr>
      <w:tr>
        <w:trPr/>
        <w:tc>
          <w:tcPr>
            <w:tcW w:w="9812" w:type="dxa"/>
            <w:gridSpan w:val="3"/>
            <w:tcBorders/>
            <w:tcMar>
              <w:top w:w="0" w:type="dxa"/>
              <w:left w:w="0" w:type="dxa"/>
              <w:bottom w:w="0" w:type="dxa"/>
              <w:right w:w="0" w:type="dxa"/>
            </w:tcMar>
            <w:vAlign w:val="center"/>
          </w:tcPr>
          <w:p>
            <w:pPr>
              <w:pStyle w:val="TableContents"/>
              <w:bidi w:val="0"/>
              <w:spacing w:lineRule="auto" w:line="288" w:before="0" w:after="0"/>
              <w:ind w:left="0" w:right="0" w:firstLine="400"/>
              <w:jc w:val="left"/>
              <w:rPr/>
            </w:pPr>
            <w:hyperlink w:anchor="ib09e1ad647de4075ad613c1a43ff4b94_55">
              <w:r>
                <w:rPr>
                  <w:rStyle w:val="InternetLink"/>
                  <w:rFonts w:ascii="Lato;sans-serif" w:hAnsi="Lato;sans-serif"/>
                  <w:b w:val="false"/>
                  <w:i/>
                  <w:color w:val="0000FF"/>
                  <w:sz w:val="20"/>
                  <w:u w:val="single"/>
                </w:rPr>
                <w:t>Committee Charters and Corporate Governance Guidelines</w:t>
              </w:r>
            </w:hyperlink>
          </w:p>
        </w:tc>
        <w:tc>
          <w:tcPr>
            <w:tcW w:w="393"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b09e1ad647de4075ad613c1a43ff4b94_55">
              <w:r>
                <w:rPr>
                  <w:rStyle w:val="InternetLink"/>
                  <w:rFonts w:ascii="Lato;sans-serif" w:hAnsi="Lato;sans-serif"/>
                  <w:b w:val="false"/>
                  <w:color w:val="0000FF"/>
                  <w:sz w:val="20"/>
                  <w:u w:val="single"/>
                </w:rPr>
                <w:t>24</w:t>
              </w:r>
            </w:hyperlink>
          </w:p>
        </w:tc>
      </w:tr>
      <w:tr>
        <w:trPr/>
        <w:tc>
          <w:tcPr>
            <w:tcW w:w="9812" w:type="dxa"/>
            <w:gridSpan w:val="3"/>
            <w:tcBorders/>
            <w:tcMar>
              <w:top w:w="0" w:type="dxa"/>
              <w:left w:w="0" w:type="dxa"/>
              <w:bottom w:w="0" w:type="dxa"/>
              <w:right w:w="0" w:type="dxa"/>
            </w:tcMar>
            <w:vAlign w:val="center"/>
          </w:tcPr>
          <w:p>
            <w:pPr>
              <w:pStyle w:val="TableContents"/>
              <w:bidi w:val="0"/>
              <w:spacing w:lineRule="auto" w:line="288" w:before="0" w:after="0"/>
              <w:ind w:left="0" w:right="0" w:firstLine="400"/>
              <w:jc w:val="left"/>
              <w:rPr/>
            </w:pPr>
            <w:hyperlink w:anchor="ib09e1ad647de4075ad613c1a43ff4b94_58">
              <w:r>
                <w:rPr>
                  <w:rStyle w:val="InternetLink"/>
                  <w:rFonts w:ascii="Lato;sans-serif" w:hAnsi="Lato;sans-serif"/>
                  <w:b w:val="false"/>
                  <w:i/>
                  <w:color w:val="0000FF"/>
                  <w:sz w:val="20"/>
                  <w:u w:val="single"/>
                </w:rPr>
                <w:t>Code of Business Conduct and Ethics</w:t>
              </w:r>
            </w:hyperlink>
          </w:p>
        </w:tc>
        <w:tc>
          <w:tcPr>
            <w:tcW w:w="393"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b09e1ad647de4075ad613c1a43ff4b94_58">
              <w:r>
                <w:rPr>
                  <w:rStyle w:val="InternetLink"/>
                  <w:rFonts w:ascii="Lato;sans-serif" w:hAnsi="Lato;sans-serif"/>
                  <w:b w:val="false"/>
                  <w:color w:val="0000FF"/>
                  <w:sz w:val="20"/>
                  <w:u w:val="single"/>
                </w:rPr>
                <w:t>25</w:t>
              </w:r>
            </w:hyperlink>
          </w:p>
        </w:tc>
      </w:tr>
      <w:tr>
        <w:trPr/>
        <w:tc>
          <w:tcPr>
            <w:tcW w:w="9812" w:type="dxa"/>
            <w:gridSpan w:val="3"/>
            <w:tcBorders/>
            <w:tcMar>
              <w:top w:w="0" w:type="dxa"/>
              <w:left w:w="0" w:type="dxa"/>
              <w:bottom w:w="0" w:type="dxa"/>
              <w:right w:w="0" w:type="dxa"/>
            </w:tcMar>
            <w:vAlign w:val="center"/>
          </w:tcPr>
          <w:p>
            <w:pPr>
              <w:pStyle w:val="TableContents"/>
              <w:bidi w:val="0"/>
              <w:spacing w:lineRule="auto" w:line="288" w:before="0" w:after="0"/>
              <w:ind w:left="0" w:right="0" w:firstLine="400"/>
              <w:jc w:val="left"/>
              <w:rPr/>
            </w:pPr>
            <w:hyperlink w:anchor="ib09e1ad647de4075ad613c1a43ff4b94_61">
              <w:r>
                <w:rPr>
                  <w:rStyle w:val="InternetLink"/>
                  <w:rFonts w:ascii="Lato;sans-serif" w:hAnsi="Lato;sans-serif"/>
                  <w:b w:val="false"/>
                  <w:i/>
                  <w:color w:val="0000FF"/>
                  <w:sz w:val="20"/>
                  <w:u w:val="single"/>
                </w:rPr>
                <w:t>Oversight of Risk Management</w:t>
              </w:r>
            </w:hyperlink>
          </w:p>
        </w:tc>
        <w:tc>
          <w:tcPr>
            <w:tcW w:w="393"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b09e1ad647de4075ad613c1a43ff4b94_61">
              <w:r>
                <w:rPr>
                  <w:rStyle w:val="InternetLink"/>
                  <w:rFonts w:ascii="Lato;sans-serif" w:hAnsi="Lato;sans-serif"/>
                  <w:b w:val="false"/>
                  <w:color w:val="0000FF"/>
                  <w:sz w:val="20"/>
                  <w:u w:val="single"/>
                </w:rPr>
                <w:t>25</w:t>
              </w:r>
            </w:hyperlink>
          </w:p>
        </w:tc>
      </w:tr>
      <w:tr>
        <w:trPr/>
        <w:tc>
          <w:tcPr>
            <w:tcW w:w="9812" w:type="dxa"/>
            <w:gridSpan w:val="3"/>
            <w:tcBorders/>
            <w:tcMar>
              <w:top w:w="0" w:type="dxa"/>
              <w:left w:w="0" w:type="dxa"/>
              <w:bottom w:w="0" w:type="dxa"/>
              <w:right w:w="0" w:type="dxa"/>
            </w:tcMar>
            <w:vAlign w:val="center"/>
          </w:tcPr>
          <w:p>
            <w:pPr>
              <w:pStyle w:val="TableContents"/>
              <w:bidi w:val="0"/>
              <w:spacing w:lineRule="auto" w:line="288" w:before="0" w:after="0"/>
              <w:ind w:left="0" w:right="0" w:firstLine="400"/>
              <w:jc w:val="left"/>
              <w:rPr/>
            </w:pPr>
            <w:hyperlink w:anchor="ib09e1ad647de4075ad613c1a43ff4b94_64">
              <w:r>
                <w:rPr>
                  <w:rStyle w:val="InternetLink"/>
                  <w:rFonts w:ascii="Lato;sans-serif" w:hAnsi="Lato;sans-serif"/>
                  <w:b w:val="false"/>
                  <w:i/>
                  <w:color w:val="0000FF"/>
                  <w:sz w:val="20"/>
                  <w:u w:val="single"/>
                </w:rPr>
                <w:t>Insider Trading Policies and Procedures and Anti-Hedging Policy</w:t>
              </w:r>
            </w:hyperlink>
          </w:p>
        </w:tc>
        <w:tc>
          <w:tcPr>
            <w:tcW w:w="393"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b09e1ad647de4075ad613c1a43ff4b94_64">
              <w:r>
                <w:rPr>
                  <w:rStyle w:val="InternetLink"/>
                  <w:rFonts w:ascii="Lato;sans-serif" w:hAnsi="Lato;sans-serif"/>
                  <w:b w:val="false"/>
                  <w:color w:val="0000FF"/>
                  <w:sz w:val="20"/>
                  <w:u w:val="single"/>
                </w:rPr>
                <w:t>26</w:t>
              </w:r>
            </w:hyperlink>
          </w:p>
        </w:tc>
      </w:tr>
      <w:tr>
        <w:trPr/>
        <w:tc>
          <w:tcPr>
            <w:tcW w:w="9812" w:type="dxa"/>
            <w:gridSpan w:val="3"/>
            <w:tcBorders/>
            <w:tcMar>
              <w:top w:w="0" w:type="dxa"/>
              <w:left w:w="0" w:type="dxa"/>
              <w:bottom w:w="0" w:type="dxa"/>
              <w:right w:w="0" w:type="dxa"/>
            </w:tcMar>
            <w:vAlign w:val="center"/>
          </w:tcPr>
          <w:p>
            <w:pPr>
              <w:pStyle w:val="TableContents"/>
              <w:bidi w:val="0"/>
              <w:spacing w:lineRule="auto" w:line="288" w:before="0" w:after="0"/>
              <w:ind w:left="0" w:right="0" w:firstLine="400"/>
              <w:jc w:val="left"/>
              <w:rPr/>
            </w:pPr>
            <w:hyperlink w:anchor="ib09e1ad647de4075ad613c1a43ff4b94_67">
              <w:r>
                <w:rPr>
                  <w:rStyle w:val="InternetLink"/>
                  <w:rFonts w:ascii="Lato;sans-serif" w:hAnsi="Lato;sans-serif"/>
                  <w:b w:val="false"/>
                  <w:i/>
                  <w:color w:val="0000FF"/>
                  <w:sz w:val="20"/>
                  <w:u w:val="single"/>
                </w:rPr>
                <w:t>Director Compensation in 2025</w:t>
              </w:r>
            </w:hyperlink>
          </w:p>
        </w:tc>
        <w:tc>
          <w:tcPr>
            <w:tcW w:w="393"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b09e1ad647de4075ad613c1a43ff4b94_67">
              <w:r>
                <w:rPr>
                  <w:rStyle w:val="InternetLink"/>
                  <w:rFonts w:ascii="Lato;sans-serif" w:hAnsi="Lato;sans-serif"/>
                  <w:b w:val="false"/>
                  <w:color w:val="0000FF"/>
                  <w:sz w:val="20"/>
                  <w:u w:val="single"/>
                </w:rPr>
                <w:t>27</w:t>
              </w:r>
            </w:hyperlink>
          </w:p>
        </w:tc>
      </w:tr>
      <w:tr>
        <w:trPr/>
        <w:tc>
          <w:tcPr>
            <w:tcW w:w="98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81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09e1ad647de4075ad613c1a43ff4b94_70">
              <w:r>
                <w:rPr>
                  <w:rStyle w:val="InternetLink"/>
                  <w:rFonts w:ascii="Lato;sans-serif" w:hAnsi="Lato;sans-serif"/>
                  <w:b/>
                  <w:color w:val="0000FF"/>
                  <w:sz w:val="20"/>
                  <w:u w:val="single"/>
                </w:rPr>
                <w:t>PROPOSAL NO. 2—RATIFICATION OF INDEPENDENT REGISTERED PUBLIC ACCOUNTING FIRM</w:t>
              </w:r>
            </w:hyperlink>
          </w:p>
        </w:tc>
        <w:tc>
          <w:tcPr>
            <w:tcW w:w="393"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b09e1ad647de4075ad613c1a43ff4b94_70">
              <w:r>
                <w:rPr>
                  <w:rStyle w:val="InternetLink"/>
                  <w:rFonts w:ascii="Lato;sans-serif" w:hAnsi="Lato;sans-serif"/>
                  <w:b w:val="false"/>
                  <w:color w:val="0000FF"/>
                  <w:sz w:val="20"/>
                  <w:u w:val="single"/>
                </w:rPr>
                <w:t>29</w:t>
              </w:r>
            </w:hyperlink>
          </w:p>
        </w:tc>
      </w:tr>
      <w:tr>
        <w:trPr/>
        <w:tc>
          <w:tcPr>
            <w:tcW w:w="98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812" w:type="dxa"/>
            <w:gridSpan w:val="3"/>
            <w:tcBorders/>
            <w:tcMar>
              <w:top w:w="0" w:type="dxa"/>
              <w:left w:w="0" w:type="dxa"/>
              <w:bottom w:w="0" w:type="dxa"/>
              <w:right w:w="0" w:type="dxa"/>
            </w:tcMar>
            <w:vAlign w:val="center"/>
          </w:tcPr>
          <w:p>
            <w:pPr>
              <w:pStyle w:val="TableContents"/>
              <w:bidi w:val="0"/>
              <w:spacing w:lineRule="auto" w:line="288" w:before="0" w:after="0"/>
              <w:ind w:left="0" w:right="0" w:firstLine="400"/>
              <w:jc w:val="left"/>
              <w:rPr/>
            </w:pPr>
            <w:hyperlink w:anchor="ib09e1ad647de4075ad613c1a43ff4b94_73">
              <w:r>
                <w:rPr>
                  <w:rStyle w:val="InternetLink"/>
                  <w:rFonts w:ascii="Lato;sans-serif" w:hAnsi="Lato;sans-serif"/>
                  <w:b w:val="false"/>
                  <w:i/>
                  <w:color w:val="0000FF"/>
                  <w:sz w:val="20"/>
                  <w:u w:val="single"/>
                </w:rPr>
                <w:t>Audit and Non-Audit Fees</w:t>
              </w:r>
            </w:hyperlink>
          </w:p>
        </w:tc>
        <w:tc>
          <w:tcPr>
            <w:tcW w:w="393"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b09e1ad647de4075ad613c1a43ff4b94_73">
              <w:r>
                <w:rPr>
                  <w:rStyle w:val="InternetLink"/>
                  <w:rFonts w:ascii="Lato;sans-serif" w:hAnsi="Lato;sans-serif"/>
                  <w:b w:val="false"/>
                  <w:color w:val="0000FF"/>
                  <w:sz w:val="20"/>
                  <w:u w:val="single"/>
                </w:rPr>
                <w:t>29</w:t>
              </w:r>
            </w:hyperlink>
          </w:p>
        </w:tc>
      </w:tr>
      <w:tr>
        <w:trPr/>
        <w:tc>
          <w:tcPr>
            <w:tcW w:w="9812" w:type="dxa"/>
            <w:gridSpan w:val="3"/>
            <w:tcBorders/>
            <w:tcMar>
              <w:top w:w="0" w:type="dxa"/>
              <w:left w:w="0" w:type="dxa"/>
              <w:bottom w:w="0" w:type="dxa"/>
              <w:right w:w="0" w:type="dxa"/>
            </w:tcMar>
            <w:vAlign w:val="center"/>
          </w:tcPr>
          <w:p>
            <w:pPr>
              <w:pStyle w:val="TableContents"/>
              <w:bidi w:val="0"/>
              <w:spacing w:lineRule="auto" w:line="288" w:before="0" w:after="0"/>
              <w:ind w:left="0" w:right="0" w:firstLine="400"/>
              <w:jc w:val="left"/>
              <w:rPr/>
            </w:pPr>
            <w:hyperlink w:anchor="ib09e1ad647de4075ad613c1a43ff4b94_76">
              <w:r>
                <w:rPr>
                  <w:rStyle w:val="InternetLink"/>
                  <w:rFonts w:ascii="Lato;sans-serif" w:hAnsi="Lato;sans-serif"/>
                  <w:b w:val="false"/>
                  <w:i/>
                  <w:color w:val="0000FF"/>
                  <w:sz w:val="20"/>
                  <w:u w:val="single"/>
                </w:rPr>
                <w:t>Pre-Approval Policy for Services of Independent Registered Public Accounting Firm</w:t>
              </w:r>
            </w:hyperlink>
          </w:p>
        </w:tc>
        <w:tc>
          <w:tcPr>
            <w:tcW w:w="393"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b09e1ad647de4075ad613c1a43ff4b94_76">
              <w:r>
                <w:rPr>
                  <w:rStyle w:val="InternetLink"/>
                  <w:rFonts w:ascii="Lato;sans-serif" w:hAnsi="Lato;sans-serif"/>
                  <w:b w:val="false"/>
                  <w:color w:val="0000FF"/>
                  <w:sz w:val="20"/>
                  <w:u w:val="single"/>
                </w:rPr>
                <w:t>30</w:t>
              </w:r>
            </w:hyperlink>
          </w:p>
        </w:tc>
      </w:tr>
      <w:tr>
        <w:trPr/>
        <w:tc>
          <w:tcPr>
            <w:tcW w:w="98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81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09e1ad647de4075ad613c1a43ff4b94_79">
              <w:r>
                <w:rPr>
                  <w:rStyle w:val="InternetLink"/>
                  <w:rFonts w:ascii="Lato;sans-serif" w:hAnsi="Lato;sans-serif"/>
                  <w:b/>
                  <w:color w:val="0000FF"/>
                  <w:sz w:val="20"/>
                  <w:u w:val="single"/>
                </w:rPr>
                <w:t>REPORT OF THE AUDIT COMMITTEE</w:t>
              </w:r>
            </w:hyperlink>
          </w:p>
        </w:tc>
        <w:tc>
          <w:tcPr>
            <w:tcW w:w="393"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b09e1ad647de4075ad613c1a43ff4b94_79">
              <w:r>
                <w:rPr>
                  <w:rStyle w:val="InternetLink"/>
                  <w:rFonts w:ascii="Lato;sans-serif" w:hAnsi="Lato;sans-serif"/>
                  <w:b w:val="false"/>
                  <w:color w:val="0000FF"/>
                  <w:sz w:val="20"/>
                  <w:u w:val="single"/>
                </w:rPr>
                <w:t>31</w:t>
              </w:r>
            </w:hyperlink>
          </w:p>
        </w:tc>
      </w:tr>
      <w:tr>
        <w:trPr/>
        <w:tc>
          <w:tcPr>
            <w:tcW w:w="98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81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09e1ad647de4075ad613c1a43ff4b94_82">
              <w:r>
                <w:rPr>
                  <w:rStyle w:val="InternetLink"/>
                  <w:rFonts w:ascii="Lato;sans-serif" w:hAnsi="Lato;sans-serif"/>
                  <w:b/>
                  <w:color w:val="0000FF"/>
                  <w:sz w:val="20"/>
                  <w:u w:val="single"/>
                </w:rPr>
                <w:t>PROPOSAL NO. 3—ADVISORY NON-BINDING VOTE ON COMPENSATION OF NAMED EXECUTIVE OFFICERS</w:t>
              </w:r>
            </w:hyperlink>
          </w:p>
        </w:tc>
        <w:tc>
          <w:tcPr>
            <w:tcW w:w="393"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b09e1ad647de4075ad613c1a43ff4b94_82">
              <w:r>
                <w:rPr>
                  <w:rStyle w:val="InternetLink"/>
                  <w:rFonts w:ascii="Lato;sans-serif" w:hAnsi="Lato;sans-serif"/>
                  <w:b w:val="false"/>
                  <w:color w:val="0000FF"/>
                  <w:sz w:val="20"/>
                  <w:u w:val="single"/>
                </w:rPr>
                <w:t>32</w:t>
              </w:r>
            </w:hyperlink>
          </w:p>
        </w:tc>
      </w:tr>
      <w:tr>
        <w:trPr/>
        <w:tc>
          <w:tcPr>
            <w:tcW w:w="9812"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b09e1ad647de4075ad613c1a43ff4b94_85">
              <w:r>
                <w:rPr>
                  <w:rStyle w:val="InternetLink"/>
                  <w:rFonts w:ascii="Lato;sans-serif" w:hAnsi="Lato;sans-serif"/>
                  <w:b w:val="false"/>
                  <w:i/>
                  <w:color w:val="0000FF"/>
                  <w:sz w:val="20"/>
                  <w:u w:val="single"/>
                </w:rPr>
                <w:t>Advisory Non-Binding Vote on Compensation of Named Executive Officers</w:t>
              </w:r>
            </w:hyperlink>
          </w:p>
        </w:tc>
        <w:tc>
          <w:tcPr>
            <w:tcW w:w="393"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b09e1ad647de4075ad613c1a43ff4b94_85">
              <w:r>
                <w:rPr>
                  <w:rStyle w:val="InternetLink"/>
                  <w:rFonts w:ascii="Lato;sans-serif" w:hAnsi="Lato;sans-serif"/>
                  <w:b w:val="false"/>
                  <w:color w:val="0000FF"/>
                  <w:sz w:val="20"/>
                  <w:u w:val="single"/>
                </w:rPr>
                <w:t>32</w:t>
              </w:r>
            </w:hyperlink>
          </w:p>
        </w:tc>
      </w:tr>
      <w:tr>
        <w:trPr/>
        <w:tc>
          <w:tcPr>
            <w:tcW w:w="98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81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09e1ad647de4075ad613c1a43ff4b94_91">
              <w:r>
                <w:rPr>
                  <w:rStyle w:val="InternetLink"/>
                  <w:rFonts w:ascii="Lato;sans-serif" w:hAnsi="Lato;sans-serif"/>
                  <w:b/>
                  <w:color w:val="0000FF"/>
                  <w:sz w:val="20"/>
                  <w:u w:val="single"/>
                </w:rPr>
                <w:t>EXECUTIVE OFFICERS OF THE COMPANY</w:t>
              </w:r>
            </w:hyperlink>
          </w:p>
        </w:tc>
        <w:tc>
          <w:tcPr>
            <w:tcW w:w="393"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b09e1ad647de4075ad613c1a43ff4b94_91">
              <w:r>
                <w:rPr>
                  <w:rStyle w:val="InternetLink"/>
                  <w:rFonts w:ascii="Lato;sans-serif" w:hAnsi="Lato;sans-serif"/>
                  <w:b w:val="false"/>
                  <w:color w:val="0000FF"/>
                  <w:sz w:val="20"/>
                  <w:u w:val="single"/>
                </w:rPr>
                <w:t>33</w:t>
              </w:r>
            </w:hyperlink>
          </w:p>
        </w:tc>
      </w:tr>
      <w:tr>
        <w:trPr/>
        <w:tc>
          <w:tcPr>
            <w:tcW w:w="98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81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09e1ad647de4075ad613c1a43ff4b94_94">
              <w:r>
                <w:rPr>
                  <w:rStyle w:val="InternetLink"/>
                  <w:rFonts w:ascii="Lato;sans-serif" w:hAnsi="Lato;sans-serif"/>
                  <w:b/>
                  <w:color w:val="0000FF"/>
                  <w:sz w:val="20"/>
                  <w:u w:val="single"/>
                </w:rPr>
                <w:t>EXECUTIVE COMPENSATION DISCUSSION AND ANALYSIS</w:t>
              </w:r>
            </w:hyperlink>
          </w:p>
        </w:tc>
        <w:tc>
          <w:tcPr>
            <w:tcW w:w="393"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b09e1ad647de4075ad613c1a43ff4b94_94">
              <w:r>
                <w:rPr>
                  <w:rStyle w:val="InternetLink"/>
                  <w:rFonts w:ascii="Lato;sans-serif" w:hAnsi="Lato;sans-serif"/>
                  <w:b w:val="false"/>
                  <w:color w:val="0000FF"/>
                  <w:sz w:val="20"/>
                  <w:u w:val="single"/>
                </w:rPr>
                <w:t>34</w:t>
              </w:r>
            </w:hyperlink>
          </w:p>
        </w:tc>
      </w:tr>
      <w:tr>
        <w:trPr/>
        <w:tc>
          <w:tcPr>
            <w:tcW w:w="98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812" w:type="dxa"/>
            <w:gridSpan w:val="3"/>
            <w:tcBorders/>
            <w:tcMar>
              <w:top w:w="0" w:type="dxa"/>
              <w:left w:w="0" w:type="dxa"/>
              <w:bottom w:w="0" w:type="dxa"/>
              <w:right w:w="0" w:type="dxa"/>
            </w:tcMar>
            <w:vAlign w:val="center"/>
          </w:tcPr>
          <w:p>
            <w:pPr>
              <w:pStyle w:val="TableContents"/>
              <w:bidi w:val="0"/>
              <w:spacing w:lineRule="auto" w:line="288" w:before="0" w:after="0"/>
              <w:ind w:left="0" w:right="0" w:firstLine="400"/>
              <w:jc w:val="left"/>
              <w:rPr/>
            </w:pPr>
            <w:hyperlink w:anchor="ib09e1ad647de4075ad613c1a43ff4b94_97">
              <w:r>
                <w:rPr>
                  <w:rStyle w:val="InternetLink"/>
                  <w:rFonts w:ascii="Lato;sans-serif" w:hAnsi="Lato;sans-serif"/>
                  <w:b w:val="false"/>
                  <w:i/>
                  <w:color w:val="0000FF"/>
                  <w:sz w:val="20"/>
                  <w:u w:val="single"/>
                </w:rPr>
                <w:t>Executive Summary</w:t>
              </w:r>
            </w:hyperlink>
          </w:p>
        </w:tc>
        <w:tc>
          <w:tcPr>
            <w:tcW w:w="393"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b09e1ad647de4075ad613c1a43ff4b94_97">
              <w:r>
                <w:rPr>
                  <w:rStyle w:val="InternetLink"/>
                  <w:rFonts w:ascii="Lato;sans-serif" w:hAnsi="Lato;sans-serif"/>
                  <w:b w:val="false"/>
                  <w:color w:val="0000FF"/>
                  <w:sz w:val="20"/>
                  <w:u w:val="single"/>
                </w:rPr>
                <w:t>34</w:t>
              </w:r>
            </w:hyperlink>
          </w:p>
        </w:tc>
      </w:tr>
      <w:tr>
        <w:trPr/>
        <w:tc>
          <w:tcPr>
            <w:tcW w:w="9812" w:type="dxa"/>
            <w:gridSpan w:val="3"/>
            <w:tcBorders/>
            <w:tcMar>
              <w:top w:w="0" w:type="dxa"/>
              <w:left w:w="0" w:type="dxa"/>
              <w:bottom w:w="0" w:type="dxa"/>
              <w:right w:w="0" w:type="dxa"/>
            </w:tcMar>
            <w:vAlign w:val="center"/>
          </w:tcPr>
          <w:p>
            <w:pPr>
              <w:pStyle w:val="TableContents"/>
              <w:bidi w:val="0"/>
              <w:spacing w:lineRule="auto" w:line="288" w:before="0" w:after="0"/>
              <w:ind w:left="0" w:right="0" w:firstLine="400"/>
              <w:jc w:val="left"/>
              <w:rPr/>
            </w:pPr>
            <w:hyperlink w:anchor="ib09e1ad647de4075ad613c1a43ff4b94_100">
              <w:r>
                <w:rPr>
                  <w:rStyle w:val="InternetLink"/>
                  <w:rFonts w:ascii="Lato;sans-serif" w:hAnsi="Lato;sans-serif"/>
                  <w:b w:val="false"/>
                  <w:i/>
                  <w:color w:val="0000FF"/>
                  <w:sz w:val="20"/>
                  <w:u w:val="single"/>
                </w:rPr>
                <w:t>Executive Compensation Policies and Practices</w:t>
              </w:r>
            </w:hyperlink>
          </w:p>
        </w:tc>
        <w:tc>
          <w:tcPr>
            <w:tcW w:w="393"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b09e1ad647de4075ad613c1a43ff4b94_100">
              <w:r>
                <w:rPr>
                  <w:rStyle w:val="InternetLink"/>
                  <w:rFonts w:ascii="Lato;sans-serif" w:hAnsi="Lato;sans-serif"/>
                  <w:b w:val="false"/>
                  <w:color w:val="0000FF"/>
                  <w:sz w:val="20"/>
                  <w:u w:val="single"/>
                </w:rPr>
                <w:t>39</w:t>
              </w:r>
            </w:hyperlink>
          </w:p>
        </w:tc>
      </w:tr>
      <w:tr>
        <w:trPr/>
        <w:tc>
          <w:tcPr>
            <w:tcW w:w="9812" w:type="dxa"/>
            <w:gridSpan w:val="3"/>
            <w:tcBorders/>
            <w:tcMar>
              <w:top w:w="0" w:type="dxa"/>
              <w:left w:w="0" w:type="dxa"/>
              <w:bottom w:w="0" w:type="dxa"/>
              <w:right w:w="0" w:type="dxa"/>
            </w:tcMar>
            <w:vAlign w:val="center"/>
          </w:tcPr>
          <w:p>
            <w:pPr>
              <w:pStyle w:val="TableContents"/>
              <w:bidi w:val="0"/>
              <w:spacing w:lineRule="auto" w:line="288" w:before="0" w:after="0"/>
              <w:ind w:left="0" w:right="0" w:firstLine="400"/>
              <w:jc w:val="left"/>
              <w:rPr/>
            </w:pPr>
            <w:hyperlink w:anchor="ib09e1ad647de4075ad613c1a43ff4b94_103">
              <w:r>
                <w:rPr>
                  <w:rStyle w:val="InternetLink"/>
                  <w:rFonts w:ascii="Lato;sans-serif" w:hAnsi="Lato;sans-serif"/>
                  <w:b w:val="false"/>
                  <w:i/>
                  <w:color w:val="0000FF"/>
                  <w:sz w:val="20"/>
                  <w:u w:val="single"/>
                </w:rPr>
                <w:t>Compensation Process</w:t>
              </w:r>
            </w:hyperlink>
          </w:p>
        </w:tc>
        <w:tc>
          <w:tcPr>
            <w:tcW w:w="393"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b09e1ad647de4075ad613c1a43ff4b94_103">
              <w:r>
                <w:rPr>
                  <w:rStyle w:val="InternetLink"/>
                  <w:rFonts w:ascii="Lato;sans-serif" w:hAnsi="Lato;sans-serif"/>
                  <w:b w:val="false"/>
                  <w:color w:val="0000FF"/>
                  <w:sz w:val="20"/>
                  <w:u w:val="single"/>
                </w:rPr>
                <w:t>39</w:t>
              </w:r>
            </w:hyperlink>
          </w:p>
        </w:tc>
      </w:tr>
      <w:tr>
        <w:trPr/>
        <w:tc>
          <w:tcPr>
            <w:tcW w:w="9812" w:type="dxa"/>
            <w:gridSpan w:val="3"/>
            <w:tcBorders/>
            <w:tcMar>
              <w:top w:w="0" w:type="dxa"/>
              <w:left w:w="0" w:type="dxa"/>
              <w:bottom w:w="0" w:type="dxa"/>
              <w:right w:w="0" w:type="dxa"/>
            </w:tcMar>
            <w:vAlign w:val="center"/>
          </w:tcPr>
          <w:p>
            <w:pPr>
              <w:pStyle w:val="TableContents"/>
              <w:bidi w:val="0"/>
              <w:spacing w:lineRule="auto" w:line="288" w:before="0" w:after="0"/>
              <w:ind w:left="0" w:right="0" w:firstLine="400"/>
              <w:jc w:val="left"/>
              <w:rPr/>
            </w:pPr>
            <w:hyperlink w:anchor="ib09e1ad647de4075ad613c1a43ff4b94_106">
              <w:r>
                <w:rPr>
                  <w:rStyle w:val="InternetLink"/>
                  <w:rFonts w:ascii="Lato;sans-serif" w:hAnsi="Lato;sans-serif"/>
                  <w:b w:val="false"/>
                  <w:i/>
                  <w:color w:val="000080"/>
                  <w:sz w:val="20"/>
                  <w:u w:val="single"/>
                </w:rPr>
                <w:t xml:space="preserve">Components of our </w:t>
              </w:r>
            </w:hyperlink>
            <w:hyperlink w:anchor="ib09e1ad647de4075ad613c1a43ff4b94_106">
              <w:r>
                <w:rPr>
                  <w:rStyle w:val="InternetLink"/>
                  <w:rFonts w:ascii="Lato;sans-serif" w:hAnsi="Lato;sans-serif"/>
                  <w:b w:val="false"/>
                  <w:i/>
                  <w:color w:val="000080"/>
                  <w:sz w:val="20"/>
                  <w:u w:val="single"/>
                </w:rPr>
                <w:t xml:space="preserve">Annual </w:t>
              </w:r>
            </w:hyperlink>
            <w:hyperlink w:anchor="ib09e1ad647de4075ad613c1a43ff4b94_106">
              <w:r>
                <w:rPr>
                  <w:rStyle w:val="InternetLink"/>
                  <w:rFonts w:ascii="Lato;sans-serif" w:hAnsi="Lato;sans-serif"/>
                  <w:b w:val="false"/>
                  <w:i/>
                  <w:color w:val="000080"/>
                  <w:sz w:val="20"/>
                  <w:u w:val="single"/>
                </w:rPr>
                <w:t>Compensation Program and 2025 Compensation</w:t>
              </w:r>
            </w:hyperlink>
          </w:p>
        </w:tc>
        <w:tc>
          <w:tcPr>
            <w:tcW w:w="393"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b09e1ad647de4075ad613c1a43ff4b94_106">
              <w:r>
                <w:rPr>
                  <w:rStyle w:val="InternetLink"/>
                  <w:rFonts w:ascii="Lato;sans-serif" w:hAnsi="Lato;sans-serif"/>
                  <w:b w:val="false"/>
                  <w:color w:val="0000FF"/>
                  <w:sz w:val="20"/>
                  <w:u w:val="single"/>
                </w:rPr>
                <w:t>42</w:t>
              </w:r>
            </w:hyperlink>
          </w:p>
        </w:tc>
      </w:tr>
      <w:tr>
        <w:trPr/>
        <w:tc>
          <w:tcPr>
            <w:tcW w:w="9812" w:type="dxa"/>
            <w:gridSpan w:val="3"/>
            <w:tcBorders/>
            <w:tcMar>
              <w:top w:w="0" w:type="dxa"/>
              <w:left w:w="0" w:type="dxa"/>
              <w:bottom w:w="0" w:type="dxa"/>
              <w:right w:w="0" w:type="dxa"/>
            </w:tcMar>
            <w:vAlign w:val="center"/>
          </w:tcPr>
          <w:p>
            <w:pPr>
              <w:pStyle w:val="TableContents"/>
              <w:bidi w:val="0"/>
              <w:spacing w:lineRule="auto" w:line="288" w:before="0" w:after="0"/>
              <w:ind w:left="0" w:right="0" w:firstLine="400"/>
              <w:jc w:val="left"/>
              <w:rPr/>
            </w:pPr>
            <w:hyperlink w:anchor="ib09e1ad647de4075ad613c1a43ff4b94_109">
              <w:r>
                <w:rPr>
                  <w:rStyle w:val="InternetLink"/>
                  <w:rFonts w:ascii="Lato;sans-serif" w:hAnsi="Lato;sans-serif"/>
                  <w:b w:val="false"/>
                  <w:i/>
                  <w:color w:val="0000FF"/>
                  <w:sz w:val="20"/>
                  <w:u w:val="single"/>
                </w:rPr>
                <w:t>Other Compensation Policies and Practices</w:t>
              </w:r>
            </w:hyperlink>
          </w:p>
        </w:tc>
        <w:tc>
          <w:tcPr>
            <w:tcW w:w="393"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b09e1ad647de4075ad613c1a43ff4b94_109">
              <w:r>
                <w:rPr>
                  <w:rStyle w:val="InternetLink"/>
                  <w:rFonts w:ascii="Lato;sans-serif" w:hAnsi="Lato;sans-serif"/>
                  <w:b w:val="false"/>
                  <w:color w:val="0000FF"/>
                  <w:sz w:val="20"/>
                  <w:u w:val="single"/>
                </w:rPr>
                <w:t>59</w:t>
              </w:r>
            </w:hyperlink>
          </w:p>
        </w:tc>
      </w:tr>
      <w:tr>
        <w:trPr/>
        <w:tc>
          <w:tcPr>
            <w:tcW w:w="9812" w:type="dxa"/>
            <w:gridSpan w:val="3"/>
            <w:tcBorders/>
            <w:tcMar>
              <w:top w:w="0" w:type="dxa"/>
              <w:left w:w="0" w:type="dxa"/>
              <w:bottom w:w="0" w:type="dxa"/>
              <w:right w:w="0" w:type="dxa"/>
            </w:tcMar>
            <w:vAlign w:val="center"/>
          </w:tcPr>
          <w:p>
            <w:pPr>
              <w:pStyle w:val="TableContents"/>
              <w:bidi w:val="0"/>
              <w:spacing w:lineRule="auto" w:line="288" w:before="0" w:after="0"/>
              <w:ind w:left="0" w:right="0" w:firstLine="400"/>
              <w:jc w:val="left"/>
              <w:rPr/>
            </w:pPr>
            <w:hyperlink w:anchor="ib09e1ad647de4075ad613c1a43ff4b94_112">
              <w:r>
                <w:rPr>
                  <w:rStyle w:val="InternetLink"/>
                  <w:rFonts w:ascii="Lato;sans-serif" w:hAnsi="Lato;sans-serif"/>
                  <w:b w:val="false"/>
                  <w:i/>
                  <w:color w:val="0000FF"/>
                  <w:sz w:val="20"/>
                  <w:u w:val="single"/>
                </w:rPr>
                <w:t>Tax and Accounting Considerations</w:t>
              </w:r>
            </w:hyperlink>
          </w:p>
        </w:tc>
        <w:tc>
          <w:tcPr>
            <w:tcW w:w="393"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b09e1ad647de4075ad613c1a43ff4b94_112">
              <w:r>
                <w:rPr>
                  <w:rStyle w:val="InternetLink"/>
                  <w:rFonts w:ascii="Lato;sans-serif" w:hAnsi="Lato;sans-serif"/>
                  <w:b w:val="false"/>
                  <w:color w:val="0000FF"/>
                  <w:sz w:val="20"/>
                  <w:u w:val="single"/>
                </w:rPr>
                <w:t>61</w:t>
              </w:r>
            </w:hyperlink>
          </w:p>
        </w:tc>
      </w:tr>
      <w:tr>
        <w:trPr/>
        <w:tc>
          <w:tcPr>
            <w:tcW w:w="9812" w:type="dxa"/>
            <w:gridSpan w:val="3"/>
            <w:tcBorders/>
            <w:tcMar>
              <w:top w:w="0" w:type="dxa"/>
              <w:left w:w="0" w:type="dxa"/>
              <w:bottom w:w="0" w:type="dxa"/>
              <w:right w:w="0" w:type="dxa"/>
            </w:tcMar>
            <w:vAlign w:val="center"/>
          </w:tcPr>
          <w:p>
            <w:pPr>
              <w:pStyle w:val="TableContents"/>
              <w:bidi w:val="0"/>
              <w:spacing w:lineRule="auto" w:line="288" w:before="0" w:after="0"/>
              <w:ind w:left="0" w:right="0" w:firstLine="400"/>
              <w:jc w:val="left"/>
              <w:rPr/>
            </w:pPr>
            <w:hyperlink w:anchor="ib09e1ad647de4075ad613c1a43ff4b94_115">
              <w:r>
                <w:rPr>
                  <w:rStyle w:val="InternetLink"/>
                  <w:rFonts w:ascii="Lato;sans-serif" w:hAnsi="Lato;sans-serif"/>
                  <w:b w:val="false"/>
                  <w:i/>
                  <w:color w:val="0000FF"/>
                  <w:sz w:val="20"/>
                  <w:u w:val="single"/>
                </w:rPr>
                <w:t>Compensation Risk Assessment</w:t>
              </w:r>
            </w:hyperlink>
          </w:p>
        </w:tc>
        <w:tc>
          <w:tcPr>
            <w:tcW w:w="393"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b09e1ad647de4075ad613c1a43ff4b94_115">
              <w:r>
                <w:rPr>
                  <w:rStyle w:val="InternetLink"/>
                  <w:rFonts w:ascii="Lato;sans-serif" w:hAnsi="Lato;sans-serif"/>
                  <w:b w:val="false"/>
                  <w:color w:val="0000FF"/>
                  <w:sz w:val="20"/>
                  <w:u w:val="single"/>
                </w:rPr>
                <w:t>62</w:t>
              </w:r>
            </w:hyperlink>
          </w:p>
        </w:tc>
      </w:tr>
      <w:tr>
        <w:trPr/>
        <w:tc>
          <w:tcPr>
            <w:tcW w:w="9812" w:type="dxa"/>
            <w:gridSpan w:val="3"/>
            <w:tcBorders/>
            <w:tcMar>
              <w:top w:w="0" w:type="dxa"/>
              <w:left w:w="0" w:type="dxa"/>
              <w:bottom w:w="0" w:type="dxa"/>
              <w:right w:w="0" w:type="dxa"/>
            </w:tcMar>
            <w:vAlign w:val="center"/>
          </w:tcPr>
          <w:p>
            <w:pPr>
              <w:pStyle w:val="TableContents"/>
              <w:bidi w:val="0"/>
              <w:spacing w:lineRule="auto" w:line="288" w:before="0" w:after="0"/>
              <w:ind w:left="0" w:right="0" w:firstLine="400"/>
              <w:jc w:val="left"/>
              <w:rPr/>
            </w:pPr>
            <w:hyperlink w:anchor="ib09e1ad647de4075ad613c1a43ff4b94_118">
              <w:r>
                <w:rPr>
                  <w:rStyle w:val="InternetLink"/>
                  <w:rFonts w:ascii="Lato;sans-serif" w:hAnsi="Lato;sans-serif"/>
                  <w:b w:val="false"/>
                  <w:i/>
                  <w:color w:val="0000FF"/>
                  <w:sz w:val="20"/>
                  <w:u w:val="single"/>
                </w:rPr>
                <w:t>Compensation Committee Report</w:t>
              </w:r>
            </w:hyperlink>
          </w:p>
        </w:tc>
        <w:tc>
          <w:tcPr>
            <w:tcW w:w="393"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b09e1ad647de4075ad613c1a43ff4b94_118">
              <w:r>
                <w:rPr>
                  <w:rStyle w:val="InternetLink"/>
                  <w:rFonts w:ascii="Lato;sans-serif" w:hAnsi="Lato;sans-serif"/>
                  <w:b w:val="false"/>
                  <w:color w:val="0000FF"/>
                  <w:sz w:val="20"/>
                  <w:u w:val="single"/>
                </w:rPr>
                <w:t>62</w:t>
              </w:r>
            </w:hyperlink>
          </w:p>
        </w:tc>
      </w:tr>
      <w:tr>
        <w:trPr/>
        <w:tc>
          <w:tcPr>
            <w:tcW w:w="98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81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09e1ad647de4075ad613c1a43ff4b94_121">
              <w:r>
                <w:rPr>
                  <w:rStyle w:val="InternetLink"/>
                  <w:rFonts w:ascii="Lato;sans-serif" w:hAnsi="Lato;sans-serif"/>
                  <w:b/>
                  <w:color w:val="0000FF"/>
                  <w:sz w:val="20"/>
                  <w:u w:val="single"/>
                </w:rPr>
                <w:t>EXECUTIVE COMPENSATION TABLES</w:t>
              </w:r>
            </w:hyperlink>
          </w:p>
        </w:tc>
        <w:tc>
          <w:tcPr>
            <w:tcW w:w="393"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b09e1ad647de4075ad613c1a43ff4b94_121">
              <w:r>
                <w:rPr>
                  <w:rStyle w:val="InternetLink"/>
                  <w:rFonts w:ascii="Lato;sans-serif" w:hAnsi="Lato;sans-serif"/>
                  <w:b w:val="false"/>
                  <w:color w:val="0000FF"/>
                  <w:sz w:val="20"/>
                  <w:u w:val="single"/>
                </w:rPr>
                <w:t>63</w:t>
              </w:r>
            </w:hyperlink>
          </w:p>
        </w:tc>
      </w:tr>
      <w:tr>
        <w:trPr/>
        <w:tc>
          <w:tcPr>
            <w:tcW w:w="9812" w:type="dxa"/>
            <w:gridSpan w:val="3"/>
            <w:tcBorders/>
            <w:tcMar>
              <w:top w:w="0" w:type="dxa"/>
              <w:left w:w="0" w:type="dxa"/>
              <w:bottom w:w="0" w:type="dxa"/>
              <w:right w:w="0" w:type="dxa"/>
            </w:tcMar>
            <w:vAlign w:val="center"/>
          </w:tcPr>
          <w:p>
            <w:pPr>
              <w:pStyle w:val="TableContents"/>
              <w:bidi w:val="0"/>
              <w:spacing w:lineRule="auto" w:line="288" w:before="0" w:after="0"/>
              <w:ind w:left="0" w:right="0" w:firstLine="400"/>
              <w:jc w:val="left"/>
              <w:rPr/>
            </w:pPr>
            <w:hyperlink w:anchor="ib09e1ad647de4075ad613c1a43ff4b94_124">
              <w:r>
                <w:rPr>
                  <w:rStyle w:val="InternetLink"/>
                  <w:rFonts w:ascii="Lato;sans-serif" w:hAnsi="Lato;sans-serif"/>
                  <w:b w:val="false"/>
                  <w:i/>
                  <w:color w:val="0000FF"/>
                  <w:sz w:val="20"/>
                  <w:u w:val="single"/>
                </w:rPr>
                <w:t>Summary Compensation Table</w:t>
              </w:r>
            </w:hyperlink>
          </w:p>
        </w:tc>
        <w:tc>
          <w:tcPr>
            <w:tcW w:w="393"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b09e1ad647de4075ad613c1a43ff4b94_124">
              <w:r>
                <w:rPr>
                  <w:rStyle w:val="InternetLink"/>
                  <w:rFonts w:ascii="Lato;sans-serif" w:hAnsi="Lato;sans-serif"/>
                  <w:b w:val="false"/>
                  <w:color w:val="0000FF"/>
                  <w:sz w:val="20"/>
                  <w:u w:val="single"/>
                </w:rPr>
                <w:t>63</w:t>
              </w:r>
            </w:hyperlink>
          </w:p>
        </w:tc>
      </w:tr>
      <w:tr>
        <w:trPr/>
        <w:tc>
          <w:tcPr>
            <w:tcW w:w="9812" w:type="dxa"/>
            <w:gridSpan w:val="3"/>
            <w:tcBorders/>
            <w:tcMar>
              <w:top w:w="0" w:type="dxa"/>
              <w:left w:w="0" w:type="dxa"/>
              <w:bottom w:w="0" w:type="dxa"/>
              <w:right w:w="0" w:type="dxa"/>
            </w:tcMar>
            <w:vAlign w:val="center"/>
          </w:tcPr>
          <w:p>
            <w:pPr>
              <w:pStyle w:val="TableContents"/>
              <w:bidi w:val="0"/>
              <w:spacing w:lineRule="auto" w:line="288" w:before="0" w:after="0"/>
              <w:ind w:left="0" w:right="0" w:firstLine="400"/>
              <w:jc w:val="left"/>
              <w:rPr/>
            </w:pPr>
            <w:hyperlink w:anchor="ib09e1ad647de4075ad613c1a43ff4b94_127">
              <w:r>
                <w:rPr>
                  <w:rStyle w:val="InternetLink"/>
                  <w:rFonts w:ascii="Lato;sans-serif" w:hAnsi="Lato;sans-serif"/>
                  <w:b w:val="false"/>
                  <w:i/>
                  <w:color w:val="0000FF"/>
                  <w:sz w:val="20"/>
                  <w:u w:val="single"/>
                </w:rPr>
                <w:t>Grants of Plan-Based Awards in Fiscal 2025</w:t>
              </w:r>
            </w:hyperlink>
          </w:p>
        </w:tc>
        <w:tc>
          <w:tcPr>
            <w:tcW w:w="393"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b09e1ad647de4075ad613c1a43ff4b94_127">
              <w:r>
                <w:rPr>
                  <w:rStyle w:val="InternetLink"/>
                  <w:rFonts w:ascii="Lato;sans-serif" w:hAnsi="Lato;sans-serif"/>
                  <w:b w:val="false"/>
                  <w:color w:val="0000FF"/>
                  <w:sz w:val="20"/>
                  <w:u w:val="single"/>
                </w:rPr>
                <w:t>65</w:t>
              </w:r>
            </w:hyperlink>
          </w:p>
        </w:tc>
      </w:tr>
      <w:tr>
        <w:trPr/>
        <w:tc>
          <w:tcPr>
            <w:tcW w:w="9812" w:type="dxa"/>
            <w:gridSpan w:val="3"/>
            <w:tcBorders/>
            <w:tcMar>
              <w:top w:w="0" w:type="dxa"/>
              <w:left w:w="0" w:type="dxa"/>
              <w:bottom w:w="0" w:type="dxa"/>
              <w:right w:w="0" w:type="dxa"/>
            </w:tcMar>
            <w:vAlign w:val="center"/>
          </w:tcPr>
          <w:p>
            <w:pPr>
              <w:pStyle w:val="TableContents"/>
              <w:bidi w:val="0"/>
              <w:spacing w:lineRule="auto" w:line="288" w:before="0" w:after="0"/>
              <w:ind w:left="0" w:right="0" w:firstLine="400"/>
              <w:jc w:val="left"/>
              <w:rPr/>
            </w:pPr>
            <w:hyperlink w:anchor="ib09e1ad647de4075ad613c1a43ff4b94_130">
              <w:r>
                <w:rPr>
                  <w:rStyle w:val="InternetLink"/>
                  <w:rFonts w:ascii="Lato;sans-serif" w:hAnsi="Lato;sans-serif"/>
                  <w:b w:val="false"/>
                  <w:i/>
                  <w:color w:val="0000FF"/>
                  <w:sz w:val="20"/>
                  <w:u w:val="single"/>
                </w:rPr>
                <w:t>Outstanding Equity Awards at 2025 Fiscal Year-End</w:t>
              </w:r>
            </w:hyperlink>
          </w:p>
        </w:tc>
        <w:tc>
          <w:tcPr>
            <w:tcW w:w="393"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b09e1ad647de4075ad613c1a43ff4b94_130">
              <w:r>
                <w:rPr>
                  <w:rStyle w:val="InternetLink"/>
                  <w:rFonts w:ascii="Lato;sans-serif" w:hAnsi="Lato;sans-serif"/>
                  <w:b w:val="false"/>
                  <w:color w:val="0000FF"/>
                  <w:sz w:val="20"/>
                  <w:u w:val="single"/>
                </w:rPr>
                <w:t>66</w:t>
              </w:r>
            </w:hyperlink>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351155"/>
                <wp:effectExtent l="0" t="0" r="0" b="0"/>
                <wp:wrapNone/>
                <wp:docPr id="8" name="Frame5"/>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i</w:t>
                            </w:r>
                          </w:p>
                          <w:p>
                            <w:pPr>
                              <w:pStyle w:val="TextBody"/>
                              <w:bidi w:val="0"/>
                              <w:spacing w:lineRule="auto" w:line="288" w:before="0" w:after="0"/>
                              <w:jc w:val="left"/>
                              <w:rPr>
                                <w:color w:val="000000"/>
                              </w:rPr>
                            </w:pPr>
                            <w:r>
                              <w:rPr>
                                <w:color w:val="000000"/>
                              </w:rPr>
                              <w:t>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i</w:t>
                      </w:r>
                    </w:p>
                    <w:p>
                      <w:pPr>
                        <w:pStyle w:val="TextBody"/>
                        <w:bidi w:val="0"/>
                        <w:spacing w:lineRule="auto" w:line="288" w:before="0" w:after="0"/>
                        <w:jc w:val="left"/>
                        <w:rPr>
                          <w:color w:val="000000"/>
                        </w:rPr>
                      </w:pPr>
                      <w:r>
                        <w:rPr>
                          <w:color w:val="000000"/>
                        </w:rPr>
                        <w:t>        </w:t>
                      </w:r>
                    </w:p>
                  </w:txbxContent>
                </v:textbox>
                <w10:wrap type="none"/>
              </v:rect>
            </w:pict>
          </mc:Fallback>
        </mc:AlternateContent>
      </w:r>
    </w:p>
    <w:p>
      <w:pPr>
        <w:pStyle w:val="TextBody"/>
        <w:bidi w:val="0"/>
        <w:spacing w:before="0" w:after="0"/>
        <w:jc w:val="left"/>
        <w:rPr/>
      </w:pPr>
      <w:r>
        <w:rPr/>
      </w:r>
    </w:p>
    <w:tbl>
      <w:tblPr>
        <w:tblW w:w="7261" w:type="dxa"/>
        <w:jc w:val="left"/>
        <w:tblInd w:w="0" w:type="dxa"/>
        <w:tblLayout w:type="fixed"/>
        <w:tblCellMar>
          <w:top w:w="28" w:type="dxa"/>
          <w:left w:w="28" w:type="dxa"/>
          <w:bottom w:w="28" w:type="dxa"/>
          <w:right w:w="28" w:type="dxa"/>
        </w:tblCellMar>
      </w:tblPr>
      <w:tblGrid>
        <w:gridCol w:w="2491"/>
        <w:gridCol w:w="2188"/>
        <w:gridCol w:w="2191"/>
        <w:gridCol w:w="114"/>
        <w:gridCol w:w="114"/>
        <w:gridCol w:w="163"/>
      </w:tblGrid>
      <w:tr>
        <w:trPr/>
        <w:tc>
          <w:tcPr>
            <w:tcW w:w="2491" w:type="dxa"/>
            <w:tcBorders/>
            <w:vAlign w:val="center"/>
          </w:tcPr>
          <w:p>
            <w:pPr>
              <w:pStyle w:val="TableContents"/>
              <w:bidi w:val="0"/>
              <w:spacing w:before="0" w:after="283"/>
              <w:jc w:val="left"/>
              <w:rPr>
                <w:sz w:val="4"/>
                <w:szCs w:val="4"/>
              </w:rPr>
            </w:pPr>
            <w:r>
              <w:rPr>
                <w:sz w:val="4"/>
                <w:szCs w:val="4"/>
              </w:rPr>
            </w:r>
          </w:p>
        </w:tc>
        <w:tc>
          <w:tcPr>
            <w:tcW w:w="2188" w:type="dxa"/>
            <w:tcBorders/>
            <w:vAlign w:val="center"/>
          </w:tcPr>
          <w:p>
            <w:pPr>
              <w:pStyle w:val="TableContents"/>
              <w:bidi w:val="0"/>
              <w:spacing w:before="0" w:after="283"/>
              <w:jc w:val="left"/>
              <w:rPr>
                <w:sz w:val="4"/>
                <w:szCs w:val="4"/>
              </w:rPr>
            </w:pPr>
            <w:r>
              <w:rPr>
                <w:sz w:val="4"/>
                <w:szCs w:val="4"/>
              </w:rPr>
            </w:r>
          </w:p>
        </w:tc>
        <w:tc>
          <w:tcPr>
            <w:tcW w:w="2191"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6870" w:type="dxa"/>
            <w:gridSpan w:val="3"/>
            <w:tcBorders/>
            <w:tcMar>
              <w:top w:w="0" w:type="dxa"/>
              <w:left w:w="0" w:type="dxa"/>
              <w:bottom w:w="0" w:type="dxa"/>
              <w:right w:w="0" w:type="dxa"/>
            </w:tcMar>
            <w:vAlign w:val="center"/>
          </w:tcPr>
          <w:p>
            <w:pPr>
              <w:pStyle w:val="TableContents"/>
              <w:bidi w:val="0"/>
              <w:spacing w:lineRule="auto" w:line="288" w:before="0" w:after="0"/>
              <w:ind w:left="0" w:right="0" w:firstLine="400"/>
              <w:jc w:val="left"/>
              <w:rPr/>
            </w:pPr>
            <w:hyperlink w:anchor="ib09e1ad647de4075ad613c1a43ff4b94_133">
              <w:r>
                <w:rPr>
                  <w:rStyle w:val="InternetLink"/>
                  <w:rFonts w:ascii="Lato;sans-serif" w:hAnsi="Lato;sans-serif"/>
                  <w:b w:val="false"/>
                  <w:i/>
                  <w:color w:val="0000FF"/>
                  <w:sz w:val="20"/>
                  <w:u w:val="single"/>
                </w:rPr>
                <w:t>Option Exercises and Stock Vested</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b09e1ad647de4075ad613c1a43ff4b94_133">
              <w:r>
                <w:rPr>
                  <w:rStyle w:val="InternetLink"/>
                  <w:rFonts w:ascii="Lato;sans-serif" w:hAnsi="Lato;sans-serif"/>
                  <w:b w:val="false"/>
                  <w:color w:val="0000FF"/>
                  <w:sz w:val="20"/>
                  <w:u w:val="single"/>
                </w:rPr>
                <w:t>68</w:t>
              </w:r>
            </w:hyperlink>
          </w:p>
        </w:tc>
      </w:tr>
      <w:tr>
        <w:trPr/>
        <w:tc>
          <w:tcPr>
            <w:tcW w:w="6870" w:type="dxa"/>
            <w:gridSpan w:val="3"/>
            <w:tcBorders/>
            <w:tcMar>
              <w:top w:w="0" w:type="dxa"/>
              <w:left w:w="0" w:type="dxa"/>
              <w:bottom w:w="0" w:type="dxa"/>
              <w:right w:w="0" w:type="dxa"/>
            </w:tcMar>
            <w:vAlign w:val="center"/>
          </w:tcPr>
          <w:p>
            <w:pPr>
              <w:pStyle w:val="TableContents"/>
              <w:bidi w:val="0"/>
              <w:spacing w:lineRule="auto" w:line="288" w:before="0" w:after="0"/>
              <w:ind w:left="0" w:right="0" w:firstLine="400"/>
              <w:jc w:val="left"/>
              <w:rPr/>
            </w:pPr>
            <w:hyperlink w:anchor="ib09e1ad647de4075ad613c1a43ff4b94_136">
              <w:r>
                <w:rPr>
                  <w:rStyle w:val="InternetLink"/>
                  <w:rFonts w:ascii="Lato;sans-serif" w:hAnsi="Lato;sans-serif"/>
                  <w:b w:val="false"/>
                  <w:i/>
                  <w:color w:val="0000FF"/>
                  <w:sz w:val="20"/>
                  <w:u w:val="single"/>
                </w:rPr>
                <w:t>Employment Agreements and Related Arrangements</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b09e1ad647de4075ad613c1a43ff4b94_136">
              <w:r>
                <w:rPr>
                  <w:rStyle w:val="InternetLink"/>
                  <w:rFonts w:ascii="Lato;sans-serif" w:hAnsi="Lato;sans-serif"/>
                  <w:b w:val="false"/>
                  <w:color w:val="0000FF"/>
                  <w:sz w:val="20"/>
                  <w:u w:val="single"/>
                </w:rPr>
                <w:t>68</w:t>
              </w:r>
            </w:hyperlink>
          </w:p>
        </w:tc>
      </w:tr>
      <w:tr>
        <w:trPr/>
        <w:tc>
          <w:tcPr>
            <w:tcW w:w="6870" w:type="dxa"/>
            <w:gridSpan w:val="3"/>
            <w:tcBorders/>
            <w:tcMar>
              <w:top w:w="0" w:type="dxa"/>
              <w:left w:w="0" w:type="dxa"/>
              <w:bottom w:w="0" w:type="dxa"/>
              <w:right w:w="0" w:type="dxa"/>
            </w:tcMar>
            <w:vAlign w:val="center"/>
          </w:tcPr>
          <w:p>
            <w:pPr>
              <w:pStyle w:val="TableContents"/>
              <w:bidi w:val="0"/>
              <w:spacing w:lineRule="auto" w:line="288" w:before="0" w:after="0"/>
              <w:ind w:left="0" w:right="0" w:firstLine="400"/>
              <w:jc w:val="left"/>
              <w:rPr/>
            </w:pPr>
            <w:hyperlink w:anchor="ib09e1ad647de4075ad613c1a43ff4b94_139">
              <w:r>
                <w:rPr>
                  <w:rStyle w:val="InternetLink"/>
                  <w:rFonts w:ascii="Lato;sans-serif" w:hAnsi="Lato;sans-serif"/>
                  <w:b w:val="false"/>
                  <w:i/>
                  <w:color w:val="0000FF"/>
                  <w:sz w:val="20"/>
                  <w:u w:val="single"/>
                </w:rPr>
                <w:t>Potential Payments upon Termination or Change in Control</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b09e1ad647de4075ad613c1a43ff4b94_139">
              <w:r>
                <w:rPr>
                  <w:rStyle w:val="InternetLink"/>
                  <w:rFonts w:ascii="Lato;sans-serif" w:hAnsi="Lato;sans-serif"/>
                  <w:b w:val="false"/>
                  <w:color w:val="0000FF"/>
                  <w:sz w:val="20"/>
                  <w:u w:val="single"/>
                </w:rPr>
                <w:t>74</w:t>
              </w:r>
            </w:hyperlink>
          </w:p>
        </w:tc>
      </w:tr>
      <w:tr>
        <w:trPr/>
        <w:tc>
          <w:tcPr>
            <w:tcW w:w="6870" w:type="dxa"/>
            <w:gridSpan w:val="3"/>
            <w:tcBorders/>
            <w:tcMar>
              <w:top w:w="0" w:type="dxa"/>
              <w:left w:w="0" w:type="dxa"/>
              <w:bottom w:w="0" w:type="dxa"/>
              <w:right w:w="0" w:type="dxa"/>
            </w:tcMar>
            <w:vAlign w:val="center"/>
          </w:tcPr>
          <w:p>
            <w:pPr>
              <w:pStyle w:val="TableContents"/>
              <w:bidi w:val="0"/>
              <w:spacing w:lineRule="auto" w:line="288" w:before="0" w:after="0"/>
              <w:ind w:left="0" w:right="0" w:firstLine="400"/>
              <w:jc w:val="left"/>
              <w:rPr/>
            </w:pPr>
            <w:hyperlink w:anchor="ib09e1ad647de4075ad613c1a43ff4b94_142">
              <w:r>
                <w:rPr>
                  <w:rStyle w:val="InternetLink"/>
                  <w:rFonts w:ascii="Lato;sans-serif" w:hAnsi="Lato;sans-serif"/>
                  <w:b w:val="false"/>
                  <w:i/>
                  <w:color w:val="0000FF"/>
                  <w:sz w:val="20"/>
                  <w:u w:val="single"/>
                </w:rPr>
                <w:t>CEO Pay Ratio Disclosure</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b09e1ad647de4075ad613c1a43ff4b94_142">
              <w:r>
                <w:rPr>
                  <w:rStyle w:val="InternetLink"/>
                  <w:rFonts w:ascii="Lato;sans-serif" w:hAnsi="Lato;sans-serif"/>
                  <w:b w:val="false"/>
                  <w:color w:val="0000FF"/>
                  <w:sz w:val="20"/>
                  <w:u w:val="single"/>
                </w:rPr>
                <w:t>75</w:t>
              </w:r>
            </w:hyperlink>
          </w:p>
        </w:tc>
      </w:tr>
      <w:tr>
        <w:trPr/>
        <w:tc>
          <w:tcPr>
            <w:tcW w:w="6870" w:type="dxa"/>
            <w:gridSpan w:val="3"/>
            <w:tcBorders/>
            <w:tcMar>
              <w:top w:w="0" w:type="dxa"/>
              <w:left w:w="0" w:type="dxa"/>
              <w:bottom w:w="0" w:type="dxa"/>
              <w:right w:w="0" w:type="dxa"/>
            </w:tcMar>
            <w:vAlign w:val="center"/>
          </w:tcPr>
          <w:p>
            <w:pPr>
              <w:pStyle w:val="TableContents"/>
              <w:bidi w:val="0"/>
              <w:spacing w:lineRule="auto" w:line="288" w:before="0" w:after="0"/>
              <w:ind w:left="0" w:right="0" w:firstLine="400"/>
              <w:jc w:val="left"/>
              <w:rPr/>
            </w:pPr>
            <w:hyperlink w:anchor="ib09e1ad647de4075ad613c1a43ff4b94_145">
              <w:r>
                <w:rPr>
                  <w:rStyle w:val="InternetLink"/>
                  <w:rFonts w:ascii="Lato;sans-serif" w:hAnsi="Lato;sans-serif"/>
                  <w:b w:val="false"/>
                  <w:i/>
                  <w:color w:val="0000FF"/>
                  <w:sz w:val="20"/>
                  <w:u w:val="single"/>
                </w:rPr>
                <w:t>Pay Versus Performance</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b09e1ad647de4075ad613c1a43ff4b94_145">
              <w:r>
                <w:rPr>
                  <w:rStyle w:val="InternetLink"/>
                  <w:rFonts w:ascii="Lato;sans-serif" w:hAnsi="Lato;sans-serif"/>
                  <w:b w:val="false"/>
                  <w:color w:val="0000FF"/>
                  <w:sz w:val="20"/>
                  <w:u w:val="single"/>
                </w:rPr>
                <w:t>76</w:t>
              </w:r>
            </w:hyperlink>
          </w:p>
        </w:tc>
      </w:tr>
      <w:tr>
        <w:trPr/>
        <w:tc>
          <w:tcPr>
            <w:tcW w:w="68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7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09e1ad647de4075ad613c1a43ff4b94_148">
              <w:r>
                <w:rPr>
                  <w:rStyle w:val="InternetLink"/>
                  <w:rFonts w:ascii="Lato;sans-serif" w:hAnsi="Lato;sans-serif"/>
                  <w:b/>
                  <w:color w:val="0000FF"/>
                  <w:sz w:val="20"/>
                  <w:u w:val="single"/>
                </w:rPr>
                <w:t>EQUITY COMPENSATION PLAN INFORMATION</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b09e1ad647de4075ad613c1a43ff4b94_148">
              <w:r>
                <w:rPr>
                  <w:rStyle w:val="InternetLink"/>
                  <w:rFonts w:ascii="Lato;sans-serif" w:hAnsi="Lato;sans-serif"/>
                  <w:b w:val="false"/>
                  <w:color w:val="0000FF"/>
                  <w:sz w:val="20"/>
                  <w:u w:val="single"/>
                </w:rPr>
                <w:t>81</w:t>
              </w:r>
            </w:hyperlink>
          </w:p>
        </w:tc>
      </w:tr>
      <w:tr>
        <w:trPr/>
        <w:tc>
          <w:tcPr>
            <w:tcW w:w="68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7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09e1ad647de4075ad613c1a43ff4b94_151">
              <w:r>
                <w:rPr>
                  <w:rStyle w:val="InternetLink"/>
                  <w:rFonts w:ascii="Lato;sans-serif" w:hAnsi="Lato;sans-serif"/>
                  <w:b/>
                  <w:color w:val="0000FF"/>
                  <w:sz w:val="20"/>
                  <w:u w:val="single"/>
                </w:rPr>
                <w:t>OWNERSHIP OF SECURITIES</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b09e1ad647de4075ad613c1a43ff4b94_151">
              <w:r>
                <w:rPr>
                  <w:rStyle w:val="InternetLink"/>
                  <w:rFonts w:ascii="Lato;sans-serif" w:hAnsi="Lato;sans-serif"/>
                  <w:b w:val="false"/>
                  <w:color w:val="0000FF"/>
                  <w:sz w:val="20"/>
                  <w:u w:val="single"/>
                </w:rPr>
                <w:t>82</w:t>
              </w:r>
            </w:hyperlink>
          </w:p>
        </w:tc>
      </w:tr>
      <w:tr>
        <w:trPr/>
        <w:tc>
          <w:tcPr>
            <w:tcW w:w="68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7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09e1ad647de4075ad613c1a43ff4b94_154">
              <w:r>
                <w:rPr>
                  <w:rStyle w:val="InternetLink"/>
                  <w:rFonts w:ascii="Lato;sans-serif" w:hAnsi="Lato;sans-serif"/>
                  <w:b/>
                  <w:color w:val="0000FF"/>
                  <w:sz w:val="20"/>
                  <w:u w:val="single"/>
                </w:rPr>
                <w:t>DELINQUENT SECTION 16(a) REPORTS</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b09e1ad647de4075ad613c1a43ff4b94_154">
              <w:r>
                <w:rPr>
                  <w:rStyle w:val="InternetLink"/>
                  <w:rFonts w:ascii="Lato;sans-serif" w:hAnsi="Lato;sans-serif"/>
                  <w:b w:val="false"/>
                  <w:color w:val="0000FF"/>
                  <w:sz w:val="20"/>
                  <w:u w:val="single"/>
                </w:rPr>
                <w:t>84</w:t>
              </w:r>
            </w:hyperlink>
          </w:p>
        </w:tc>
      </w:tr>
      <w:tr>
        <w:trPr/>
        <w:tc>
          <w:tcPr>
            <w:tcW w:w="68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7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09e1ad647de4075ad613c1a43ff4b94_157">
              <w:r>
                <w:rPr>
                  <w:rStyle w:val="InternetLink"/>
                  <w:rFonts w:ascii="Lato;sans-serif" w:hAnsi="Lato;sans-serif"/>
                  <w:b/>
                  <w:color w:val="0000FF"/>
                  <w:sz w:val="20"/>
                  <w:u w:val="single"/>
                </w:rPr>
                <w:t>TRANSACTIONS WITH RELATED PERSONS</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b09e1ad647de4075ad613c1a43ff4b94_157">
              <w:r>
                <w:rPr>
                  <w:rStyle w:val="InternetLink"/>
                  <w:rFonts w:ascii="Lato;sans-serif" w:hAnsi="Lato;sans-serif"/>
                  <w:b w:val="false"/>
                  <w:color w:val="0000FF"/>
                  <w:sz w:val="20"/>
                  <w:u w:val="single"/>
                </w:rPr>
                <w:t>85</w:t>
              </w:r>
            </w:hyperlink>
          </w:p>
        </w:tc>
      </w:tr>
      <w:tr>
        <w:trPr/>
        <w:tc>
          <w:tcPr>
            <w:tcW w:w="68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7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09e1ad647de4075ad613c1a43ff4b94_160">
              <w:r>
                <w:rPr>
                  <w:rStyle w:val="InternetLink"/>
                  <w:rFonts w:ascii="Lato;sans-serif" w:hAnsi="Lato;sans-serif"/>
                  <w:b/>
                  <w:color w:val="0000FF"/>
                  <w:sz w:val="20"/>
                  <w:u w:val="single"/>
                </w:rPr>
                <w:t>STOCKHOLDER PROPOSALS FOR THE 2027 ANNUAL MEETING</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b09e1ad647de4075ad613c1a43ff4b94_160">
              <w:r>
                <w:rPr>
                  <w:rStyle w:val="InternetLink"/>
                  <w:rFonts w:ascii="Lato;sans-serif" w:hAnsi="Lato;sans-serif"/>
                  <w:b w:val="false"/>
                  <w:color w:val="0000FF"/>
                  <w:sz w:val="20"/>
                  <w:u w:val="single"/>
                </w:rPr>
                <w:t>89</w:t>
              </w:r>
            </w:hyperlink>
          </w:p>
        </w:tc>
      </w:tr>
      <w:tr>
        <w:trPr/>
        <w:tc>
          <w:tcPr>
            <w:tcW w:w="68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7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09e1ad647de4075ad613c1a43ff4b94_163">
              <w:r>
                <w:rPr>
                  <w:rStyle w:val="InternetLink"/>
                  <w:rFonts w:ascii="Lato;sans-serif" w:hAnsi="Lato;sans-serif"/>
                  <w:b/>
                  <w:color w:val="0000FF"/>
                  <w:sz w:val="20"/>
                  <w:u w:val="single"/>
                </w:rPr>
                <w:t>OTHER BUSINESS</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b09e1ad647de4075ad613c1a43ff4b94_163">
              <w:r>
                <w:rPr>
                  <w:rStyle w:val="InternetLink"/>
                  <w:rFonts w:ascii="Lato;sans-serif" w:hAnsi="Lato;sans-serif"/>
                  <w:b w:val="false"/>
                  <w:color w:val="0000FF"/>
                  <w:sz w:val="20"/>
                  <w:u w:val="single"/>
                </w:rPr>
                <w:t>90</w:t>
              </w:r>
            </w:hyperlink>
          </w:p>
        </w:tc>
      </w:tr>
      <w:tr>
        <w:trPr/>
        <w:tc>
          <w:tcPr>
            <w:tcW w:w="68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7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09e1ad647de4075ad613c1a43ff4b94_166">
              <w:r>
                <w:rPr>
                  <w:rStyle w:val="InternetLink"/>
                  <w:rFonts w:ascii="Lato;sans-serif" w:hAnsi="Lato;sans-serif"/>
                  <w:b/>
                  <w:color w:val="0000FF"/>
                  <w:sz w:val="20"/>
                  <w:u w:val="single"/>
                </w:rPr>
                <w:t>APPENDIX A: NON-GAAP FINANCIAL MEASURES</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b09e1ad647de4075ad613c1a43ff4b94_166">
              <w:r>
                <w:rPr>
                  <w:rStyle w:val="InternetLink"/>
                  <w:rFonts w:ascii="Lato;sans-serif" w:hAnsi="Lato;sans-serif"/>
                  <w:b w:val="false"/>
                  <w:color w:val="0000FF"/>
                  <w:sz w:val="20"/>
                  <w:u w:val="single"/>
                </w:rPr>
                <w:t>91</w:t>
              </w:r>
            </w:hyperlink>
          </w:p>
        </w:tc>
      </w:tr>
    </w:tbl>
    <w:p>
      <w:pPr>
        <w:pStyle w:val="TextBody"/>
        <w:bidi w:val="0"/>
        <w:spacing w:lineRule="auto" w:line="288" w:before="0" w:after="180"/>
        <w:jc w:val="center"/>
        <w:rPr>
          <w:rFonts w:ascii="Lato;sans-serif" w:hAnsi="Lato;sans-serif"/>
          <w:b/>
          <w:color w:val="000000"/>
          <w:sz w:val="20"/>
        </w:rPr>
      </w:pPr>
      <w:r>
        <w:rPr>
          <w:rFonts w:ascii="Lato;sans-serif" w:hAnsi="Lato;sans-serif"/>
          <w:b/>
          <w:color w:val="000000"/>
          <w:sz w:val="20"/>
        </w:rPr>
        <w:t>Forward-Looking Statements</w:t>
      </w:r>
    </w:p>
    <w:p>
      <w:pPr>
        <w:pStyle w:val="TextBody"/>
        <w:bidi w:val="0"/>
        <w:spacing w:lineRule="auto" w:line="288" w:before="0" w:after="180"/>
        <w:jc w:val="both"/>
        <w:rPr>
          <w:rFonts w:ascii="Lato;sans-serif" w:hAnsi="Lato;sans-serif"/>
          <w:b w:val="false"/>
          <w:color w:val="000000"/>
          <w:sz w:val="20"/>
        </w:rPr>
      </w:pPr>
      <w:r>
        <w:rPr>
          <w:rFonts w:ascii="Lato;sans-serif" w:hAnsi="Lato;sans-serif"/>
          <w:b w:val="false"/>
          <w:color w:val="000000"/>
          <w:sz w:val="20"/>
        </w:rPr>
        <w:t>This Proxy Statement includes “forward-looking statements” within the meaning of the Private Securities Litigation Reform Act of 1995. All statements other than statements of historical or current facts made in this document are forward-looking. In some cases, you can identify these forward-looking statements by the use of words such as “anticipate”, “believe”, “can”, “continue”, “could”, “estimate”, “expect”, “forecast”, “goal”, “intend”, “may”, “might”, “objective”, “outlook”, “plan”, “potential”, “predict”, “projection”, “seek”, “should”, “target”, “trend”, “will”, “would” or the negative version of these words or other comparable words.</w:t>
      </w:r>
    </w:p>
    <w:p>
      <w:pPr>
        <w:pStyle w:val="TextBody"/>
        <w:bidi w:val="0"/>
        <w:spacing w:lineRule="auto" w:line="288" w:before="0" w:after="180"/>
        <w:jc w:val="both"/>
        <w:rPr/>
      </w:pPr>
      <w:r>
        <w:rPr>
          <w:rFonts w:ascii="Lato;sans-serif" w:hAnsi="Lato;sans-serif"/>
          <w:b w:val="false"/>
          <w:color w:val="000000"/>
          <w:sz w:val="20"/>
        </w:rPr>
        <w:t>We have based our forward-looking statements on beliefs and assumptions based on information available to us at the time the statements are made. We caution you that assumptions, beliefs, expectations, intentions and projections about future events may, and often do, vary materially from actual results. Therefore, we cannot assure you that actual results will not differ materially from those expressed or implied by our forward-looking statements. Certain risks and uncertainties that could cause our actual results to differ significantly from management’s expectations are described in our Annual Report on Form 10-K for the fiscal year ended December 31, 2025 (our “</w:t>
      </w:r>
      <w:r>
        <w:rPr>
          <w:rFonts w:ascii="Lato;sans-serif" w:hAnsi="Lato;sans-serif"/>
          <w:b/>
          <w:i/>
          <w:color w:val="000000"/>
          <w:sz w:val="20"/>
        </w:rPr>
        <w:t>2025 10-K</w:t>
      </w:r>
      <w:r>
        <w:rPr>
          <w:color w:val="000000"/>
        </w:rPr>
        <w:t>”</w:t>
      </w:r>
      <w:r>
        <w:rPr>
          <w:rFonts w:ascii="Lato;sans-serif" w:hAnsi="Lato;sans-serif"/>
          <w:b w:val="false"/>
          <w:color w:val="000000"/>
          <w:sz w:val="20"/>
        </w:rPr>
        <w:t>). Should one or more of these risks or uncertainties materialize, or should any of our assumptions prove incorrect, our actual results may vary in material respects from those projected in these forward-looking statements. Factors or events that could cause our actual results to differ may emerge from time to time, and it is not possible for us to predict all of them. Our forward-looking statements do not reflect the potential impact of any future acquisitions, mergers, dispositions, joint ventures, investments, or other strategic transactions we may make. Each forward-looking statement speaks only as of the date of the particular statement, and we undertake no obligation to update or revise any forward-looking statements whether as a result of new information, future developments or otherwise, except as required by law. You should not place undue reliance on our forward-looking statements.</w:t>
      </w:r>
    </w:p>
    <w:p>
      <w:pPr>
        <w:pStyle w:val="TextBody"/>
        <w:bidi w:val="0"/>
        <w:spacing w:lineRule="auto" w:line="288" w:before="0" w:after="0"/>
        <w:jc w:val="both"/>
        <w:rPr>
          <w:rFonts w:ascii="Lato;sans-serif" w:hAnsi="Lato;sans-serif"/>
          <w:b w:val="false"/>
          <w:color w:val="000000"/>
          <w:sz w:val="20"/>
        </w:rPr>
      </w:pPr>
      <w:r>
        <w:rPr>
          <w:rFonts w:ascii="Lato;sans-serif" w:hAnsi="Lato;sans-serif"/>
          <w:b w:val="false"/>
          <w:color w:val="000000"/>
          <w:sz w:val="20"/>
        </w:rPr>
        <w:t>Website references throughout this document are provided for convenience only, and the content on the referenced websites is not incorporated by reference into this document.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351155"/>
                <wp:effectExtent l="0" t="0" r="0" b="0"/>
                <wp:wrapNone/>
                <wp:docPr id="9" name="Frame6"/>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ii</w:t>
                            </w:r>
                          </w:p>
                          <w:p>
                            <w:pPr>
                              <w:pStyle w:val="TextBody"/>
                              <w:bidi w:val="0"/>
                              <w:spacing w:lineRule="auto" w:line="288" w:before="0" w:after="0"/>
                              <w:jc w:val="left"/>
                              <w:rPr>
                                <w:color w:val="000000"/>
                              </w:rPr>
                            </w:pPr>
                            <w:r>
                              <w:rPr>
                                <w:color w:val="000000"/>
                              </w:rPr>
                              <w:t>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ii</w:t>
                      </w:r>
                    </w:p>
                    <w:p>
                      <w:pPr>
                        <w:pStyle w:val="TextBody"/>
                        <w:bidi w:val="0"/>
                        <w:spacing w:lineRule="auto" w:line="288" w:before="0" w:after="0"/>
                        <w:jc w:val="left"/>
                        <w:rPr>
                          <w:color w:val="000000"/>
                        </w:rPr>
                      </w:pPr>
                      <w:r>
                        <w:rPr>
                          <w:color w:val="000000"/>
                        </w:rPr>
                        <w:t>        </w:t>
                      </w:r>
                    </w:p>
                  </w:txbxContent>
                </v:textbox>
                <w10:wrap type="none"/>
              </v:rect>
            </w:pict>
          </mc:Fallback>
        </mc:AlternateContent>
      </w:r>
    </w:p>
    <w:p>
      <w:pPr>
        <w:pStyle w:val="TextBody"/>
        <w:bidi w:val="0"/>
        <w:spacing w:before="0" w:after="0"/>
        <w:jc w:val="left"/>
        <w:rPr/>
      </w:pPr>
      <w:r>
        <w:rPr/>
      </w:r>
    </w:p>
    <w:p>
      <w:pPr>
        <w:pStyle w:val="TextBody"/>
        <w:bidi w:val="0"/>
        <w:spacing w:before="240" w:after="283"/>
        <w:jc w:val="center"/>
        <w:rPr/>
      </w:pPr>
      <w:r>
        <w:rPr/>
        <w:drawing>
          <wp:inline distT="0" distB="0" distL="0" distR="0">
            <wp:extent cx="2371725" cy="638175"/>
            <wp:effectExtent l="0" t="0" r="0" b="0"/>
            <wp:docPr id="10"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4" descr=""/>
                    <pic:cNvPicPr>
                      <a:picLocks noChangeAspect="1" noChangeArrowheads="1"/>
                    </pic:cNvPicPr>
                  </pic:nvPicPr>
                  <pic:blipFill>
                    <a:blip r:embed="rId5"/>
                    <a:stretch>
                      <a:fillRect/>
                    </a:stretch>
                  </pic:blipFill>
                  <pic:spPr bwMode="auto">
                    <a:xfrm>
                      <a:off x="0" y="0"/>
                      <a:ext cx="2371725" cy="638175"/>
                    </a:xfrm>
                    <a:prstGeom prst="rect">
                      <a:avLst/>
                    </a:prstGeom>
                  </pic:spPr>
                </pic:pic>
              </a:graphicData>
            </a:graphic>
          </wp:inline>
        </w:drawing>
      </w:r>
      <w:bookmarkStart w:id="3" w:name="i-4"/>
      <w:bookmarkEnd w:id="3"/>
    </w:p>
    <w:p>
      <w:pPr>
        <w:pStyle w:val="TextBody"/>
        <w:bidi w:val="0"/>
        <w:spacing w:lineRule="auto" w:line="288" w:before="240" w:after="283"/>
        <w:jc w:val="center"/>
        <w:rPr>
          <w:rFonts w:ascii="Lato;sans-serif" w:hAnsi="Lato;sans-serif"/>
          <w:b/>
          <w:color w:val="000000"/>
          <w:sz w:val="20"/>
        </w:rPr>
      </w:pPr>
      <w:r>
        <w:rPr>
          <w:rFonts w:ascii="Lato;sans-serif" w:hAnsi="Lato;sans-serif"/>
          <w:b/>
          <w:color w:val="000000"/>
          <w:sz w:val="20"/>
        </w:rPr>
        <w:t>ZOOMINFO TECHNOLOGIES INC.</w:t>
      </w:r>
    </w:p>
    <w:p>
      <w:pPr>
        <w:pStyle w:val="TextBody"/>
        <w:bidi w:val="0"/>
        <w:spacing w:lineRule="auto" w:line="288" w:before="0" w:after="0"/>
        <w:jc w:val="center"/>
        <w:rPr>
          <w:rFonts w:ascii="Lato;sans-serif" w:hAnsi="Lato;sans-serif"/>
          <w:b/>
          <w:color w:val="000000"/>
          <w:sz w:val="20"/>
        </w:rPr>
      </w:pPr>
      <w:r>
        <w:rPr>
          <w:rFonts w:ascii="Lato;sans-serif" w:hAnsi="Lato;sans-serif"/>
          <w:b/>
          <w:color w:val="000000"/>
          <w:sz w:val="20"/>
        </w:rPr>
        <w:t>330 W Columbia Way, Floor 8</w:t>
      </w:r>
    </w:p>
    <w:p>
      <w:pPr>
        <w:pStyle w:val="TextBody"/>
        <w:bidi w:val="0"/>
        <w:spacing w:lineRule="auto" w:line="288" w:before="0" w:after="0"/>
        <w:jc w:val="center"/>
        <w:rPr>
          <w:rFonts w:ascii="Lato;sans-serif" w:hAnsi="Lato;sans-serif"/>
          <w:b/>
          <w:color w:val="000000"/>
          <w:sz w:val="20"/>
        </w:rPr>
      </w:pPr>
      <w:r>
        <w:rPr>
          <w:rFonts w:ascii="Lato;sans-serif" w:hAnsi="Lato;sans-serif"/>
          <w:b/>
          <w:color w:val="000000"/>
          <w:sz w:val="20"/>
        </w:rPr>
        <w:t>Vancouver, Washington 98660</w:t>
      </w:r>
    </w:p>
    <w:p>
      <w:pPr>
        <w:pStyle w:val="TextBody"/>
        <w:bidi w:val="0"/>
        <w:spacing w:lineRule="auto" w:line="288" w:before="0" w:after="0"/>
        <w:jc w:val="center"/>
        <w:rPr>
          <w:rFonts w:ascii="Lato;sans-serif" w:hAnsi="Lato;sans-serif"/>
          <w:b/>
          <w:color w:val="000000"/>
          <w:sz w:val="20"/>
        </w:rPr>
      </w:pPr>
      <w:r>
        <w:rPr>
          <w:rFonts w:ascii="Lato;sans-serif" w:hAnsi="Lato;sans-serif"/>
          <w:b/>
          <w:color w:val="000000"/>
          <w:sz w:val="20"/>
        </w:rPr>
        <w:t>Telephone: (800) 914-1220</w:t>
      </w:r>
    </w:p>
    <w:p>
      <w:pPr>
        <w:pStyle w:val="TextBody"/>
        <w:bidi w:val="0"/>
        <w:spacing w:lineRule="auto" w:line="288" w:before="240" w:after="283"/>
        <w:jc w:val="center"/>
        <w:rPr>
          <w:rFonts w:ascii="Lato;sans-serif" w:hAnsi="Lato;sans-serif"/>
          <w:b/>
          <w:color w:val="000000"/>
          <w:sz w:val="20"/>
        </w:rPr>
      </w:pPr>
      <w:r>
        <w:rPr>
          <w:rFonts w:ascii="Lato;sans-serif" w:hAnsi="Lato;sans-serif"/>
          <w:b/>
          <w:color w:val="000000"/>
          <w:sz w:val="20"/>
        </w:rPr>
        <w:t>PROXY STATEMENT</w:t>
      </w:r>
    </w:p>
    <w:p>
      <w:pPr>
        <w:pStyle w:val="TextBody"/>
        <w:bidi w:val="0"/>
        <w:spacing w:lineRule="auto" w:line="288" w:before="0" w:after="0"/>
        <w:jc w:val="center"/>
        <w:rPr>
          <w:rFonts w:ascii="Lato;sans-serif" w:hAnsi="Lato;sans-serif"/>
          <w:b/>
          <w:color w:val="000000"/>
          <w:sz w:val="20"/>
        </w:rPr>
      </w:pPr>
      <w:r>
        <w:rPr>
          <w:rFonts w:ascii="Lato;sans-serif" w:hAnsi="Lato;sans-serif"/>
          <w:b/>
          <w:color w:val="000000"/>
          <w:sz w:val="20"/>
        </w:rPr>
        <w:t>Annual Meeting of Stockholders</w:t>
      </w:r>
    </w:p>
    <w:p>
      <w:pPr>
        <w:pStyle w:val="TextBody"/>
        <w:bidi w:val="0"/>
        <w:spacing w:lineRule="auto" w:line="288" w:before="0" w:after="0"/>
        <w:jc w:val="center"/>
        <w:rPr>
          <w:rFonts w:ascii="Lato;sans-serif" w:hAnsi="Lato;sans-serif"/>
          <w:b/>
          <w:color w:val="000000"/>
          <w:sz w:val="20"/>
        </w:rPr>
      </w:pPr>
      <w:r>
        <w:rPr>
          <w:rFonts w:ascii="Lato;sans-serif" w:hAnsi="Lato;sans-serif"/>
          <w:b/>
          <w:color w:val="000000"/>
          <w:sz w:val="20"/>
        </w:rPr>
        <w:t>May 14, 2026</w:t>
      </w:r>
    </w:p>
    <w:p>
      <w:pPr>
        <w:pStyle w:val="TextBody"/>
        <w:bidi w:val="0"/>
        <w:spacing w:lineRule="auto" w:line="288" w:before="240" w:after="283"/>
        <w:jc w:val="center"/>
        <w:rPr>
          <w:rFonts w:ascii="Lato;sans-serif" w:hAnsi="Lato;sans-serif"/>
          <w:b/>
          <w:color w:val="000000"/>
          <w:sz w:val="20"/>
        </w:rPr>
      </w:pPr>
      <w:r>
        <w:rPr>
          <w:rFonts w:ascii="Lato;sans-serif" w:hAnsi="Lato;sans-serif"/>
          <w:b/>
          <w:color w:val="000000"/>
          <w:sz w:val="20"/>
        </w:rPr>
        <w:t>GENERAL INFORMATION</w:t>
      </w:r>
    </w:p>
    <w:p>
      <w:pPr>
        <w:pStyle w:val="TextBody"/>
        <w:bidi w:val="0"/>
        <w:spacing w:lineRule="auto" w:line="288" w:before="300" w:after="283"/>
        <w:jc w:val="both"/>
        <w:rPr>
          <w:rFonts w:ascii="Lato;sans-serif" w:hAnsi="Lato;sans-serif"/>
          <w:b/>
          <w:color w:val="000000"/>
          <w:sz w:val="20"/>
        </w:rPr>
      </w:pPr>
      <w:r>
        <w:rPr>
          <w:rFonts w:ascii="Lato;sans-serif" w:hAnsi="Lato;sans-serif"/>
          <w:b/>
          <w:color w:val="000000"/>
          <w:sz w:val="20"/>
        </w:rPr>
        <w:t>Why am I being provided with these materials?</w:t>
      </w:r>
    </w:p>
    <w:p>
      <w:pPr>
        <w:pStyle w:val="TextBody"/>
        <w:bidi w:val="0"/>
        <w:spacing w:lineRule="auto" w:line="288" w:before="120" w:after="283"/>
        <w:jc w:val="both"/>
        <w:rPr/>
      </w:pPr>
      <w:r>
        <w:rPr>
          <w:rFonts w:ascii="Lato;sans-serif" w:hAnsi="Lato;sans-serif"/>
          <w:b w:val="false"/>
          <w:color w:val="000000"/>
          <w:sz w:val="20"/>
        </w:rPr>
        <w:t>The notice containing instructions on how to access this Proxy Statement and Annual Report and proxy card are first being sent to stockholders on or about March 26, 2026. We have delivered these proxy materials to you in connection with the solicitation by the Board of Directors (the “</w:t>
      </w:r>
      <w:r>
        <w:rPr>
          <w:rFonts w:ascii="Lato;sans-serif" w:hAnsi="Lato;sans-serif"/>
          <w:b/>
          <w:i/>
          <w:color w:val="000000"/>
          <w:sz w:val="20"/>
        </w:rPr>
        <w:t>Board</w:t>
      </w:r>
      <w:r>
        <w:rPr>
          <w:color w:val="000000"/>
        </w:rPr>
        <w:t xml:space="preserve">” </w:t>
      </w:r>
      <w:r>
        <w:rPr>
          <w:rFonts w:ascii="Lato;sans-serif" w:hAnsi="Lato;sans-serif"/>
          <w:b w:val="false"/>
          <w:color w:val="000000"/>
          <w:sz w:val="20"/>
        </w:rPr>
        <w:t>or “</w:t>
      </w:r>
      <w:r>
        <w:rPr>
          <w:rFonts w:ascii="Lato;sans-serif" w:hAnsi="Lato;sans-serif"/>
          <w:b/>
          <w:i/>
          <w:color w:val="000000"/>
          <w:sz w:val="20"/>
        </w:rPr>
        <w:t>Board of Directors</w:t>
      </w:r>
      <w:r>
        <w:rPr>
          <w:color w:val="000000"/>
        </w:rPr>
        <w:t>”</w:t>
      </w:r>
      <w:r>
        <w:rPr>
          <w:rFonts w:ascii="Lato;sans-serif" w:hAnsi="Lato;sans-serif"/>
          <w:b w:val="false"/>
          <w:color w:val="000000"/>
          <w:sz w:val="20"/>
        </w:rPr>
        <w:t>) of ZoomInfo Technologies Inc. (“</w:t>
      </w:r>
      <w:r>
        <w:rPr>
          <w:rFonts w:ascii="Lato;sans-serif" w:hAnsi="Lato;sans-serif"/>
          <w:b/>
          <w:i/>
          <w:color w:val="000000"/>
          <w:sz w:val="20"/>
        </w:rPr>
        <w:t>we</w:t>
      </w:r>
      <w:r>
        <w:rPr>
          <w:color w:val="000000"/>
        </w:rPr>
        <w:t>”</w:t>
      </w:r>
      <w:r>
        <w:rPr>
          <w:rFonts w:ascii="Lato;sans-serif" w:hAnsi="Lato;sans-serif"/>
          <w:b w:val="false"/>
          <w:color w:val="000000"/>
          <w:sz w:val="20"/>
        </w:rPr>
        <w:t>, “</w:t>
      </w:r>
      <w:r>
        <w:rPr>
          <w:rFonts w:ascii="Lato;sans-serif" w:hAnsi="Lato;sans-serif"/>
          <w:b/>
          <w:i/>
          <w:color w:val="000000"/>
          <w:sz w:val="20"/>
        </w:rPr>
        <w:t>our</w:t>
      </w:r>
      <w:r>
        <w:rPr>
          <w:color w:val="000000"/>
        </w:rPr>
        <w:t>”</w:t>
      </w:r>
      <w:r>
        <w:rPr>
          <w:rFonts w:ascii="Lato;sans-serif" w:hAnsi="Lato;sans-serif"/>
          <w:b w:val="false"/>
          <w:color w:val="000000"/>
          <w:sz w:val="20"/>
        </w:rPr>
        <w:t>, “</w:t>
      </w:r>
      <w:r>
        <w:rPr>
          <w:rFonts w:ascii="Lato;sans-serif" w:hAnsi="Lato;sans-serif"/>
          <w:b/>
          <w:i/>
          <w:color w:val="000000"/>
          <w:sz w:val="20"/>
        </w:rPr>
        <w:t>us</w:t>
      </w:r>
      <w:r>
        <w:rPr>
          <w:color w:val="000000"/>
        </w:rPr>
        <w:t xml:space="preserve">” </w:t>
      </w:r>
      <w:r>
        <w:rPr>
          <w:rFonts w:ascii="Lato;sans-serif" w:hAnsi="Lato;sans-serif"/>
          <w:b w:val="false"/>
          <w:color w:val="000000"/>
          <w:sz w:val="20"/>
        </w:rPr>
        <w:t>or the “</w:t>
      </w:r>
      <w:r>
        <w:rPr>
          <w:rFonts w:ascii="Lato;sans-serif" w:hAnsi="Lato;sans-serif"/>
          <w:b/>
          <w:i/>
          <w:color w:val="000000"/>
          <w:sz w:val="20"/>
        </w:rPr>
        <w:t>Company</w:t>
      </w:r>
      <w:r>
        <w:rPr>
          <w:color w:val="000000"/>
        </w:rPr>
        <w:t>”</w:t>
      </w:r>
      <w:r>
        <w:rPr>
          <w:rFonts w:ascii="Lato;sans-serif" w:hAnsi="Lato;sans-serif"/>
          <w:b w:val="false"/>
          <w:color w:val="000000"/>
          <w:sz w:val="20"/>
        </w:rPr>
        <w:t>) of proxies to be voted at our Annual Meeting of Stockholders to be held on May 14, 2026 (the “</w:t>
      </w:r>
      <w:r>
        <w:rPr>
          <w:rFonts w:ascii="Lato;sans-serif" w:hAnsi="Lato;sans-serif"/>
          <w:b/>
          <w:i/>
          <w:color w:val="000000"/>
          <w:sz w:val="20"/>
        </w:rPr>
        <w:t>Annual Meeting</w:t>
      </w:r>
      <w:r>
        <w:rPr>
          <w:color w:val="000000"/>
        </w:rPr>
        <w:t>”</w:t>
      </w:r>
      <w:r>
        <w:rPr>
          <w:rFonts w:ascii="Lato;sans-serif" w:hAnsi="Lato;sans-serif"/>
          <w:b w:val="false"/>
          <w:color w:val="000000"/>
          <w:sz w:val="20"/>
        </w:rPr>
        <w:t>), and at any postponements or adjournments of the Annual Meeting. You are invited to attend the Annual Meeting and vote your shares during the meeting via the Internet or to vote your shares in advance by proxy via the Internet, by telephone or by mail.</w:t>
      </w:r>
    </w:p>
    <w:p>
      <w:pPr>
        <w:pStyle w:val="TextBody"/>
        <w:bidi w:val="0"/>
        <w:spacing w:lineRule="auto" w:line="288" w:before="300" w:after="283"/>
        <w:jc w:val="both"/>
        <w:rPr>
          <w:rFonts w:ascii="Lato;sans-serif" w:hAnsi="Lato;sans-serif"/>
          <w:b/>
          <w:color w:val="000000"/>
          <w:sz w:val="20"/>
        </w:rPr>
      </w:pPr>
      <w:r>
        <w:rPr>
          <w:rFonts w:ascii="Lato;sans-serif" w:hAnsi="Lato;sans-serif"/>
          <w:b/>
          <w:color w:val="000000"/>
          <w:sz w:val="20"/>
        </w:rPr>
        <w:t>What am I voting on?</w:t>
      </w:r>
    </w:p>
    <w:p>
      <w:pPr>
        <w:pStyle w:val="TextBody"/>
        <w:bidi w:val="0"/>
        <w:spacing w:lineRule="auto" w:line="288" w:before="180" w:after="180"/>
        <w:jc w:val="both"/>
        <w:rPr>
          <w:rFonts w:ascii="Lato;sans-serif" w:hAnsi="Lato;sans-serif"/>
          <w:b w:val="false"/>
          <w:color w:val="000000"/>
          <w:sz w:val="20"/>
        </w:rPr>
      </w:pPr>
      <w:r>
        <w:rPr>
          <w:rFonts w:ascii="Lato;sans-serif" w:hAnsi="Lato;sans-serif"/>
          <w:b w:val="false"/>
          <w:color w:val="000000"/>
          <w:sz w:val="20"/>
        </w:rPr>
        <w:t>There are three proposals scheduled to be voted on at the Annual Meeting:</w:t>
      </w:r>
    </w:p>
    <w:p>
      <w:pPr>
        <w:pStyle w:val="TextBody"/>
        <w:bidi w:val="0"/>
        <w:spacing w:lineRule="auto" w:line="288" w:before="0" w:after="100"/>
        <w:ind w:left="0" w:right="0" w:hanging="360"/>
        <w:jc w:val="both"/>
        <w:rPr/>
      </w:pPr>
      <w:r>
        <w:rPr>
          <w:color w:val="000000"/>
        </w:rPr>
        <w:t>•</w:t>
      </w:r>
      <w:r>
        <w:rPr>
          <w:rFonts w:ascii="Lato;sans-serif" w:hAnsi="Lato;sans-serif"/>
          <w:b w:val="false"/>
          <w:color w:val="000000"/>
          <w:sz w:val="20"/>
        </w:rPr>
        <w:t>Proposal No. 1: Election of the director nominees listed in this Proxy Statement.</w:t>
      </w:r>
    </w:p>
    <w:p>
      <w:pPr>
        <w:pStyle w:val="TextBody"/>
        <w:bidi w:val="0"/>
        <w:spacing w:lineRule="auto" w:line="288" w:before="0" w:after="100"/>
        <w:ind w:left="0" w:right="0" w:hanging="360"/>
        <w:jc w:val="both"/>
        <w:rPr/>
      </w:pPr>
      <w:r>
        <w:rPr>
          <w:color w:val="000000"/>
        </w:rPr>
        <w:t>•</w:t>
      </w:r>
      <w:r>
        <w:rPr>
          <w:rFonts w:ascii="Lato;sans-serif" w:hAnsi="Lato;sans-serif"/>
          <w:b w:val="false"/>
          <w:color w:val="000000"/>
          <w:sz w:val="20"/>
        </w:rPr>
        <w:t>Proposal No. 2: Ratification of the appointment of KPMG LLP as our independent registered public accounting firm for 2026.</w:t>
      </w:r>
    </w:p>
    <w:p>
      <w:pPr>
        <w:pStyle w:val="TextBody"/>
        <w:bidi w:val="0"/>
        <w:spacing w:lineRule="auto" w:line="288" w:before="0" w:after="100"/>
        <w:ind w:left="0" w:right="0" w:hanging="360"/>
        <w:jc w:val="both"/>
        <w:rPr/>
      </w:pPr>
      <w:r>
        <w:rPr>
          <w:color w:val="000000"/>
        </w:rPr>
        <w:t>•</w:t>
      </w:r>
      <w:r>
        <w:rPr>
          <w:rFonts w:ascii="Lato;sans-serif" w:hAnsi="Lato;sans-serif"/>
          <w:b w:val="false"/>
          <w:color w:val="000000"/>
          <w:sz w:val="20"/>
        </w:rPr>
        <w:t>Proposal No. 3: Approval, on an advisory, non-binding basis, of the compensation of our named executive officers.</w:t>
      </w:r>
    </w:p>
    <w:p>
      <w:pPr>
        <w:pStyle w:val="TextBody"/>
        <w:bidi w:val="0"/>
        <w:spacing w:lineRule="auto" w:line="288" w:before="300" w:after="180"/>
        <w:jc w:val="both"/>
        <w:rPr>
          <w:rFonts w:ascii="Lato;sans-serif" w:hAnsi="Lato;sans-serif"/>
          <w:b/>
          <w:color w:val="000000"/>
          <w:sz w:val="20"/>
        </w:rPr>
      </w:pPr>
      <w:r>
        <w:rPr>
          <w:rFonts w:ascii="Lato;sans-serif" w:hAnsi="Lato;sans-serif"/>
          <w:b/>
          <w:color w:val="000000"/>
          <w:sz w:val="20"/>
        </w:rPr>
        <w:t xml:space="preserve">Who is entitled to vote? </w:t>
      </w:r>
    </w:p>
    <w:p>
      <w:pPr>
        <w:pStyle w:val="TextBody"/>
        <w:bidi w:val="0"/>
        <w:spacing w:lineRule="auto" w:line="288" w:before="180" w:after="180"/>
        <w:jc w:val="both"/>
        <w:rPr/>
      </w:pPr>
      <w:r>
        <w:rPr>
          <w:rFonts w:ascii="Lato;sans-serif" w:hAnsi="Lato;sans-serif"/>
          <w:b w:val="false"/>
          <w:color w:val="000000"/>
          <w:sz w:val="20"/>
        </w:rPr>
        <w:t>Stockholders as of the close of business on March 17, 2026 (the “</w:t>
      </w:r>
      <w:r>
        <w:rPr>
          <w:rFonts w:ascii="Lato;sans-serif" w:hAnsi="Lato;sans-serif"/>
          <w:b/>
          <w:i/>
          <w:color w:val="000000"/>
          <w:sz w:val="20"/>
        </w:rPr>
        <w:t>Record Date</w:t>
      </w:r>
      <w:r>
        <w:rPr>
          <w:color w:val="000000"/>
        </w:rPr>
        <w:t>”</w:t>
      </w:r>
      <w:r>
        <w:rPr>
          <w:rFonts w:ascii="Lato;sans-serif" w:hAnsi="Lato;sans-serif"/>
          <w:b w:val="false"/>
          <w:color w:val="000000"/>
          <w:sz w:val="20"/>
        </w:rPr>
        <w:t>) may vote at the Annual Meeting or any postponement or adjournment thereof. As of that date, there were 298,055,305 shares of our common stock outstanding. Holders of our common stock have one vote for each share of common stock held as of the Record Date, including shares:</w:t>
      </w:r>
    </w:p>
    <w:p>
      <w:pPr>
        <w:pStyle w:val="TextBody"/>
        <w:bidi w:val="0"/>
        <w:spacing w:lineRule="auto" w:line="288" w:before="0" w:after="100"/>
        <w:ind w:left="0" w:right="0" w:hanging="360"/>
        <w:jc w:val="both"/>
        <w:rPr/>
      </w:pPr>
      <w:r>
        <w:rPr>
          <w:color w:val="000000"/>
        </w:rPr>
        <w:t>•</w:t>
      </w:r>
      <w:r>
        <w:rPr>
          <w:rFonts w:ascii="Lato;sans-serif" w:hAnsi="Lato;sans-serif"/>
          <w:b w:val="false"/>
          <w:color w:val="000000"/>
          <w:sz w:val="20"/>
        </w:rPr>
        <w:t>Held directly in your name as “stockholder of record” (also referred to as “registered stockholder”); and</w:t>
      </w:r>
    </w:p>
    <w:p>
      <w:pPr>
        <w:pStyle w:val="TextBody"/>
        <w:bidi w:val="0"/>
        <w:spacing w:lineRule="auto" w:line="288" w:before="0" w:after="100"/>
        <w:ind w:left="0" w:right="0" w:hanging="360"/>
        <w:jc w:val="both"/>
        <w:rPr/>
      </w:pPr>
      <w:r>
        <w:rPr>
          <w:color w:val="000000"/>
        </w:rPr>
        <w:t>•</w:t>
      </w:r>
      <w:r>
        <w:rPr>
          <w:rFonts w:ascii="Lato;sans-serif" w:hAnsi="Lato;sans-serif"/>
          <w:b w:val="false"/>
          <w:color w:val="000000"/>
          <w:sz w:val="20"/>
        </w:rPr>
        <w:t>Held for you in an account with a broker, bank or other nominee (shares held in “street name”)—street name holders generally cannot vote their shares directly and instead must instruct the brokerage firm, bank or nominee on how to vote their shares.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352425"/>
                <wp:effectExtent l="0" t="0" r="0" b="0"/>
                <wp:wrapNone/>
                <wp:docPr id="11" name="Frame7"/>
                <a:graphic xmlns:a="http://schemas.openxmlformats.org/drawingml/2006/main">
                  <a:graphicData uri="http://schemas.microsoft.com/office/word/2010/wordprocessingShape">
                    <wps:wsp>
                      <wps:cNvSpPr txBox="1"/>
                      <wps:spPr>
                        <a:xfrm>
                          <a:off x="0" y="0"/>
                          <a:ext cx="6480175" cy="352425"/>
                        </a:xfrm>
                        <a:prstGeom prst="rect"/>
                        <a:solidFill>
                          <a:srgbClr val="FFFFFF"/>
                        </a:solidFill>
                      </wps:spPr>
                      <wps:txbx>
                        <w:txbxContent>
                          <w:p>
                            <w:pPr>
                              <w:pStyle w:val="TextBody"/>
                              <w:bidi w:val="0"/>
                              <w:spacing w:lineRule="auto" w:line="288" w:before="0" w:after="0"/>
                              <w:jc w:val="center"/>
                              <w:rPr>
                                <w:rFonts w:ascii="Lato;sans-serif" w:hAnsi="Lato;sans-serif"/>
                                <w:b w:val="false"/>
                                <w:color w:val="000000"/>
                                <w:sz w:val="20"/>
                              </w:rPr>
                            </w:pPr>
                            <w:r>
                              <w:rPr>
                                <w:rFonts w:ascii="Lato;sans-serif" w:hAnsi="Lato;sans-serif"/>
                                <w:b w:val="false"/>
                                <w:color w:val="000000"/>
                                <w:sz w:val="20"/>
                              </w:rPr>
                              <w:t>1</w:t>
                            </w:r>
                          </w:p>
                          <w:p>
                            <w:pPr>
                              <w:pStyle w:val="TextBody"/>
                              <w:bidi w:val="0"/>
                              <w:spacing w:lineRule="auto" w:line="288" w:before="0" w:after="0"/>
                              <w:jc w:val="left"/>
                              <w:rPr>
                                <w:color w:val="000000"/>
                              </w:rPr>
                            </w:pPr>
                            <w:r>
                              <w:rPr>
                                <w:color w:val="000000"/>
                              </w:rPr>
                              <w:t>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Lato;sans-serif" w:hAnsi="Lato;sans-serif"/>
                          <w:b w:val="false"/>
                          <w:color w:val="000000"/>
                          <w:sz w:val="20"/>
                        </w:rPr>
                      </w:pPr>
                      <w:r>
                        <w:rPr>
                          <w:rFonts w:ascii="Lato;sans-serif" w:hAnsi="Lato;sans-serif"/>
                          <w:b w:val="false"/>
                          <w:color w:val="000000"/>
                          <w:sz w:val="20"/>
                        </w:rPr>
                        <w:t>1</w:t>
                      </w:r>
                    </w:p>
                    <w:p>
                      <w:pPr>
                        <w:pStyle w:val="TextBody"/>
                        <w:bidi w:val="0"/>
                        <w:spacing w:lineRule="auto" w:line="288" w:before="0" w:after="0"/>
                        <w:jc w:val="left"/>
                        <w:rPr>
                          <w:color w:val="000000"/>
                        </w:rPr>
                      </w:pPr>
                      <w:r>
                        <w:rPr>
                          <w:color w:val="000000"/>
                        </w:rPr>
                        <w:t>        </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300" w:after="283"/>
        <w:jc w:val="both"/>
        <w:rPr>
          <w:rFonts w:ascii="Lato;sans-serif" w:hAnsi="Lato;sans-serif"/>
          <w:b/>
          <w:color w:val="000000"/>
          <w:sz w:val="20"/>
        </w:rPr>
      </w:pPr>
      <w:r>
        <w:rPr>
          <w:rFonts w:ascii="Lato;sans-serif" w:hAnsi="Lato;sans-serif"/>
          <w:b/>
          <w:color w:val="000000"/>
          <w:sz w:val="20"/>
        </w:rPr>
        <w:t>What constitutes a quorum?</w:t>
      </w:r>
    </w:p>
    <w:p>
      <w:pPr>
        <w:pStyle w:val="TextBody"/>
        <w:bidi w:val="0"/>
        <w:spacing w:lineRule="auto" w:line="288" w:before="180" w:after="180"/>
        <w:jc w:val="both"/>
        <w:rPr>
          <w:rFonts w:ascii="Lato;sans-serif" w:hAnsi="Lato;sans-serif"/>
          <w:b w:val="false"/>
          <w:color w:val="000000"/>
          <w:sz w:val="20"/>
        </w:rPr>
      </w:pPr>
      <w:r>
        <w:rPr>
          <w:rFonts w:ascii="Lato;sans-serif" w:hAnsi="Lato;sans-serif"/>
          <w:b w:val="false"/>
          <w:color w:val="000000"/>
          <w:sz w:val="20"/>
        </w:rPr>
        <w:t>The virtual presence or representation by proxy of stockholders entitled to cast a majority of all the votes entitled to be cast at such meeting on any matter constitutes a quorum. Abstentions and shares represented by “broker non-votes” that are present and entitled to vote at the Annual Meeting are counted for purposes of determining a quorum.</w:t>
      </w:r>
    </w:p>
    <w:p>
      <w:pPr>
        <w:pStyle w:val="TextBody"/>
        <w:bidi w:val="0"/>
        <w:spacing w:lineRule="auto" w:line="288" w:before="300" w:after="180"/>
        <w:jc w:val="both"/>
        <w:rPr>
          <w:rFonts w:ascii="Lato;sans-serif" w:hAnsi="Lato;sans-serif"/>
          <w:b/>
          <w:color w:val="000000"/>
          <w:sz w:val="20"/>
        </w:rPr>
      </w:pPr>
      <w:r>
        <w:rPr>
          <w:rFonts w:ascii="Lato;sans-serif" w:hAnsi="Lato;sans-serif"/>
          <w:b/>
          <w:color w:val="000000"/>
          <w:sz w:val="20"/>
        </w:rPr>
        <w:t>What is a “broker non-vote”?</w:t>
      </w:r>
    </w:p>
    <w:p>
      <w:pPr>
        <w:pStyle w:val="TextBody"/>
        <w:bidi w:val="0"/>
        <w:spacing w:lineRule="auto" w:line="288" w:before="180" w:after="180"/>
        <w:jc w:val="both"/>
        <w:rPr>
          <w:rFonts w:ascii="Lato;sans-serif" w:hAnsi="Lato;sans-serif"/>
          <w:b w:val="false"/>
          <w:color w:val="000000"/>
          <w:sz w:val="20"/>
        </w:rPr>
      </w:pPr>
      <w:r>
        <w:rPr>
          <w:rFonts w:ascii="Lato;sans-serif" w:hAnsi="Lato;sans-serif"/>
          <w:b w:val="false"/>
          <w:color w:val="000000"/>
          <w:sz w:val="20"/>
        </w:rPr>
        <w:t>A broker non-vote occurs when shares held through a broker are not voted with respect to a proposal because (1) the broker has not received voting instructions from the stockholder who beneficially owns the shares and (2) the broker lacks the authority to vote the shares at its discretion. Proposal No. 1 and Proposal No. 3 are each considered non-routine matters, and a broker will lack the authority to vote uninstructed shares at their discretion on such proposals. Proposal No. 2 is considered a routine matter, and a broker will be permitted to exercise its discretion to vote uninstructed shares on this proposal.</w:t>
      </w:r>
    </w:p>
    <w:p>
      <w:pPr>
        <w:pStyle w:val="TextBody"/>
        <w:bidi w:val="0"/>
        <w:spacing w:lineRule="auto" w:line="288" w:before="300" w:after="180"/>
        <w:jc w:val="both"/>
        <w:rPr>
          <w:rFonts w:ascii="Lato;sans-serif" w:hAnsi="Lato;sans-serif"/>
          <w:b/>
          <w:color w:val="000000"/>
          <w:sz w:val="20"/>
        </w:rPr>
      </w:pPr>
      <w:r>
        <w:rPr>
          <w:rFonts w:ascii="Lato;sans-serif" w:hAnsi="Lato;sans-serif"/>
          <w:b/>
          <w:color w:val="000000"/>
          <w:sz w:val="20"/>
        </w:rPr>
        <w:t>How many votes are required to approve each proposal?</w:t>
      </w:r>
    </w:p>
    <w:p>
      <w:pPr>
        <w:pStyle w:val="TextBody"/>
        <w:bidi w:val="0"/>
        <w:spacing w:lineRule="auto" w:line="288" w:before="180" w:after="180"/>
        <w:jc w:val="both"/>
        <w:rPr/>
      </w:pPr>
      <w:r>
        <w:rPr>
          <w:rFonts w:ascii="Lato;sans-serif" w:hAnsi="Lato;sans-serif"/>
          <w:b w:val="false"/>
          <w:color w:val="000000"/>
          <w:sz w:val="20"/>
        </w:rPr>
        <w:t>For Proposal No. 1, under our Amended and Restated Bylaws (the “</w:t>
      </w:r>
      <w:r>
        <w:rPr>
          <w:rFonts w:ascii="Lato;sans-serif" w:hAnsi="Lato;sans-serif"/>
          <w:b/>
          <w:i/>
          <w:color w:val="000000"/>
          <w:sz w:val="20"/>
        </w:rPr>
        <w:t>Bylaws</w:t>
      </w:r>
      <w:r>
        <w:rPr>
          <w:color w:val="000000"/>
        </w:rPr>
        <w:t>”</w:t>
      </w:r>
      <w:r>
        <w:rPr>
          <w:rFonts w:ascii="Lato;sans-serif" w:hAnsi="Lato;sans-serif"/>
          <w:b w:val="false"/>
          <w:color w:val="000000"/>
          <w:sz w:val="20"/>
        </w:rPr>
        <w:t>), directors are elected by a plurality vote, which means that the director nominees with the greatest number of votes cast, even if less than a majority, will be elected. There is no cumulative voting. As a result, any shares not voted “FOR” a particular nominee (whether as a result of stockholder abstention or a broker non-vote) will not be counted in the nominee's favor and will have no effect on the outcome of the election. You may vote “FOR” or “WITHHOLD” on each nominee for election as a director.</w:t>
      </w:r>
    </w:p>
    <w:p>
      <w:pPr>
        <w:pStyle w:val="TextBody"/>
        <w:bidi w:val="0"/>
        <w:spacing w:lineRule="auto" w:line="288" w:before="180" w:after="180"/>
        <w:jc w:val="both"/>
        <w:rPr>
          <w:rFonts w:ascii="Lato;sans-serif" w:hAnsi="Lato;sans-serif"/>
          <w:b w:val="false"/>
          <w:color w:val="000000"/>
          <w:sz w:val="20"/>
        </w:rPr>
      </w:pPr>
      <w:r>
        <w:rPr>
          <w:rFonts w:ascii="Lato;sans-serif" w:hAnsi="Lato;sans-serif"/>
          <w:b w:val="false"/>
          <w:color w:val="000000"/>
          <w:sz w:val="20"/>
        </w:rPr>
        <w:t>For Proposal No. 2, under our Bylaws, approval of the proposal requires the affirmative vote of the holders of a majority of the voting power of the shares of stock present virtually or represented by proxy and entitled to vote on the proposal.</w:t>
      </w:r>
    </w:p>
    <w:p>
      <w:pPr>
        <w:pStyle w:val="TextBody"/>
        <w:bidi w:val="0"/>
        <w:spacing w:lineRule="auto" w:line="288" w:before="180" w:after="180"/>
        <w:jc w:val="both"/>
        <w:rPr>
          <w:rFonts w:ascii="Lato;sans-serif" w:hAnsi="Lato;sans-serif"/>
          <w:b w:val="false"/>
          <w:color w:val="000000"/>
          <w:sz w:val="20"/>
        </w:rPr>
      </w:pPr>
      <w:r>
        <w:rPr>
          <w:rFonts w:ascii="Lato;sans-serif" w:hAnsi="Lato;sans-serif"/>
          <w:b w:val="false"/>
          <w:color w:val="000000"/>
          <w:sz w:val="20"/>
        </w:rPr>
        <w:t>For Proposal No. 3, approval of the proposal requires the affirmative vote of the holders of a majority of the voting power of the shares of stock present virtually or represented by proxy and entitled to vote on the proposal.</w:t>
      </w:r>
    </w:p>
    <w:p>
      <w:pPr>
        <w:pStyle w:val="TextBody"/>
        <w:bidi w:val="0"/>
        <w:spacing w:lineRule="auto" w:line="288" w:before="180" w:after="180"/>
        <w:jc w:val="both"/>
        <w:rPr>
          <w:rFonts w:ascii="Lato;sans-serif" w:hAnsi="Lato;sans-serif"/>
          <w:b w:val="false"/>
          <w:color w:val="000000"/>
          <w:sz w:val="20"/>
        </w:rPr>
      </w:pPr>
      <w:r>
        <w:rPr>
          <w:rFonts w:ascii="Lato;sans-serif" w:hAnsi="Lato;sans-serif"/>
          <w:b w:val="false"/>
          <w:color w:val="000000"/>
          <w:sz w:val="20"/>
        </w:rPr>
        <w:t>It is important to note that each of the proposal to ratify the appointment of KPMG LLP as our independent registered public accounting firm for 2026 (Proposal No. 2) and the proposal regarding the non-binding advisory vote on the compensation of our named executive officers (Proposal No. 3) is non-binding and advisory. While the ratification of KPMG LLP as our independent registered public accounting firm for 2026 is not required by our Bylaws or otherwise, if our stockholders fail to ratify the selection, we will consider it notice to the Board and the Audit Committee to consider the selection of a different firm. Similarly, the Board and the Compensation Committee will consider the outcome of the non-binding advisory vote on the compensation of our named executive officers when determining the compensation of our named executive officers.</w:t>
      </w:r>
    </w:p>
    <w:p>
      <w:pPr>
        <w:pStyle w:val="TextBody"/>
        <w:bidi w:val="0"/>
        <w:spacing w:lineRule="auto" w:line="288" w:before="300" w:after="180"/>
        <w:jc w:val="both"/>
        <w:rPr>
          <w:rFonts w:ascii="Lato;sans-serif" w:hAnsi="Lato;sans-serif"/>
          <w:b/>
          <w:color w:val="000000"/>
          <w:sz w:val="20"/>
        </w:rPr>
      </w:pPr>
      <w:r>
        <w:rPr>
          <w:rFonts w:ascii="Lato;sans-serif" w:hAnsi="Lato;sans-serif"/>
          <w:b/>
          <w:color w:val="000000"/>
          <w:sz w:val="20"/>
        </w:rPr>
        <w:t>How are votes counted?</w:t>
      </w:r>
    </w:p>
    <w:p>
      <w:pPr>
        <w:pStyle w:val="TextBody"/>
        <w:bidi w:val="0"/>
        <w:spacing w:lineRule="auto" w:line="288" w:before="180" w:after="180"/>
        <w:jc w:val="both"/>
        <w:rPr>
          <w:rFonts w:ascii="Lato;sans-serif" w:hAnsi="Lato;sans-serif"/>
          <w:b w:val="false"/>
          <w:color w:val="000000"/>
          <w:sz w:val="20"/>
        </w:rPr>
      </w:pPr>
      <w:r>
        <w:rPr>
          <w:rFonts w:ascii="Lato;sans-serif" w:hAnsi="Lato;sans-serif"/>
          <w:b w:val="false"/>
          <w:color w:val="000000"/>
          <w:sz w:val="20"/>
        </w:rPr>
        <w:t>With respect to the election of a director (Proposal No. 1), you may vote “FOR” or “WITHHOLD” with respect to each nominee. Votes that are “withheld” will not count as a vote “FOR” or “AGAINST” a director because directors are elected by plurality voting. Broker non-votes will have no effect on the outcome of Proposal No. 1.</w:t>
      </w:r>
    </w:p>
    <w:p>
      <w:pPr>
        <w:pStyle w:val="TextBody"/>
        <w:bidi w:val="0"/>
        <w:spacing w:lineRule="auto" w:line="288" w:before="180" w:after="180"/>
        <w:jc w:val="both"/>
        <w:rPr>
          <w:rFonts w:ascii="Lato;sans-serif" w:hAnsi="Lato;sans-serif"/>
          <w:b w:val="false"/>
          <w:color w:val="000000"/>
          <w:sz w:val="20"/>
        </w:rPr>
      </w:pPr>
      <w:r>
        <w:rPr>
          <w:rFonts w:ascii="Lato;sans-serif" w:hAnsi="Lato;sans-serif"/>
          <w:b w:val="false"/>
          <w:color w:val="000000"/>
          <w:sz w:val="20"/>
        </w:rPr>
        <w:t>With respect to the ratification of our independent registered public accounting firm (Proposal No. 2), you may vote “FOR,” “AGAINST,” or “ABSTAIN.” Abstentions will be counted as a vote “AGAINST” Proposal No. 2.</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352425"/>
                <wp:effectExtent l="0" t="0" r="0" b="0"/>
                <wp:wrapNone/>
                <wp:docPr id="12" name="Frame8"/>
                <a:graphic xmlns:a="http://schemas.openxmlformats.org/drawingml/2006/main">
                  <a:graphicData uri="http://schemas.microsoft.com/office/word/2010/wordprocessingShape">
                    <wps:wsp>
                      <wps:cNvSpPr txBox="1"/>
                      <wps:spPr>
                        <a:xfrm>
                          <a:off x="0" y="0"/>
                          <a:ext cx="6480175" cy="352425"/>
                        </a:xfrm>
                        <a:prstGeom prst="rect"/>
                        <a:solidFill>
                          <a:srgbClr val="FFFFFF"/>
                        </a:solidFill>
                      </wps:spPr>
                      <wps:txbx>
                        <w:txbxContent>
                          <w:p>
                            <w:pPr>
                              <w:pStyle w:val="TextBody"/>
                              <w:bidi w:val="0"/>
                              <w:spacing w:lineRule="auto" w:line="288" w:before="0" w:after="0"/>
                              <w:jc w:val="center"/>
                              <w:rPr>
                                <w:rFonts w:ascii="Lato;sans-serif" w:hAnsi="Lato;sans-serif"/>
                                <w:b w:val="false"/>
                                <w:color w:val="000000"/>
                                <w:sz w:val="20"/>
                              </w:rPr>
                            </w:pPr>
                            <w:r>
                              <w:rPr>
                                <w:rFonts w:ascii="Lato;sans-serif" w:hAnsi="Lato;sans-serif"/>
                                <w:b w:val="false"/>
                                <w:color w:val="000000"/>
                                <w:sz w:val="20"/>
                              </w:rPr>
                              <w:t>2</w:t>
                            </w:r>
                          </w:p>
                          <w:p>
                            <w:pPr>
                              <w:pStyle w:val="TextBody"/>
                              <w:bidi w:val="0"/>
                              <w:spacing w:lineRule="auto" w:line="288" w:before="0" w:after="0"/>
                              <w:jc w:val="left"/>
                              <w:rPr>
                                <w:color w:val="000000"/>
                              </w:rPr>
                            </w:pPr>
                            <w:r>
                              <w:rPr>
                                <w:color w:val="000000"/>
                              </w:rPr>
                              <w:t>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Lato;sans-serif" w:hAnsi="Lato;sans-serif"/>
                          <w:b w:val="false"/>
                          <w:color w:val="000000"/>
                          <w:sz w:val="20"/>
                        </w:rPr>
                      </w:pPr>
                      <w:r>
                        <w:rPr>
                          <w:rFonts w:ascii="Lato;sans-serif" w:hAnsi="Lato;sans-serif"/>
                          <w:b w:val="false"/>
                          <w:color w:val="000000"/>
                          <w:sz w:val="20"/>
                        </w:rPr>
                        <w:t>2</w:t>
                      </w:r>
                    </w:p>
                    <w:p>
                      <w:pPr>
                        <w:pStyle w:val="TextBody"/>
                        <w:bidi w:val="0"/>
                        <w:spacing w:lineRule="auto" w:line="288" w:before="0" w:after="0"/>
                        <w:jc w:val="left"/>
                        <w:rPr>
                          <w:color w:val="000000"/>
                        </w:rPr>
                      </w:pPr>
                      <w:r>
                        <w:rPr>
                          <w:color w:val="000000"/>
                        </w:rPr>
                        <w:t>        </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80" w:after="180"/>
        <w:jc w:val="both"/>
        <w:rPr>
          <w:rFonts w:ascii="Lato;sans-serif" w:hAnsi="Lato;sans-serif"/>
          <w:b w:val="false"/>
          <w:color w:val="000000"/>
          <w:sz w:val="20"/>
        </w:rPr>
      </w:pPr>
      <w:r>
        <w:rPr>
          <w:rFonts w:ascii="Lato;sans-serif" w:hAnsi="Lato;sans-serif"/>
          <w:b w:val="false"/>
          <w:color w:val="000000"/>
          <w:sz w:val="20"/>
        </w:rPr>
        <w:t>With respect to the non-binding advisory vote on the compensation of our named executive officers (Proposal No. 3), you may select “FOR,” “AGAINST,” or “ABSTAIN.” Abstentions will be counted as a vote “AGAINST” Proposal No. 3. Broker non-votes will not affect the outcome of voting on this proposal.</w:t>
      </w:r>
    </w:p>
    <w:p>
      <w:pPr>
        <w:pStyle w:val="TextBody"/>
        <w:bidi w:val="0"/>
        <w:spacing w:lineRule="auto" w:line="288" w:before="180" w:after="180"/>
        <w:jc w:val="both"/>
        <w:rPr>
          <w:rFonts w:ascii="Lato;sans-serif" w:hAnsi="Lato;sans-serif"/>
          <w:b w:val="false"/>
          <w:color w:val="000000"/>
          <w:sz w:val="20"/>
        </w:rPr>
      </w:pPr>
      <w:r>
        <w:rPr>
          <w:rFonts w:ascii="Lato;sans-serif" w:hAnsi="Lato;sans-serif"/>
          <w:b w:val="false"/>
          <w:color w:val="000000"/>
          <w:sz w:val="20"/>
        </w:rPr>
        <w:t>If you sign and submit your proxy card without voting instructions, your shares will be voted in accordance with the recommendation of the Board with respect to the Proposals and in accordance with the discretion of the holders of the proxy with respect to any other matters that may be voted upon.</w:t>
      </w:r>
    </w:p>
    <w:p>
      <w:pPr>
        <w:pStyle w:val="TextBody"/>
        <w:bidi w:val="0"/>
        <w:spacing w:lineRule="auto" w:line="288" w:before="300" w:after="180"/>
        <w:jc w:val="both"/>
        <w:rPr>
          <w:rFonts w:ascii="Lato;sans-serif" w:hAnsi="Lato;sans-serif"/>
          <w:b/>
          <w:color w:val="000000"/>
          <w:sz w:val="20"/>
        </w:rPr>
      </w:pPr>
      <w:r>
        <w:rPr>
          <w:rFonts w:ascii="Lato;sans-serif" w:hAnsi="Lato;sans-serif"/>
          <w:b/>
          <w:color w:val="000000"/>
          <w:sz w:val="20"/>
        </w:rPr>
        <w:t>How does the Board recommend that I vote?</w:t>
      </w:r>
    </w:p>
    <w:p>
      <w:pPr>
        <w:pStyle w:val="TextBody"/>
        <w:bidi w:val="0"/>
        <w:spacing w:lineRule="auto" w:line="288" w:before="180" w:after="180"/>
        <w:jc w:val="both"/>
        <w:rPr>
          <w:rFonts w:ascii="Lato;sans-serif" w:hAnsi="Lato;sans-serif"/>
          <w:b w:val="false"/>
          <w:color w:val="000000"/>
          <w:sz w:val="20"/>
        </w:rPr>
      </w:pPr>
      <w:r>
        <w:rPr>
          <w:rFonts w:ascii="Lato;sans-serif" w:hAnsi="Lato;sans-serif"/>
          <w:b w:val="false"/>
          <w:color w:val="000000"/>
          <w:sz w:val="20"/>
        </w:rPr>
        <w:t>Our Board recommends that you vote your shares:</w:t>
      </w:r>
    </w:p>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2743"/>
        <w:gridCol w:w="2672"/>
        <w:gridCol w:w="379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43" w:type="dxa"/>
            <w:tcBorders/>
            <w:vAlign w:val="center"/>
          </w:tcPr>
          <w:p>
            <w:pPr>
              <w:pStyle w:val="TableContents"/>
              <w:bidi w:val="0"/>
              <w:spacing w:before="0" w:after="283"/>
              <w:jc w:val="left"/>
              <w:rPr>
                <w:sz w:val="4"/>
                <w:szCs w:val="4"/>
              </w:rPr>
            </w:pPr>
            <w:r>
              <w:rPr>
                <w:sz w:val="4"/>
                <w:szCs w:val="4"/>
              </w:rPr>
            </w:r>
          </w:p>
        </w:tc>
        <w:tc>
          <w:tcPr>
            <w:tcW w:w="2672" w:type="dxa"/>
            <w:tcBorders/>
            <w:vAlign w:val="center"/>
          </w:tcPr>
          <w:p>
            <w:pPr>
              <w:pStyle w:val="TableContents"/>
              <w:bidi w:val="0"/>
              <w:spacing w:before="0" w:after="283"/>
              <w:jc w:val="left"/>
              <w:rPr>
                <w:sz w:val="4"/>
                <w:szCs w:val="4"/>
              </w:rPr>
            </w:pPr>
            <w:r>
              <w:rPr>
                <w:sz w:val="4"/>
                <w:szCs w:val="4"/>
              </w:rPr>
            </w:r>
          </w:p>
        </w:tc>
        <w:tc>
          <w:tcPr>
            <w:tcW w:w="379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20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r>
              <w:rPr>
                <w:rFonts w:ascii="Lato;sans-serif" w:hAnsi="Lato;sans-serif"/>
                <w:b w:val="false"/>
                <w:color w:val="000000"/>
                <w:sz w:val="20"/>
              </w:rPr>
              <w:t>FOR” the director nominees set forth in this Proxy Statement.</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9" w:type="dxa"/>
            <w:gridSpan w:val="3"/>
            <w:tcBorders/>
            <w:tcMar>
              <w:top w:w="0" w:type="dxa"/>
              <w:left w:w="0" w:type="dxa"/>
              <w:bottom w:w="0" w:type="dxa"/>
              <w:right w:w="0" w:type="dxa"/>
            </w:tcMar>
            <w:vAlign w:val="center"/>
          </w:tcPr>
          <w:p>
            <w:pPr>
              <w:pStyle w:val="TableContents"/>
              <w:bidi w:val="0"/>
              <w:spacing w:lineRule="auto" w:line="240" w:before="0" w:after="0"/>
              <w:jc w:val="left"/>
              <w:rPr>
                <w:color w:val="000000"/>
              </w:rPr>
            </w:pPr>
            <w:r>
              <w:rPr>
                <w:color w:val="000000"/>
              </w:rPr>
              <w:t>“</w:t>
            </w:r>
            <w:r>
              <w:rPr>
                <w:rFonts w:ascii="Lato;sans-serif" w:hAnsi="Lato;sans-serif"/>
                <w:b w:val="false"/>
                <w:color w:val="000000"/>
                <w:sz w:val="20"/>
              </w:rPr>
              <w:t>FOR” the ratification of the appointment of KPMG LLP as our independent registered public accounting firm for 2026.</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r>
              <w:rPr>
                <w:rFonts w:ascii="Lato;sans-serif" w:hAnsi="Lato;sans-serif"/>
                <w:b w:val="false"/>
                <w:color w:val="000000"/>
                <w:sz w:val="20"/>
              </w:rPr>
              <w:t>FOR” the approval, on a non-binding advisory basis, of the compensation of our named executive officers.</w:t>
            </w:r>
          </w:p>
        </w:tc>
      </w:tr>
    </w:tbl>
    <w:p>
      <w:pPr>
        <w:pStyle w:val="TextBody"/>
        <w:bidi w:val="0"/>
        <w:spacing w:lineRule="auto" w:line="288" w:before="300" w:after="180"/>
        <w:jc w:val="both"/>
        <w:rPr>
          <w:rFonts w:ascii="Lato;sans-serif" w:hAnsi="Lato;sans-serif"/>
          <w:b/>
          <w:color w:val="000000"/>
          <w:sz w:val="20"/>
        </w:rPr>
      </w:pPr>
      <w:r>
        <w:rPr>
          <w:rFonts w:ascii="Lato;sans-serif" w:hAnsi="Lato;sans-serif"/>
          <w:b/>
          <w:color w:val="000000"/>
          <w:sz w:val="20"/>
        </w:rPr>
        <w:t>Who will count the vote?</w:t>
      </w:r>
    </w:p>
    <w:p>
      <w:pPr>
        <w:pStyle w:val="TextBody"/>
        <w:bidi w:val="0"/>
        <w:spacing w:lineRule="auto" w:line="288" w:before="120" w:after="283"/>
        <w:jc w:val="both"/>
        <w:rPr/>
      </w:pPr>
      <w:r>
        <w:rPr>
          <w:rFonts w:ascii="Lato;sans-serif" w:hAnsi="Lato;sans-serif"/>
          <w:b w:val="false"/>
          <w:color w:val="000000"/>
          <w:sz w:val="20"/>
        </w:rPr>
        <w:t>A representative of Broadridge Financial Solutions, Inc. (“</w:t>
      </w:r>
      <w:r>
        <w:rPr>
          <w:rFonts w:ascii="Lato;sans-serif" w:hAnsi="Lato;sans-serif"/>
          <w:b/>
          <w:i/>
          <w:color w:val="000000"/>
          <w:sz w:val="20"/>
        </w:rPr>
        <w:t>Broadridge</w:t>
      </w:r>
      <w:r>
        <w:rPr>
          <w:color w:val="000000"/>
        </w:rPr>
        <w:t>”</w:t>
      </w:r>
      <w:r>
        <w:rPr>
          <w:rFonts w:ascii="Lato;sans-serif" w:hAnsi="Lato;sans-serif"/>
          <w:b w:val="false"/>
          <w:color w:val="000000"/>
          <w:sz w:val="20"/>
        </w:rPr>
        <w:t>) or its designee will tabulate the votes and act as the inspector of election.</w:t>
      </w:r>
    </w:p>
    <w:p>
      <w:pPr>
        <w:pStyle w:val="TextBody"/>
        <w:bidi w:val="0"/>
        <w:spacing w:lineRule="auto" w:line="288" w:before="300" w:after="180"/>
        <w:jc w:val="both"/>
        <w:rPr>
          <w:rFonts w:ascii="Lato;sans-serif" w:hAnsi="Lato;sans-serif"/>
          <w:b/>
          <w:color w:val="000000"/>
          <w:sz w:val="20"/>
        </w:rPr>
      </w:pPr>
      <w:r>
        <w:rPr>
          <w:rFonts w:ascii="Lato;sans-serif" w:hAnsi="Lato;sans-serif"/>
          <w:b/>
          <w:color w:val="000000"/>
          <w:sz w:val="20"/>
        </w:rPr>
        <w:t>How do I vote my shares without attending the Annual Meeting?</w:t>
      </w:r>
    </w:p>
    <w:p>
      <w:pPr>
        <w:pStyle w:val="TextBody"/>
        <w:bidi w:val="0"/>
        <w:spacing w:lineRule="auto" w:line="288" w:before="180" w:after="180"/>
        <w:jc w:val="both"/>
        <w:rPr>
          <w:rFonts w:ascii="Lato;sans-serif" w:hAnsi="Lato;sans-serif"/>
          <w:b w:val="false"/>
          <w:color w:val="000000"/>
          <w:sz w:val="20"/>
        </w:rPr>
      </w:pPr>
      <w:r>
        <w:rPr>
          <w:rFonts w:ascii="Lato;sans-serif" w:hAnsi="Lato;sans-serif"/>
          <w:b w:val="false"/>
          <w:color w:val="000000"/>
          <w:sz w:val="20"/>
        </w:rPr>
        <w:t>If you are a stockholder of record, you may vote by authorizing a proxy to vote on your behalf at the Annual Meeting. Specifically, you may authorize a proxy:</w:t>
      </w:r>
    </w:p>
    <w:p>
      <w:pPr>
        <w:pStyle w:val="TextBody"/>
        <w:bidi w:val="0"/>
        <w:spacing w:lineRule="auto" w:line="288" w:before="0" w:after="100"/>
        <w:ind w:left="0" w:right="0" w:hanging="360"/>
        <w:jc w:val="both"/>
        <w:rPr/>
      </w:pPr>
      <w:r>
        <w:rPr>
          <w:color w:val="000000"/>
        </w:rPr>
        <w:t>•</w:t>
      </w:r>
      <w:r>
        <w:rPr>
          <w:rFonts w:ascii="Lato;sans-serif" w:hAnsi="Lato;sans-serif"/>
          <w:b w:val="false"/>
          <w:color w:val="000000"/>
          <w:sz w:val="20"/>
        </w:rPr>
        <w:t>By Internet—If you have Internet access, you may submit your proxy by going to www.proxyvote.com and by following the instructions on how to complete an electronic proxy card. You will need the 16-digit number included on your proxy card in order to vote by Internet.</w:t>
      </w:r>
    </w:p>
    <w:p>
      <w:pPr>
        <w:pStyle w:val="TextBody"/>
        <w:bidi w:val="0"/>
        <w:spacing w:lineRule="auto" w:line="288" w:before="0" w:after="100"/>
        <w:ind w:left="0" w:right="0" w:hanging="360"/>
        <w:jc w:val="both"/>
        <w:rPr/>
      </w:pPr>
      <w:r>
        <w:rPr>
          <w:color w:val="000000"/>
        </w:rPr>
        <w:t>•</w:t>
      </w:r>
      <w:r>
        <w:rPr>
          <w:rFonts w:ascii="Lato;sans-serif" w:hAnsi="Lato;sans-serif"/>
          <w:b w:val="false"/>
          <w:color w:val="000000"/>
          <w:sz w:val="20"/>
        </w:rPr>
        <w:t>By Telephone—If you have access to a touch-tone telephone, you may submit your proxy by dialing 1-800-690-6903 and by following the recorded instructions. You will need the 16-digit number included on your proxy card in order to vote by telephone.</w:t>
      </w:r>
    </w:p>
    <w:p>
      <w:pPr>
        <w:pStyle w:val="TextBody"/>
        <w:bidi w:val="0"/>
        <w:spacing w:lineRule="auto" w:line="288" w:before="0" w:after="100"/>
        <w:ind w:left="0" w:right="0" w:hanging="360"/>
        <w:jc w:val="both"/>
        <w:rPr/>
      </w:pPr>
      <w:r>
        <w:rPr>
          <w:color w:val="000000"/>
        </w:rPr>
        <w:t>•</w:t>
      </w:r>
      <w:r>
        <w:rPr>
          <w:rFonts w:ascii="Lato;sans-serif" w:hAnsi="Lato;sans-serif"/>
          <w:b w:val="false"/>
          <w:color w:val="000000"/>
          <w:sz w:val="20"/>
        </w:rPr>
        <w:t>By Mail—You may vote by mail by signing and dating the proxy card where indicated and by mailing, or otherwise returning the card in the postage-paid envelope provided to you, to Vote Processing, c/o Broadridge, 51 Mercedes Way, Edgewood, NY 11717. You should sign your name exactly as it appears on the proxy card. If you are signing in a representative capacity (for example, as guardian, executor, trustee, custodian, attorney or officer of a corporation), indicate your name and title or capacity.</w:t>
      </w:r>
    </w:p>
    <w:p>
      <w:pPr>
        <w:pStyle w:val="TextBody"/>
        <w:bidi w:val="0"/>
        <w:spacing w:lineRule="auto" w:line="288" w:before="300" w:after="180"/>
        <w:jc w:val="both"/>
        <w:rPr>
          <w:rFonts w:ascii="Lato;sans-serif" w:hAnsi="Lato;sans-serif"/>
          <w:b/>
          <w:color w:val="000000"/>
          <w:sz w:val="20"/>
        </w:rPr>
      </w:pPr>
      <w:r>
        <w:rPr>
          <w:rFonts w:ascii="Lato;sans-serif" w:hAnsi="Lato;sans-serif"/>
          <w:b/>
          <w:color w:val="000000"/>
          <w:sz w:val="20"/>
        </w:rPr>
        <w:t>Internet and telephone voting facilities will close at 11:59 p.m., Eastern Time, on May 13, 2026, for the voting of shares held by stockholders of record as of the Record Date. Proxy cards with respect to shares held of record must be received no later than May 13, 2026.</w:t>
      </w:r>
    </w:p>
    <w:p>
      <w:pPr>
        <w:pStyle w:val="TextBody"/>
        <w:bidi w:val="0"/>
        <w:spacing w:lineRule="auto" w:line="288" w:before="120" w:after="283"/>
        <w:jc w:val="both"/>
        <w:rPr>
          <w:rFonts w:ascii="Lato;sans-serif" w:hAnsi="Lato;sans-serif"/>
          <w:b w:val="false"/>
          <w:color w:val="000000"/>
          <w:sz w:val="20"/>
        </w:rPr>
      </w:pPr>
      <w:r>
        <w:rPr>
          <w:rFonts w:ascii="Lato;sans-serif" w:hAnsi="Lato;sans-serif"/>
          <w:b w:val="false"/>
          <w:color w:val="000000"/>
          <w:sz w:val="20"/>
        </w:rPr>
        <w:t>If you hold your shares in street name, you may submit voting instructions to your broker, bank or other nominee. In most instances, you will be able to do this over the Internet, by telephone or by mail. Please refer to information from your bank, broker or other nominee on how to submit voting instructions.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352425"/>
                <wp:effectExtent l="0" t="0" r="0" b="0"/>
                <wp:wrapNone/>
                <wp:docPr id="13" name="Frame9"/>
                <a:graphic xmlns:a="http://schemas.openxmlformats.org/drawingml/2006/main">
                  <a:graphicData uri="http://schemas.microsoft.com/office/word/2010/wordprocessingShape">
                    <wps:wsp>
                      <wps:cNvSpPr txBox="1"/>
                      <wps:spPr>
                        <a:xfrm>
                          <a:off x="0" y="0"/>
                          <a:ext cx="6480175" cy="352425"/>
                        </a:xfrm>
                        <a:prstGeom prst="rect"/>
                        <a:solidFill>
                          <a:srgbClr val="FFFFFF"/>
                        </a:solidFill>
                      </wps:spPr>
                      <wps:txbx>
                        <w:txbxContent>
                          <w:p>
                            <w:pPr>
                              <w:pStyle w:val="TextBody"/>
                              <w:bidi w:val="0"/>
                              <w:spacing w:lineRule="auto" w:line="288" w:before="0" w:after="0"/>
                              <w:jc w:val="center"/>
                              <w:rPr>
                                <w:rFonts w:ascii="Lato;sans-serif" w:hAnsi="Lato;sans-serif"/>
                                <w:b w:val="false"/>
                                <w:color w:val="000000"/>
                                <w:sz w:val="20"/>
                              </w:rPr>
                            </w:pPr>
                            <w:r>
                              <w:rPr>
                                <w:rFonts w:ascii="Lato;sans-serif" w:hAnsi="Lato;sans-serif"/>
                                <w:b w:val="false"/>
                                <w:color w:val="000000"/>
                                <w:sz w:val="20"/>
                              </w:rPr>
                              <w:t>3</w:t>
                            </w:r>
                          </w:p>
                          <w:p>
                            <w:pPr>
                              <w:pStyle w:val="TextBody"/>
                              <w:bidi w:val="0"/>
                              <w:spacing w:lineRule="auto" w:line="288" w:before="0" w:after="0"/>
                              <w:jc w:val="left"/>
                              <w:rPr>
                                <w:color w:val="000000"/>
                              </w:rPr>
                            </w:pPr>
                            <w:r>
                              <w:rPr>
                                <w:color w:val="000000"/>
                              </w:rPr>
                              <w:t>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Lato;sans-serif" w:hAnsi="Lato;sans-serif"/>
                          <w:b w:val="false"/>
                          <w:color w:val="000000"/>
                          <w:sz w:val="20"/>
                        </w:rPr>
                      </w:pPr>
                      <w:r>
                        <w:rPr>
                          <w:rFonts w:ascii="Lato;sans-serif" w:hAnsi="Lato;sans-serif"/>
                          <w:b w:val="false"/>
                          <w:color w:val="000000"/>
                          <w:sz w:val="20"/>
                        </w:rPr>
                        <w:t>3</w:t>
                      </w:r>
                    </w:p>
                    <w:p>
                      <w:pPr>
                        <w:pStyle w:val="TextBody"/>
                        <w:bidi w:val="0"/>
                        <w:spacing w:lineRule="auto" w:line="288" w:before="0" w:after="0"/>
                        <w:jc w:val="left"/>
                        <w:rPr>
                          <w:color w:val="000000"/>
                        </w:rPr>
                      </w:pPr>
                      <w:r>
                        <w:rPr>
                          <w:color w:val="000000"/>
                        </w:rPr>
                        <w:t>        </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300" w:after="180"/>
        <w:jc w:val="both"/>
        <w:rPr>
          <w:rFonts w:ascii="Lato;sans-serif" w:hAnsi="Lato;sans-serif"/>
          <w:b/>
          <w:color w:val="000000"/>
          <w:sz w:val="20"/>
        </w:rPr>
      </w:pPr>
      <w:r>
        <w:rPr>
          <w:rFonts w:ascii="Lato;sans-serif" w:hAnsi="Lato;sans-serif"/>
          <w:b/>
          <w:color w:val="000000"/>
          <w:sz w:val="20"/>
        </w:rPr>
        <w:t>How do I attend and vote my shares at the Virtual Annual Meeting?</w:t>
      </w:r>
    </w:p>
    <w:p>
      <w:pPr>
        <w:pStyle w:val="TextBody"/>
        <w:bidi w:val="0"/>
        <w:spacing w:lineRule="auto" w:line="288" w:before="120" w:after="180"/>
        <w:jc w:val="both"/>
        <w:rPr>
          <w:rFonts w:ascii="Lato;sans-serif" w:hAnsi="Lato;sans-serif"/>
          <w:b w:val="false"/>
          <w:color w:val="000000"/>
          <w:sz w:val="20"/>
        </w:rPr>
      </w:pPr>
      <w:r>
        <w:rPr>
          <w:rFonts w:ascii="Lato;sans-serif" w:hAnsi="Lato;sans-serif"/>
          <w:b w:val="false"/>
          <w:color w:val="000000"/>
          <w:sz w:val="20"/>
        </w:rPr>
        <w:t>This year’s Annual Meeting will be a completely “virtual” meeting of stockholders. The virtual shareholder meeting webcast, hosted by Broadridge, allows all stockholders to join the meeting, regardless of location. We aim to provide stockholders the same rights and comparable opportunities for participation that could be provided at an in-person meeting. You may attend the Annual Meeting via the Internet. Any stockholder can attend the Annual Meeting live online at www.virtualshareholdermeeting.com/GTM2026. If you virtually attend the Annual Meeting you can vote your shares electronically, and submit your questions during the Annual Meeting, by visiting www.virtualshareholdermeeting.com/GTM2026. A summary of the information you need to attend the Annual Meeting and vote via the Internet is provided below:</w:t>
      </w:r>
    </w:p>
    <w:p>
      <w:pPr>
        <w:pStyle w:val="TextBody"/>
        <w:bidi w:val="0"/>
        <w:spacing w:lineRule="auto" w:line="288" w:before="0" w:after="100"/>
        <w:ind w:left="0" w:right="0" w:hanging="360"/>
        <w:jc w:val="both"/>
        <w:rPr/>
      </w:pPr>
      <w:r>
        <w:rPr>
          <w:color w:val="000000"/>
        </w:rPr>
        <w:t>•</w:t>
      </w:r>
      <w:r>
        <w:rPr>
          <w:rFonts w:ascii="Lato;sans-serif" w:hAnsi="Lato;sans-serif"/>
          <w:b w:val="false"/>
          <w:color w:val="000000"/>
          <w:sz w:val="20"/>
        </w:rPr>
        <w:t>Instructions on how to attend and participate via the Internet, including how to demonstrate proof of stock ownership, are posted at www.virtualshareholdermeeting.com/GTM2026.</w:t>
      </w:r>
    </w:p>
    <w:p>
      <w:pPr>
        <w:pStyle w:val="TextBody"/>
        <w:bidi w:val="0"/>
        <w:spacing w:lineRule="auto" w:line="288" w:before="0" w:after="100"/>
        <w:ind w:left="0" w:right="0" w:hanging="360"/>
        <w:jc w:val="both"/>
        <w:rPr/>
      </w:pPr>
      <w:r>
        <w:rPr>
          <w:color w:val="000000"/>
        </w:rPr>
        <w:t>•</w:t>
      </w:r>
      <w:r>
        <w:rPr>
          <w:rFonts w:ascii="Lato;sans-serif" w:hAnsi="Lato;sans-serif"/>
          <w:b w:val="false"/>
          <w:color w:val="000000"/>
          <w:sz w:val="20"/>
        </w:rPr>
        <w:t>Assistance with questions regarding how to attend and participate via the Internet will be provided at www.virtualshareholdermeeting.com/GTM2026 on the day of the Annual Meeting. We encourage you to access the meeting webcast prior to the start time. Online access will begin at 11:45 a.m. Eastern Time on May 14, 2026. If you encounter difficulties joining the Annual Meeting webcast during check-in at the meeting time, please check your internet connectivity and contact our voting intermediary, Broadridge.</w:t>
      </w:r>
    </w:p>
    <w:p>
      <w:pPr>
        <w:pStyle w:val="TextBody"/>
        <w:bidi w:val="0"/>
        <w:spacing w:lineRule="auto" w:line="288" w:before="0" w:after="100"/>
        <w:ind w:left="0" w:right="0" w:hanging="360"/>
        <w:jc w:val="left"/>
        <w:rPr/>
      </w:pPr>
      <w:r>
        <w:rPr>
          <w:color w:val="000000"/>
        </w:rPr>
        <w:t>•</w:t>
      </w:r>
      <w:r>
        <w:rPr>
          <w:rFonts w:ascii="Lato;sans-serif" w:hAnsi="Lato;sans-serif"/>
          <w:b w:val="false"/>
          <w:color w:val="000000"/>
          <w:sz w:val="20"/>
        </w:rPr>
        <w:t>Stockholders may vote and submit questions while attending the Annual Meeting via the Internet. Rules of conduct for the Annual Meeting will be available once you access the meeting webcast and will also be available on the Annual Meeting website at www.virtualshareholdermeeting.com/GTM2026. A replay of the Annual Meeting will be available at www.virtualshareholdermeeting.com/GTM2026 following the meeting.</w:t>
      </w:r>
    </w:p>
    <w:p>
      <w:pPr>
        <w:pStyle w:val="TextBody"/>
        <w:bidi w:val="0"/>
        <w:spacing w:lineRule="auto" w:line="288" w:before="0" w:after="100"/>
        <w:ind w:left="0" w:right="0" w:hanging="360"/>
        <w:jc w:val="both"/>
        <w:rPr/>
      </w:pPr>
      <w:r>
        <w:rPr>
          <w:color w:val="000000"/>
        </w:rPr>
        <w:t>•</w:t>
      </w:r>
      <w:r>
        <w:rPr>
          <w:rFonts w:ascii="Lato;sans-serif" w:hAnsi="Lato;sans-serif"/>
          <w:b w:val="false"/>
          <w:color w:val="000000"/>
          <w:sz w:val="20"/>
        </w:rPr>
        <w:t>You will need the 16-digit number that is included in your proxy card or the instructions that accompanied your proxy materials in order to enter the Annual Meeting, ask any questions and vote during the Annual Meeting.</w:t>
      </w:r>
    </w:p>
    <w:p>
      <w:pPr>
        <w:pStyle w:val="TextBody"/>
        <w:bidi w:val="0"/>
        <w:spacing w:lineRule="auto" w:line="288" w:before="300" w:after="180"/>
        <w:jc w:val="both"/>
        <w:rPr>
          <w:rFonts w:ascii="Lato;sans-serif" w:hAnsi="Lato;sans-serif"/>
          <w:b/>
          <w:color w:val="000000"/>
          <w:sz w:val="20"/>
        </w:rPr>
      </w:pPr>
      <w:r>
        <w:rPr>
          <w:rFonts w:ascii="Lato;sans-serif" w:hAnsi="Lato;sans-serif"/>
          <w:b/>
          <w:color w:val="000000"/>
          <w:sz w:val="20"/>
        </w:rPr>
        <w:t>Will I be able to participate in the online Annual Meeting on the same basis I would be able to participate in a live annual meeting?</w:t>
      </w:r>
    </w:p>
    <w:p>
      <w:pPr>
        <w:pStyle w:val="TextBody"/>
        <w:bidi w:val="0"/>
        <w:spacing w:lineRule="auto" w:line="288" w:before="180" w:after="180"/>
        <w:jc w:val="both"/>
        <w:rPr>
          <w:rFonts w:ascii="Lato;sans-serif" w:hAnsi="Lato;sans-serif"/>
          <w:b w:val="false"/>
          <w:color w:val="000000"/>
          <w:sz w:val="20"/>
        </w:rPr>
      </w:pPr>
      <w:r>
        <w:rPr>
          <w:rFonts w:ascii="Lato;sans-serif" w:hAnsi="Lato;sans-serif"/>
          <w:b w:val="false"/>
          <w:color w:val="000000"/>
          <w:sz w:val="20"/>
        </w:rPr>
        <w:t>The Annual Meeting will be held in a virtual meeting format only and will be conducted via live audio webcast. The online meeting format for the Annual Meeting will enable full and equal participation by all our stockholders from any place in the world at little to no cost.</w:t>
      </w:r>
    </w:p>
    <w:p>
      <w:pPr>
        <w:pStyle w:val="TextBody"/>
        <w:bidi w:val="0"/>
        <w:spacing w:lineRule="auto" w:line="288" w:before="240" w:after="120"/>
        <w:jc w:val="both"/>
        <w:rPr>
          <w:rFonts w:ascii="Lato;sans-serif" w:hAnsi="Lato;sans-serif"/>
          <w:b w:val="false"/>
          <w:color w:val="000000"/>
          <w:sz w:val="20"/>
        </w:rPr>
      </w:pPr>
      <w:r>
        <w:rPr>
          <w:rFonts w:ascii="Lato;sans-serif" w:hAnsi="Lato;sans-serif"/>
          <w:b w:val="false"/>
          <w:color w:val="000000"/>
          <w:sz w:val="20"/>
        </w:rPr>
        <w:t>We designed the format of the online Annual Meeting to ensure that our stockholders who attend our Annual Meeting will be afforded the same rights and opportunities to participate as they would at an in-person meeting and to enhance stockholder access, participation and communication through online tools. We plan to take the following steps to provide for such an experience:</w:t>
      </w:r>
    </w:p>
    <w:p>
      <w:pPr>
        <w:pStyle w:val="TextBody"/>
        <w:bidi w:val="0"/>
        <w:spacing w:lineRule="auto" w:line="288" w:before="0" w:after="100"/>
        <w:ind w:left="0" w:right="0" w:hanging="360"/>
        <w:jc w:val="both"/>
        <w:rPr/>
      </w:pPr>
      <w:r>
        <w:rPr>
          <w:color w:val="000000"/>
        </w:rPr>
        <w:t>•</w:t>
      </w:r>
      <w:r>
        <w:rPr>
          <w:rFonts w:ascii="Lato;sans-serif" w:hAnsi="Lato;sans-serif"/>
          <w:b w:val="false"/>
          <w:color w:val="000000"/>
          <w:sz w:val="20"/>
        </w:rPr>
        <w:t>Providing stockholders with the ability to submit questions up to 15 minutes in advance of and during the meeting after entering their 16-digit control number;</w:t>
      </w:r>
    </w:p>
    <w:p>
      <w:pPr>
        <w:pStyle w:val="TextBody"/>
        <w:bidi w:val="0"/>
        <w:spacing w:lineRule="auto" w:line="288" w:before="0" w:after="100"/>
        <w:ind w:left="0" w:right="0" w:hanging="360"/>
        <w:jc w:val="both"/>
        <w:rPr/>
      </w:pPr>
      <w:r>
        <w:rPr>
          <w:color w:val="000000"/>
        </w:rPr>
        <w:t>•</w:t>
      </w:r>
      <w:r>
        <w:rPr>
          <w:rFonts w:ascii="Lato;sans-serif" w:hAnsi="Lato;sans-serif"/>
          <w:b w:val="false"/>
          <w:color w:val="000000"/>
          <w:sz w:val="20"/>
        </w:rPr>
        <w:t>Providing stockholders with the ability to submit questions real-time via the meeting website, in accordance with the rules of conduct posted to the Annual Meeting website; and</w:t>
      </w:r>
    </w:p>
    <w:p>
      <w:pPr>
        <w:pStyle w:val="TextBody"/>
        <w:bidi w:val="0"/>
        <w:spacing w:lineRule="auto" w:line="288" w:before="0" w:after="100"/>
        <w:ind w:left="0" w:right="0" w:hanging="360"/>
        <w:jc w:val="both"/>
        <w:rPr/>
      </w:pPr>
      <w:r>
        <w:rPr>
          <w:color w:val="000000"/>
        </w:rPr>
        <w:t>•</w:t>
      </w:r>
      <w:r>
        <w:rPr>
          <w:rFonts w:ascii="Lato;sans-serif" w:hAnsi="Lato;sans-serif"/>
          <w:b w:val="false"/>
          <w:color w:val="000000"/>
          <w:sz w:val="20"/>
        </w:rPr>
        <w:t>Answering as many questions submitted in accordance with the meeting rules of conduct as possible in the time allotted for the meeting.</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352425"/>
                <wp:effectExtent l="0" t="0" r="0" b="0"/>
                <wp:wrapNone/>
                <wp:docPr id="14" name="Frame10"/>
                <a:graphic xmlns:a="http://schemas.openxmlformats.org/drawingml/2006/main">
                  <a:graphicData uri="http://schemas.microsoft.com/office/word/2010/wordprocessingShape">
                    <wps:wsp>
                      <wps:cNvSpPr txBox="1"/>
                      <wps:spPr>
                        <a:xfrm>
                          <a:off x="0" y="0"/>
                          <a:ext cx="6480175" cy="352425"/>
                        </a:xfrm>
                        <a:prstGeom prst="rect"/>
                        <a:solidFill>
                          <a:srgbClr val="FFFFFF"/>
                        </a:solidFill>
                      </wps:spPr>
                      <wps:txbx>
                        <w:txbxContent>
                          <w:p>
                            <w:pPr>
                              <w:pStyle w:val="TextBody"/>
                              <w:bidi w:val="0"/>
                              <w:spacing w:lineRule="auto" w:line="288" w:before="0" w:after="0"/>
                              <w:jc w:val="center"/>
                              <w:rPr>
                                <w:rFonts w:ascii="Lato;sans-serif" w:hAnsi="Lato;sans-serif"/>
                                <w:b w:val="false"/>
                                <w:color w:val="000000"/>
                                <w:sz w:val="20"/>
                              </w:rPr>
                            </w:pPr>
                            <w:r>
                              <w:rPr>
                                <w:rFonts w:ascii="Lato;sans-serif" w:hAnsi="Lato;sans-serif"/>
                                <w:b w:val="false"/>
                                <w:color w:val="000000"/>
                                <w:sz w:val="20"/>
                              </w:rPr>
                              <w:t>4</w:t>
                            </w:r>
                          </w:p>
                          <w:p>
                            <w:pPr>
                              <w:pStyle w:val="TextBody"/>
                              <w:bidi w:val="0"/>
                              <w:spacing w:lineRule="auto" w:line="288" w:before="0" w:after="0"/>
                              <w:jc w:val="left"/>
                              <w:rPr>
                                <w:color w:val="000000"/>
                              </w:rPr>
                            </w:pPr>
                            <w:r>
                              <w:rPr>
                                <w:color w:val="000000"/>
                              </w:rPr>
                              <w:t>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Lato;sans-serif" w:hAnsi="Lato;sans-serif"/>
                          <w:b w:val="false"/>
                          <w:color w:val="000000"/>
                          <w:sz w:val="20"/>
                        </w:rPr>
                      </w:pPr>
                      <w:r>
                        <w:rPr>
                          <w:rFonts w:ascii="Lato;sans-serif" w:hAnsi="Lato;sans-serif"/>
                          <w:b w:val="false"/>
                          <w:color w:val="000000"/>
                          <w:sz w:val="20"/>
                        </w:rPr>
                        <w:t>4</w:t>
                      </w:r>
                    </w:p>
                    <w:p>
                      <w:pPr>
                        <w:pStyle w:val="TextBody"/>
                        <w:bidi w:val="0"/>
                        <w:spacing w:lineRule="auto" w:line="288" w:before="0" w:after="0"/>
                        <w:jc w:val="left"/>
                        <w:rPr>
                          <w:color w:val="000000"/>
                        </w:rPr>
                      </w:pPr>
                      <w:r>
                        <w:rPr>
                          <w:color w:val="000000"/>
                        </w:rPr>
                        <w:t>        </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80" w:after="180"/>
        <w:jc w:val="both"/>
        <w:rPr>
          <w:rFonts w:ascii="Lato;sans-serif" w:hAnsi="Lato;sans-serif"/>
          <w:b w:val="false"/>
          <w:color w:val="000000"/>
          <w:sz w:val="20"/>
        </w:rPr>
      </w:pPr>
      <w:r>
        <w:rPr>
          <w:rFonts w:ascii="Lato;sans-serif" w:hAnsi="Lato;sans-serif"/>
          <w:b w:val="false"/>
          <w:color w:val="000000"/>
          <w:sz w:val="20"/>
        </w:rPr>
        <w:t>You can submit questions in writing to the virtual meeting website during the Annual Meeting. You must first join the meeting with your control number as described above, click on the “Q&amp;A” tab, type the question into the “Submit a question” field, and click “Submit.” We intend to answer questions pertinent to Company matters as time allows during the meeting. Questions that are substantially similar may be grouped and answered once to avoid repetition. Stockholder questions related to matters that are not pertinent to Annual Meeting matters, or that are otherwise out of order or not suitable for the conduct of the Annual Meeting will not be addressed during the meeting. If there are any matters of individual concern to a stockholder and not of general concern to all stockholders, or if a question posed is not otherwise answered, during the Annual Meeting, those matters or questions may be raised separately after the Annual Meeting by contacting our Investor Relations department.</w:t>
      </w:r>
    </w:p>
    <w:p>
      <w:pPr>
        <w:pStyle w:val="TextBody"/>
        <w:bidi w:val="0"/>
        <w:spacing w:lineRule="auto" w:line="288" w:before="300" w:after="180"/>
        <w:jc w:val="left"/>
        <w:rPr>
          <w:rFonts w:ascii="Lato;sans-serif" w:hAnsi="Lato;sans-serif"/>
          <w:b/>
          <w:color w:val="000000"/>
          <w:sz w:val="20"/>
        </w:rPr>
      </w:pPr>
      <w:r>
        <w:rPr>
          <w:rFonts w:ascii="Lato;sans-serif" w:hAnsi="Lato;sans-serif"/>
          <w:b/>
          <w:color w:val="000000"/>
          <w:sz w:val="20"/>
        </w:rPr>
        <w:t>Why did I receive a notice in the mail regarding Internet availability of the proxy materials instead of a paper copy of the full set of proxy materials?</w:t>
      </w:r>
    </w:p>
    <w:p>
      <w:pPr>
        <w:pStyle w:val="TextBody"/>
        <w:bidi w:val="0"/>
        <w:spacing w:lineRule="auto" w:line="288" w:before="180" w:after="180"/>
        <w:jc w:val="both"/>
        <w:rPr>
          <w:rFonts w:ascii="Lato;sans-serif" w:hAnsi="Lato;sans-serif"/>
          <w:b w:val="false"/>
          <w:color w:val="000000"/>
          <w:sz w:val="20"/>
        </w:rPr>
      </w:pPr>
      <w:r>
        <w:rPr>
          <w:rFonts w:ascii="Lato;sans-serif" w:hAnsi="Lato;sans-serif"/>
          <w:b w:val="false"/>
          <w:color w:val="000000"/>
          <w:sz w:val="20"/>
        </w:rPr>
        <w:t>Similar to prior years, we are relying on the SEC rule that allows companies to furnish their proxy materials over the Internet in order to promote efficiency and accessibility. As a result, we are mailing to many of our stockholders a Notice of Internet Availability of the proxy materials instead of a paper copy of the proxy materials. All stockholders receiving the Notice of Internet Availability will have the ability to access the proxy materials over the Internet.</w:t>
      </w:r>
    </w:p>
    <w:p>
      <w:pPr>
        <w:pStyle w:val="TextBody"/>
        <w:bidi w:val="0"/>
        <w:spacing w:lineRule="auto" w:line="288" w:before="180" w:after="180"/>
        <w:jc w:val="both"/>
        <w:rPr>
          <w:rFonts w:ascii="Lato;sans-serif" w:hAnsi="Lato;sans-serif"/>
          <w:b w:val="false"/>
          <w:color w:val="000000"/>
          <w:sz w:val="20"/>
        </w:rPr>
      </w:pPr>
      <w:r>
        <w:rPr>
          <w:rFonts w:ascii="Lato;sans-serif" w:hAnsi="Lato;sans-serif"/>
          <w:b w:val="false"/>
          <w:color w:val="000000"/>
          <w:sz w:val="20"/>
        </w:rPr>
        <w:t>For stockholders who have previously requested to receive paper copies of the proxy materials, we are providing paper copies of the proxy materials instead of a Notice of Internet Availability of the proxy materials.</w:t>
      </w:r>
    </w:p>
    <w:p>
      <w:pPr>
        <w:pStyle w:val="TextBody"/>
        <w:bidi w:val="0"/>
        <w:spacing w:lineRule="auto" w:line="288" w:before="300" w:after="180"/>
        <w:jc w:val="both"/>
        <w:rPr>
          <w:rFonts w:ascii="Lato;sans-serif" w:hAnsi="Lato;sans-serif"/>
          <w:b/>
          <w:color w:val="000000"/>
          <w:sz w:val="20"/>
        </w:rPr>
      </w:pPr>
      <w:r>
        <w:rPr>
          <w:rFonts w:ascii="Lato;sans-serif" w:hAnsi="Lato;sans-serif"/>
          <w:b/>
          <w:color w:val="000000"/>
          <w:sz w:val="20"/>
        </w:rPr>
        <w:t>What does it mean if I receive more than one proxy card on or about the same time?</w:t>
      </w:r>
    </w:p>
    <w:p>
      <w:pPr>
        <w:pStyle w:val="TextBody"/>
        <w:bidi w:val="0"/>
        <w:spacing w:lineRule="auto" w:line="288" w:before="180" w:after="180"/>
        <w:jc w:val="both"/>
        <w:rPr>
          <w:rFonts w:ascii="Lato;sans-serif" w:hAnsi="Lato;sans-serif"/>
          <w:b w:val="false"/>
          <w:color w:val="000000"/>
          <w:sz w:val="20"/>
        </w:rPr>
      </w:pPr>
      <w:r>
        <w:rPr>
          <w:rFonts w:ascii="Lato;sans-serif" w:hAnsi="Lato;sans-serif"/>
          <w:b w:val="false"/>
          <w:color w:val="000000"/>
          <w:sz w:val="20"/>
        </w:rPr>
        <w:t>It generally means you hold shares registered in more than one account. To ensure that all your shares are voted, please sign and return each proxy card or, if you vote by Internet or telephone, vote once for each proxy card you receive.</w:t>
      </w:r>
    </w:p>
    <w:p>
      <w:pPr>
        <w:pStyle w:val="TextBody"/>
        <w:bidi w:val="0"/>
        <w:spacing w:lineRule="auto" w:line="288" w:before="300" w:after="180"/>
        <w:jc w:val="both"/>
        <w:rPr>
          <w:rFonts w:ascii="Lato;sans-serif" w:hAnsi="Lato;sans-serif"/>
          <w:b/>
          <w:color w:val="000000"/>
          <w:sz w:val="20"/>
        </w:rPr>
      </w:pPr>
      <w:r>
        <w:rPr>
          <w:rFonts w:ascii="Lato;sans-serif" w:hAnsi="Lato;sans-serif"/>
          <w:b/>
          <w:color w:val="000000"/>
          <w:sz w:val="20"/>
        </w:rPr>
        <w:t>May I change my vote or revoke my proxy?</w:t>
      </w:r>
    </w:p>
    <w:p>
      <w:pPr>
        <w:pStyle w:val="TextBody"/>
        <w:bidi w:val="0"/>
        <w:spacing w:lineRule="auto" w:line="288" w:before="180" w:after="180"/>
        <w:jc w:val="both"/>
        <w:rPr>
          <w:rFonts w:ascii="Lato;sans-serif" w:hAnsi="Lato;sans-serif"/>
          <w:b w:val="false"/>
          <w:color w:val="000000"/>
          <w:sz w:val="20"/>
        </w:rPr>
      </w:pPr>
      <w:r>
        <w:rPr>
          <w:rFonts w:ascii="Lato;sans-serif" w:hAnsi="Lato;sans-serif"/>
          <w:b w:val="false"/>
          <w:color w:val="000000"/>
          <w:sz w:val="20"/>
        </w:rPr>
        <w:t>Yes. Whether you have voted by Internet, telephone or mail, if you are a stockholder of record, you may change your vote and revoke your proxy by:</w:t>
      </w:r>
    </w:p>
    <w:p>
      <w:pPr>
        <w:pStyle w:val="TextBody"/>
        <w:bidi w:val="0"/>
        <w:spacing w:lineRule="auto" w:line="288" w:before="0" w:after="100"/>
        <w:ind w:left="0" w:right="0" w:hanging="360"/>
        <w:jc w:val="left"/>
        <w:rPr/>
      </w:pPr>
      <w:r>
        <w:rPr>
          <w:color w:val="000000"/>
        </w:rPr>
        <w:t>•</w:t>
      </w:r>
      <w:r>
        <w:rPr>
          <w:rFonts w:ascii="Lato;sans-serif" w:hAnsi="Lato;sans-serif"/>
          <w:b w:val="false"/>
          <w:color w:val="000000"/>
          <w:sz w:val="20"/>
        </w:rPr>
        <w:t>Sending a written statement to that effect to our Secretary, provided such statement is received no later than May 13, 2026;</w:t>
      </w:r>
    </w:p>
    <w:p>
      <w:pPr>
        <w:pStyle w:val="TextBody"/>
        <w:bidi w:val="0"/>
        <w:spacing w:lineRule="auto" w:line="288" w:before="0" w:after="100"/>
        <w:ind w:left="0" w:right="0" w:hanging="360"/>
        <w:jc w:val="left"/>
        <w:rPr/>
      </w:pPr>
      <w:r>
        <w:rPr>
          <w:color w:val="000000"/>
        </w:rPr>
        <w:t>•</w:t>
      </w:r>
      <w:r>
        <w:rPr>
          <w:rFonts w:ascii="Lato;sans-serif" w:hAnsi="Lato;sans-serif"/>
          <w:b w:val="false"/>
          <w:color w:val="000000"/>
          <w:sz w:val="20"/>
        </w:rPr>
        <w:t>Voting by Internet or telephone at a later time than your previous vote and before the closing of those voting facilities at 11:59 p.m., Eastern Time, on May 13, 2026;</w:t>
      </w:r>
    </w:p>
    <w:p>
      <w:pPr>
        <w:pStyle w:val="TextBody"/>
        <w:bidi w:val="0"/>
        <w:spacing w:lineRule="auto" w:line="288" w:before="0" w:after="100"/>
        <w:ind w:left="0" w:right="0" w:hanging="360"/>
        <w:jc w:val="left"/>
        <w:rPr/>
      </w:pPr>
      <w:r>
        <w:rPr>
          <w:color w:val="000000"/>
        </w:rPr>
        <w:t>•</w:t>
      </w:r>
      <w:r>
        <w:rPr>
          <w:rFonts w:ascii="Lato;sans-serif" w:hAnsi="Lato;sans-serif"/>
          <w:b w:val="false"/>
          <w:color w:val="000000"/>
          <w:sz w:val="20"/>
        </w:rPr>
        <w:t>Submitting a properly signed proxy card, which has a later date than your previous vote, and that is received no later than May 13, 2026; or</w:t>
      </w:r>
    </w:p>
    <w:p>
      <w:pPr>
        <w:pStyle w:val="TextBody"/>
        <w:bidi w:val="0"/>
        <w:spacing w:lineRule="auto" w:line="288" w:before="0" w:after="100"/>
        <w:ind w:left="0" w:right="0" w:hanging="360"/>
        <w:jc w:val="left"/>
        <w:rPr/>
      </w:pPr>
      <w:r>
        <w:rPr>
          <w:color w:val="000000"/>
        </w:rPr>
        <w:t>•</w:t>
      </w:r>
      <w:r>
        <w:rPr>
          <w:rFonts w:ascii="Lato;sans-serif" w:hAnsi="Lato;sans-serif"/>
          <w:b w:val="false"/>
          <w:color w:val="000000"/>
          <w:sz w:val="20"/>
        </w:rPr>
        <w:t>Attending the Annual Meeting and voting (although attendance at the Annual Meeting will not, by itself, revoke a proxy). A stockholder's last vote is the vote that will be counted.</w:t>
      </w:r>
    </w:p>
    <w:p>
      <w:pPr>
        <w:pStyle w:val="TextBody"/>
        <w:bidi w:val="0"/>
        <w:spacing w:lineRule="auto" w:line="288" w:before="180" w:after="180"/>
        <w:jc w:val="both"/>
        <w:rPr>
          <w:rFonts w:ascii="Lato;sans-serif" w:hAnsi="Lato;sans-serif"/>
          <w:b w:val="false"/>
          <w:color w:val="000000"/>
          <w:sz w:val="20"/>
        </w:rPr>
      </w:pPr>
      <w:r>
        <w:rPr>
          <w:rFonts w:ascii="Lato;sans-serif" w:hAnsi="Lato;sans-serif"/>
          <w:b w:val="false"/>
          <w:color w:val="000000"/>
          <w:sz w:val="20"/>
        </w:rPr>
        <w:t>If you hold shares in street name, please refer to information from your bank, broker or other nominee on how to revoke or submit new voting instructions.</w:t>
      </w:r>
    </w:p>
    <w:p>
      <w:pPr>
        <w:pStyle w:val="TextBody"/>
        <w:bidi w:val="0"/>
        <w:spacing w:lineRule="auto" w:line="288" w:before="300" w:after="180"/>
        <w:jc w:val="both"/>
        <w:rPr>
          <w:rFonts w:ascii="Lato;sans-serif" w:hAnsi="Lato;sans-serif"/>
          <w:b/>
          <w:color w:val="000000"/>
          <w:sz w:val="20"/>
        </w:rPr>
      </w:pPr>
      <w:r>
        <w:rPr>
          <w:rFonts w:ascii="Lato;sans-serif" w:hAnsi="Lato;sans-serif"/>
          <w:b/>
          <w:color w:val="000000"/>
          <w:sz w:val="20"/>
        </w:rPr>
        <w:t>Could other matters be decided at the Annual Meeting?</w:t>
      </w:r>
    </w:p>
    <w:p>
      <w:pPr>
        <w:pStyle w:val="TextBody"/>
        <w:bidi w:val="0"/>
        <w:spacing w:lineRule="auto" w:line="288" w:before="180" w:after="180"/>
        <w:jc w:val="both"/>
        <w:rPr>
          <w:rFonts w:ascii="Lato;sans-serif" w:hAnsi="Lato;sans-serif"/>
          <w:b w:val="false"/>
          <w:color w:val="000000"/>
          <w:sz w:val="20"/>
        </w:rPr>
      </w:pPr>
      <w:r>
        <w:rPr>
          <w:rFonts w:ascii="Lato;sans-serif" w:hAnsi="Lato;sans-serif"/>
          <w:b w:val="false"/>
          <w:color w:val="000000"/>
          <w:sz w:val="20"/>
        </w:rPr>
        <w:t>As of the date of this Proxy Statement, we do not know of any matters to be raised at the Annual Meeting other than those referred to in this Proxy Statement. If other matters are properly presented at the Annual Meeting for consideration and you are a stockholder of record and have submitted a proxy card, the persons named in your proxy card will have the discretion to vote on those matters for you.</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352425"/>
                <wp:effectExtent l="0" t="0" r="0" b="0"/>
                <wp:wrapNone/>
                <wp:docPr id="15" name="Frame11"/>
                <a:graphic xmlns:a="http://schemas.openxmlformats.org/drawingml/2006/main">
                  <a:graphicData uri="http://schemas.microsoft.com/office/word/2010/wordprocessingShape">
                    <wps:wsp>
                      <wps:cNvSpPr txBox="1"/>
                      <wps:spPr>
                        <a:xfrm>
                          <a:off x="0" y="0"/>
                          <a:ext cx="6480175" cy="352425"/>
                        </a:xfrm>
                        <a:prstGeom prst="rect"/>
                        <a:solidFill>
                          <a:srgbClr val="FFFFFF"/>
                        </a:solidFill>
                      </wps:spPr>
                      <wps:txbx>
                        <w:txbxContent>
                          <w:p>
                            <w:pPr>
                              <w:pStyle w:val="TextBody"/>
                              <w:bidi w:val="0"/>
                              <w:spacing w:lineRule="auto" w:line="288" w:before="0" w:after="0"/>
                              <w:jc w:val="center"/>
                              <w:rPr>
                                <w:rFonts w:ascii="Lato;sans-serif" w:hAnsi="Lato;sans-serif"/>
                                <w:b w:val="false"/>
                                <w:color w:val="000000"/>
                                <w:sz w:val="20"/>
                              </w:rPr>
                            </w:pPr>
                            <w:r>
                              <w:rPr>
                                <w:rFonts w:ascii="Lato;sans-serif" w:hAnsi="Lato;sans-serif"/>
                                <w:b w:val="false"/>
                                <w:color w:val="000000"/>
                                <w:sz w:val="20"/>
                              </w:rPr>
                              <w:t>5</w:t>
                            </w:r>
                          </w:p>
                          <w:p>
                            <w:pPr>
                              <w:pStyle w:val="TextBody"/>
                              <w:bidi w:val="0"/>
                              <w:spacing w:lineRule="auto" w:line="288" w:before="0" w:after="0"/>
                              <w:jc w:val="left"/>
                              <w:rPr>
                                <w:color w:val="000000"/>
                              </w:rPr>
                            </w:pPr>
                            <w:r>
                              <w:rPr>
                                <w:color w:val="000000"/>
                              </w:rPr>
                              <w:t>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Lato;sans-serif" w:hAnsi="Lato;sans-serif"/>
                          <w:b w:val="false"/>
                          <w:color w:val="000000"/>
                          <w:sz w:val="20"/>
                        </w:rPr>
                      </w:pPr>
                      <w:r>
                        <w:rPr>
                          <w:rFonts w:ascii="Lato;sans-serif" w:hAnsi="Lato;sans-serif"/>
                          <w:b w:val="false"/>
                          <w:color w:val="000000"/>
                          <w:sz w:val="20"/>
                        </w:rPr>
                        <w:t>5</w:t>
                      </w:r>
                    </w:p>
                    <w:p>
                      <w:pPr>
                        <w:pStyle w:val="TextBody"/>
                        <w:bidi w:val="0"/>
                        <w:spacing w:lineRule="auto" w:line="288" w:before="0" w:after="0"/>
                        <w:jc w:val="left"/>
                        <w:rPr>
                          <w:color w:val="000000"/>
                        </w:rPr>
                      </w:pPr>
                      <w:r>
                        <w:rPr>
                          <w:color w:val="000000"/>
                        </w:rPr>
                        <w:t>        </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300" w:after="180"/>
        <w:jc w:val="both"/>
        <w:rPr>
          <w:rFonts w:ascii="Lato;sans-serif" w:hAnsi="Lato;sans-serif"/>
          <w:b/>
          <w:color w:val="000000"/>
          <w:sz w:val="20"/>
        </w:rPr>
      </w:pPr>
      <w:r>
        <w:rPr>
          <w:rFonts w:ascii="Lato;sans-serif" w:hAnsi="Lato;sans-serif"/>
          <w:b/>
          <w:color w:val="000000"/>
          <w:sz w:val="20"/>
        </w:rPr>
        <w:t>Who will pay for the cost of this proxy solicitation?</w:t>
      </w:r>
    </w:p>
    <w:p>
      <w:pPr>
        <w:pStyle w:val="TextBody"/>
        <w:bidi w:val="0"/>
        <w:spacing w:lineRule="auto" w:line="288" w:before="180" w:after="180"/>
        <w:jc w:val="both"/>
        <w:rPr>
          <w:rFonts w:ascii="Lato;sans-serif" w:hAnsi="Lato;sans-serif"/>
          <w:b w:val="false"/>
          <w:color w:val="000000"/>
          <w:sz w:val="20"/>
        </w:rPr>
      </w:pPr>
      <w:r>
        <w:rPr>
          <w:rFonts w:ascii="Lato;sans-serif" w:hAnsi="Lato;sans-serif"/>
          <w:b w:val="false"/>
          <w:color w:val="000000"/>
          <w:sz w:val="20"/>
        </w:rPr>
        <w:t>We will pay the cost of soliciting proxies. Proxies may be solicited on our behalf by directors, officers or employees of the Company (for no additional compensation) in person or by telephone, electronic transmission and facsimile transmission. Brokers and other nominees will be requested to solicit proxies or authorizations from beneficial owners and will be reimbursed for their reasonable expenses.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352425"/>
                <wp:effectExtent l="0" t="0" r="0" b="0"/>
                <wp:wrapNone/>
                <wp:docPr id="16" name="Frame12"/>
                <a:graphic xmlns:a="http://schemas.openxmlformats.org/drawingml/2006/main">
                  <a:graphicData uri="http://schemas.microsoft.com/office/word/2010/wordprocessingShape">
                    <wps:wsp>
                      <wps:cNvSpPr txBox="1"/>
                      <wps:spPr>
                        <a:xfrm>
                          <a:off x="0" y="0"/>
                          <a:ext cx="6480175" cy="352425"/>
                        </a:xfrm>
                        <a:prstGeom prst="rect"/>
                        <a:solidFill>
                          <a:srgbClr val="FFFFFF"/>
                        </a:solidFill>
                      </wps:spPr>
                      <wps:txbx>
                        <w:txbxContent>
                          <w:p>
                            <w:pPr>
                              <w:pStyle w:val="TextBody"/>
                              <w:bidi w:val="0"/>
                              <w:spacing w:lineRule="auto" w:line="288" w:before="0" w:after="0"/>
                              <w:jc w:val="center"/>
                              <w:rPr>
                                <w:rFonts w:ascii="Lato;sans-serif" w:hAnsi="Lato;sans-serif"/>
                                <w:b w:val="false"/>
                                <w:color w:val="000000"/>
                                <w:sz w:val="20"/>
                              </w:rPr>
                            </w:pPr>
                            <w:r>
                              <w:rPr>
                                <w:rFonts w:ascii="Lato;sans-serif" w:hAnsi="Lato;sans-serif"/>
                                <w:b w:val="false"/>
                                <w:color w:val="000000"/>
                                <w:sz w:val="20"/>
                              </w:rPr>
                              <w:t>6</w:t>
                            </w:r>
                          </w:p>
                          <w:p>
                            <w:pPr>
                              <w:pStyle w:val="TextBody"/>
                              <w:bidi w:val="0"/>
                              <w:spacing w:lineRule="auto" w:line="288" w:before="0" w:after="0"/>
                              <w:jc w:val="left"/>
                              <w:rPr>
                                <w:color w:val="000000"/>
                              </w:rPr>
                            </w:pPr>
                            <w:r>
                              <w:rPr>
                                <w:color w:val="000000"/>
                              </w:rPr>
                              <w:t>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Lato;sans-serif" w:hAnsi="Lato;sans-serif"/>
                          <w:b w:val="false"/>
                          <w:color w:val="000000"/>
                          <w:sz w:val="20"/>
                        </w:rPr>
                      </w:pPr>
                      <w:r>
                        <w:rPr>
                          <w:rFonts w:ascii="Lato;sans-serif" w:hAnsi="Lato;sans-serif"/>
                          <w:b w:val="false"/>
                          <w:color w:val="000000"/>
                          <w:sz w:val="20"/>
                        </w:rPr>
                        <w:t>6</w:t>
                      </w:r>
                    </w:p>
                    <w:p>
                      <w:pPr>
                        <w:pStyle w:val="TextBody"/>
                        <w:bidi w:val="0"/>
                        <w:spacing w:lineRule="auto" w:line="288" w:before="0" w:after="0"/>
                        <w:jc w:val="left"/>
                        <w:rPr>
                          <w:color w:val="000000"/>
                        </w:rPr>
                      </w:pPr>
                      <w:r>
                        <w:rPr>
                          <w:color w:val="000000"/>
                        </w:rPr>
                        <w:t>        </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300" w:after="180"/>
        <w:jc w:val="center"/>
        <w:rPr>
          <w:rFonts w:ascii="Lato;sans-serif" w:hAnsi="Lato;sans-serif"/>
          <w:b/>
          <w:color w:val="000000"/>
          <w:sz w:val="20"/>
        </w:rPr>
      </w:pPr>
      <w:r>
        <w:rPr>
          <w:rFonts w:ascii="Lato;sans-serif" w:hAnsi="Lato;sans-serif"/>
          <w:b/>
          <w:color w:val="000000"/>
          <w:sz w:val="20"/>
        </w:rPr>
        <w:t>PROPOSAL NO. 1—ELECTION OF DIRECTORS</w:t>
      </w:r>
    </w:p>
    <w:p>
      <w:pPr>
        <w:pStyle w:val="TextBody"/>
        <w:bidi w:val="0"/>
        <w:spacing w:lineRule="auto" w:line="288" w:before="180" w:after="180"/>
        <w:jc w:val="both"/>
        <w:rPr/>
      </w:pPr>
      <w:r>
        <w:rPr>
          <w:rFonts w:ascii="Lato;sans-serif" w:hAnsi="Lato;sans-serif"/>
          <w:b w:val="false"/>
          <w:color w:val="000000"/>
          <w:sz w:val="20"/>
        </w:rPr>
        <w:t>Our Second Amended and Restated Certificate of Incorporation provides for a classified Board of Directors divided into three classes. The Board believes that a classified Board of Directors, with responsible refreshment, provides continuity and stability in pursuing the Company’s policies and strategies and reinforces its commitment to long term perspective and value creation. Keith Enright, Henry L. Schuck and Owen Wurzbacher constitute a class with a term that expires at the Annual Meeting of Stockholders in 2027 (the “</w:t>
      </w:r>
      <w:r>
        <w:rPr>
          <w:rFonts w:ascii="Lato;sans-serif" w:hAnsi="Lato;sans-serif"/>
          <w:b/>
          <w:i/>
          <w:color w:val="000000"/>
          <w:sz w:val="20"/>
        </w:rPr>
        <w:t>Class I Directors</w:t>
      </w:r>
      <w:r>
        <w:rPr>
          <w:color w:val="000000"/>
        </w:rPr>
        <w:t>”</w:t>
      </w:r>
      <w:r>
        <w:rPr>
          <w:rFonts w:ascii="Lato;sans-serif" w:hAnsi="Lato;sans-serif"/>
          <w:b w:val="false"/>
          <w:color w:val="000000"/>
          <w:sz w:val="20"/>
        </w:rPr>
        <w:t>); Ashley S. Evans, Robert Keith Giglio, Alison Gleeson and Mark Mader constitute a class with a term that expires at the Annual Meeting of Stockholders in 2028 (the “</w:t>
      </w:r>
      <w:r>
        <w:rPr>
          <w:rFonts w:ascii="Lato;sans-serif" w:hAnsi="Lato;sans-serif"/>
          <w:b/>
          <w:i/>
          <w:color w:val="000000"/>
          <w:sz w:val="20"/>
        </w:rPr>
        <w:t>Class II Directors</w:t>
      </w:r>
      <w:r>
        <w:rPr>
          <w:color w:val="000000"/>
        </w:rPr>
        <w:t>”</w:t>
      </w:r>
      <w:r>
        <w:rPr>
          <w:rFonts w:ascii="Lato;sans-serif" w:hAnsi="Lato;sans-serif"/>
          <w:b w:val="false"/>
          <w:color w:val="000000"/>
          <w:sz w:val="20"/>
        </w:rPr>
        <w:t>); and Domenic J. Maida, Katie Rooney and D. Randall Winn constitute a class with a term that expires at our upcoming Annual Meeting of Stockholders to be held on May 14, 2026 (the “</w:t>
      </w:r>
      <w:r>
        <w:rPr>
          <w:rFonts w:ascii="Lato;sans-serif" w:hAnsi="Lato;sans-serif"/>
          <w:b/>
          <w:i/>
          <w:color w:val="000000"/>
          <w:sz w:val="20"/>
        </w:rPr>
        <w:t>Class III Directors</w:t>
      </w:r>
      <w:r>
        <w:rPr>
          <w:color w:val="000000"/>
        </w:rPr>
        <w:t>”</w:t>
      </w:r>
      <w:r>
        <w:rPr>
          <w:rFonts w:ascii="Lato;sans-serif" w:hAnsi="Lato;sans-serif"/>
          <w:b w:val="false"/>
          <w:color w:val="000000"/>
          <w:sz w:val="20"/>
        </w:rPr>
        <w:t>).</w:t>
      </w:r>
    </w:p>
    <w:p>
      <w:pPr>
        <w:pStyle w:val="TextBody"/>
        <w:bidi w:val="0"/>
        <w:spacing w:lineRule="auto" w:line="268" w:before="180" w:after="180"/>
        <w:jc w:val="both"/>
        <w:rPr>
          <w:rFonts w:ascii="Lato;sans-serif" w:hAnsi="Lato;sans-serif"/>
          <w:b w:val="false"/>
          <w:color w:val="000000"/>
          <w:sz w:val="20"/>
        </w:rPr>
      </w:pPr>
      <w:r>
        <w:rPr>
          <w:rFonts w:ascii="Lato;sans-serif" w:hAnsi="Lato;sans-serif"/>
          <w:b w:val="false"/>
          <w:color w:val="000000"/>
          <w:sz w:val="20"/>
        </w:rPr>
        <w:t>Upon the recommendation of the Nominating and Corporate Governance Committee, the full Board of Directors has considered and nominated each of Domenic J. Maida, Katie Rooney and D. Randall Winn to serve as a Class III Director for a three-year term expiring in 2029. Action will be taken at the Annual Meeting for the election of these Class III Director nominees.</w:t>
      </w:r>
    </w:p>
    <w:p>
      <w:pPr>
        <w:pStyle w:val="TextBody"/>
        <w:bidi w:val="0"/>
        <w:spacing w:lineRule="auto" w:line="288" w:before="180" w:after="180"/>
        <w:jc w:val="both"/>
        <w:rPr/>
      </w:pPr>
      <w:r>
        <w:rPr>
          <w:rFonts w:ascii="Lato;sans-serif" w:hAnsi="Lato;sans-serif"/>
          <w:b w:val="false"/>
          <w:color w:val="000000"/>
          <w:sz w:val="20"/>
        </w:rPr>
        <w:t>Unless otherwise instructed, the persons named in the form of proxy card (the “</w:t>
      </w:r>
      <w:r>
        <w:rPr>
          <w:rFonts w:ascii="Lato;sans-serif" w:hAnsi="Lato;sans-serif"/>
          <w:b/>
          <w:i/>
          <w:color w:val="000000"/>
          <w:sz w:val="20"/>
        </w:rPr>
        <w:t>proxyholders</w:t>
      </w:r>
      <w:r>
        <w:rPr>
          <w:color w:val="000000"/>
        </w:rPr>
        <w:t>”</w:t>
      </w:r>
      <w:r>
        <w:rPr>
          <w:rFonts w:ascii="Lato;sans-serif" w:hAnsi="Lato;sans-serif"/>
          <w:b w:val="false"/>
          <w:color w:val="000000"/>
          <w:sz w:val="20"/>
        </w:rPr>
        <w:t>) included with this Proxy Statement intend to vote the proxies held by them “FOR” the election of the director nominees. Each nominee has indicated that he or she will be willing and able to serve as a director. If any nominee ceases to be a candidate for election by the time of the Annual Meeting (a contingency which the Board does not expect to occur), such proxies may be voted by the proxyholders in accordance with the recommendation of the Board.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00" w:after="180"/>
        <w:jc w:val="both"/>
        <w:rPr>
          <w:rFonts w:ascii="Lato;sans-serif" w:hAnsi="Lato;sans-serif"/>
          <w:b/>
          <w:color w:val="000000"/>
          <w:sz w:val="20"/>
        </w:rPr>
      </w:pPr>
      <w:r>
        <w:rPr>
          <w:rFonts w:ascii="Lato;sans-serif" w:hAnsi="Lato;sans-serif"/>
          <w:b/>
          <w:color w:val="000000"/>
          <w:sz w:val="20"/>
        </w:rPr>
        <w:t>Nominees for Election to the Board of Directors in 2026</w:t>
      </w:r>
    </w:p>
    <w:p>
      <w:pPr>
        <w:pStyle w:val="TextBody"/>
        <w:bidi w:val="0"/>
        <w:spacing w:lineRule="auto" w:line="288" w:before="0" w:after="0"/>
        <w:jc w:val="both"/>
        <w:rPr/>
      </w:pPr>
      <w:r>
        <w:rPr>
          <w:rFonts w:ascii="Lato;sans-serif" w:hAnsi="Lato;sans-serif"/>
          <w:b w:val="false"/>
          <w:color w:val="000000"/>
          <w:sz w:val="20"/>
        </w:rPr>
        <w:t>The following information describes the offices held, other business directorships and the term of service of the director nominees, as well as the experiences, qualifications, attributes or skills that caused the Nominating and Corporate Governance Committee and the Board to determine that each director nominee should serve as a director. Beneficial ownership of equity securities of each director nominee is shown under “</w:t>
      </w:r>
      <w:r>
        <w:rPr>
          <w:rFonts w:ascii="Lato;sans-serif" w:hAnsi="Lato;sans-serif"/>
          <w:b w:val="false"/>
          <w:i/>
          <w:color w:val="000000"/>
          <w:sz w:val="20"/>
        </w:rPr>
        <w:t>Ownership of Securities</w:t>
      </w:r>
      <w:r>
        <w:rPr>
          <w:color w:val="000000"/>
        </w:rPr>
        <w:t xml:space="preserve">” </w:t>
      </w:r>
      <w:r>
        <w:rPr>
          <w:rFonts w:ascii="Lato;sans-serif" w:hAnsi="Lato;sans-serif"/>
          <w:b w:val="false"/>
          <w:color w:val="000000"/>
          <w:sz w:val="20"/>
        </w:rPr>
        <w:t>below.</w:t>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352425"/>
                <wp:effectExtent l="0" t="0" r="0" b="0"/>
                <wp:wrapNone/>
                <wp:docPr id="17" name="Frame13"/>
                <a:graphic xmlns:a="http://schemas.openxmlformats.org/drawingml/2006/main">
                  <a:graphicData uri="http://schemas.microsoft.com/office/word/2010/wordprocessingShape">
                    <wps:wsp>
                      <wps:cNvSpPr txBox="1"/>
                      <wps:spPr>
                        <a:xfrm>
                          <a:off x="0" y="0"/>
                          <a:ext cx="6480175" cy="352425"/>
                        </a:xfrm>
                        <a:prstGeom prst="rect"/>
                        <a:solidFill>
                          <a:srgbClr val="FFFFFF"/>
                        </a:solidFill>
                      </wps:spPr>
                      <wps:txbx>
                        <w:txbxContent>
                          <w:p>
                            <w:pPr>
                              <w:pStyle w:val="TextBody"/>
                              <w:bidi w:val="0"/>
                              <w:spacing w:lineRule="auto" w:line="288" w:before="0" w:after="0"/>
                              <w:jc w:val="center"/>
                              <w:rPr>
                                <w:rFonts w:ascii="Lato;sans-serif" w:hAnsi="Lato;sans-serif"/>
                                <w:b w:val="false"/>
                                <w:color w:val="000000"/>
                                <w:sz w:val="20"/>
                              </w:rPr>
                            </w:pPr>
                            <w:r>
                              <w:rPr>
                                <w:rFonts w:ascii="Lato;sans-serif" w:hAnsi="Lato;sans-serif"/>
                                <w:b w:val="false"/>
                                <w:color w:val="000000"/>
                                <w:sz w:val="20"/>
                              </w:rPr>
                              <w:t>7</w:t>
                            </w:r>
                          </w:p>
                          <w:p>
                            <w:pPr>
                              <w:pStyle w:val="TextBody"/>
                              <w:bidi w:val="0"/>
                              <w:spacing w:lineRule="auto" w:line="288" w:before="0" w:after="0"/>
                              <w:jc w:val="left"/>
                              <w:rPr>
                                <w:color w:val="000000"/>
                              </w:rPr>
                            </w:pPr>
                            <w:r>
                              <w:rPr>
                                <w:color w:val="000000"/>
                              </w:rPr>
                              <w:t>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Lato;sans-serif" w:hAnsi="Lato;sans-serif"/>
                          <w:b w:val="false"/>
                          <w:color w:val="000000"/>
                          <w:sz w:val="20"/>
                        </w:rPr>
                      </w:pPr>
                      <w:r>
                        <w:rPr>
                          <w:rFonts w:ascii="Lato;sans-serif" w:hAnsi="Lato;sans-serif"/>
                          <w:b w:val="false"/>
                          <w:color w:val="000000"/>
                          <w:sz w:val="20"/>
                        </w:rPr>
                        <w:t>7</w:t>
                      </w:r>
                    </w:p>
                    <w:p>
                      <w:pPr>
                        <w:pStyle w:val="TextBody"/>
                        <w:bidi w:val="0"/>
                        <w:spacing w:lineRule="auto" w:line="288" w:before="0" w:after="0"/>
                        <w:jc w:val="left"/>
                        <w:rPr>
                          <w:color w:val="000000"/>
                        </w:rPr>
                      </w:pPr>
                      <w:r>
                        <w:rPr>
                          <w:color w:val="000000"/>
                        </w:rPr>
                        <w:t>        </w:t>
                      </w:r>
                    </w:p>
                  </w:txbxContent>
                </v:textbox>
                <w10:wrap type="none"/>
              </v:rect>
            </w:pict>
          </mc:Fallback>
        </mc:AlternateConten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1118"/>
        <w:gridCol w:w="980"/>
        <w:gridCol w:w="981"/>
        <w:gridCol w:w="2397"/>
        <w:gridCol w:w="2083"/>
        <w:gridCol w:w="2646"/>
      </w:tblGrid>
      <w:tr>
        <w:trPr/>
        <w:tc>
          <w:tcPr>
            <w:tcW w:w="1118"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981" w:type="dxa"/>
            <w:tcBorders/>
            <w:vAlign w:val="center"/>
          </w:tcPr>
          <w:p>
            <w:pPr>
              <w:pStyle w:val="TableContents"/>
              <w:bidi w:val="0"/>
              <w:spacing w:before="0" w:after="283"/>
              <w:jc w:val="left"/>
              <w:rPr>
                <w:sz w:val="4"/>
                <w:szCs w:val="4"/>
              </w:rPr>
            </w:pPr>
            <w:r>
              <w:rPr>
                <w:sz w:val="4"/>
                <w:szCs w:val="4"/>
              </w:rPr>
            </w:r>
          </w:p>
        </w:tc>
        <w:tc>
          <w:tcPr>
            <w:tcW w:w="2397" w:type="dxa"/>
            <w:tcBorders/>
            <w:vAlign w:val="center"/>
          </w:tcPr>
          <w:p>
            <w:pPr>
              <w:pStyle w:val="TableContents"/>
              <w:bidi w:val="0"/>
              <w:spacing w:before="0" w:after="283"/>
              <w:jc w:val="left"/>
              <w:rPr>
                <w:sz w:val="4"/>
                <w:szCs w:val="4"/>
              </w:rPr>
            </w:pPr>
            <w:r>
              <w:rPr>
                <w:sz w:val="4"/>
                <w:szCs w:val="4"/>
              </w:rPr>
            </w:r>
          </w:p>
        </w:tc>
        <w:tc>
          <w:tcPr>
            <w:tcW w:w="2083" w:type="dxa"/>
            <w:tcBorders/>
            <w:vAlign w:val="center"/>
          </w:tcPr>
          <w:p>
            <w:pPr>
              <w:pStyle w:val="TableContents"/>
              <w:bidi w:val="0"/>
              <w:spacing w:before="0" w:after="283"/>
              <w:jc w:val="left"/>
              <w:rPr>
                <w:sz w:val="4"/>
                <w:szCs w:val="4"/>
              </w:rPr>
            </w:pPr>
            <w:r>
              <w:rPr>
                <w:sz w:val="4"/>
                <w:szCs w:val="4"/>
              </w:rPr>
            </w:r>
          </w:p>
        </w:tc>
        <w:tc>
          <w:tcPr>
            <w:tcW w:w="2646" w:type="dxa"/>
            <w:tcBorders/>
            <w:vAlign w:val="center"/>
          </w:tcPr>
          <w:p>
            <w:pPr>
              <w:pStyle w:val="TableContents"/>
              <w:bidi w:val="0"/>
              <w:spacing w:before="0" w:after="283"/>
              <w:jc w:val="left"/>
              <w:rPr>
                <w:sz w:val="4"/>
                <w:szCs w:val="4"/>
              </w:rPr>
            </w:pPr>
            <w:r>
              <w:rPr>
                <w:sz w:val="4"/>
                <w:szCs w:val="4"/>
              </w:rPr>
            </w:r>
          </w:p>
        </w:tc>
      </w:tr>
      <w:tr>
        <w:trPr/>
        <w:tc>
          <w:tcPr>
            <w:tcW w:w="10205"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Lato;sans-serif" w:hAnsi="Lato;sans-serif"/>
                <w:b/>
                <w:color w:val="000000"/>
                <w:sz w:val="20"/>
              </w:rPr>
            </w:pPr>
            <w:r>
              <w:rPr>
                <w:rFonts w:ascii="Lato;sans-serif" w:hAnsi="Lato;sans-serif"/>
                <w:b/>
                <w:color w:val="000000"/>
                <w:sz w:val="20"/>
              </w:rPr>
              <w:t>Class III – Nominees for terms expiring in 2029</w:t>
            </w:r>
          </w:p>
        </w:tc>
      </w:tr>
      <w:tr>
        <w:trPr/>
        <w:tc>
          <w:tcPr>
            <w:tcW w:w="30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9" w:type="dxa"/>
            <w:gridSpan w:val="3"/>
            <w:tcBorders/>
            <w:shd w:fill="FFFFFF" w:val="clear"/>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1733550" cy="1733550"/>
                  <wp:effectExtent l="0" t="0" r="0" b="0"/>
                  <wp:docPr id="18"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5" descr=""/>
                          <pic:cNvPicPr>
                            <a:picLocks noChangeAspect="1" noChangeArrowheads="1"/>
                          </pic:cNvPicPr>
                        </pic:nvPicPr>
                        <pic:blipFill>
                          <a:blip r:embed="rId6"/>
                          <a:stretch>
                            <a:fillRect/>
                          </a:stretch>
                        </pic:blipFill>
                        <pic:spPr bwMode="auto">
                          <a:xfrm>
                            <a:off x="0" y="0"/>
                            <a:ext cx="1733550" cy="1733550"/>
                          </a:xfrm>
                          <a:prstGeom prst="rect">
                            <a:avLst/>
                          </a:prstGeom>
                        </pic:spPr>
                      </pic:pic>
                    </a:graphicData>
                  </a:graphic>
                </wp:inline>
              </w:drawing>
            </w:r>
            <w:bookmarkStart w:id="4" w:name="i-5"/>
            <w:bookmarkEnd w:id="4"/>
          </w:p>
          <w:p>
            <w:pPr>
              <w:pStyle w:val="TableContents"/>
              <w:bidi w:val="0"/>
              <w:spacing w:lineRule="auto" w:line="240" w:before="0" w:after="0"/>
              <w:jc w:val="center"/>
              <w:rPr>
                <w:rFonts w:ascii="Lato;sans-serif" w:hAnsi="Lato;sans-serif"/>
                <w:b/>
                <w:color w:val="000000"/>
                <w:sz w:val="16"/>
              </w:rPr>
            </w:pPr>
            <w:r>
              <w:rPr>
                <w:rFonts w:ascii="Lato;sans-serif" w:hAnsi="Lato;sans-serif"/>
                <w:b/>
                <w:color w:val="000000"/>
                <w:sz w:val="16"/>
              </w:rPr>
              <w:t>Domenic J. Maida</w:t>
            </w:r>
          </w:p>
          <w:p>
            <w:pPr>
              <w:pStyle w:val="TableContents"/>
              <w:bidi w:val="0"/>
              <w:spacing w:lineRule="auto" w:line="240" w:before="0" w:after="0"/>
              <w:jc w:val="center"/>
              <w:rPr>
                <w:rFonts w:ascii="Lato;sans-serif" w:hAnsi="Lato;sans-serif"/>
                <w:b w:val="false"/>
                <w:color w:val="000000"/>
                <w:sz w:val="16"/>
              </w:rPr>
            </w:pPr>
            <w:r>
              <w:rPr>
                <w:rFonts w:ascii="Lato;sans-serif" w:hAnsi="Lato;sans-serif"/>
                <w:b w:val="false"/>
                <w:color w:val="000000"/>
                <w:sz w:val="16"/>
              </w:rPr>
              <w:t>Age 52</w:t>
            </w:r>
          </w:p>
          <w:p>
            <w:pPr>
              <w:pStyle w:val="TableContents"/>
              <w:bidi w:val="0"/>
              <w:spacing w:lineRule="auto" w:line="240" w:before="0" w:after="0"/>
              <w:jc w:val="center"/>
              <w:rPr>
                <w:rFonts w:ascii="Lato;sans-serif" w:hAnsi="Lato;sans-serif"/>
                <w:b w:val="false"/>
                <w:color w:val="000000"/>
                <w:sz w:val="12"/>
              </w:rPr>
            </w:pPr>
            <w:r>
              <w:rPr>
                <w:rFonts w:ascii="Lato;sans-serif" w:hAnsi="Lato;sans-serif"/>
                <w:b w:val="false"/>
                <w:color w:val="000000"/>
                <w:sz w:val="12"/>
              </w:rPr>
              <w:t>Member of the Privacy, Security, and Technology Committee</w:t>
            </w:r>
          </w:p>
        </w:tc>
        <w:tc>
          <w:tcPr>
            <w:tcW w:w="712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both"/>
              <w:rPr>
                <w:rFonts w:ascii="Lato;sans-serif" w:hAnsi="Lato;sans-serif"/>
                <w:b w:val="false"/>
                <w:color w:val="000000"/>
                <w:sz w:val="16"/>
              </w:rPr>
            </w:pPr>
            <w:r>
              <w:rPr>
                <w:rFonts w:ascii="Lato;sans-serif" w:hAnsi="Lato;sans-serif"/>
                <w:b w:val="false"/>
                <w:color w:val="000000"/>
                <w:sz w:val="16"/>
              </w:rPr>
              <w:t>Mr. Maida has served as a member of the Board of Directors of ZoomInfo Technologies Inc. since August 2024. Mr. Maida currently serves as Senior Advisor for Boston Consulting Group (BCG), an American global management consulting firm founded in 1963 and headquartered in Boston, Massachusetts, and is the founder of Maida Consulting which he founded in 2022, which provides strategic advisory services for information services and other data intensive industries. Prior to his current roles, Mr. Maida was Chief Data Officer from 2013 to 2021 at Bloomberg, where he was instrumental in revolutionizing global data operations through constant innovation. He currently serves as a director on the board of Macrobond Financial and Corporate Visions. Mr. Maida holds a B.S. in Mechanical Engineering from Johns Hopkins University.</w:t>
            </w:r>
          </w:p>
          <w:p>
            <w:pPr>
              <w:pStyle w:val="TableContents"/>
              <w:bidi w:val="0"/>
              <w:spacing w:before="0" w:after="0"/>
              <w:jc w:val="both"/>
              <w:rPr/>
            </w:pPr>
            <w:r>
              <w:rPr/>
            </w:r>
          </w:p>
          <w:p>
            <w:pPr>
              <w:pStyle w:val="TableContents"/>
              <w:bidi w:val="0"/>
              <w:spacing w:lineRule="auto" w:line="288" w:before="0" w:after="0"/>
              <w:jc w:val="both"/>
              <w:rPr/>
            </w:pPr>
            <w:r>
              <w:rPr>
                <w:rFonts w:ascii="Lato;sans-serif" w:hAnsi="Lato;sans-serif"/>
                <w:b/>
                <w:color w:val="000000"/>
                <w:sz w:val="16"/>
              </w:rPr>
              <w:t>Nomination considerations</w:t>
            </w:r>
            <w:r>
              <w:rPr>
                <w:rFonts w:ascii="Lato;sans-serif" w:hAnsi="Lato;sans-serif"/>
                <w:b w:val="false"/>
                <w:color w:val="000000"/>
                <w:sz w:val="16"/>
              </w:rPr>
              <w:t>: Mr. Maida’s extensive knowledge and experience in our industry.</w:t>
            </w:r>
          </w:p>
        </w:tc>
      </w:tr>
      <w:tr>
        <w:trPr/>
        <w:tc>
          <w:tcPr>
            <w:tcW w:w="30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9" w:type="dxa"/>
            <w:gridSpan w:val="3"/>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1733550" cy="1724025"/>
                  <wp:effectExtent l="0" t="0" r="0" b="0"/>
                  <wp:docPr id="19"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6" descr=""/>
                          <pic:cNvPicPr>
                            <a:picLocks noChangeAspect="1" noChangeArrowheads="1"/>
                          </pic:cNvPicPr>
                        </pic:nvPicPr>
                        <pic:blipFill>
                          <a:blip r:embed="rId7"/>
                          <a:stretch>
                            <a:fillRect/>
                          </a:stretch>
                        </pic:blipFill>
                        <pic:spPr bwMode="auto">
                          <a:xfrm>
                            <a:off x="0" y="0"/>
                            <a:ext cx="1733550" cy="1724025"/>
                          </a:xfrm>
                          <a:prstGeom prst="rect">
                            <a:avLst/>
                          </a:prstGeom>
                        </pic:spPr>
                      </pic:pic>
                    </a:graphicData>
                  </a:graphic>
                </wp:inline>
              </w:drawing>
            </w:r>
            <w:bookmarkStart w:id="5" w:name="i-6"/>
            <w:bookmarkEnd w:id="5"/>
          </w:p>
          <w:p>
            <w:pPr>
              <w:pStyle w:val="TableContents"/>
              <w:bidi w:val="0"/>
              <w:spacing w:lineRule="auto" w:line="240" w:before="0" w:after="0"/>
              <w:jc w:val="center"/>
              <w:rPr>
                <w:rFonts w:ascii="Lato;sans-serif" w:hAnsi="Lato;sans-serif"/>
                <w:b/>
                <w:color w:val="000000"/>
                <w:sz w:val="16"/>
              </w:rPr>
            </w:pPr>
            <w:r>
              <w:rPr>
                <w:rFonts w:ascii="Lato;sans-serif" w:hAnsi="Lato;sans-serif"/>
                <w:b/>
                <w:color w:val="000000"/>
                <w:sz w:val="16"/>
              </w:rPr>
              <w:t>Katie Rooney</w:t>
            </w:r>
          </w:p>
          <w:p>
            <w:pPr>
              <w:pStyle w:val="TableContents"/>
              <w:bidi w:val="0"/>
              <w:spacing w:lineRule="auto" w:line="240" w:before="0" w:after="0"/>
              <w:jc w:val="center"/>
              <w:rPr>
                <w:rFonts w:ascii="Lato;sans-serif" w:hAnsi="Lato;sans-serif"/>
                <w:b w:val="false"/>
                <w:color w:val="000000"/>
                <w:sz w:val="16"/>
              </w:rPr>
            </w:pPr>
            <w:r>
              <w:rPr>
                <w:rFonts w:ascii="Lato;sans-serif" w:hAnsi="Lato;sans-serif"/>
                <w:b w:val="false"/>
                <w:color w:val="000000"/>
                <w:sz w:val="16"/>
              </w:rPr>
              <w:t>Age 47</w:t>
            </w:r>
          </w:p>
          <w:p>
            <w:pPr>
              <w:pStyle w:val="TableContents"/>
              <w:bidi w:val="0"/>
              <w:spacing w:lineRule="auto" w:line="240" w:before="0" w:after="0"/>
              <w:jc w:val="center"/>
              <w:rPr>
                <w:rFonts w:ascii="Lato;sans-serif" w:hAnsi="Lato;sans-serif"/>
                <w:b w:val="false"/>
                <w:color w:val="000000"/>
                <w:sz w:val="12"/>
              </w:rPr>
            </w:pPr>
            <w:r>
              <w:rPr>
                <w:rFonts w:ascii="Lato;sans-serif" w:hAnsi="Lato;sans-serif"/>
                <w:b w:val="false"/>
                <w:color w:val="000000"/>
                <w:sz w:val="12"/>
              </w:rPr>
              <w:t>Chair of the Audit Committee &amp; Member of the</w:t>
            </w:r>
          </w:p>
          <w:p>
            <w:pPr>
              <w:pStyle w:val="TableContents"/>
              <w:bidi w:val="0"/>
              <w:spacing w:lineRule="auto" w:line="240" w:before="0" w:after="0"/>
              <w:jc w:val="center"/>
              <w:rPr>
                <w:rFonts w:ascii="Lato;sans-serif" w:hAnsi="Lato;sans-serif"/>
                <w:b w:val="false"/>
                <w:color w:val="000000"/>
                <w:sz w:val="12"/>
              </w:rPr>
            </w:pPr>
            <w:r>
              <w:rPr>
                <w:rFonts w:ascii="Lato;sans-serif" w:hAnsi="Lato;sans-serif"/>
                <w:b w:val="false"/>
                <w:color w:val="000000"/>
                <w:sz w:val="12"/>
              </w:rPr>
              <w:t>Nominating and Corporate Governance Committee</w:t>
            </w:r>
          </w:p>
        </w:tc>
        <w:tc>
          <w:tcPr>
            <w:tcW w:w="7126" w:type="dxa"/>
            <w:gridSpan w:val="3"/>
            <w:tcBorders/>
            <w:tcMar>
              <w:top w:w="0" w:type="dxa"/>
              <w:left w:w="0" w:type="dxa"/>
              <w:bottom w:w="0" w:type="dxa"/>
              <w:right w:w="0" w:type="dxa"/>
            </w:tcMar>
            <w:vAlign w:val="center"/>
          </w:tcPr>
          <w:p>
            <w:pPr>
              <w:pStyle w:val="TableContents"/>
              <w:bidi w:val="0"/>
              <w:spacing w:lineRule="auto" w:line="288" w:before="0" w:after="0"/>
              <w:jc w:val="both"/>
              <w:rPr>
                <w:rFonts w:ascii="Lato;sans-serif" w:hAnsi="Lato;sans-serif"/>
                <w:b w:val="false"/>
                <w:color w:val="000000"/>
                <w:sz w:val="16"/>
              </w:rPr>
            </w:pPr>
            <w:r>
              <w:rPr>
                <w:rFonts w:ascii="Lato;sans-serif" w:hAnsi="Lato;sans-serif"/>
                <w:b w:val="false"/>
                <w:color w:val="000000"/>
                <w:sz w:val="16"/>
              </w:rPr>
              <w:t>Ms. Rooney has served as a member of the Board of Directors of ZoomInfo Technologies Inc. since February 2025. Ms. Rooney currently serves as the Chief Financial Officer of Maven Clinic, a healthcare company dedicated to women’s and family health. Prior to her role at Maven Clinic, Ms. Rooney was the Global Chief Financial Officer and Chief Operating Officer at Alight, a leading cloud-based human capital technology and services provider. She has over two decades of leadership experience in financial and operational roles. Prior to Alight, she served in various leadership roles at Aon Hewitt from 2009 to 2017, including as Chief Financial Officer, and held various financial leadership positions at Morgan Stanley from 2006 to 2009. She previously served on the board of Smartsheet and currently serves on the board of trustees for Window to The World Communications, Inc., which owns WTTW and WFMT, Chicago’s public broadcasting television and radio station. Ms. Rooney holds a Bachelor of Business Administration degree in finance from the University of Michigan.</w:t>
            </w:r>
          </w:p>
          <w:p>
            <w:pPr>
              <w:pStyle w:val="TableContents"/>
              <w:bidi w:val="0"/>
              <w:spacing w:before="0" w:after="0"/>
              <w:jc w:val="both"/>
              <w:rPr/>
            </w:pPr>
            <w:r>
              <w:rPr/>
            </w:r>
          </w:p>
          <w:p>
            <w:pPr>
              <w:pStyle w:val="TableContents"/>
              <w:bidi w:val="0"/>
              <w:spacing w:lineRule="auto" w:line="288" w:before="0" w:after="0"/>
              <w:jc w:val="both"/>
              <w:rPr/>
            </w:pPr>
            <w:r>
              <w:rPr>
                <w:rFonts w:ascii="Lato;sans-serif" w:hAnsi="Lato;sans-serif"/>
                <w:b/>
                <w:color w:val="000000"/>
                <w:sz w:val="16"/>
              </w:rPr>
              <w:t>Nomination considerations</w:t>
            </w:r>
            <w:r>
              <w:rPr>
                <w:rFonts w:ascii="Lato;sans-serif" w:hAnsi="Lato;sans-serif"/>
                <w:b w:val="false"/>
                <w:color w:val="000000"/>
                <w:sz w:val="16"/>
              </w:rPr>
              <w:t>: Ms. Rooney’s extensive financial, strategic and operational experience, as well as her significant experience leading a public company as Chief Financial Officer and Chief Operating Officer.</w:t>
            </w:r>
          </w:p>
        </w:tc>
      </w:tr>
      <w:tr>
        <w:trPr/>
        <w:tc>
          <w:tcPr>
            <w:tcW w:w="30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9" w:type="dxa"/>
            <w:gridSpan w:val="3"/>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1733550" cy="1724025"/>
                  <wp:effectExtent l="0" t="0" r="0" b="0"/>
                  <wp:docPr id="20"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7" descr=""/>
                          <pic:cNvPicPr>
                            <a:picLocks noChangeAspect="1" noChangeArrowheads="1"/>
                          </pic:cNvPicPr>
                        </pic:nvPicPr>
                        <pic:blipFill>
                          <a:blip r:embed="rId8"/>
                          <a:stretch>
                            <a:fillRect/>
                          </a:stretch>
                        </pic:blipFill>
                        <pic:spPr bwMode="auto">
                          <a:xfrm>
                            <a:off x="0" y="0"/>
                            <a:ext cx="1733550" cy="1724025"/>
                          </a:xfrm>
                          <a:prstGeom prst="rect">
                            <a:avLst/>
                          </a:prstGeom>
                        </pic:spPr>
                      </pic:pic>
                    </a:graphicData>
                  </a:graphic>
                </wp:inline>
              </w:drawing>
            </w:r>
            <w:bookmarkStart w:id="6" w:name="i-7"/>
            <w:bookmarkEnd w:id="6"/>
          </w:p>
          <w:p>
            <w:pPr>
              <w:pStyle w:val="TableContents"/>
              <w:bidi w:val="0"/>
              <w:spacing w:lineRule="auto" w:line="240" w:before="0" w:after="0"/>
              <w:jc w:val="center"/>
              <w:rPr>
                <w:rFonts w:ascii="Lato;sans-serif" w:hAnsi="Lato;sans-serif"/>
                <w:b/>
                <w:color w:val="000000"/>
                <w:sz w:val="16"/>
              </w:rPr>
            </w:pPr>
            <w:r>
              <w:rPr>
                <w:rFonts w:ascii="Lato;sans-serif" w:hAnsi="Lato;sans-serif"/>
                <w:b/>
                <w:color w:val="000000"/>
                <w:sz w:val="16"/>
              </w:rPr>
              <w:t>D. Randall Winn</w:t>
            </w:r>
          </w:p>
          <w:p>
            <w:pPr>
              <w:pStyle w:val="TableContents"/>
              <w:bidi w:val="0"/>
              <w:spacing w:lineRule="auto" w:line="240" w:before="0" w:after="0"/>
              <w:jc w:val="center"/>
              <w:rPr>
                <w:rFonts w:ascii="Lato;sans-serif" w:hAnsi="Lato;sans-serif"/>
                <w:b w:val="false"/>
                <w:color w:val="000000"/>
                <w:sz w:val="16"/>
              </w:rPr>
            </w:pPr>
            <w:r>
              <w:rPr>
                <w:rFonts w:ascii="Lato;sans-serif" w:hAnsi="Lato;sans-serif"/>
                <w:b w:val="false"/>
                <w:color w:val="000000"/>
                <w:sz w:val="16"/>
              </w:rPr>
              <w:t>Age 56</w:t>
            </w:r>
          </w:p>
          <w:p>
            <w:pPr>
              <w:pStyle w:val="TableContents"/>
              <w:bidi w:val="0"/>
              <w:spacing w:lineRule="auto" w:line="240" w:before="0" w:after="0"/>
              <w:jc w:val="center"/>
              <w:rPr>
                <w:rFonts w:ascii="Lato;sans-serif" w:hAnsi="Lato;sans-serif"/>
                <w:b w:val="false"/>
                <w:color w:val="000000"/>
                <w:sz w:val="14"/>
              </w:rPr>
            </w:pPr>
            <w:r>
              <w:rPr>
                <w:rFonts w:ascii="Lato;sans-serif" w:hAnsi="Lato;sans-serif"/>
                <w:b w:val="false"/>
                <w:color w:val="000000"/>
                <w:sz w:val="14"/>
              </w:rPr>
              <w:t>Member of the Compensation Committee &amp; Member of the Privacy, Security, and Technology Committee</w:t>
            </w:r>
          </w:p>
        </w:tc>
        <w:tc>
          <w:tcPr>
            <w:tcW w:w="7126" w:type="dxa"/>
            <w:gridSpan w:val="3"/>
            <w:tcBorders/>
            <w:tcMar>
              <w:top w:w="0" w:type="dxa"/>
              <w:left w:w="0" w:type="dxa"/>
              <w:bottom w:w="0" w:type="dxa"/>
              <w:right w:w="0" w:type="dxa"/>
            </w:tcMar>
            <w:vAlign w:val="center"/>
          </w:tcPr>
          <w:p>
            <w:pPr>
              <w:pStyle w:val="TableContents"/>
              <w:bidi w:val="0"/>
              <w:spacing w:lineRule="auto" w:line="288" w:before="0" w:after="0"/>
              <w:jc w:val="both"/>
              <w:rPr>
                <w:rFonts w:ascii="Lato;sans-serif" w:hAnsi="Lato;sans-serif"/>
                <w:b w:val="false"/>
                <w:color w:val="000000"/>
                <w:sz w:val="16"/>
              </w:rPr>
            </w:pPr>
            <w:r>
              <w:rPr>
                <w:rFonts w:ascii="Lato;sans-serif" w:hAnsi="Lato;sans-serif"/>
                <w:b w:val="false"/>
                <w:color w:val="000000"/>
                <w:sz w:val="16"/>
              </w:rPr>
              <w:t>Mr. Winn has served as a member of the board of directors of ZoomInfo Technologies Inc. since February 2020 and served as a member of the Board of Managers of ZoomInfo Holdings LLC from 2014 to June 2020. Mr. Winn currently serves as a Managing Member of 22C Capital, a minority "special forces" investment partner to both investors and management teams of B2B data analytics and information &amp; business services companies, which he founded in 2017, and also serves as Managing Member of FiveW Capital. Mr. Winn is currently a director of the following private companies: RevSpring, LMI and Canoe Intelligence. Mr. Winn previously was the non-executive chairman of Dealogic, served on the board of Definitive Healthcare (NASDAQ:DH) and served on the boards of private companies such as Aurora Energy Research, Viteos Fund Services, Merit Software, and eMarketer. Mr. Winn also serves on the board of Sapien Labs, a non-profit advancing global research on mental wellbeing. Prior to founding 22C Capital, Mr. Winn was a co-founder of, and Co-Managing Partner and ultimately Executive Managing Director/CEO of Capital IQ from 1999 to 2011. Mr. Winn holds an A.B. from the Woodrow Wilson School of Public and International Affairs at Princeton University.</w:t>
            </w:r>
          </w:p>
          <w:p>
            <w:pPr>
              <w:pStyle w:val="TableContents"/>
              <w:bidi w:val="0"/>
              <w:spacing w:before="0" w:after="0"/>
              <w:jc w:val="both"/>
              <w:rPr/>
            </w:pPr>
            <w:r>
              <w:rPr/>
            </w:r>
          </w:p>
          <w:p>
            <w:pPr>
              <w:pStyle w:val="TableContents"/>
              <w:bidi w:val="0"/>
              <w:spacing w:lineRule="auto" w:line="288" w:before="0" w:after="0"/>
              <w:jc w:val="both"/>
              <w:rPr>
                <w:rFonts w:ascii="Lato;sans-serif" w:hAnsi="Lato;sans-serif"/>
                <w:b w:val="false"/>
                <w:color w:val="000000"/>
                <w:sz w:val="16"/>
              </w:rPr>
            </w:pPr>
            <w:r>
              <w:rPr>
                <w:rFonts w:ascii="Lato;sans-serif" w:hAnsi="Lato;sans-serif"/>
                <w:b w:val="false"/>
                <w:color w:val="000000"/>
                <w:sz w:val="16"/>
              </w:rPr>
              <w:t>Nomination considerations: Mr. Winn's deep knowledge of our industry, extensive financial and business skills, including strategic planning, and his significant management and leadership experience, including with Capital IQ.</w:t>
            </w:r>
          </w:p>
        </w:tc>
      </w:tr>
    </w:tbl>
    <w:p>
      <w:pPr>
        <w:pStyle w:val="TextBody"/>
        <w:bidi w:val="0"/>
        <w:spacing w:lineRule="auto" w:line="288" w:before="300" w:after="180"/>
        <w:jc w:val="center"/>
        <w:rPr>
          <w:rFonts w:ascii="Lato;sans-serif" w:hAnsi="Lato;sans-serif"/>
          <w:b/>
          <w:color w:val="000000"/>
          <w:sz w:val="20"/>
        </w:rPr>
      </w:pPr>
      <w:r>
        <w:rPr>
          <w:rFonts w:ascii="Lato;sans-serif" w:hAnsi="Lato;sans-serif"/>
          <w:b/>
          <w:color w:val="000000"/>
          <w:sz w:val="20"/>
        </w:rPr>
        <w:t xml:space="preserve">THE BOARD OF DIRECTORS RECOMMENDS THAT YOU VOTE “FOR” THE ELECTION OF </w:t>
      </w:r>
    </w:p>
    <w:p>
      <w:pPr>
        <w:pStyle w:val="TextBody"/>
        <w:bidi w:val="0"/>
        <w:spacing w:lineRule="auto" w:line="288" w:before="180" w:after="180"/>
        <w:jc w:val="center"/>
        <w:rPr>
          <w:rFonts w:ascii="Lato;sans-serif" w:hAnsi="Lato;sans-serif"/>
          <w:b/>
          <w:color w:val="000000"/>
          <w:sz w:val="20"/>
        </w:rPr>
      </w:pPr>
      <w:r>
        <w:rPr>
          <w:rFonts w:ascii="Lato;sans-serif" w:hAnsi="Lato;sans-serif"/>
          <w:b/>
          <w:color w:val="000000"/>
          <w:sz w:val="20"/>
        </w:rPr>
        <w:t>THE DIRECTOR NOMINEES NAMED ABOVE.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352425"/>
                <wp:effectExtent l="0" t="0" r="0" b="0"/>
                <wp:wrapNone/>
                <wp:docPr id="21" name="Frame14"/>
                <a:graphic xmlns:a="http://schemas.openxmlformats.org/drawingml/2006/main">
                  <a:graphicData uri="http://schemas.microsoft.com/office/word/2010/wordprocessingShape">
                    <wps:wsp>
                      <wps:cNvSpPr txBox="1"/>
                      <wps:spPr>
                        <a:xfrm>
                          <a:off x="0" y="0"/>
                          <a:ext cx="6480175" cy="352425"/>
                        </a:xfrm>
                        <a:prstGeom prst="rect"/>
                        <a:solidFill>
                          <a:srgbClr val="FFFFFF"/>
                        </a:solidFill>
                      </wps:spPr>
                      <wps:txbx>
                        <w:txbxContent>
                          <w:p>
                            <w:pPr>
                              <w:pStyle w:val="TextBody"/>
                              <w:bidi w:val="0"/>
                              <w:spacing w:lineRule="auto" w:line="288" w:before="0" w:after="0"/>
                              <w:jc w:val="center"/>
                              <w:rPr>
                                <w:rFonts w:ascii="Lato;sans-serif" w:hAnsi="Lato;sans-serif"/>
                                <w:b w:val="false"/>
                                <w:color w:val="000000"/>
                                <w:sz w:val="20"/>
                              </w:rPr>
                            </w:pPr>
                            <w:r>
                              <w:rPr>
                                <w:rFonts w:ascii="Lato;sans-serif" w:hAnsi="Lato;sans-serif"/>
                                <w:b w:val="false"/>
                                <w:color w:val="000000"/>
                                <w:sz w:val="20"/>
                              </w:rPr>
                              <w:t>8</w:t>
                            </w:r>
                          </w:p>
                          <w:p>
                            <w:pPr>
                              <w:pStyle w:val="TextBody"/>
                              <w:bidi w:val="0"/>
                              <w:spacing w:lineRule="auto" w:line="288" w:before="0" w:after="0"/>
                              <w:jc w:val="left"/>
                              <w:rPr>
                                <w:color w:val="000000"/>
                              </w:rPr>
                            </w:pPr>
                            <w:r>
                              <w:rPr>
                                <w:color w:val="000000"/>
                              </w:rPr>
                              <w:t>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Lato;sans-serif" w:hAnsi="Lato;sans-serif"/>
                          <w:b w:val="false"/>
                          <w:color w:val="000000"/>
                          <w:sz w:val="20"/>
                        </w:rPr>
                      </w:pPr>
                      <w:r>
                        <w:rPr>
                          <w:rFonts w:ascii="Lato;sans-serif" w:hAnsi="Lato;sans-serif"/>
                          <w:b w:val="false"/>
                          <w:color w:val="000000"/>
                          <w:sz w:val="20"/>
                        </w:rPr>
                        <w:t>8</w:t>
                      </w:r>
                    </w:p>
                    <w:p>
                      <w:pPr>
                        <w:pStyle w:val="TextBody"/>
                        <w:bidi w:val="0"/>
                        <w:spacing w:lineRule="auto" w:line="288" w:before="0" w:after="0"/>
                        <w:jc w:val="left"/>
                        <w:rPr>
                          <w:color w:val="000000"/>
                        </w:rPr>
                      </w:pPr>
                      <w:r>
                        <w:rPr>
                          <w:color w:val="000000"/>
                        </w:rPr>
                        <w:t>        </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300" w:after="180"/>
        <w:jc w:val="both"/>
        <w:rPr>
          <w:rFonts w:ascii="Lato;sans-serif" w:hAnsi="Lato;sans-serif"/>
          <w:b/>
          <w:color w:val="000000"/>
          <w:sz w:val="20"/>
        </w:rPr>
      </w:pPr>
      <w:r>
        <w:rPr>
          <w:rFonts w:ascii="Lato;sans-serif" w:hAnsi="Lato;sans-serif"/>
          <w:b/>
          <w:color w:val="000000"/>
          <w:sz w:val="20"/>
        </w:rPr>
        <w:t>Continuing Members of the Board of Directors</w:t>
      </w:r>
    </w:p>
    <w:p>
      <w:pPr>
        <w:pStyle w:val="TextBody"/>
        <w:bidi w:val="0"/>
        <w:spacing w:lineRule="auto" w:line="240" w:before="180" w:after="180"/>
        <w:jc w:val="both"/>
        <w:rPr>
          <w:rFonts w:ascii="Lato;sans-serif" w:hAnsi="Lato;sans-serif"/>
          <w:b w:val="false"/>
          <w:color w:val="000000"/>
          <w:sz w:val="20"/>
        </w:rPr>
      </w:pPr>
      <w:r>
        <w:rPr>
          <w:rFonts w:ascii="Lato;sans-serif" w:hAnsi="Lato;sans-serif"/>
          <w:b w:val="false"/>
          <w:color w:val="000000"/>
          <w:sz w:val="20"/>
        </w:rPr>
        <w:t>The following information describes the offices held, other business directorships, the class and term of each director whose term continues beyond the Annual Meeting and who is not subject to election this year, as well as the experiences, qualifications, attributes or skills that caused the Board to determine that the director should serve as a director. Beneficial ownership of equity securities for these directors is also shown under “Ownership of Securities” below.</w:t>
      </w:r>
    </w:p>
    <w:tbl>
      <w:tblPr>
        <w:tblW w:w="10205" w:type="dxa"/>
        <w:jc w:val="left"/>
        <w:tblInd w:w="0" w:type="dxa"/>
        <w:tblLayout w:type="fixed"/>
        <w:tblCellMar>
          <w:top w:w="28" w:type="dxa"/>
          <w:left w:w="28" w:type="dxa"/>
          <w:bottom w:w="28" w:type="dxa"/>
          <w:right w:w="28" w:type="dxa"/>
        </w:tblCellMar>
      </w:tblPr>
      <w:tblGrid>
        <w:gridCol w:w="1155"/>
        <w:gridCol w:w="1016"/>
        <w:gridCol w:w="1018"/>
        <w:gridCol w:w="2339"/>
        <w:gridCol w:w="2154"/>
        <w:gridCol w:w="2523"/>
      </w:tblGrid>
      <w:tr>
        <w:trPr/>
        <w:tc>
          <w:tcPr>
            <w:tcW w:w="1155" w:type="dxa"/>
            <w:tcBorders/>
            <w:vAlign w:val="center"/>
          </w:tcPr>
          <w:p>
            <w:pPr>
              <w:pStyle w:val="TableContents"/>
              <w:bidi w:val="0"/>
              <w:spacing w:before="0" w:after="283"/>
              <w:jc w:val="left"/>
              <w:rPr>
                <w:sz w:val="4"/>
                <w:szCs w:val="4"/>
              </w:rPr>
            </w:pPr>
            <w:r>
              <w:rPr>
                <w:sz w:val="4"/>
                <w:szCs w:val="4"/>
              </w:rPr>
            </w:r>
          </w:p>
        </w:tc>
        <w:tc>
          <w:tcPr>
            <w:tcW w:w="1016" w:type="dxa"/>
            <w:tcBorders/>
            <w:vAlign w:val="center"/>
          </w:tcPr>
          <w:p>
            <w:pPr>
              <w:pStyle w:val="TableContents"/>
              <w:bidi w:val="0"/>
              <w:spacing w:before="0" w:after="283"/>
              <w:jc w:val="left"/>
              <w:rPr>
                <w:sz w:val="4"/>
                <w:szCs w:val="4"/>
              </w:rPr>
            </w:pPr>
            <w:r>
              <w:rPr>
                <w:sz w:val="4"/>
                <w:szCs w:val="4"/>
              </w:rPr>
            </w:r>
          </w:p>
        </w:tc>
        <w:tc>
          <w:tcPr>
            <w:tcW w:w="1018" w:type="dxa"/>
            <w:tcBorders/>
            <w:vAlign w:val="center"/>
          </w:tcPr>
          <w:p>
            <w:pPr>
              <w:pStyle w:val="TableContents"/>
              <w:bidi w:val="0"/>
              <w:spacing w:before="0" w:after="283"/>
              <w:jc w:val="left"/>
              <w:rPr>
                <w:sz w:val="4"/>
                <w:szCs w:val="4"/>
              </w:rPr>
            </w:pPr>
            <w:r>
              <w:rPr>
                <w:sz w:val="4"/>
                <w:szCs w:val="4"/>
              </w:rPr>
            </w:r>
          </w:p>
        </w:tc>
        <w:tc>
          <w:tcPr>
            <w:tcW w:w="2339" w:type="dxa"/>
            <w:tcBorders/>
            <w:vAlign w:val="center"/>
          </w:tcPr>
          <w:p>
            <w:pPr>
              <w:pStyle w:val="TableContents"/>
              <w:bidi w:val="0"/>
              <w:spacing w:before="0" w:after="283"/>
              <w:jc w:val="left"/>
              <w:rPr>
                <w:sz w:val="4"/>
                <w:szCs w:val="4"/>
              </w:rPr>
            </w:pPr>
            <w:r>
              <w:rPr>
                <w:sz w:val="4"/>
                <w:szCs w:val="4"/>
              </w:rPr>
            </w:r>
          </w:p>
        </w:tc>
        <w:tc>
          <w:tcPr>
            <w:tcW w:w="2154" w:type="dxa"/>
            <w:tcBorders/>
            <w:vAlign w:val="center"/>
          </w:tcPr>
          <w:p>
            <w:pPr>
              <w:pStyle w:val="TableContents"/>
              <w:bidi w:val="0"/>
              <w:spacing w:before="0" w:after="283"/>
              <w:jc w:val="left"/>
              <w:rPr>
                <w:sz w:val="4"/>
                <w:szCs w:val="4"/>
              </w:rPr>
            </w:pPr>
            <w:r>
              <w:rPr>
                <w:sz w:val="4"/>
                <w:szCs w:val="4"/>
              </w:rPr>
            </w:r>
          </w:p>
        </w:tc>
        <w:tc>
          <w:tcPr>
            <w:tcW w:w="2523" w:type="dxa"/>
            <w:tcBorders/>
            <w:vAlign w:val="center"/>
          </w:tcPr>
          <w:p>
            <w:pPr>
              <w:pStyle w:val="TableContents"/>
              <w:bidi w:val="0"/>
              <w:spacing w:before="0" w:after="283"/>
              <w:jc w:val="left"/>
              <w:rPr>
                <w:sz w:val="4"/>
                <w:szCs w:val="4"/>
              </w:rPr>
            </w:pPr>
            <w:r>
              <w:rPr>
                <w:sz w:val="4"/>
                <w:szCs w:val="4"/>
              </w:rPr>
            </w:r>
          </w:p>
        </w:tc>
      </w:tr>
      <w:tr>
        <w:trPr/>
        <w:tc>
          <w:tcPr>
            <w:tcW w:w="10205" w:type="dxa"/>
            <w:gridSpan w:val="6"/>
            <w:tcBorders/>
            <w:tcMar>
              <w:top w:w="0" w:type="dxa"/>
              <w:left w:w="0" w:type="dxa"/>
              <w:bottom w:w="0" w:type="dxa"/>
              <w:right w:w="0" w:type="dxa"/>
            </w:tcMar>
            <w:vAlign w:val="center"/>
          </w:tcPr>
          <w:p>
            <w:pPr>
              <w:pStyle w:val="TableContents"/>
              <w:bidi w:val="0"/>
              <w:spacing w:lineRule="auto" w:line="240" w:before="0" w:after="0"/>
              <w:jc w:val="center"/>
              <w:rPr>
                <w:rFonts w:ascii="Lato;sans-serif" w:hAnsi="Lato;sans-serif"/>
                <w:b/>
                <w:color w:val="000000"/>
                <w:sz w:val="20"/>
              </w:rPr>
            </w:pPr>
            <w:r>
              <w:rPr>
                <w:rFonts w:ascii="Lato;sans-serif" w:hAnsi="Lato;sans-serif"/>
                <w:b/>
                <w:color w:val="000000"/>
                <w:sz w:val="20"/>
              </w:rPr>
              <w:t>Class I – Directors whose terms expire in 2027</w:t>
            </w:r>
          </w:p>
        </w:tc>
      </w:tr>
      <w:tr>
        <w:trPr/>
        <w:tc>
          <w:tcPr>
            <w:tcW w:w="31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89" w:type="dxa"/>
            <w:gridSpan w:val="3"/>
            <w:tcBorders/>
            <w:shd w:fill="FFFFFF" w:val="clear"/>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1733550" cy="1733550"/>
                  <wp:effectExtent l="0" t="0" r="0" b="0"/>
                  <wp:docPr id="22"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8" descr=""/>
                          <pic:cNvPicPr>
                            <a:picLocks noChangeAspect="1" noChangeArrowheads="1"/>
                          </pic:cNvPicPr>
                        </pic:nvPicPr>
                        <pic:blipFill>
                          <a:blip r:embed="rId9"/>
                          <a:stretch>
                            <a:fillRect/>
                          </a:stretch>
                        </pic:blipFill>
                        <pic:spPr bwMode="auto">
                          <a:xfrm>
                            <a:off x="0" y="0"/>
                            <a:ext cx="1733550" cy="1733550"/>
                          </a:xfrm>
                          <a:prstGeom prst="rect">
                            <a:avLst/>
                          </a:prstGeom>
                        </pic:spPr>
                      </pic:pic>
                    </a:graphicData>
                  </a:graphic>
                </wp:inline>
              </w:drawing>
            </w:r>
            <w:bookmarkStart w:id="7" w:name="i-8"/>
            <w:bookmarkEnd w:id="7"/>
          </w:p>
          <w:p>
            <w:pPr>
              <w:pStyle w:val="TableContents"/>
              <w:bidi w:val="0"/>
              <w:spacing w:lineRule="auto" w:line="240" w:before="0" w:after="0"/>
              <w:jc w:val="center"/>
              <w:rPr>
                <w:rFonts w:ascii="Lato;sans-serif" w:hAnsi="Lato;sans-serif"/>
                <w:b/>
                <w:color w:val="000000"/>
                <w:sz w:val="20"/>
              </w:rPr>
            </w:pPr>
            <w:r>
              <w:rPr>
                <w:rFonts w:ascii="Lato;sans-serif" w:hAnsi="Lato;sans-serif"/>
                <w:b/>
                <w:color w:val="000000"/>
                <w:sz w:val="20"/>
              </w:rPr>
              <w:t>Henry L. Schuck</w:t>
            </w:r>
          </w:p>
          <w:p>
            <w:pPr>
              <w:pStyle w:val="TableContents"/>
              <w:bidi w:val="0"/>
              <w:spacing w:lineRule="auto" w:line="240" w:before="0" w:after="0"/>
              <w:jc w:val="center"/>
              <w:rPr>
                <w:rFonts w:ascii="Lato;sans-serif" w:hAnsi="Lato;sans-serif"/>
                <w:b w:val="false"/>
                <w:color w:val="000000"/>
                <w:sz w:val="20"/>
              </w:rPr>
            </w:pPr>
            <w:r>
              <w:rPr>
                <w:rFonts w:ascii="Lato;sans-serif" w:hAnsi="Lato;sans-serif"/>
                <w:b w:val="false"/>
                <w:color w:val="000000"/>
                <w:sz w:val="20"/>
              </w:rPr>
              <w:t>Age 42</w:t>
            </w:r>
          </w:p>
          <w:p>
            <w:pPr>
              <w:pStyle w:val="TableContents"/>
              <w:bidi w:val="0"/>
              <w:spacing w:lineRule="auto" w:line="240" w:before="0" w:after="0"/>
              <w:jc w:val="center"/>
              <w:rPr>
                <w:rFonts w:ascii="Lato;sans-serif" w:hAnsi="Lato;sans-serif"/>
                <w:b w:val="false"/>
                <w:color w:val="000000"/>
                <w:sz w:val="20"/>
              </w:rPr>
            </w:pPr>
            <w:r>
              <w:rPr>
                <w:rFonts w:ascii="Lato;sans-serif" w:hAnsi="Lato;sans-serif"/>
                <w:b w:val="false"/>
                <w:color w:val="000000"/>
                <w:sz w:val="20"/>
              </w:rPr>
              <w:t>CEO &amp; Chairman of the Board</w:t>
            </w:r>
          </w:p>
        </w:tc>
        <w:tc>
          <w:tcPr>
            <w:tcW w:w="701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both"/>
              <w:rPr>
                <w:rFonts w:ascii="Lato;sans-serif" w:hAnsi="Lato;sans-serif"/>
                <w:b w:val="false"/>
                <w:color w:val="000000"/>
                <w:sz w:val="18"/>
              </w:rPr>
            </w:pPr>
            <w:r>
              <w:rPr>
                <w:rFonts w:ascii="Lato;sans-serif" w:hAnsi="Lato;sans-serif"/>
                <w:b w:val="false"/>
                <w:color w:val="000000"/>
                <w:sz w:val="18"/>
              </w:rPr>
              <w:t>Mr. Schuck has served as Chief Executive Officer, Chairman of the Board and a director of ZoomInfo Technologies Inc. since its formation in November 2019 and served as Chief Executive Officer and a director of ZoomInfo Holdings LLC (formerly known as DiscoverOrg Holdings, LLC) since founding it in 2007. Prior to founding ZoomInfo Holdings LLC, Mr. Schuck was VP of Research &amp; Marketing at iProfile, a sales intelligence firm focused on the IT market. Mr. Schuck is a cum laude graduate of the University of Nevada, Las Vegas with a B.S. in Business Administration and a B.S. in Hospitality Management with Honors and holds a J.D., cum laude, from The Ohio State University Moritz College of Law. Mr. Schuck is a licensed attorney in Nevada and Washington. Mr. Schuck currently serves on the Board of Directors of YipitData, a market research and alternative data analytics firm, and Fetch, a mobile rewards application company. He served on the Board of Directors of Tegus, a financial data platform that was acquired by AlphaSense in 2024.</w:t>
            </w:r>
          </w:p>
          <w:p>
            <w:pPr>
              <w:pStyle w:val="TableContents"/>
              <w:bidi w:val="0"/>
              <w:spacing w:before="0" w:after="0"/>
              <w:jc w:val="both"/>
              <w:rPr/>
            </w:pPr>
            <w:r>
              <w:rPr/>
            </w:r>
          </w:p>
          <w:p>
            <w:pPr>
              <w:pStyle w:val="TableContents"/>
              <w:bidi w:val="0"/>
              <w:spacing w:lineRule="auto" w:line="288" w:before="0" w:after="0"/>
              <w:jc w:val="both"/>
              <w:rPr/>
            </w:pPr>
            <w:r>
              <w:rPr>
                <w:rFonts w:ascii="Lato;sans-serif" w:hAnsi="Lato;sans-serif"/>
                <w:b/>
                <w:color w:val="000000"/>
                <w:sz w:val="18"/>
              </w:rPr>
              <w:t>Nomination considerations</w:t>
            </w:r>
            <w:r>
              <w:rPr>
                <w:rFonts w:ascii="Lato;sans-serif" w:hAnsi="Lato;sans-serif"/>
                <w:b w:val="false"/>
                <w:color w:val="000000"/>
                <w:sz w:val="18"/>
              </w:rPr>
              <w:t>: Mr. Schuck’s perspective and the experience he brings as our co-founder and CEO.</w:t>
            </w:r>
          </w:p>
        </w:tc>
      </w:tr>
      <w:tr>
        <w:trPr/>
        <w:tc>
          <w:tcPr>
            <w:tcW w:w="31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89" w:type="dxa"/>
            <w:gridSpan w:val="3"/>
            <w:tcBorders/>
            <w:shd w:fill="FFFFFF" w:val="clear"/>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1733550" cy="1733550"/>
                  <wp:effectExtent l="0" t="0" r="0" b="0"/>
                  <wp:docPr id="23"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9" descr=""/>
                          <pic:cNvPicPr>
                            <a:picLocks noChangeAspect="1" noChangeArrowheads="1"/>
                          </pic:cNvPicPr>
                        </pic:nvPicPr>
                        <pic:blipFill>
                          <a:blip r:embed="rId10"/>
                          <a:stretch>
                            <a:fillRect/>
                          </a:stretch>
                        </pic:blipFill>
                        <pic:spPr bwMode="auto">
                          <a:xfrm>
                            <a:off x="0" y="0"/>
                            <a:ext cx="1733550" cy="1733550"/>
                          </a:xfrm>
                          <a:prstGeom prst="rect">
                            <a:avLst/>
                          </a:prstGeom>
                        </pic:spPr>
                      </pic:pic>
                    </a:graphicData>
                  </a:graphic>
                </wp:inline>
              </w:drawing>
            </w:r>
            <w:bookmarkStart w:id="8" w:name="i-9"/>
            <w:bookmarkEnd w:id="8"/>
          </w:p>
          <w:p>
            <w:pPr>
              <w:pStyle w:val="TableContents"/>
              <w:bidi w:val="0"/>
              <w:spacing w:lineRule="auto" w:line="240" w:before="0" w:after="0"/>
              <w:jc w:val="center"/>
              <w:rPr>
                <w:rFonts w:ascii="Lato;sans-serif" w:hAnsi="Lato;sans-serif"/>
                <w:b/>
                <w:color w:val="000000"/>
                <w:sz w:val="20"/>
              </w:rPr>
            </w:pPr>
            <w:r>
              <w:rPr>
                <w:rFonts w:ascii="Lato;sans-serif" w:hAnsi="Lato;sans-serif"/>
                <w:b/>
                <w:color w:val="000000"/>
                <w:sz w:val="20"/>
              </w:rPr>
              <w:t>Keith Enright</w:t>
            </w:r>
          </w:p>
          <w:p>
            <w:pPr>
              <w:pStyle w:val="TableContents"/>
              <w:bidi w:val="0"/>
              <w:spacing w:lineRule="auto" w:line="240" w:before="0" w:after="0"/>
              <w:jc w:val="center"/>
              <w:rPr>
                <w:rFonts w:ascii="Lato;sans-serif" w:hAnsi="Lato;sans-serif"/>
                <w:b w:val="false"/>
                <w:color w:val="000000"/>
                <w:sz w:val="20"/>
              </w:rPr>
            </w:pPr>
            <w:r>
              <w:rPr>
                <w:rFonts w:ascii="Lato;sans-serif" w:hAnsi="Lato;sans-serif"/>
                <w:b w:val="false"/>
                <w:color w:val="000000"/>
                <w:sz w:val="20"/>
              </w:rPr>
              <w:t>Age 51</w:t>
            </w:r>
          </w:p>
          <w:p>
            <w:pPr>
              <w:pStyle w:val="TableContents"/>
              <w:bidi w:val="0"/>
              <w:spacing w:lineRule="auto" w:line="240" w:before="0" w:after="0"/>
              <w:jc w:val="center"/>
              <w:rPr>
                <w:rFonts w:ascii="Lato;sans-serif" w:hAnsi="Lato;sans-serif"/>
                <w:b w:val="false"/>
                <w:color w:val="000000"/>
                <w:sz w:val="20"/>
              </w:rPr>
            </w:pPr>
            <w:r>
              <w:rPr>
                <w:rFonts w:ascii="Lato;sans-serif" w:hAnsi="Lato;sans-serif"/>
                <w:b w:val="false"/>
                <w:color w:val="000000"/>
                <w:sz w:val="20"/>
              </w:rPr>
              <w:t>Chair of the Privacy, Security, and Technology Committee &amp; Member of the Audit Committee</w:t>
            </w:r>
          </w:p>
        </w:tc>
        <w:tc>
          <w:tcPr>
            <w:tcW w:w="7016" w:type="dxa"/>
            <w:gridSpan w:val="3"/>
            <w:tcBorders/>
            <w:shd w:fill="FFFFFF" w:val="clear"/>
            <w:tcMar>
              <w:top w:w="0" w:type="dxa"/>
              <w:left w:w="0" w:type="dxa"/>
              <w:bottom w:w="0" w:type="dxa"/>
              <w:right w:w="0" w:type="dxa"/>
            </w:tcMar>
            <w:vAlign w:val="center"/>
          </w:tcPr>
          <w:p>
            <w:pPr>
              <w:pStyle w:val="TableContents"/>
              <w:bidi w:val="0"/>
              <w:spacing w:lineRule="auto" w:line="288" w:before="0" w:after="180"/>
              <w:jc w:val="both"/>
              <w:rPr>
                <w:rFonts w:ascii="Lato;sans-serif" w:hAnsi="Lato;sans-serif"/>
                <w:b w:val="false"/>
                <w:color w:val="000000"/>
                <w:sz w:val="18"/>
              </w:rPr>
            </w:pPr>
            <w:r>
              <w:rPr>
                <w:rFonts w:ascii="Lato;sans-serif" w:hAnsi="Lato;sans-serif"/>
                <w:b w:val="false"/>
                <w:color w:val="000000"/>
                <w:sz w:val="18"/>
              </w:rPr>
              <w:t>Mr. Enright has served as a member of the Board of Directors of ZoomInfo Technologies Inc. since March 2020 and served as a member of the Board of Managers of ZoomInfo Holdings LLC from March 2020 to June 2020. Mr. Enright currently serves as a Partner at Gibson Dunn, a leading global law firm. Mr. Enright serves as Co-Chair of both the firm’s Tech and Innovation Industry Group and Artificial Intelligence Practice Group. Prior to joining Gibson Dunn in September 2024, Mr. Enright was the Chief Privacy Officer of Google LLC, a multinational technology company that specializes in Internet-related services and products, which include online advertising technologies, a search engine, cloud computing, software, and hardware. Prior to joining Google in 2011, Mr. Enright was the Chief Privacy Officer and Vice President, Privacy of Macy’s Inc. Mr. Enright holds a Bachelor of Arts Degree from the University of Massachusetts at Amherst and a Juris Doctor degree from The George Washington University Law School.</w:t>
            </w:r>
          </w:p>
          <w:p>
            <w:pPr>
              <w:pStyle w:val="TableContents"/>
              <w:bidi w:val="0"/>
              <w:spacing w:lineRule="auto" w:line="288" w:before="0" w:after="180"/>
              <w:jc w:val="both"/>
              <w:rPr/>
            </w:pPr>
            <w:r>
              <w:rPr>
                <w:rFonts w:ascii="Lato;sans-serif" w:hAnsi="Lato;sans-serif"/>
                <w:b/>
                <w:color w:val="000000"/>
                <w:sz w:val="18"/>
              </w:rPr>
              <w:t>Nomination considerations</w:t>
            </w:r>
            <w:r>
              <w:rPr>
                <w:rFonts w:ascii="Lato;sans-serif" w:hAnsi="Lato;sans-serif"/>
                <w:b w:val="false"/>
                <w:color w:val="000000"/>
                <w:sz w:val="18"/>
              </w:rPr>
              <w:t>: Mr. Enright’s extensive experience with data privacy, including as Chief Privacy Officer for Google LLC, and his significant core business skills.</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352425"/>
                <wp:effectExtent l="0" t="0" r="0" b="0"/>
                <wp:wrapNone/>
                <wp:docPr id="24" name="Frame15"/>
                <a:graphic xmlns:a="http://schemas.openxmlformats.org/drawingml/2006/main">
                  <a:graphicData uri="http://schemas.microsoft.com/office/word/2010/wordprocessingShape">
                    <wps:wsp>
                      <wps:cNvSpPr txBox="1"/>
                      <wps:spPr>
                        <a:xfrm>
                          <a:off x="0" y="0"/>
                          <a:ext cx="6480175" cy="352425"/>
                        </a:xfrm>
                        <a:prstGeom prst="rect"/>
                        <a:solidFill>
                          <a:srgbClr val="FFFFFF"/>
                        </a:solidFill>
                      </wps:spPr>
                      <wps:txbx>
                        <w:txbxContent>
                          <w:p>
                            <w:pPr>
                              <w:pStyle w:val="TextBody"/>
                              <w:bidi w:val="0"/>
                              <w:spacing w:lineRule="auto" w:line="288" w:before="0" w:after="0"/>
                              <w:jc w:val="center"/>
                              <w:rPr>
                                <w:rFonts w:ascii="Lato;sans-serif" w:hAnsi="Lato;sans-serif"/>
                                <w:b w:val="false"/>
                                <w:color w:val="000000"/>
                                <w:sz w:val="20"/>
                              </w:rPr>
                            </w:pPr>
                            <w:r>
                              <w:rPr>
                                <w:rFonts w:ascii="Lato;sans-serif" w:hAnsi="Lato;sans-serif"/>
                                <w:b w:val="false"/>
                                <w:color w:val="000000"/>
                                <w:sz w:val="20"/>
                              </w:rPr>
                              <w:t>9</w:t>
                            </w:r>
                          </w:p>
                          <w:p>
                            <w:pPr>
                              <w:pStyle w:val="TextBody"/>
                              <w:bidi w:val="0"/>
                              <w:spacing w:lineRule="auto" w:line="288" w:before="0" w:after="0"/>
                              <w:jc w:val="left"/>
                              <w:rPr>
                                <w:color w:val="000000"/>
                              </w:rPr>
                            </w:pPr>
                            <w:r>
                              <w:rPr>
                                <w:color w:val="000000"/>
                              </w:rPr>
                              <w:t>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Lato;sans-serif" w:hAnsi="Lato;sans-serif"/>
                          <w:b w:val="false"/>
                          <w:color w:val="000000"/>
                          <w:sz w:val="20"/>
                        </w:rPr>
                      </w:pPr>
                      <w:r>
                        <w:rPr>
                          <w:rFonts w:ascii="Lato;sans-serif" w:hAnsi="Lato;sans-serif"/>
                          <w:b w:val="false"/>
                          <w:color w:val="000000"/>
                          <w:sz w:val="20"/>
                        </w:rPr>
                        <w:t>9</w:t>
                      </w:r>
                    </w:p>
                    <w:p>
                      <w:pPr>
                        <w:pStyle w:val="TextBody"/>
                        <w:bidi w:val="0"/>
                        <w:spacing w:lineRule="auto" w:line="288" w:before="0" w:after="0"/>
                        <w:jc w:val="left"/>
                        <w:rPr>
                          <w:color w:val="000000"/>
                        </w:rPr>
                      </w:pPr>
                      <w:r>
                        <w:rPr>
                          <w:color w:val="000000"/>
                        </w:rPr>
                        <w:t>        </w:t>
                      </w:r>
                    </w:p>
                  </w:txbxContent>
                </v:textbox>
                <w10:wrap type="none"/>
              </v:rect>
            </w:pict>
          </mc:Fallback>
        </mc:AlternateConten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1153"/>
        <w:gridCol w:w="1014"/>
        <w:gridCol w:w="1015"/>
        <w:gridCol w:w="2056"/>
        <w:gridCol w:w="2056"/>
        <w:gridCol w:w="2911"/>
      </w:tblGrid>
      <w:tr>
        <w:trPr/>
        <w:tc>
          <w:tcPr>
            <w:tcW w:w="1153" w:type="dxa"/>
            <w:tcBorders/>
            <w:vAlign w:val="center"/>
          </w:tcPr>
          <w:p>
            <w:pPr>
              <w:pStyle w:val="TableContents"/>
              <w:bidi w:val="0"/>
              <w:spacing w:before="0" w:after="283"/>
              <w:jc w:val="left"/>
              <w:rPr>
                <w:sz w:val="4"/>
                <w:szCs w:val="4"/>
              </w:rPr>
            </w:pPr>
            <w:r>
              <w:rPr>
                <w:sz w:val="4"/>
                <w:szCs w:val="4"/>
              </w:rPr>
            </w:r>
          </w:p>
        </w:tc>
        <w:tc>
          <w:tcPr>
            <w:tcW w:w="1014" w:type="dxa"/>
            <w:tcBorders/>
            <w:vAlign w:val="center"/>
          </w:tcPr>
          <w:p>
            <w:pPr>
              <w:pStyle w:val="TableContents"/>
              <w:bidi w:val="0"/>
              <w:spacing w:before="0" w:after="283"/>
              <w:jc w:val="left"/>
              <w:rPr>
                <w:sz w:val="4"/>
                <w:szCs w:val="4"/>
              </w:rPr>
            </w:pPr>
            <w:r>
              <w:rPr>
                <w:sz w:val="4"/>
                <w:szCs w:val="4"/>
              </w:rPr>
            </w:r>
          </w:p>
        </w:tc>
        <w:tc>
          <w:tcPr>
            <w:tcW w:w="1015" w:type="dxa"/>
            <w:tcBorders/>
            <w:vAlign w:val="center"/>
          </w:tcPr>
          <w:p>
            <w:pPr>
              <w:pStyle w:val="TableContents"/>
              <w:bidi w:val="0"/>
              <w:spacing w:before="0" w:after="283"/>
              <w:jc w:val="left"/>
              <w:rPr>
                <w:sz w:val="4"/>
                <w:szCs w:val="4"/>
              </w:rPr>
            </w:pPr>
            <w:r>
              <w:rPr>
                <w:sz w:val="4"/>
                <w:szCs w:val="4"/>
              </w:rPr>
            </w:r>
          </w:p>
        </w:tc>
        <w:tc>
          <w:tcPr>
            <w:tcW w:w="2056" w:type="dxa"/>
            <w:tcBorders/>
            <w:vAlign w:val="center"/>
          </w:tcPr>
          <w:p>
            <w:pPr>
              <w:pStyle w:val="TableContents"/>
              <w:bidi w:val="0"/>
              <w:spacing w:before="0" w:after="283"/>
              <w:jc w:val="left"/>
              <w:rPr>
                <w:sz w:val="4"/>
                <w:szCs w:val="4"/>
              </w:rPr>
            </w:pPr>
            <w:r>
              <w:rPr>
                <w:sz w:val="4"/>
                <w:szCs w:val="4"/>
              </w:rPr>
            </w:r>
          </w:p>
        </w:tc>
        <w:tc>
          <w:tcPr>
            <w:tcW w:w="2056" w:type="dxa"/>
            <w:tcBorders/>
            <w:vAlign w:val="center"/>
          </w:tcPr>
          <w:p>
            <w:pPr>
              <w:pStyle w:val="TableContents"/>
              <w:bidi w:val="0"/>
              <w:spacing w:before="0" w:after="283"/>
              <w:jc w:val="left"/>
              <w:rPr>
                <w:sz w:val="4"/>
                <w:szCs w:val="4"/>
              </w:rPr>
            </w:pPr>
            <w:r>
              <w:rPr>
                <w:sz w:val="4"/>
                <w:szCs w:val="4"/>
              </w:rPr>
            </w:r>
          </w:p>
        </w:tc>
        <w:tc>
          <w:tcPr>
            <w:tcW w:w="2911" w:type="dxa"/>
            <w:tcBorders/>
            <w:vAlign w:val="center"/>
          </w:tcPr>
          <w:p>
            <w:pPr>
              <w:pStyle w:val="TableContents"/>
              <w:bidi w:val="0"/>
              <w:spacing w:before="0" w:after="283"/>
              <w:jc w:val="left"/>
              <w:rPr>
                <w:sz w:val="4"/>
                <w:szCs w:val="4"/>
              </w:rPr>
            </w:pPr>
            <w:r>
              <w:rPr>
                <w:sz w:val="4"/>
                <w:szCs w:val="4"/>
              </w:rPr>
            </w:r>
          </w:p>
        </w:tc>
      </w:tr>
      <w:tr>
        <w:trPr/>
        <w:tc>
          <w:tcPr>
            <w:tcW w:w="3182" w:type="dxa"/>
            <w:gridSpan w:val="3"/>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1733550" cy="1724025"/>
                  <wp:effectExtent l="0" t="0" r="0" b="0"/>
                  <wp:docPr id="25"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10" descr=""/>
                          <pic:cNvPicPr>
                            <a:picLocks noChangeAspect="1" noChangeArrowheads="1"/>
                          </pic:cNvPicPr>
                        </pic:nvPicPr>
                        <pic:blipFill>
                          <a:blip r:embed="rId11"/>
                          <a:stretch>
                            <a:fillRect/>
                          </a:stretch>
                        </pic:blipFill>
                        <pic:spPr bwMode="auto">
                          <a:xfrm>
                            <a:off x="0" y="0"/>
                            <a:ext cx="1733550" cy="1724025"/>
                          </a:xfrm>
                          <a:prstGeom prst="rect">
                            <a:avLst/>
                          </a:prstGeom>
                        </pic:spPr>
                      </pic:pic>
                    </a:graphicData>
                  </a:graphic>
                </wp:inline>
              </w:drawing>
            </w:r>
            <w:bookmarkStart w:id="9" w:name="i-10"/>
            <w:bookmarkEnd w:id="9"/>
          </w:p>
          <w:p>
            <w:pPr>
              <w:pStyle w:val="TableContents"/>
              <w:bidi w:val="0"/>
              <w:spacing w:lineRule="auto" w:line="240" w:before="0" w:after="0"/>
              <w:jc w:val="center"/>
              <w:rPr>
                <w:rFonts w:ascii="Lato;sans-serif" w:hAnsi="Lato;sans-serif"/>
                <w:b/>
                <w:color w:val="000000"/>
                <w:sz w:val="20"/>
              </w:rPr>
            </w:pPr>
            <w:r>
              <w:rPr>
                <w:rFonts w:ascii="Lato;sans-serif" w:hAnsi="Lato;sans-serif"/>
                <w:b/>
                <w:color w:val="000000"/>
                <w:sz w:val="20"/>
              </w:rPr>
              <w:t>Owen Wurzbacher</w:t>
            </w:r>
          </w:p>
          <w:p>
            <w:pPr>
              <w:pStyle w:val="TableContents"/>
              <w:bidi w:val="0"/>
              <w:spacing w:lineRule="auto" w:line="240" w:before="0" w:after="0"/>
              <w:jc w:val="center"/>
              <w:rPr>
                <w:rFonts w:ascii="Lato;sans-serif" w:hAnsi="Lato;sans-serif"/>
                <w:b w:val="false"/>
                <w:color w:val="000000"/>
                <w:sz w:val="20"/>
              </w:rPr>
            </w:pPr>
            <w:r>
              <w:rPr>
                <w:rFonts w:ascii="Lato;sans-serif" w:hAnsi="Lato;sans-serif"/>
                <w:b w:val="false"/>
                <w:color w:val="000000"/>
                <w:sz w:val="20"/>
              </w:rPr>
              <w:t>Age 34</w:t>
            </w:r>
          </w:p>
          <w:p>
            <w:pPr>
              <w:pStyle w:val="TableContents"/>
              <w:bidi w:val="0"/>
              <w:spacing w:lineRule="auto" w:line="240" w:before="0" w:after="0"/>
              <w:jc w:val="center"/>
              <w:rPr>
                <w:rFonts w:ascii="Lato;sans-serif" w:hAnsi="Lato;sans-serif"/>
                <w:b w:val="false"/>
                <w:color w:val="000000"/>
                <w:sz w:val="20"/>
              </w:rPr>
            </w:pPr>
            <w:r>
              <w:rPr>
                <w:rFonts w:ascii="Lato;sans-serif" w:hAnsi="Lato;sans-serif"/>
                <w:b w:val="false"/>
                <w:color w:val="000000"/>
                <w:sz w:val="20"/>
              </w:rPr>
              <w:t>Lead Independent Director, Chair of the Compensation Committee &amp; Member of the</w:t>
            </w:r>
          </w:p>
          <w:p>
            <w:pPr>
              <w:pStyle w:val="TableContents"/>
              <w:bidi w:val="0"/>
              <w:spacing w:lineRule="auto" w:line="240" w:before="0" w:after="0"/>
              <w:jc w:val="center"/>
              <w:rPr>
                <w:rFonts w:ascii="Lato;sans-serif" w:hAnsi="Lato;sans-serif"/>
                <w:b w:val="false"/>
                <w:color w:val="000000"/>
                <w:sz w:val="20"/>
              </w:rPr>
            </w:pPr>
            <w:r>
              <w:rPr>
                <w:rFonts w:ascii="Lato;sans-serif" w:hAnsi="Lato;sans-serif"/>
                <w:b w:val="false"/>
                <w:color w:val="000000"/>
                <w:sz w:val="20"/>
              </w:rPr>
              <w:t>Nominating and Corporate Governance Committee</w:t>
            </w:r>
          </w:p>
        </w:tc>
        <w:tc>
          <w:tcPr>
            <w:tcW w:w="7023" w:type="dxa"/>
            <w:gridSpan w:val="3"/>
            <w:tcBorders/>
            <w:tcMar>
              <w:top w:w="0" w:type="dxa"/>
              <w:left w:w="0" w:type="dxa"/>
              <w:bottom w:w="0" w:type="dxa"/>
              <w:right w:w="0" w:type="dxa"/>
            </w:tcMar>
            <w:vAlign w:val="center"/>
          </w:tcPr>
          <w:p>
            <w:pPr>
              <w:pStyle w:val="TableContents"/>
              <w:bidi w:val="0"/>
              <w:spacing w:lineRule="auto" w:line="288" w:before="0" w:after="0"/>
              <w:jc w:val="both"/>
              <w:rPr>
                <w:rFonts w:ascii="Lato;sans-serif" w:hAnsi="Lato;sans-serif"/>
                <w:b w:val="false"/>
                <w:color w:val="000000"/>
                <w:sz w:val="18"/>
              </w:rPr>
            </w:pPr>
            <w:r>
              <w:rPr>
                <w:rFonts w:ascii="Lato;sans-serif" w:hAnsi="Lato;sans-serif"/>
                <w:b w:val="false"/>
                <w:color w:val="000000"/>
                <w:sz w:val="18"/>
              </w:rPr>
              <w:t>Mr. Wurzbacher has served as a member of the Board of Directors of ZoomInfo Technologies Inc. since August 2024, and as Lead Independent Director of the Board since February 2026. Mr. Wurzbacher currently serves as Chief Investment Officer at HighSage Ventures, where he sets the firm’s strategy and oversees portfolio management. He was previously Managing Director &amp; Portfolio Manager of HighSage Ventures from 2019 to 2023. Prior to his roles at HighSage Ventures, Mr. Wurzbacher worked at Highfields Capital, Amazon, and the Blackstone Group. Mr. Wurzbacher holds an M.B.A. from Stanford University’s Graduate School of Business, where he was an Arjay Miller Scholar and the winner of the Alexander A. Robichek Award for Outstanding Achievement in Finance and an M.A. in Education. He graduated magna cum laude from Harvard University, receiving an A.B. in Biology with a minor in Economics.</w:t>
            </w:r>
          </w:p>
          <w:p>
            <w:pPr>
              <w:pStyle w:val="TableContents"/>
              <w:bidi w:val="0"/>
              <w:spacing w:before="0" w:after="0"/>
              <w:jc w:val="both"/>
              <w:rPr/>
            </w:pPr>
            <w:r>
              <w:rPr/>
            </w:r>
          </w:p>
          <w:p>
            <w:pPr>
              <w:pStyle w:val="TableContents"/>
              <w:bidi w:val="0"/>
              <w:spacing w:lineRule="auto" w:line="288" w:before="0" w:after="0"/>
              <w:jc w:val="both"/>
              <w:rPr/>
            </w:pPr>
            <w:r>
              <w:rPr>
                <w:rFonts w:ascii="Lato;sans-serif" w:hAnsi="Lato;sans-serif"/>
                <w:b/>
                <w:color w:val="000000"/>
                <w:sz w:val="18"/>
              </w:rPr>
              <w:t>Nomination considerations</w:t>
            </w:r>
            <w:r>
              <w:rPr>
                <w:rFonts w:ascii="Lato;sans-serif" w:hAnsi="Lato;sans-serif"/>
                <w:b w:val="false"/>
                <w:color w:val="000000"/>
                <w:sz w:val="18"/>
              </w:rPr>
              <w:t>: Mr. Wurzbacher’s extensive knowledge and experience with capital markets and with our industry.</w:t>
            </w:r>
          </w:p>
          <w:p>
            <w:pPr>
              <w:pStyle w:val="TableContents"/>
              <w:bidi w:val="0"/>
              <w:spacing w:before="0" w:after="0"/>
              <w:jc w:val="both"/>
              <w:rPr/>
            </w:pPr>
            <w:r>
              <w:rPr/>
            </w:r>
          </w:p>
        </w:tc>
      </w:tr>
    </w:tbl>
    <w:tbl>
      <w:tblPr>
        <w:tblW w:w="10205" w:type="dxa"/>
        <w:jc w:val="left"/>
        <w:tblInd w:w="0" w:type="dxa"/>
        <w:tblLayout w:type="fixed"/>
        <w:tblCellMar>
          <w:top w:w="28" w:type="dxa"/>
          <w:left w:w="28" w:type="dxa"/>
          <w:bottom w:w="28" w:type="dxa"/>
          <w:right w:w="28" w:type="dxa"/>
        </w:tblCellMar>
      </w:tblPr>
      <w:tblGrid>
        <w:gridCol w:w="1066"/>
        <w:gridCol w:w="938"/>
        <w:gridCol w:w="940"/>
        <w:gridCol w:w="2476"/>
        <w:gridCol w:w="2085"/>
        <w:gridCol w:w="2700"/>
      </w:tblGrid>
      <w:tr>
        <w:trPr/>
        <w:tc>
          <w:tcPr>
            <w:tcW w:w="1066" w:type="dxa"/>
            <w:tcBorders/>
            <w:vAlign w:val="center"/>
          </w:tcPr>
          <w:p>
            <w:pPr>
              <w:pStyle w:val="TableContents"/>
              <w:bidi w:val="0"/>
              <w:spacing w:before="0" w:after="283"/>
              <w:jc w:val="left"/>
              <w:rPr>
                <w:sz w:val="4"/>
                <w:szCs w:val="4"/>
              </w:rPr>
            </w:pPr>
            <w:r>
              <w:rPr>
                <w:sz w:val="4"/>
                <w:szCs w:val="4"/>
              </w:rPr>
            </w:r>
          </w:p>
        </w:tc>
        <w:tc>
          <w:tcPr>
            <w:tcW w:w="938" w:type="dxa"/>
            <w:tcBorders/>
            <w:vAlign w:val="center"/>
          </w:tcPr>
          <w:p>
            <w:pPr>
              <w:pStyle w:val="TableContents"/>
              <w:bidi w:val="0"/>
              <w:spacing w:before="0" w:after="283"/>
              <w:jc w:val="left"/>
              <w:rPr>
                <w:sz w:val="4"/>
                <w:szCs w:val="4"/>
              </w:rPr>
            </w:pPr>
            <w:r>
              <w:rPr>
                <w:sz w:val="4"/>
                <w:szCs w:val="4"/>
              </w:rPr>
            </w:r>
          </w:p>
        </w:tc>
        <w:tc>
          <w:tcPr>
            <w:tcW w:w="940" w:type="dxa"/>
            <w:tcBorders/>
            <w:vAlign w:val="center"/>
          </w:tcPr>
          <w:p>
            <w:pPr>
              <w:pStyle w:val="TableContents"/>
              <w:bidi w:val="0"/>
              <w:spacing w:before="0" w:after="283"/>
              <w:jc w:val="left"/>
              <w:rPr>
                <w:sz w:val="4"/>
                <w:szCs w:val="4"/>
              </w:rPr>
            </w:pPr>
            <w:r>
              <w:rPr>
                <w:sz w:val="4"/>
                <w:szCs w:val="4"/>
              </w:rPr>
            </w:r>
          </w:p>
        </w:tc>
        <w:tc>
          <w:tcPr>
            <w:tcW w:w="2476" w:type="dxa"/>
            <w:tcBorders/>
            <w:vAlign w:val="center"/>
          </w:tcPr>
          <w:p>
            <w:pPr>
              <w:pStyle w:val="TableContents"/>
              <w:bidi w:val="0"/>
              <w:spacing w:before="0" w:after="283"/>
              <w:jc w:val="left"/>
              <w:rPr>
                <w:sz w:val="4"/>
                <w:szCs w:val="4"/>
              </w:rPr>
            </w:pPr>
            <w:r>
              <w:rPr>
                <w:sz w:val="4"/>
                <w:szCs w:val="4"/>
              </w:rPr>
            </w:r>
          </w:p>
        </w:tc>
        <w:tc>
          <w:tcPr>
            <w:tcW w:w="2085" w:type="dxa"/>
            <w:tcBorders/>
            <w:vAlign w:val="center"/>
          </w:tcPr>
          <w:p>
            <w:pPr>
              <w:pStyle w:val="TableContents"/>
              <w:bidi w:val="0"/>
              <w:spacing w:before="0" w:after="283"/>
              <w:jc w:val="left"/>
              <w:rPr>
                <w:sz w:val="4"/>
                <w:szCs w:val="4"/>
              </w:rPr>
            </w:pPr>
            <w:r>
              <w:rPr>
                <w:sz w:val="4"/>
                <w:szCs w:val="4"/>
              </w:rPr>
            </w:r>
          </w:p>
        </w:tc>
        <w:tc>
          <w:tcPr>
            <w:tcW w:w="2700" w:type="dxa"/>
            <w:tcBorders/>
            <w:vAlign w:val="center"/>
          </w:tcPr>
          <w:p>
            <w:pPr>
              <w:pStyle w:val="TableContents"/>
              <w:bidi w:val="0"/>
              <w:spacing w:before="0" w:after="283"/>
              <w:jc w:val="left"/>
              <w:rPr>
                <w:sz w:val="4"/>
                <w:szCs w:val="4"/>
              </w:rPr>
            </w:pPr>
            <w:r>
              <w:rPr>
                <w:sz w:val="4"/>
                <w:szCs w:val="4"/>
              </w:rPr>
            </w:r>
          </w:p>
        </w:tc>
      </w:tr>
      <w:tr>
        <w:trPr/>
        <w:tc>
          <w:tcPr>
            <w:tcW w:w="10205"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Lato;sans-serif" w:hAnsi="Lato;sans-serif"/>
                <w:b/>
                <w:color w:val="000000"/>
                <w:sz w:val="20"/>
              </w:rPr>
            </w:pPr>
            <w:r>
              <w:rPr>
                <w:rFonts w:ascii="Lato;sans-serif" w:hAnsi="Lato;sans-serif"/>
                <w:b/>
                <w:color w:val="000000"/>
                <w:sz w:val="20"/>
              </w:rPr>
              <w:t>Class II – Directors whose terms expire in 2028</w:t>
            </w:r>
          </w:p>
        </w:tc>
      </w:tr>
      <w:tr>
        <w:trPr/>
        <w:tc>
          <w:tcPr>
            <w:tcW w:w="29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4" w:type="dxa"/>
            <w:gridSpan w:val="3"/>
            <w:tcBorders/>
            <w:shd w:fill="FFFFFF" w:val="clear"/>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1733550" cy="1733550"/>
                  <wp:effectExtent l="0" t="0" r="0" b="0"/>
                  <wp:docPr id="26"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11" descr=""/>
                          <pic:cNvPicPr>
                            <a:picLocks noChangeAspect="1" noChangeArrowheads="1"/>
                          </pic:cNvPicPr>
                        </pic:nvPicPr>
                        <pic:blipFill>
                          <a:blip r:embed="rId12"/>
                          <a:stretch>
                            <a:fillRect/>
                          </a:stretch>
                        </pic:blipFill>
                        <pic:spPr bwMode="auto">
                          <a:xfrm>
                            <a:off x="0" y="0"/>
                            <a:ext cx="1733550" cy="1733550"/>
                          </a:xfrm>
                          <a:prstGeom prst="rect">
                            <a:avLst/>
                          </a:prstGeom>
                        </pic:spPr>
                      </pic:pic>
                    </a:graphicData>
                  </a:graphic>
                </wp:inline>
              </w:drawing>
            </w:r>
            <w:bookmarkStart w:id="10" w:name="i-11"/>
            <w:bookmarkEnd w:id="10"/>
          </w:p>
          <w:p>
            <w:pPr>
              <w:pStyle w:val="TableContents"/>
              <w:bidi w:val="0"/>
              <w:spacing w:lineRule="auto" w:line="240" w:before="0" w:after="0"/>
              <w:jc w:val="center"/>
              <w:rPr>
                <w:rFonts w:ascii="Lato;sans-serif" w:hAnsi="Lato;sans-serif"/>
                <w:b/>
                <w:color w:val="000000"/>
                <w:sz w:val="20"/>
              </w:rPr>
            </w:pPr>
            <w:r>
              <w:rPr>
                <w:rFonts w:ascii="Lato;sans-serif" w:hAnsi="Lato;sans-serif"/>
                <w:b/>
                <w:color w:val="000000"/>
                <w:sz w:val="20"/>
              </w:rPr>
              <w:t>Ashley S. Evans</w:t>
            </w:r>
          </w:p>
          <w:p>
            <w:pPr>
              <w:pStyle w:val="TableContents"/>
              <w:bidi w:val="0"/>
              <w:spacing w:lineRule="auto" w:line="240" w:before="0" w:after="0"/>
              <w:jc w:val="center"/>
              <w:rPr>
                <w:rFonts w:ascii="Lato;sans-serif" w:hAnsi="Lato;sans-serif"/>
                <w:b/>
                <w:color w:val="000000"/>
                <w:sz w:val="20"/>
              </w:rPr>
            </w:pPr>
            <w:r>
              <w:rPr>
                <w:rFonts w:ascii="Lato;sans-serif" w:hAnsi="Lato;sans-serif"/>
                <w:b/>
                <w:color w:val="000000"/>
                <w:sz w:val="20"/>
              </w:rPr>
              <w:t>Age 46</w:t>
            </w:r>
          </w:p>
          <w:p>
            <w:pPr>
              <w:pStyle w:val="TableContents"/>
              <w:bidi w:val="0"/>
              <w:spacing w:lineRule="auto" w:line="240" w:before="0" w:after="0"/>
              <w:jc w:val="center"/>
              <w:rPr>
                <w:rFonts w:ascii="Lato;sans-serif" w:hAnsi="Lato;sans-serif"/>
                <w:b w:val="false"/>
                <w:color w:val="000000"/>
                <w:sz w:val="20"/>
              </w:rPr>
            </w:pPr>
            <w:r>
              <w:rPr>
                <w:rFonts w:ascii="Lato;sans-serif" w:hAnsi="Lato;sans-serif"/>
                <w:b w:val="false"/>
                <w:color w:val="000000"/>
                <w:sz w:val="20"/>
              </w:rPr>
              <w:t xml:space="preserve">Member of the Audit Committee &amp; Member of the </w:t>
            </w:r>
          </w:p>
          <w:p>
            <w:pPr>
              <w:pStyle w:val="TableContents"/>
              <w:bidi w:val="0"/>
              <w:spacing w:lineRule="auto" w:line="240" w:before="0" w:after="0"/>
              <w:jc w:val="center"/>
              <w:rPr>
                <w:rFonts w:ascii="Lato;sans-serif" w:hAnsi="Lato;sans-serif"/>
                <w:b w:val="false"/>
                <w:color w:val="000000"/>
                <w:sz w:val="20"/>
              </w:rPr>
            </w:pPr>
            <w:r>
              <w:rPr>
                <w:rFonts w:ascii="Lato;sans-serif" w:hAnsi="Lato;sans-serif"/>
                <w:b w:val="false"/>
                <w:color w:val="000000"/>
                <w:sz w:val="20"/>
              </w:rPr>
              <w:t>Compensation Committee</w:t>
            </w:r>
          </w:p>
        </w:tc>
        <w:tc>
          <w:tcPr>
            <w:tcW w:w="7261" w:type="dxa"/>
            <w:gridSpan w:val="3"/>
            <w:tcBorders/>
            <w:shd w:fill="FFFFFF" w:val="clear"/>
            <w:tcMar>
              <w:top w:w="0" w:type="dxa"/>
              <w:left w:w="0" w:type="dxa"/>
              <w:bottom w:w="0" w:type="dxa"/>
              <w:right w:w="0" w:type="dxa"/>
            </w:tcMar>
            <w:vAlign w:val="center"/>
          </w:tcPr>
          <w:p>
            <w:pPr>
              <w:pStyle w:val="TableContents"/>
              <w:bidi w:val="0"/>
              <w:spacing w:lineRule="auto" w:line="288" w:before="0" w:after="180"/>
              <w:jc w:val="both"/>
              <w:rPr>
                <w:rFonts w:ascii="Lato;sans-serif" w:hAnsi="Lato;sans-serif"/>
                <w:b w:val="false"/>
                <w:color w:val="000000"/>
                <w:sz w:val="18"/>
              </w:rPr>
            </w:pPr>
            <w:r>
              <w:rPr>
                <w:rFonts w:ascii="Lato;sans-serif" w:hAnsi="Lato;sans-serif"/>
                <w:b w:val="false"/>
                <w:color w:val="000000"/>
                <w:sz w:val="18"/>
              </w:rPr>
              <w:t>Ms. Evans has served as a member of the Board of Directors of ZoomInfo Technologies Inc. since February 2020 and served as a member of the Board of Managers of ZoomInfo Holdings LLC from 2018 to June 2020. Ms. Evans currently serves as a Partner at Francisco Partners, a leading global investment firm that partners with technology businesses, which she joined in 2022. Prior to that, she was a Partner at The Carlyle Group, which she joined in 2006. She invests in enterprise software businesses and currently serves on the board of several privately held companies, including Greenslate, Macrobond and PayScale. She has previously served on the boards of HireVue, Jagex, Litmos, NEOGOV, Saama, SourceScrub, TriNetX and Veritas. She is a founder of SynGAP Research Fund, a public charity focused on improving the lives of SynGAP patients through the research and development of precision treatments. Ms. Evans holds an A.B. summa cum laude from Harvard College, where she was elected to Phi Beta Kappa, an M.Phil from the University of Cambridge, where she was a Knox Scholar, and an M.B.A. from Stanford University's Graduate School of Business, where she was a Siebel Scholar and an Arjay Miller Scholar.</w:t>
            </w:r>
          </w:p>
          <w:p>
            <w:pPr>
              <w:pStyle w:val="TableContents"/>
              <w:bidi w:val="0"/>
              <w:spacing w:lineRule="auto" w:line="288" w:before="0" w:after="0"/>
              <w:jc w:val="both"/>
              <w:rPr>
                <w:rFonts w:ascii="Lato;sans-serif" w:hAnsi="Lato;sans-serif"/>
                <w:b w:val="false"/>
                <w:color w:val="000000"/>
                <w:sz w:val="18"/>
              </w:rPr>
            </w:pPr>
            <w:r>
              <w:rPr>
                <w:rFonts w:ascii="Lato;sans-serif" w:hAnsi="Lato;sans-serif"/>
                <w:b w:val="false"/>
                <w:color w:val="000000"/>
                <w:sz w:val="18"/>
              </w:rPr>
              <w:t>Nomination considerations: Ms. Evans' significant core business skills, including financial and strategic planning, and her extensive management experience, including her involvement with Francisco Partners and Carlyle.</w:t>
            </w:r>
          </w:p>
        </w:tc>
      </w:tr>
      <w:tr>
        <w:trPr/>
        <w:tc>
          <w:tcPr>
            <w:tcW w:w="29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352425"/>
                <wp:effectExtent l="0" t="0" r="0" b="0"/>
                <wp:wrapNone/>
                <wp:docPr id="27" name="Frame16"/>
                <a:graphic xmlns:a="http://schemas.openxmlformats.org/drawingml/2006/main">
                  <a:graphicData uri="http://schemas.microsoft.com/office/word/2010/wordprocessingShape">
                    <wps:wsp>
                      <wps:cNvSpPr txBox="1"/>
                      <wps:spPr>
                        <a:xfrm>
                          <a:off x="0" y="0"/>
                          <a:ext cx="6480175" cy="352425"/>
                        </a:xfrm>
                        <a:prstGeom prst="rect"/>
                        <a:solidFill>
                          <a:srgbClr val="FFFFFF"/>
                        </a:solidFill>
                      </wps:spPr>
                      <wps:txbx>
                        <w:txbxContent>
                          <w:p>
                            <w:pPr>
                              <w:pStyle w:val="TextBody"/>
                              <w:bidi w:val="0"/>
                              <w:spacing w:lineRule="auto" w:line="288" w:before="0" w:after="0"/>
                              <w:jc w:val="center"/>
                              <w:rPr>
                                <w:rFonts w:ascii="Lato;sans-serif" w:hAnsi="Lato;sans-serif"/>
                                <w:b w:val="false"/>
                                <w:color w:val="000000"/>
                                <w:sz w:val="20"/>
                              </w:rPr>
                            </w:pPr>
                            <w:r>
                              <w:rPr>
                                <w:rFonts w:ascii="Lato;sans-serif" w:hAnsi="Lato;sans-serif"/>
                                <w:b w:val="false"/>
                                <w:color w:val="000000"/>
                                <w:sz w:val="20"/>
                              </w:rPr>
                              <w:t>10</w:t>
                            </w:r>
                          </w:p>
                          <w:p>
                            <w:pPr>
                              <w:pStyle w:val="TextBody"/>
                              <w:bidi w:val="0"/>
                              <w:spacing w:lineRule="auto" w:line="288" w:before="0" w:after="0"/>
                              <w:jc w:val="left"/>
                              <w:rPr>
                                <w:color w:val="000000"/>
                              </w:rPr>
                            </w:pPr>
                            <w:r>
                              <w:rPr>
                                <w:color w:val="000000"/>
                              </w:rPr>
                              <w:t>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Lato;sans-serif" w:hAnsi="Lato;sans-serif"/>
                          <w:b w:val="false"/>
                          <w:color w:val="000000"/>
                          <w:sz w:val="20"/>
                        </w:rPr>
                      </w:pPr>
                      <w:r>
                        <w:rPr>
                          <w:rFonts w:ascii="Lato;sans-serif" w:hAnsi="Lato;sans-serif"/>
                          <w:b w:val="false"/>
                          <w:color w:val="000000"/>
                          <w:sz w:val="20"/>
                        </w:rPr>
                        <w:t>10</w:t>
                      </w:r>
                    </w:p>
                    <w:p>
                      <w:pPr>
                        <w:pStyle w:val="TextBody"/>
                        <w:bidi w:val="0"/>
                        <w:spacing w:lineRule="auto" w:line="288" w:before="0" w:after="0"/>
                        <w:jc w:val="left"/>
                        <w:rPr>
                          <w:color w:val="000000"/>
                        </w:rPr>
                      </w:pPr>
                      <w:r>
                        <w:rPr>
                          <w:color w:val="000000"/>
                        </w:rPr>
                        <w:t>        </w:t>
                      </w:r>
                    </w:p>
                  </w:txbxContent>
                </v:textbox>
                <w10:wrap type="none"/>
              </v:rect>
            </w:pict>
          </mc:Fallback>
        </mc:AlternateConten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1128"/>
        <w:gridCol w:w="992"/>
        <w:gridCol w:w="993"/>
        <w:gridCol w:w="2077"/>
        <w:gridCol w:w="2077"/>
        <w:gridCol w:w="2938"/>
      </w:tblGrid>
      <w:tr>
        <w:trPr/>
        <w:tc>
          <w:tcPr>
            <w:tcW w:w="1128" w:type="dxa"/>
            <w:tcBorders/>
            <w:vAlign w:val="center"/>
          </w:tcPr>
          <w:p>
            <w:pPr>
              <w:pStyle w:val="TableContents"/>
              <w:bidi w:val="0"/>
              <w:spacing w:before="0" w:after="283"/>
              <w:jc w:val="left"/>
              <w:rPr>
                <w:sz w:val="4"/>
                <w:szCs w:val="4"/>
              </w:rPr>
            </w:pPr>
            <w:r>
              <w:rPr>
                <w:sz w:val="4"/>
                <w:szCs w:val="4"/>
              </w:rPr>
            </w:r>
          </w:p>
        </w:tc>
        <w:tc>
          <w:tcPr>
            <w:tcW w:w="992" w:type="dxa"/>
            <w:tcBorders/>
            <w:vAlign w:val="center"/>
          </w:tcPr>
          <w:p>
            <w:pPr>
              <w:pStyle w:val="TableContents"/>
              <w:bidi w:val="0"/>
              <w:spacing w:before="0" w:after="283"/>
              <w:jc w:val="left"/>
              <w:rPr>
                <w:sz w:val="4"/>
                <w:szCs w:val="4"/>
              </w:rPr>
            </w:pPr>
            <w:r>
              <w:rPr>
                <w:sz w:val="4"/>
                <w:szCs w:val="4"/>
              </w:rPr>
            </w:r>
          </w:p>
        </w:tc>
        <w:tc>
          <w:tcPr>
            <w:tcW w:w="993" w:type="dxa"/>
            <w:tcBorders/>
            <w:vAlign w:val="center"/>
          </w:tcPr>
          <w:p>
            <w:pPr>
              <w:pStyle w:val="TableContents"/>
              <w:bidi w:val="0"/>
              <w:spacing w:before="0" w:after="283"/>
              <w:jc w:val="left"/>
              <w:rPr>
                <w:sz w:val="4"/>
                <w:szCs w:val="4"/>
              </w:rPr>
            </w:pPr>
            <w:r>
              <w:rPr>
                <w:sz w:val="4"/>
                <w:szCs w:val="4"/>
              </w:rPr>
            </w:r>
          </w:p>
        </w:tc>
        <w:tc>
          <w:tcPr>
            <w:tcW w:w="2077" w:type="dxa"/>
            <w:tcBorders/>
            <w:vAlign w:val="center"/>
          </w:tcPr>
          <w:p>
            <w:pPr>
              <w:pStyle w:val="TableContents"/>
              <w:bidi w:val="0"/>
              <w:spacing w:before="0" w:after="283"/>
              <w:jc w:val="left"/>
              <w:rPr>
                <w:sz w:val="4"/>
                <w:szCs w:val="4"/>
              </w:rPr>
            </w:pPr>
            <w:r>
              <w:rPr>
                <w:sz w:val="4"/>
                <w:szCs w:val="4"/>
              </w:rPr>
            </w:r>
          </w:p>
        </w:tc>
        <w:tc>
          <w:tcPr>
            <w:tcW w:w="2077" w:type="dxa"/>
            <w:tcBorders/>
            <w:vAlign w:val="center"/>
          </w:tcPr>
          <w:p>
            <w:pPr>
              <w:pStyle w:val="TableContents"/>
              <w:bidi w:val="0"/>
              <w:spacing w:before="0" w:after="283"/>
              <w:jc w:val="left"/>
              <w:rPr>
                <w:sz w:val="4"/>
                <w:szCs w:val="4"/>
              </w:rPr>
            </w:pPr>
            <w:r>
              <w:rPr>
                <w:sz w:val="4"/>
                <w:szCs w:val="4"/>
              </w:rPr>
            </w:r>
          </w:p>
        </w:tc>
        <w:tc>
          <w:tcPr>
            <w:tcW w:w="2938" w:type="dxa"/>
            <w:tcBorders/>
            <w:vAlign w:val="center"/>
          </w:tcPr>
          <w:p>
            <w:pPr>
              <w:pStyle w:val="TableContents"/>
              <w:bidi w:val="0"/>
              <w:spacing w:before="0" w:after="283"/>
              <w:jc w:val="left"/>
              <w:rPr>
                <w:sz w:val="4"/>
                <w:szCs w:val="4"/>
              </w:rPr>
            </w:pPr>
            <w:r>
              <w:rPr>
                <w:sz w:val="4"/>
                <w:szCs w:val="4"/>
              </w:rPr>
            </w:r>
          </w:p>
        </w:tc>
      </w:tr>
      <w:tr>
        <w:trPr/>
        <w:tc>
          <w:tcPr>
            <w:tcW w:w="3113" w:type="dxa"/>
            <w:gridSpan w:val="3"/>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1733550" cy="1724025"/>
                  <wp:effectExtent l="0" t="0" r="0" b="0"/>
                  <wp:docPr id="28"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12" descr=""/>
                          <pic:cNvPicPr>
                            <a:picLocks noChangeAspect="1" noChangeArrowheads="1"/>
                          </pic:cNvPicPr>
                        </pic:nvPicPr>
                        <pic:blipFill>
                          <a:blip r:embed="rId13"/>
                          <a:stretch>
                            <a:fillRect/>
                          </a:stretch>
                        </pic:blipFill>
                        <pic:spPr bwMode="auto">
                          <a:xfrm>
                            <a:off x="0" y="0"/>
                            <a:ext cx="1733550" cy="1724025"/>
                          </a:xfrm>
                          <a:prstGeom prst="rect">
                            <a:avLst/>
                          </a:prstGeom>
                        </pic:spPr>
                      </pic:pic>
                    </a:graphicData>
                  </a:graphic>
                </wp:inline>
              </w:drawing>
            </w:r>
            <w:bookmarkStart w:id="11" w:name="i-12"/>
            <w:bookmarkEnd w:id="11"/>
          </w:p>
          <w:p>
            <w:pPr>
              <w:pStyle w:val="TableContents"/>
              <w:bidi w:val="0"/>
              <w:spacing w:lineRule="auto" w:line="240" w:before="0" w:after="0"/>
              <w:jc w:val="center"/>
              <w:rPr>
                <w:rFonts w:ascii="Lato;sans-serif" w:hAnsi="Lato;sans-serif"/>
                <w:b/>
                <w:color w:val="000000"/>
                <w:sz w:val="20"/>
              </w:rPr>
            </w:pPr>
            <w:r>
              <w:rPr>
                <w:rFonts w:ascii="Lato;sans-serif" w:hAnsi="Lato;sans-serif"/>
                <w:b/>
                <w:color w:val="000000"/>
                <w:sz w:val="20"/>
              </w:rPr>
              <w:t>Robert Keith Giglio</w:t>
            </w:r>
          </w:p>
          <w:p>
            <w:pPr>
              <w:pStyle w:val="TableContents"/>
              <w:bidi w:val="0"/>
              <w:spacing w:lineRule="auto" w:line="240" w:before="0" w:after="0"/>
              <w:jc w:val="center"/>
              <w:rPr>
                <w:rFonts w:ascii="Lato;sans-serif" w:hAnsi="Lato;sans-serif"/>
                <w:b w:val="false"/>
                <w:color w:val="000000"/>
                <w:sz w:val="20"/>
              </w:rPr>
            </w:pPr>
            <w:r>
              <w:rPr>
                <w:rFonts w:ascii="Lato;sans-serif" w:hAnsi="Lato;sans-serif"/>
                <w:b w:val="false"/>
                <w:color w:val="000000"/>
                <w:sz w:val="20"/>
              </w:rPr>
              <w:t>Age 58</w:t>
            </w:r>
          </w:p>
          <w:p>
            <w:pPr>
              <w:pStyle w:val="TableContents"/>
              <w:bidi w:val="0"/>
              <w:spacing w:lineRule="auto" w:line="240" w:before="0" w:after="0"/>
              <w:jc w:val="center"/>
              <w:rPr>
                <w:rFonts w:ascii="Lato;sans-serif" w:hAnsi="Lato;sans-serif"/>
                <w:b w:val="false"/>
                <w:color w:val="000000"/>
                <w:sz w:val="20"/>
              </w:rPr>
            </w:pPr>
            <w:r>
              <w:rPr>
                <w:rFonts w:ascii="Lato;sans-serif" w:hAnsi="Lato;sans-serif"/>
                <w:b w:val="false"/>
                <w:color w:val="000000"/>
                <w:sz w:val="20"/>
              </w:rPr>
              <w:t>Member of the Nominating and Corporate Governance Committee</w:t>
            </w:r>
          </w:p>
        </w:tc>
        <w:tc>
          <w:tcPr>
            <w:tcW w:w="7092" w:type="dxa"/>
            <w:gridSpan w:val="3"/>
            <w:tcBorders/>
            <w:tcMar>
              <w:top w:w="0" w:type="dxa"/>
              <w:left w:w="0" w:type="dxa"/>
              <w:bottom w:w="0" w:type="dxa"/>
              <w:right w:w="0" w:type="dxa"/>
            </w:tcMar>
            <w:vAlign w:val="center"/>
          </w:tcPr>
          <w:p>
            <w:pPr>
              <w:pStyle w:val="TableContents"/>
              <w:bidi w:val="0"/>
              <w:spacing w:lineRule="auto" w:line="288" w:before="0" w:after="0"/>
              <w:jc w:val="both"/>
              <w:rPr>
                <w:rFonts w:ascii="Lato;sans-serif" w:hAnsi="Lato;sans-serif"/>
                <w:b w:val="false"/>
                <w:color w:val="000000"/>
                <w:sz w:val="20"/>
              </w:rPr>
            </w:pPr>
            <w:r>
              <w:rPr>
                <w:rFonts w:ascii="Lato;sans-serif" w:hAnsi="Lato;sans-serif"/>
                <w:b w:val="false"/>
                <w:color w:val="000000"/>
                <w:sz w:val="20"/>
              </w:rPr>
              <w:t>Mr. Giglio has served as a member of the Board of Directors of ZoomInfo Technologies Inc. since March 2025. Mr. Giglio currently serves as the Chief Customer Officer at Canva, where he oversees Canva’s sales and go-to-market efforts. Prior to his role at Canva, Mr. Giglio was the Chief Customer Officer at HubSpot from March 2022 to April 2024, where he led HubSpot’s marketing, sales, success and operational efforts. Prior to that, Mr. Giglio led teams as the Chief Marketing Officer at DocuSign from March 2020 to March 2022, and held various senior leadership positions at Adobe from May 2009 to March 2020. Mr. Giglio holds an M.B.A. from the University of Southern California - Marshall School of Business and a B.A. from San Diego State University.</w:t>
            </w:r>
          </w:p>
          <w:p>
            <w:pPr>
              <w:pStyle w:val="TableContents"/>
              <w:bidi w:val="0"/>
              <w:spacing w:before="0" w:after="0"/>
              <w:jc w:val="both"/>
              <w:rPr/>
            </w:pPr>
            <w:r>
              <w:rPr/>
            </w:r>
          </w:p>
          <w:p>
            <w:pPr>
              <w:pStyle w:val="TableContents"/>
              <w:bidi w:val="0"/>
              <w:spacing w:lineRule="auto" w:line="288" w:before="0" w:after="0"/>
              <w:jc w:val="both"/>
              <w:rPr/>
            </w:pPr>
            <w:r>
              <w:rPr>
                <w:rFonts w:ascii="Lato;sans-serif" w:hAnsi="Lato;sans-serif"/>
                <w:b/>
                <w:color w:val="000000"/>
                <w:sz w:val="20"/>
              </w:rPr>
              <w:t>Nomination considerations</w:t>
            </w:r>
            <w:r>
              <w:rPr>
                <w:rFonts w:ascii="Lato;sans-serif" w:hAnsi="Lato;sans-serif"/>
                <w:b w:val="false"/>
                <w:color w:val="000000"/>
                <w:sz w:val="20"/>
              </w:rPr>
              <w:t>: Mr. Giglio’s extensive knowledge and leadership experience with sales and go-to-market strategies in our industry and with SaaS companies.</w:t>
            </w:r>
          </w:p>
        </w:tc>
      </w:tr>
      <w:tr>
        <w:trPr/>
        <w:tc>
          <w:tcPr>
            <w:tcW w:w="31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13" w:type="dxa"/>
            <w:gridSpan w:val="3"/>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1733550" cy="1733550"/>
                  <wp:effectExtent l="0" t="0" r="0" b="0"/>
                  <wp:docPr id="29"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Image13" descr=""/>
                          <pic:cNvPicPr>
                            <a:picLocks noChangeAspect="1" noChangeArrowheads="1"/>
                          </pic:cNvPicPr>
                        </pic:nvPicPr>
                        <pic:blipFill>
                          <a:blip r:embed="rId14"/>
                          <a:stretch>
                            <a:fillRect/>
                          </a:stretch>
                        </pic:blipFill>
                        <pic:spPr bwMode="auto">
                          <a:xfrm>
                            <a:off x="0" y="0"/>
                            <a:ext cx="1733550" cy="1733550"/>
                          </a:xfrm>
                          <a:prstGeom prst="rect">
                            <a:avLst/>
                          </a:prstGeom>
                        </pic:spPr>
                      </pic:pic>
                    </a:graphicData>
                  </a:graphic>
                </wp:inline>
              </w:drawing>
            </w:r>
            <w:bookmarkStart w:id="12" w:name="i-13"/>
            <w:bookmarkEnd w:id="12"/>
          </w:p>
          <w:p>
            <w:pPr>
              <w:pStyle w:val="TableContents"/>
              <w:bidi w:val="0"/>
              <w:spacing w:lineRule="auto" w:line="240" w:before="0" w:after="0"/>
              <w:jc w:val="center"/>
              <w:rPr>
                <w:rFonts w:ascii="Lato;sans-serif" w:hAnsi="Lato;sans-serif"/>
                <w:b/>
                <w:color w:val="000000"/>
                <w:sz w:val="20"/>
              </w:rPr>
            </w:pPr>
            <w:r>
              <w:rPr>
                <w:rFonts w:ascii="Lato;sans-serif" w:hAnsi="Lato;sans-serif"/>
                <w:b/>
                <w:color w:val="000000"/>
                <w:sz w:val="20"/>
              </w:rPr>
              <w:t>Alison Gleeson</w:t>
            </w:r>
          </w:p>
          <w:p>
            <w:pPr>
              <w:pStyle w:val="TableContents"/>
              <w:bidi w:val="0"/>
              <w:spacing w:lineRule="auto" w:line="240" w:before="0" w:after="0"/>
              <w:jc w:val="center"/>
              <w:rPr>
                <w:rFonts w:ascii="Lato;sans-serif" w:hAnsi="Lato;sans-serif"/>
                <w:b w:val="false"/>
                <w:color w:val="000000"/>
                <w:sz w:val="20"/>
              </w:rPr>
            </w:pPr>
            <w:r>
              <w:rPr>
                <w:rFonts w:ascii="Lato;sans-serif" w:hAnsi="Lato;sans-serif"/>
                <w:b w:val="false"/>
                <w:color w:val="000000"/>
                <w:sz w:val="20"/>
              </w:rPr>
              <w:t>Age 60</w:t>
            </w:r>
          </w:p>
          <w:p>
            <w:pPr>
              <w:pStyle w:val="TableContents"/>
              <w:bidi w:val="0"/>
              <w:spacing w:lineRule="auto" w:line="240" w:before="0" w:after="0"/>
              <w:jc w:val="center"/>
              <w:rPr>
                <w:rFonts w:ascii="Lato;sans-serif" w:hAnsi="Lato;sans-serif"/>
                <w:b w:val="false"/>
                <w:color w:val="000000"/>
                <w:sz w:val="20"/>
              </w:rPr>
            </w:pPr>
            <w:r>
              <w:rPr>
                <w:rFonts w:ascii="Lato;sans-serif" w:hAnsi="Lato;sans-serif"/>
                <w:b w:val="false"/>
                <w:color w:val="000000"/>
                <w:sz w:val="20"/>
              </w:rPr>
              <w:t xml:space="preserve">Chair of the Nominating and Corporate Governance Committee &amp; Member of the </w:t>
            </w:r>
          </w:p>
          <w:p>
            <w:pPr>
              <w:pStyle w:val="TableContents"/>
              <w:bidi w:val="0"/>
              <w:spacing w:lineRule="auto" w:line="240" w:before="0" w:after="0"/>
              <w:jc w:val="center"/>
              <w:rPr>
                <w:rFonts w:ascii="Lato;sans-serif" w:hAnsi="Lato;sans-serif"/>
                <w:b w:val="false"/>
                <w:color w:val="000000"/>
                <w:sz w:val="20"/>
              </w:rPr>
            </w:pPr>
            <w:r>
              <w:rPr>
                <w:rFonts w:ascii="Lato;sans-serif" w:hAnsi="Lato;sans-serif"/>
                <w:b w:val="false"/>
                <w:color w:val="000000"/>
                <w:sz w:val="20"/>
              </w:rPr>
              <w:t>Compensation Committee</w:t>
            </w:r>
          </w:p>
        </w:tc>
        <w:tc>
          <w:tcPr>
            <w:tcW w:w="7092" w:type="dxa"/>
            <w:gridSpan w:val="3"/>
            <w:tcBorders/>
            <w:tcMar>
              <w:top w:w="0" w:type="dxa"/>
              <w:left w:w="0" w:type="dxa"/>
              <w:bottom w:w="0" w:type="dxa"/>
              <w:right w:w="0" w:type="dxa"/>
            </w:tcMar>
            <w:vAlign w:val="center"/>
          </w:tcPr>
          <w:p>
            <w:pPr>
              <w:pStyle w:val="TableContents"/>
              <w:bidi w:val="0"/>
              <w:spacing w:lineRule="auto" w:line="288" w:before="0" w:after="0"/>
              <w:jc w:val="both"/>
              <w:rPr>
                <w:rFonts w:ascii="Lato;sans-serif" w:hAnsi="Lato;sans-serif"/>
                <w:b w:val="false"/>
                <w:color w:val="000000"/>
                <w:sz w:val="20"/>
              </w:rPr>
            </w:pPr>
            <w:r>
              <w:rPr>
                <w:rFonts w:ascii="Lato;sans-serif" w:hAnsi="Lato;sans-serif"/>
                <w:b w:val="false"/>
                <w:color w:val="000000"/>
                <w:sz w:val="20"/>
              </w:rPr>
              <w:t>Ms. Gleeson has served as a member of the Board of Directors of ZoomInfo Technologies Inc. since July 2022. She currently also serves on the boards of directors of publicly traded SaaS companies Elastic N.V, since January 2020, and 8x8, Inc., since August 2021, and as a Special Advisor and Portfolio Committee Member at Brighton Park Capital, an investment firm, since October 2019. From January 1996 to October 2018, Ms. Gleeson was with Cisco, where she served in various roles, most recently as Senior Vice President, Americas from July 2014 to October 2018. In that role she was responsible for Cisco's largest geographic region, with $25B+ in annual sales, and led 9,000 employees across 35 countries. Ms. Gleeson is also a highly-regarded international speaker on the drivers for digital disruption across industries, the role of technology in enabling business transformation, and empowering women in technology. Ms. Gleeson holds a B.S. in Finance and Marketing from Michigan State University.</w:t>
            </w:r>
          </w:p>
          <w:p>
            <w:pPr>
              <w:pStyle w:val="TableContents"/>
              <w:bidi w:val="0"/>
              <w:spacing w:before="0" w:after="0"/>
              <w:jc w:val="both"/>
              <w:rPr/>
            </w:pPr>
            <w:r>
              <w:rPr/>
            </w:r>
          </w:p>
          <w:p>
            <w:pPr>
              <w:pStyle w:val="TableContents"/>
              <w:bidi w:val="0"/>
              <w:spacing w:lineRule="auto" w:line="288" w:before="0" w:after="0"/>
              <w:jc w:val="both"/>
              <w:rPr/>
            </w:pPr>
            <w:r>
              <w:rPr>
                <w:rFonts w:ascii="Lato;sans-serif" w:hAnsi="Lato;sans-serif"/>
                <w:b/>
                <w:color w:val="000000"/>
                <w:sz w:val="20"/>
              </w:rPr>
              <w:t>Nomination considerations</w:t>
            </w:r>
            <w:r>
              <w:rPr>
                <w:rFonts w:ascii="Lato;sans-serif" w:hAnsi="Lato;sans-serif"/>
                <w:b w:val="false"/>
                <w:color w:val="000000"/>
                <w:sz w:val="20"/>
              </w:rPr>
              <w:t>: Ms. Gleeson’s extensive enterprise sales and marketing experience, including her leadership roles and go-to-market experience at a large public company.</w:t>
            </w:r>
          </w:p>
        </w:tc>
      </w:tr>
      <w:tr>
        <w:trPr/>
        <w:tc>
          <w:tcPr>
            <w:tcW w:w="31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352425"/>
                <wp:effectExtent l="0" t="0" r="0" b="0"/>
                <wp:wrapNone/>
                <wp:docPr id="30" name="Frame17"/>
                <a:graphic xmlns:a="http://schemas.openxmlformats.org/drawingml/2006/main">
                  <a:graphicData uri="http://schemas.microsoft.com/office/word/2010/wordprocessingShape">
                    <wps:wsp>
                      <wps:cNvSpPr txBox="1"/>
                      <wps:spPr>
                        <a:xfrm>
                          <a:off x="0" y="0"/>
                          <a:ext cx="6480175" cy="352425"/>
                        </a:xfrm>
                        <a:prstGeom prst="rect"/>
                        <a:solidFill>
                          <a:srgbClr val="FFFFFF"/>
                        </a:solidFill>
                      </wps:spPr>
                      <wps:txbx>
                        <w:txbxContent>
                          <w:p>
                            <w:pPr>
                              <w:pStyle w:val="TextBody"/>
                              <w:bidi w:val="0"/>
                              <w:spacing w:lineRule="auto" w:line="288" w:before="0" w:after="0"/>
                              <w:jc w:val="center"/>
                              <w:rPr>
                                <w:rFonts w:ascii="Lato;sans-serif" w:hAnsi="Lato;sans-serif"/>
                                <w:b w:val="false"/>
                                <w:color w:val="000000"/>
                                <w:sz w:val="20"/>
                              </w:rPr>
                            </w:pPr>
                            <w:r>
                              <w:rPr>
                                <w:rFonts w:ascii="Lato;sans-serif" w:hAnsi="Lato;sans-serif"/>
                                <w:b w:val="false"/>
                                <w:color w:val="000000"/>
                                <w:sz w:val="20"/>
                              </w:rPr>
                              <w:t>11</w:t>
                            </w:r>
                          </w:p>
                          <w:p>
                            <w:pPr>
                              <w:pStyle w:val="TextBody"/>
                              <w:bidi w:val="0"/>
                              <w:spacing w:lineRule="auto" w:line="288" w:before="0" w:after="0"/>
                              <w:jc w:val="left"/>
                              <w:rPr>
                                <w:color w:val="000000"/>
                              </w:rPr>
                            </w:pPr>
                            <w:r>
                              <w:rPr>
                                <w:color w:val="000000"/>
                              </w:rPr>
                              <w:t>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Lato;sans-serif" w:hAnsi="Lato;sans-serif"/>
                          <w:b w:val="false"/>
                          <w:color w:val="000000"/>
                          <w:sz w:val="20"/>
                        </w:rPr>
                      </w:pPr>
                      <w:r>
                        <w:rPr>
                          <w:rFonts w:ascii="Lato;sans-serif" w:hAnsi="Lato;sans-serif"/>
                          <w:b w:val="false"/>
                          <w:color w:val="000000"/>
                          <w:sz w:val="20"/>
                        </w:rPr>
                        <w:t>11</w:t>
                      </w:r>
                    </w:p>
                    <w:p>
                      <w:pPr>
                        <w:pStyle w:val="TextBody"/>
                        <w:bidi w:val="0"/>
                        <w:spacing w:lineRule="auto" w:line="288" w:before="0" w:after="0"/>
                        <w:jc w:val="left"/>
                        <w:rPr>
                          <w:color w:val="000000"/>
                        </w:rPr>
                      </w:pPr>
                      <w:r>
                        <w:rPr>
                          <w:color w:val="000000"/>
                        </w:rPr>
                        <w:t>        </w:t>
                      </w:r>
                    </w:p>
                  </w:txbxContent>
                </v:textbox>
                <w10:wrap type="none"/>
              </v:rect>
            </w:pict>
          </mc:Fallback>
        </mc:AlternateConten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1036"/>
        <w:gridCol w:w="911"/>
        <w:gridCol w:w="912"/>
        <w:gridCol w:w="2151"/>
        <w:gridCol w:w="2151"/>
        <w:gridCol w:w="3044"/>
      </w:tblGrid>
      <w:tr>
        <w:trPr/>
        <w:tc>
          <w:tcPr>
            <w:tcW w:w="1036" w:type="dxa"/>
            <w:tcBorders/>
            <w:vAlign w:val="center"/>
          </w:tcPr>
          <w:p>
            <w:pPr>
              <w:pStyle w:val="TableContents"/>
              <w:bidi w:val="0"/>
              <w:spacing w:before="0" w:after="283"/>
              <w:jc w:val="left"/>
              <w:rPr>
                <w:sz w:val="4"/>
                <w:szCs w:val="4"/>
              </w:rPr>
            </w:pPr>
            <w:r>
              <w:rPr>
                <w:sz w:val="4"/>
                <w:szCs w:val="4"/>
              </w:rPr>
            </w:r>
          </w:p>
        </w:tc>
        <w:tc>
          <w:tcPr>
            <w:tcW w:w="911" w:type="dxa"/>
            <w:tcBorders/>
            <w:vAlign w:val="center"/>
          </w:tcPr>
          <w:p>
            <w:pPr>
              <w:pStyle w:val="TableContents"/>
              <w:bidi w:val="0"/>
              <w:spacing w:before="0" w:after="283"/>
              <w:jc w:val="left"/>
              <w:rPr>
                <w:sz w:val="4"/>
                <w:szCs w:val="4"/>
              </w:rPr>
            </w:pPr>
            <w:r>
              <w:rPr>
                <w:sz w:val="4"/>
                <w:szCs w:val="4"/>
              </w:rPr>
            </w:r>
          </w:p>
        </w:tc>
        <w:tc>
          <w:tcPr>
            <w:tcW w:w="912" w:type="dxa"/>
            <w:tcBorders/>
            <w:vAlign w:val="center"/>
          </w:tcPr>
          <w:p>
            <w:pPr>
              <w:pStyle w:val="TableContents"/>
              <w:bidi w:val="0"/>
              <w:spacing w:before="0" w:after="283"/>
              <w:jc w:val="left"/>
              <w:rPr>
                <w:sz w:val="4"/>
                <w:szCs w:val="4"/>
              </w:rPr>
            </w:pPr>
            <w:r>
              <w:rPr>
                <w:sz w:val="4"/>
                <w:szCs w:val="4"/>
              </w:rPr>
            </w:r>
          </w:p>
        </w:tc>
        <w:tc>
          <w:tcPr>
            <w:tcW w:w="2151" w:type="dxa"/>
            <w:tcBorders/>
            <w:vAlign w:val="center"/>
          </w:tcPr>
          <w:p>
            <w:pPr>
              <w:pStyle w:val="TableContents"/>
              <w:bidi w:val="0"/>
              <w:spacing w:before="0" w:after="283"/>
              <w:jc w:val="left"/>
              <w:rPr>
                <w:sz w:val="4"/>
                <w:szCs w:val="4"/>
              </w:rPr>
            </w:pPr>
            <w:r>
              <w:rPr>
                <w:sz w:val="4"/>
                <w:szCs w:val="4"/>
              </w:rPr>
            </w:r>
          </w:p>
        </w:tc>
        <w:tc>
          <w:tcPr>
            <w:tcW w:w="2151" w:type="dxa"/>
            <w:tcBorders/>
            <w:vAlign w:val="center"/>
          </w:tcPr>
          <w:p>
            <w:pPr>
              <w:pStyle w:val="TableContents"/>
              <w:bidi w:val="0"/>
              <w:spacing w:before="0" w:after="283"/>
              <w:jc w:val="left"/>
              <w:rPr>
                <w:sz w:val="4"/>
                <w:szCs w:val="4"/>
              </w:rPr>
            </w:pPr>
            <w:r>
              <w:rPr>
                <w:sz w:val="4"/>
                <w:szCs w:val="4"/>
              </w:rPr>
            </w:r>
          </w:p>
        </w:tc>
        <w:tc>
          <w:tcPr>
            <w:tcW w:w="3044" w:type="dxa"/>
            <w:tcBorders/>
            <w:vAlign w:val="center"/>
          </w:tcPr>
          <w:p>
            <w:pPr>
              <w:pStyle w:val="TableContents"/>
              <w:bidi w:val="0"/>
              <w:spacing w:before="0" w:after="283"/>
              <w:jc w:val="left"/>
              <w:rPr>
                <w:sz w:val="4"/>
                <w:szCs w:val="4"/>
              </w:rPr>
            </w:pPr>
            <w:r>
              <w:rPr>
                <w:sz w:val="4"/>
                <w:szCs w:val="4"/>
              </w:rPr>
            </w:r>
          </w:p>
        </w:tc>
      </w:tr>
      <w:tr>
        <w:trPr/>
        <w:tc>
          <w:tcPr>
            <w:tcW w:w="2859" w:type="dxa"/>
            <w:gridSpan w:val="3"/>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1733550" cy="1733550"/>
                  <wp:effectExtent l="0" t="0" r="0" b="0"/>
                  <wp:docPr id="31"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Image14" descr=""/>
                          <pic:cNvPicPr>
                            <a:picLocks noChangeAspect="1" noChangeArrowheads="1"/>
                          </pic:cNvPicPr>
                        </pic:nvPicPr>
                        <pic:blipFill>
                          <a:blip r:embed="rId15"/>
                          <a:stretch>
                            <a:fillRect/>
                          </a:stretch>
                        </pic:blipFill>
                        <pic:spPr bwMode="auto">
                          <a:xfrm>
                            <a:off x="0" y="0"/>
                            <a:ext cx="1733550" cy="1733550"/>
                          </a:xfrm>
                          <a:prstGeom prst="rect">
                            <a:avLst/>
                          </a:prstGeom>
                        </pic:spPr>
                      </pic:pic>
                    </a:graphicData>
                  </a:graphic>
                </wp:inline>
              </w:drawing>
            </w:r>
            <w:bookmarkStart w:id="13" w:name="i-14"/>
            <w:bookmarkEnd w:id="13"/>
          </w:p>
          <w:p>
            <w:pPr>
              <w:pStyle w:val="TableContents"/>
              <w:bidi w:val="0"/>
              <w:spacing w:lineRule="auto" w:line="240" w:before="0" w:after="0"/>
              <w:jc w:val="center"/>
              <w:rPr>
                <w:rFonts w:ascii="Lato;sans-serif" w:hAnsi="Lato;sans-serif"/>
                <w:b/>
                <w:color w:val="000000"/>
                <w:sz w:val="20"/>
              </w:rPr>
            </w:pPr>
            <w:r>
              <w:rPr>
                <w:rFonts w:ascii="Lato;sans-serif" w:hAnsi="Lato;sans-serif"/>
                <w:b/>
                <w:color w:val="000000"/>
                <w:sz w:val="20"/>
              </w:rPr>
              <w:t>Mark Mader</w:t>
            </w:r>
          </w:p>
          <w:p>
            <w:pPr>
              <w:pStyle w:val="TableContents"/>
              <w:bidi w:val="0"/>
              <w:spacing w:lineRule="auto" w:line="240" w:before="0" w:after="0"/>
              <w:jc w:val="center"/>
              <w:rPr>
                <w:rFonts w:ascii="Lato;sans-serif" w:hAnsi="Lato;sans-serif"/>
                <w:b w:val="false"/>
                <w:color w:val="000000"/>
                <w:sz w:val="20"/>
              </w:rPr>
            </w:pPr>
            <w:r>
              <w:rPr>
                <w:rFonts w:ascii="Lato;sans-serif" w:hAnsi="Lato;sans-serif"/>
                <w:b w:val="false"/>
                <w:color w:val="000000"/>
                <w:sz w:val="20"/>
              </w:rPr>
              <w:t>Age 55</w:t>
            </w:r>
          </w:p>
          <w:p>
            <w:pPr>
              <w:pStyle w:val="TableContents"/>
              <w:bidi w:val="0"/>
              <w:spacing w:lineRule="auto" w:line="240" w:before="0" w:after="0"/>
              <w:jc w:val="center"/>
              <w:rPr>
                <w:rFonts w:ascii="Lato;sans-serif" w:hAnsi="Lato;sans-serif"/>
                <w:b w:val="false"/>
                <w:color w:val="000000"/>
                <w:sz w:val="20"/>
              </w:rPr>
            </w:pPr>
            <w:r>
              <w:rPr>
                <w:rFonts w:ascii="Lato;sans-serif" w:hAnsi="Lato;sans-serif"/>
                <w:b w:val="false"/>
                <w:color w:val="000000"/>
                <w:sz w:val="20"/>
              </w:rPr>
              <w:t>Member of the Audit Committee</w:t>
            </w:r>
          </w:p>
        </w:tc>
        <w:tc>
          <w:tcPr>
            <w:tcW w:w="7346" w:type="dxa"/>
            <w:gridSpan w:val="3"/>
            <w:tcBorders/>
            <w:tcMar>
              <w:top w:w="0" w:type="dxa"/>
              <w:left w:w="0" w:type="dxa"/>
              <w:bottom w:w="0" w:type="dxa"/>
              <w:right w:w="0" w:type="dxa"/>
            </w:tcMar>
            <w:vAlign w:val="center"/>
          </w:tcPr>
          <w:p>
            <w:pPr>
              <w:pStyle w:val="TableContents"/>
              <w:bidi w:val="0"/>
              <w:spacing w:lineRule="auto" w:line="288" w:before="0" w:after="0"/>
              <w:jc w:val="both"/>
              <w:rPr>
                <w:rFonts w:ascii="Lato;sans-serif" w:hAnsi="Lato;sans-serif"/>
                <w:b w:val="false"/>
                <w:color w:val="000000"/>
                <w:sz w:val="20"/>
              </w:rPr>
            </w:pPr>
            <w:r>
              <w:rPr>
                <w:rFonts w:ascii="Lato;sans-serif" w:hAnsi="Lato;sans-serif"/>
                <w:b w:val="false"/>
                <w:color w:val="000000"/>
                <w:sz w:val="20"/>
              </w:rPr>
              <w:t>Mr. Mader has served as a member of the Board of Directors of ZoomInfo Technologies Inc. since February 2020 and served as a member of the Board of Managers of ZoomInfo Holdings LLC from February 2020 to June 2020. Mr. Mader was President, Chief Executive Officer and a member of the Board of Directors of Smartsheet Inc., a SaaS collaboration and work management provider, from 2006 - September 2025. Prior to joining Smartsheet Inc., Mr. Mader served in various leadership positions from 1995 to 2005 at Onyx Software Corporation, a customer relationship management software company acquired by M2M Holdings, including as Senior Vice President of Global Services. He also was a Senior Associate at Greenwich Associates, a financial consulting firm from 1993 to 1995. Mr. Mader holds a B.A. in Geography from Dartmouth College.</w:t>
            </w:r>
          </w:p>
          <w:p>
            <w:pPr>
              <w:pStyle w:val="TableContents"/>
              <w:bidi w:val="0"/>
              <w:spacing w:before="0" w:after="0"/>
              <w:jc w:val="both"/>
              <w:rPr/>
            </w:pPr>
            <w:r>
              <w:rPr/>
            </w:r>
          </w:p>
          <w:p>
            <w:pPr>
              <w:pStyle w:val="TableContents"/>
              <w:bidi w:val="0"/>
              <w:spacing w:lineRule="auto" w:line="288" w:before="0" w:after="0"/>
              <w:jc w:val="both"/>
              <w:rPr/>
            </w:pPr>
            <w:r>
              <w:rPr>
                <w:rFonts w:ascii="Lato;sans-serif" w:hAnsi="Lato;sans-serif"/>
                <w:b/>
                <w:color w:val="000000"/>
                <w:sz w:val="20"/>
              </w:rPr>
              <w:t>Nomination considerations</w:t>
            </w:r>
            <w:r>
              <w:rPr>
                <w:rFonts w:ascii="Lato;sans-serif" w:hAnsi="Lato;sans-serif"/>
                <w:b w:val="false"/>
                <w:color w:val="000000"/>
                <w:sz w:val="20"/>
              </w:rPr>
              <w:t>: Mr. Mader’s extensive knowledge and experience in our industry and with SaaS companies, and his prior experience leading Smartsheet, a formerly public company, as President, Chief Executive Officer and a member of the Board of Directors.</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352425"/>
                <wp:effectExtent l="0" t="0" r="0" b="0"/>
                <wp:wrapNone/>
                <wp:docPr id="32" name="Frame18"/>
                <a:graphic xmlns:a="http://schemas.openxmlformats.org/drawingml/2006/main">
                  <a:graphicData uri="http://schemas.microsoft.com/office/word/2010/wordprocessingShape">
                    <wps:wsp>
                      <wps:cNvSpPr txBox="1"/>
                      <wps:spPr>
                        <a:xfrm>
                          <a:off x="0" y="0"/>
                          <a:ext cx="6480175" cy="352425"/>
                        </a:xfrm>
                        <a:prstGeom prst="rect"/>
                        <a:solidFill>
                          <a:srgbClr val="FFFFFF"/>
                        </a:solidFill>
                      </wps:spPr>
                      <wps:txbx>
                        <w:txbxContent>
                          <w:p>
                            <w:pPr>
                              <w:pStyle w:val="TextBody"/>
                              <w:bidi w:val="0"/>
                              <w:spacing w:lineRule="auto" w:line="288" w:before="0" w:after="0"/>
                              <w:jc w:val="center"/>
                              <w:rPr>
                                <w:rFonts w:ascii="Lato;sans-serif" w:hAnsi="Lato;sans-serif"/>
                                <w:b w:val="false"/>
                                <w:color w:val="000000"/>
                                <w:sz w:val="20"/>
                              </w:rPr>
                            </w:pPr>
                            <w:r>
                              <w:rPr>
                                <w:rFonts w:ascii="Lato;sans-serif" w:hAnsi="Lato;sans-serif"/>
                                <w:b w:val="false"/>
                                <w:color w:val="000000"/>
                                <w:sz w:val="20"/>
                              </w:rPr>
                              <w:t>12</w:t>
                            </w:r>
                          </w:p>
                          <w:p>
                            <w:pPr>
                              <w:pStyle w:val="TextBody"/>
                              <w:bidi w:val="0"/>
                              <w:spacing w:lineRule="auto" w:line="288" w:before="0" w:after="0"/>
                              <w:jc w:val="left"/>
                              <w:rPr>
                                <w:color w:val="000000"/>
                              </w:rPr>
                            </w:pPr>
                            <w:r>
                              <w:rPr>
                                <w:color w:val="000000"/>
                              </w:rPr>
                              <w:t>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Lato;sans-serif" w:hAnsi="Lato;sans-serif"/>
                          <w:b w:val="false"/>
                          <w:color w:val="000000"/>
                          <w:sz w:val="20"/>
                        </w:rPr>
                      </w:pPr>
                      <w:r>
                        <w:rPr>
                          <w:rFonts w:ascii="Lato;sans-serif" w:hAnsi="Lato;sans-serif"/>
                          <w:b w:val="false"/>
                          <w:color w:val="000000"/>
                          <w:sz w:val="20"/>
                        </w:rPr>
                        <w:t>12</w:t>
                      </w:r>
                    </w:p>
                    <w:p>
                      <w:pPr>
                        <w:pStyle w:val="TextBody"/>
                        <w:bidi w:val="0"/>
                        <w:spacing w:lineRule="auto" w:line="288" w:before="0" w:after="0"/>
                        <w:jc w:val="left"/>
                        <w:rPr>
                          <w:color w:val="000000"/>
                        </w:rPr>
                      </w:pPr>
                      <w:r>
                        <w:rPr>
                          <w:color w:val="000000"/>
                        </w:rPr>
                        <w:t>        </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300" w:after="180"/>
        <w:jc w:val="center"/>
        <w:rPr>
          <w:rFonts w:ascii="Lato;sans-serif" w:hAnsi="Lato;sans-serif"/>
          <w:b/>
          <w:color w:val="000000"/>
          <w:sz w:val="20"/>
        </w:rPr>
      </w:pPr>
      <w:r>
        <w:rPr>
          <w:rFonts w:ascii="Lato;sans-serif" w:hAnsi="Lato;sans-serif"/>
          <w:b/>
          <w:color w:val="000000"/>
          <w:sz w:val="20"/>
        </w:rPr>
        <w:t>THE BOARD OF DIRECTORS AND CERTAIN GOVERNANCE MATTERS</w:t>
      </w:r>
    </w:p>
    <w:p>
      <w:pPr>
        <w:pStyle w:val="TextBody"/>
        <w:bidi w:val="0"/>
        <w:spacing w:lineRule="auto" w:line="288" w:before="180" w:after="180"/>
        <w:jc w:val="both"/>
        <w:rPr>
          <w:rFonts w:ascii="Lato;sans-serif" w:hAnsi="Lato;sans-serif"/>
          <w:b w:val="false"/>
          <w:color w:val="000000"/>
          <w:sz w:val="20"/>
        </w:rPr>
      </w:pPr>
      <w:r>
        <w:rPr>
          <w:rFonts w:ascii="Lato;sans-serif" w:hAnsi="Lato;sans-serif"/>
          <w:b w:val="false"/>
          <w:color w:val="000000"/>
          <w:sz w:val="20"/>
        </w:rPr>
        <w:t>Our Board of Directors manages or directs our business and affairs, as provided by Delaware law, and conducts its business through meetings of the Board of Directors and four standing committees: the Audit Committee; the Compensation Committee; the Nominating and Corporate Governance Committee; and the Privacy, Security, and Technology Committee.</w:t>
      </w:r>
    </w:p>
    <w:p>
      <w:pPr>
        <w:pStyle w:val="TextBody"/>
        <w:bidi w:val="0"/>
        <w:spacing w:lineRule="auto" w:line="288" w:before="180" w:after="180"/>
        <w:jc w:val="both"/>
        <w:rPr/>
      </w:pPr>
      <w:r>
        <w:rPr>
          <w:rFonts w:ascii="Lato;sans-serif" w:hAnsi="Lato;sans-serif"/>
          <w:b w:val="false"/>
          <w:color w:val="000000"/>
          <w:sz w:val="20"/>
        </w:rPr>
        <w:t>Our Board evaluates the Company’s corporate governance policies on an ongoing basis with a view towards maintaining the best corporate governance practices in the context of the Company’s current business environment and aligning our governance practices closely with the interests of our stockholders. Our Board and management value the perspective of our stockholders and encourage stockholders to communicate with the Board as described under “</w:t>
      </w:r>
      <w:r>
        <w:rPr>
          <w:color w:val="000000"/>
        </w:rPr>
        <w:t>―</w:t>
      </w:r>
      <w:r>
        <w:rPr>
          <w:rFonts w:ascii="Lato;sans-serif" w:hAnsi="Lato;sans-serif"/>
          <w:b w:val="false"/>
          <w:i/>
          <w:color w:val="000000"/>
          <w:sz w:val="20"/>
        </w:rPr>
        <w:t>Communications with the Board</w:t>
      </w:r>
      <w:r>
        <w:rPr>
          <w:color w:val="000000"/>
        </w:rPr>
        <w:t xml:space="preserve">” </w:t>
      </w:r>
      <w:r>
        <w:rPr>
          <w:rFonts w:ascii="Lato;sans-serif" w:hAnsi="Lato;sans-serif"/>
          <w:b w:val="false"/>
          <w:color w:val="000000"/>
          <w:sz w:val="20"/>
        </w:rPr>
        <w:t>below.</w:t>
      </w:r>
    </w:p>
    <w:p>
      <w:pPr>
        <w:pStyle w:val="TextBody"/>
        <w:bidi w:val="0"/>
        <w:spacing w:lineRule="auto" w:line="288" w:before="180" w:after="180"/>
        <w:jc w:val="both"/>
        <w:rPr/>
      </w:pPr>
      <w:r>
        <w:rPr>
          <w:rFonts w:ascii="Lato;sans-serif" w:hAnsi="Lato;sans-serif"/>
          <w:b w:val="false"/>
          <w:color w:val="000000"/>
          <w:sz w:val="20"/>
        </w:rPr>
        <w:t>The stockholders agreement described under “</w:t>
      </w:r>
      <w:r>
        <w:rPr>
          <w:rFonts w:ascii="Lato;sans-serif" w:hAnsi="Lato;sans-serif"/>
          <w:b w:val="false"/>
          <w:i/>
          <w:color w:val="000000"/>
          <w:sz w:val="20"/>
        </w:rPr>
        <w:t>Transactions with Related Persons—Stockholders Agreement</w:t>
      </w:r>
      <w:r>
        <w:rPr>
          <w:color w:val="000000"/>
        </w:rPr>
        <w:t xml:space="preserve">” </w:t>
      </w:r>
      <w:r>
        <w:rPr>
          <w:rFonts w:ascii="Lato;sans-serif" w:hAnsi="Lato;sans-serif"/>
          <w:b w:val="false"/>
          <w:color w:val="000000"/>
          <w:sz w:val="20"/>
        </w:rPr>
        <w:t>(the “</w:t>
      </w:r>
      <w:r>
        <w:rPr>
          <w:rFonts w:ascii="Lato;sans-serif" w:hAnsi="Lato;sans-serif"/>
          <w:b/>
          <w:i/>
          <w:color w:val="000000"/>
          <w:sz w:val="20"/>
        </w:rPr>
        <w:t>stockholders agreement</w:t>
      </w:r>
      <w:r>
        <w:rPr>
          <w:color w:val="000000"/>
        </w:rPr>
        <w:t>”</w:t>
      </w:r>
      <w:r>
        <w:rPr>
          <w:rFonts w:ascii="Lato;sans-serif" w:hAnsi="Lato;sans-serif"/>
          <w:b w:val="false"/>
          <w:color w:val="000000"/>
          <w:sz w:val="20"/>
        </w:rPr>
        <w:t>) provides that investment funds associated with Henry L. Schuck, our Chief Executive Officer and Chairman of the Board, and Kirk Brown (together, our “</w:t>
      </w:r>
      <w:r>
        <w:rPr>
          <w:rFonts w:ascii="Lato;sans-serif" w:hAnsi="Lato;sans-serif"/>
          <w:b/>
          <w:i/>
          <w:color w:val="000000"/>
          <w:sz w:val="20"/>
        </w:rPr>
        <w:t>Founders</w:t>
      </w:r>
      <w:r>
        <w:rPr>
          <w:color w:val="000000"/>
        </w:rPr>
        <w:t>”</w:t>
      </w:r>
      <w:r>
        <w:rPr>
          <w:rFonts w:ascii="Lato;sans-serif" w:hAnsi="Lato;sans-serif"/>
          <w:b w:val="false"/>
          <w:color w:val="000000"/>
          <w:sz w:val="20"/>
        </w:rPr>
        <w:t>) have the right to designate a nominee to our Board of Directors, subject to the maintenance of certain beneficial ownership requirements in the Company.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00" w:after="180"/>
        <w:jc w:val="left"/>
        <w:rPr>
          <w:rFonts w:ascii="Lato;sans-serif" w:hAnsi="Lato;sans-serif"/>
          <w:b/>
          <w:color w:val="000000"/>
          <w:sz w:val="20"/>
        </w:rPr>
      </w:pPr>
      <w:r>
        <w:rPr>
          <w:rFonts w:ascii="Lato;sans-serif" w:hAnsi="Lato;sans-serif"/>
          <w:b/>
          <w:color w:val="000000"/>
          <w:sz w:val="20"/>
        </w:rPr>
        <w:t>Director Independence and Independence Determinations</w:t>
      </w:r>
    </w:p>
    <w:p>
      <w:pPr>
        <w:pStyle w:val="TextBody"/>
        <w:bidi w:val="0"/>
        <w:spacing w:lineRule="auto" w:line="288" w:before="180" w:after="180"/>
        <w:jc w:val="both"/>
        <w:rPr>
          <w:rFonts w:ascii="Lato;sans-serif" w:hAnsi="Lato;sans-serif"/>
          <w:b w:val="false"/>
          <w:color w:val="000000"/>
          <w:sz w:val="20"/>
        </w:rPr>
      </w:pPr>
      <w:r>
        <w:rPr>
          <w:rFonts w:ascii="Lato;sans-serif" w:hAnsi="Lato;sans-serif"/>
          <w:b w:val="false"/>
          <w:color w:val="000000"/>
          <w:sz w:val="20"/>
        </w:rPr>
        <w:t>Under our Corporate Governance Guidelines and Nasdaq rules, a director is not independent unless our Board of Directors affirmatively determines that the director does not have any relationships which, in the opinion of our Board of Directors, would interfere with the exercise of independent judgment in carrying out the responsibilities of a director.</w:t>
      </w:r>
    </w:p>
    <w:p>
      <w:pPr>
        <w:pStyle w:val="TextBody"/>
        <w:bidi w:val="0"/>
        <w:spacing w:lineRule="auto" w:line="288" w:before="180" w:after="180"/>
        <w:jc w:val="both"/>
        <w:rPr>
          <w:rFonts w:ascii="Lato;sans-serif" w:hAnsi="Lato;sans-serif"/>
          <w:b w:val="false"/>
          <w:color w:val="000000"/>
          <w:sz w:val="20"/>
        </w:rPr>
      </w:pPr>
      <w:r>
        <w:rPr>
          <w:rFonts w:ascii="Lato;sans-serif" w:hAnsi="Lato;sans-serif"/>
          <w:b w:val="false"/>
          <w:color w:val="000000"/>
          <w:sz w:val="20"/>
        </w:rPr>
        <w:t>Our Corporate Governance Guidelines define independence in accordance with the independence definition in the current Nasdaq corporate governance standards for listed companies. Our Corporate Governance Guidelines require our Board of Directors to review the independence of all directors at least annually.</w:t>
      </w:r>
    </w:p>
    <w:p>
      <w:pPr>
        <w:pStyle w:val="TextBody"/>
        <w:bidi w:val="0"/>
        <w:spacing w:lineRule="auto" w:line="288" w:before="180" w:after="180"/>
        <w:jc w:val="both"/>
        <w:rPr>
          <w:rFonts w:ascii="Lato;sans-serif" w:hAnsi="Lato;sans-serif"/>
          <w:b w:val="false"/>
          <w:color w:val="000000"/>
          <w:sz w:val="20"/>
        </w:rPr>
      </w:pPr>
      <w:r>
        <w:rPr>
          <w:rFonts w:ascii="Lato;sans-serif" w:hAnsi="Lato;sans-serif"/>
          <w:b w:val="false"/>
          <w:color w:val="000000"/>
          <w:sz w:val="20"/>
        </w:rPr>
        <w:t>In the event a director has a relationship with the Company that is relevant to their independence and is not addressed by the objective tests set forth in the Nasdaq independence definition, our Board of Directors will determine, considering all relevant facts and circumstances, whether such relationship is material.</w:t>
      </w:r>
    </w:p>
    <w:p>
      <w:pPr>
        <w:pStyle w:val="TextBody"/>
        <w:bidi w:val="0"/>
        <w:spacing w:lineRule="auto" w:line="288" w:before="180" w:after="180"/>
        <w:jc w:val="both"/>
        <w:rPr>
          <w:rFonts w:ascii="Lato;sans-serif" w:hAnsi="Lato;sans-serif"/>
          <w:b w:val="false"/>
          <w:color w:val="000000"/>
          <w:sz w:val="20"/>
        </w:rPr>
      </w:pPr>
      <w:r>
        <w:rPr>
          <w:rFonts w:ascii="Lato;sans-serif" w:hAnsi="Lato;sans-serif"/>
          <w:b w:val="false"/>
          <w:color w:val="000000"/>
          <w:sz w:val="20"/>
        </w:rPr>
        <w:t>Our Board of Directors has affirmatively determined that each of Mses. Evans, Gleeson and Rooney and Messrs. Enright, Giglio, Mader, Maida, Winn and Wurzbacher is independent under the guidelines for director independence set forth in our Corporate Governance Guidelines and under all applicable Nasdaq guidelines, including with respect to committee membership.</w:t>
      </w:r>
    </w:p>
    <w:p>
      <w:pPr>
        <w:pStyle w:val="TextBody"/>
        <w:bidi w:val="0"/>
        <w:spacing w:lineRule="auto" w:line="288" w:before="180" w:after="180"/>
        <w:jc w:val="both"/>
        <w:rPr/>
      </w:pPr>
      <w:r>
        <w:rPr>
          <w:rFonts w:ascii="Lato;sans-serif" w:hAnsi="Lato;sans-serif"/>
          <w:b w:val="false"/>
          <w:color w:val="000000"/>
          <w:sz w:val="20"/>
        </w:rPr>
        <w:t>Our Board has also determined that each of Mses. Evans and Rooney and Messrs. Enright and Mader is “independent” for purposes of Section 10A(m)(3) and Rule 10A-3(b)(1) of the Securities Exchange Act of 1934, as amended (the “</w:t>
      </w:r>
      <w:r>
        <w:rPr>
          <w:rFonts w:ascii="Lato;sans-serif" w:hAnsi="Lato;sans-serif"/>
          <w:b/>
          <w:i/>
          <w:color w:val="000000"/>
          <w:sz w:val="20"/>
        </w:rPr>
        <w:t>Exchange Act</w:t>
      </w:r>
      <w:r>
        <w:rPr>
          <w:color w:val="000000"/>
        </w:rPr>
        <w:t>”</w:t>
      </w:r>
      <w:r>
        <w:rPr>
          <w:rFonts w:ascii="Lato;sans-serif" w:hAnsi="Lato;sans-serif"/>
          <w:b w:val="false"/>
          <w:color w:val="000000"/>
          <w:sz w:val="20"/>
        </w:rPr>
        <w:t>), and that each of Mses. Evans and Gleeson and Messrs. Winn and Wurzbacher is “independent” for purposes of Section 10C(a)(3) and Rule 10C-1 of the Exchange Act. In making its independence determinations, our Board of Directors considered and reviewed all information known to it (including information identified through annual directors’ questionnaires).</w:t>
      </w:r>
    </w:p>
    <w:p>
      <w:pPr>
        <w:pStyle w:val="TextBody"/>
        <w:bidi w:val="0"/>
        <w:spacing w:lineRule="auto" w:line="288" w:before="0" w:after="0"/>
        <w:jc w:val="both"/>
        <w:rPr/>
      </w:pPr>
      <w:r>
        <w:rPr>
          <w:rFonts w:ascii="Lato;sans-serif" w:hAnsi="Lato;sans-serif"/>
          <w:b w:val="false"/>
          <w:color w:val="000000"/>
          <w:sz w:val="20"/>
        </w:rPr>
        <w:t>In addition, and as discussed in greater detail below in the section entitled “—</w:t>
      </w:r>
      <w:r>
        <w:rPr>
          <w:rFonts w:ascii="Lato;sans-serif" w:hAnsi="Lato;sans-serif"/>
          <w:b w:val="false"/>
          <w:i/>
          <w:color w:val="000000"/>
          <w:sz w:val="20"/>
        </w:rPr>
        <w:t>Board Leadership Structure</w:t>
      </w:r>
      <w:r>
        <w:rPr>
          <w:rFonts w:ascii="Lato;sans-serif" w:hAnsi="Lato;sans-serif"/>
          <w:b w:val="false"/>
          <w:color w:val="000000"/>
          <w:sz w:val="20"/>
        </w:rPr>
        <w:t xml:space="preserve">,” on February 5, 2026, following the Board’s receipt of the requisite approval and recommendation of the Nominating and Corporate Governance Committee, the independent members of the Board approved the election of Owen Wurzbacher, a member of the Board since August 2024, to serve as the Board’s lead independent director until the Company’s 2027 Annual Meeting.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352425"/>
                <wp:effectExtent l="0" t="0" r="0" b="0"/>
                <wp:wrapNone/>
                <wp:docPr id="33" name="Frame19"/>
                <a:graphic xmlns:a="http://schemas.openxmlformats.org/drawingml/2006/main">
                  <a:graphicData uri="http://schemas.microsoft.com/office/word/2010/wordprocessingShape">
                    <wps:wsp>
                      <wps:cNvSpPr txBox="1"/>
                      <wps:spPr>
                        <a:xfrm>
                          <a:off x="0" y="0"/>
                          <a:ext cx="6480175" cy="352425"/>
                        </a:xfrm>
                        <a:prstGeom prst="rect"/>
                        <a:solidFill>
                          <a:srgbClr val="FFFFFF"/>
                        </a:solidFill>
                      </wps:spPr>
                      <wps:txbx>
                        <w:txbxContent>
                          <w:p>
                            <w:pPr>
                              <w:pStyle w:val="TextBody"/>
                              <w:bidi w:val="0"/>
                              <w:spacing w:lineRule="auto" w:line="288" w:before="0" w:after="0"/>
                              <w:jc w:val="center"/>
                              <w:rPr>
                                <w:rFonts w:ascii="Lato;sans-serif" w:hAnsi="Lato;sans-serif"/>
                                <w:b w:val="false"/>
                                <w:color w:val="000000"/>
                                <w:sz w:val="20"/>
                              </w:rPr>
                            </w:pPr>
                            <w:r>
                              <w:rPr>
                                <w:rFonts w:ascii="Lato;sans-serif" w:hAnsi="Lato;sans-serif"/>
                                <w:b w:val="false"/>
                                <w:color w:val="000000"/>
                                <w:sz w:val="20"/>
                              </w:rPr>
                              <w:t>13</w:t>
                            </w:r>
                          </w:p>
                          <w:p>
                            <w:pPr>
                              <w:pStyle w:val="TextBody"/>
                              <w:bidi w:val="0"/>
                              <w:spacing w:lineRule="auto" w:line="288" w:before="0" w:after="0"/>
                              <w:jc w:val="left"/>
                              <w:rPr>
                                <w:color w:val="000000"/>
                              </w:rPr>
                            </w:pPr>
                            <w:r>
                              <w:rPr>
                                <w:color w:val="000000"/>
                              </w:rPr>
                              <w:t>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Lato;sans-serif" w:hAnsi="Lato;sans-serif"/>
                          <w:b w:val="false"/>
                          <w:color w:val="000000"/>
                          <w:sz w:val="20"/>
                        </w:rPr>
                      </w:pPr>
                      <w:r>
                        <w:rPr>
                          <w:rFonts w:ascii="Lato;sans-serif" w:hAnsi="Lato;sans-serif"/>
                          <w:b w:val="false"/>
                          <w:color w:val="000000"/>
                          <w:sz w:val="20"/>
                        </w:rPr>
                        <w:t>13</w:t>
                      </w:r>
                    </w:p>
                    <w:p>
                      <w:pPr>
                        <w:pStyle w:val="TextBody"/>
                        <w:bidi w:val="0"/>
                        <w:spacing w:lineRule="auto" w:line="288" w:before="0" w:after="0"/>
                        <w:jc w:val="left"/>
                        <w:rPr>
                          <w:color w:val="000000"/>
                        </w:rPr>
                      </w:pPr>
                      <w:r>
                        <w:rPr>
                          <w:color w:val="000000"/>
                        </w:rPr>
                        <w:t>        </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300" w:after="180"/>
        <w:jc w:val="both"/>
        <w:rPr>
          <w:rFonts w:ascii="Lato;sans-serif" w:hAnsi="Lato;sans-serif"/>
          <w:b/>
          <w:color w:val="000000"/>
          <w:sz w:val="20"/>
        </w:rPr>
      </w:pPr>
      <w:r>
        <w:rPr>
          <w:rFonts w:ascii="Lato;sans-serif" w:hAnsi="Lato;sans-serif"/>
          <w:b/>
          <w:color w:val="000000"/>
          <w:sz w:val="20"/>
        </w:rPr>
        <w:t>Director Nomination Process</w:t>
      </w:r>
    </w:p>
    <w:p>
      <w:pPr>
        <w:pStyle w:val="TextBody"/>
        <w:bidi w:val="0"/>
        <w:spacing w:lineRule="auto" w:line="288" w:before="180" w:after="180"/>
        <w:jc w:val="both"/>
        <w:rPr>
          <w:rFonts w:ascii="Lato;sans-serif" w:hAnsi="Lato;sans-serif"/>
          <w:b w:val="false"/>
          <w:color w:val="000000"/>
          <w:sz w:val="20"/>
        </w:rPr>
      </w:pPr>
      <w:r>
        <w:rPr>
          <w:rFonts w:ascii="Lato;sans-serif" w:hAnsi="Lato;sans-serif"/>
          <w:b w:val="false"/>
          <w:color w:val="000000"/>
          <w:sz w:val="20"/>
        </w:rPr>
        <w:t>The Nominating and Corporate Governance Committee weighs the characteristics, experience, independence and skills of potential candidates for election to the Board and recommends nominees for director to the Board for election. In considering candidates for the Board, the Nominating and Corporate Governance Committee also assesses the size, composition and combined expertise of the Board. As the application of these factors involves the exercise of judgment, the Nominating and Corporate Governance Committee does not have a standard set of fixed qualifications that is applicable to all director candidates, although the Nominating and Corporate Governance Committee does at a minimum assess each candidate’s strength of character, judgment, familiarity with the Company’s business and industry, independence of thought, and ability to work collegially with the other members of the Board. In addition, the Nominating and Corporate Governance Committee considers other factors it considers appropriate, including diversity of background with respect to gender, race, ethnicity, and geography. In identifying prospective director candidates, the Nominating and Corporate Governance Committee may seek referrals from other members of the Board, management, stockholders and other sources, including third party recommendations. The Nominating and Corporate Governance Committee also may, but need not, retain a search firm in order to assist it in identifying candidates to serve as directors of the Company.</w:t>
      </w:r>
    </w:p>
    <w:p>
      <w:pPr>
        <w:pStyle w:val="TextBody"/>
        <w:bidi w:val="0"/>
        <w:spacing w:lineRule="auto" w:line="288" w:before="180" w:after="180"/>
        <w:jc w:val="both"/>
        <w:rPr>
          <w:rFonts w:ascii="Lato;sans-serif" w:hAnsi="Lato;sans-serif"/>
          <w:b w:val="false"/>
          <w:color w:val="000000"/>
          <w:sz w:val="20"/>
        </w:rPr>
      </w:pPr>
      <w:r>
        <w:rPr>
          <w:rFonts w:ascii="Lato;sans-serif" w:hAnsi="Lato;sans-serif"/>
          <w:b w:val="false"/>
          <w:color w:val="000000"/>
          <w:sz w:val="20"/>
        </w:rPr>
        <w:t>The Nominating and Corporate Governance Committee utilizes the same criteria for evaluating candidates regardless of the source of the referral. When considering director candidates, the Nominating and Corporate Governance Committee seeks individuals with diverse backgrounds and qualities that, when combined with those of our incumbent directors, provide a blend of skills and experience that further enhances the Board’s effectiveness. Set forth below is a list of experience, qualifications, attributes or skills that our Nominating and Corporate Governance Committee considers to be among the most important in its director nominating process, along with the number of current directors who possess such relevant criteria, as well as certain other highlights, including tenure and independence.</w:t>
      </w:r>
    </w:p>
    <w:tbl>
      <w:tblPr>
        <w:tblW w:w="10205" w:type="dxa"/>
        <w:jc w:val="left"/>
        <w:tblInd w:w="0" w:type="dxa"/>
        <w:tblLayout w:type="fixed"/>
        <w:tblCellMar>
          <w:top w:w="28" w:type="dxa"/>
          <w:left w:w="28" w:type="dxa"/>
          <w:bottom w:w="28" w:type="dxa"/>
          <w:right w:w="28" w:type="dxa"/>
        </w:tblCellMar>
      </w:tblPr>
      <w:tblGrid>
        <w:gridCol w:w="248"/>
        <w:gridCol w:w="217"/>
        <w:gridCol w:w="193"/>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373"/>
        <w:gridCol w:w="304"/>
        <w:gridCol w:w="306"/>
        <w:gridCol w:w="125"/>
        <w:gridCol w:w="125"/>
        <w:gridCol w:w="125"/>
        <w:gridCol w:w="125"/>
        <w:gridCol w:w="125"/>
        <w:gridCol w:w="125"/>
        <w:gridCol w:w="125"/>
        <w:gridCol w:w="125"/>
        <w:gridCol w:w="125"/>
        <w:gridCol w:w="125"/>
        <w:gridCol w:w="125"/>
        <w:gridCol w:w="125"/>
        <w:gridCol w:w="125"/>
        <w:gridCol w:w="125"/>
        <w:gridCol w:w="125"/>
        <w:gridCol w:w="125"/>
        <w:gridCol w:w="125"/>
        <w:gridCol w:w="125"/>
        <w:gridCol w:w="125"/>
        <w:gridCol w:w="125"/>
        <w:gridCol w:w="125"/>
        <w:gridCol w:w="109"/>
        <w:gridCol w:w="109"/>
        <w:gridCol w:w="109"/>
        <w:gridCol w:w="109"/>
        <w:gridCol w:w="109"/>
        <w:gridCol w:w="109"/>
        <w:gridCol w:w="109"/>
        <w:gridCol w:w="109"/>
        <w:gridCol w:w="109"/>
        <w:gridCol w:w="109"/>
        <w:gridCol w:w="109"/>
        <w:gridCol w:w="109"/>
        <w:gridCol w:w="109"/>
        <w:gridCol w:w="109"/>
        <w:gridCol w:w="109"/>
        <w:gridCol w:w="327"/>
        <w:gridCol w:w="327"/>
        <w:gridCol w:w="327"/>
        <w:gridCol w:w="327"/>
        <w:gridCol w:w="327"/>
        <w:gridCol w:w="380"/>
      </w:tblGrid>
      <w:tr>
        <w:trPr/>
        <w:tc>
          <w:tcPr>
            <w:tcW w:w="248"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3"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tc>
      </w:tr>
      <w:tr>
        <w:trPr/>
        <w:tc>
          <w:tcPr>
            <w:tcW w:w="2620" w:type="dxa"/>
            <w:gridSpan w:val="21"/>
            <w:tcBorders/>
            <w:tcMar>
              <w:top w:w="0" w:type="dxa"/>
              <w:left w:w="0" w:type="dxa"/>
              <w:bottom w:w="0" w:type="dxa"/>
              <w:right w:w="0" w:type="dxa"/>
            </w:tcMar>
            <w:vAlign w:val="center"/>
          </w:tcPr>
          <w:p>
            <w:pPr>
              <w:pStyle w:val="TableContents"/>
              <w:bidi w:val="0"/>
              <w:spacing w:lineRule="auto" w:line="240" w:before="0" w:after="0"/>
              <w:jc w:val="center"/>
              <w:rPr>
                <w:rFonts w:ascii="Lato;sans-serif" w:hAnsi="Lato;sans-serif"/>
                <w:b/>
                <w:color w:val="000000"/>
                <w:sz w:val="20"/>
              </w:rPr>
            </w:pPr>
            <w:r>
              <w:rPr>
                <w:rFonts w:ascii="Lato;sans-serif" w:hAnsi="Lato;sans-serif"/>
                <w:b/>
                <w:color w:val="000000"/>
                <w:sz w:val="20"/>
              </w:rPr>
              <w:t>Average Age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8" w:type="dxa"/>
            <w:gridSpan w:val="24"/>
            <w:tcBorders/>
            <w:tcMar>
              <w:top w:w="0" w:type="dxa"/>
              <w:left w:w="0" w:type="dxa"/>
              <w:bottom w:w="0" w:type="dxa"/>
              <w:right w:w="0" w:type="dxa"/>
            </w:tcMar>
            <w:vAlign w:val="center"/>
          </w:tcPr>
          <w:p>
            <w:pPr>
              <w:pStyle w:val="TableContents"/>
              <w:bidi w:val="0"/>
              <w:spacing w:lineRule="auto" w:line="240" w:before="0" w:after="283"/>
              <w:jc w:val="center"/>
              <w:rPr>
                <w:rFonts w:ascii="Lato;sans-serif" w:hAnsi="Lato;sans-serif"/>
                <w:b/>
                <w:color w:val="000000"/>
                <w:sz w:val="20"/>
              </w:rPr>
            </w:pPr>
            <w:r>
              <w:rPr>
                <w:rFonts w:ascii="Lato;sans-serif" w:hAnsi="Lato;sans-serif"/>
                <w:b/>
                <w:color w:val="000000"/>
                <w:sz w:val="20"/>
              </w:rPr>
              <w:t>Average Tenure*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3" w:type="dxa"/>
            <w:gridSpan w:val="30"/>
            <w:tcBorders/>
            <w:tcMar>
              <w:top w:w="0" w:type="dxa"/>
              <w:left w:w="0" w:type="dxa"/>
              <w:bottom w:w="0" w:type="dxa"/>
              <w:right w:w="0" w:type="dxa"/>
            </w:tcMar>
            <w:vAlign w:val="center"/>
          </w:tcPr>
          <w:p>
            <w:pPr>
              <w:pStyle w:val="TableContents"/>
              <w:bidi w:val="0"/>
              <w:spacing w:lineRule="auto" w:line="240" w:before="0" w:after="0"/>
              <w:jc w:val="center"/>
              <w:rPr>
                <w:rFonts w:ascii="Lato;sans-serif" w:hAnsi="Lato;sans-serif"/>
                <w:b/>
                <w:color w:val="000000"/>
                <w:sz w:val="20"/>
              </w:rPr>
            </w:pPr>
            <w:r>
              <w:rPr>
                <w:rFonts w:ascii="Lato;sans-serif" w:hAnsi="Lato;sans-serif"/>
                <w:b/>
                <w:color w:val="000000"/>
                <w:sz w:val="20"/>
              </w:rPr>
              <w:t>Independent</w:t>
            </w:r>
          </w:p>
        </w:tc>
      </w:tr>
      <w:tr>
        <w:trPr/>
        <w:tc>
          <w:tcPr>
            <w:tcW w:w="2620"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Lato;sans-serif" w:hAnsi="Lato;sans-serif"/>
                <w:b/>
                <w:color w:val="EE2724"/>
                <w:sz w:val="32"/>
              </w:rPr>
            </w:pPr>
            <w:r>
              <w:rPr>
                <w:rFonts w:ascii="Lato;sans-serif" w:hAnsi="Lato;sans-serif"/>
                <w:b/>
                <w:color w:val="EE2724"/>
                <w:sz w:val="32"/>
              </w:rPr>
              <w:t>50 years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33"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Lato;sans-serif" w:hAnsi="Lato;sans-serif"/>
                <w:b/>
                <w:color w:val="EE2724"/>
                <w:sz w:val="32"/>
              </w:rPr>
            </w:pPr>
            <w:r>
              <w:rPr>
                <w:rFonts w:ascii="Lato;sans-serif" w:hAnsi="Lato;sans-serif"/>
                <w:b/>
                <w:color w:val="EE2724"/>
                <w:sz w:val="32"/>
              </w:rPr>
              <w:t>5.9 years</w:t>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3" w:type="dxa"/>
            <w:gridSpan w:val="30"/>
            <w:tcBorders/>
            <w:tcMar>
              <w:top w:w="0" w:type="dxa"/>
              <w:left w:w="0" w:type="dxa"/>
              <w:bottom w:w="0" w:type="dxa"/>
              <w:right w:w="0" w:type="dxa"/>
            </w:tcMar>
            <w:vAlign w:val="center"/>
          </w:tcPr>
          <w:p>
            <w:pPr>
              <w:pStyle w:val="TableContents"/>
              <w:bidi w:val="0"/>
              <w:spacing w:lineRule="auto" w:line="240" w:before="0" w:after="283"/>
              <w:jc w:val="center"/>
              <w:rPr>
                <w:rFonts w:ascii="Lato;sans-serif" w:hAnsi="Lato;sans-serif"/>
                <w:b/>
                <w:color w:val="EE2724"/>
                <w:sz w:val="32"/>
              </w:rPr>
            </w:pPr>
            <w:r>
              <w:rPr>
                <w:rFonts w:ascii="Lato;sans-serif" w:hAnsi="Lato;sans-serif"/>
                <w:b/>
                <w:color w:val="EE2724"/>
                <w:sz w:val="32"/>
              </w:rPr>
              <w:t>90%</w:t>
            </w:r>
          </w:p>
        </w:tc>
      </w:tr>
      <w:tr>
        <w:trPr/>
        <w:tc>
          <w:tcPr>
            <w:tcW w:w="6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8" w:type="dxa"/>
            <w:gridSpan w:val="3"/>
            <w:tcBorders/>
            <w:tcMar>
              <w:top w:w="0" w:type="dxa"/>
              <w:left w:w="0" w:type="dxa"/>
              <w:bottom w:w="0" w:type="dxa"/>
              <w:right w:w="0" w:type="dxa"/>
            </w:tcMar>
            <w:vAlign w:val="center"/>
          </w:tcPr>
          <w:p>
            <w:pPr>
              <w:pStyle w:val="TableContents"/>
              <w:bidi w:val="0"/>
              <w:spacing w:lineRule="auto" w:line="240" w:before="0" w:after="0"/>
              <w:jc w:val="center"/>
              <w:rPr>
                <w:color w:val="000000"/>
              </w:rPr>
            </w:pPr>
            <w:r>
              <w:rPr>
                <w:color w:val="000000"/>
              </w:rPr>
              <w:t xml:space="preserve">≤ </w:t>
            </w:r>
            <w:r>
              <w:rPr>
                <w:rFonts w:ascii="Lato;sans-serif" w:hAnsi="Lato;sans-serif"/>
                <w:b/>
                <w:color w:val="000000"/>
                <w:sz w:val="20"/>
              </w:rPr>
              <w:t>45</w:t>
            </w:r>
          </w:p>
        </w:tc>
        <w:tc>
          <w:tcPr>
            <w:tcW w:w="327" w:type="dxa"/>
            <w:gridSpan w:val="3"/>
            <w:tcBorders/>
            <w:shd w:fill="EE272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E272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Lato;sans-serif" w:hAnsi="Lato;sans-serif"/>
                <w:b w:val="false"/>
                <w:color w:val="000000"/>
                <w:sz w:val="20"/>
              </w:rPr>
            </w:pPr>
            <w:r>
              <w:rPr>
                <w:rFonts w:ascii="Lato;sans-serif" w:hAnsi="Lato;sans-serif"/>
                <w:b w:val="false"/>
                <w:color w:val="000000"/>
                <w:sz w:val="20"/>
              </w:rPr>
              <w:t>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Lato;sans-serif" w:hAnsi="Lato;sans-serif"/>
                <w:b/>
                <w:color w:val="000000"/>
                <w:sz w:val="20"/>
              </w:rPr>
            </w:pPr>
            <w:r>
              <w:rPr>
                <w:rFonts w:ascii="Lato;sans-serif" w:hAnsi="Lato;sans-serif"/>
                <w:b/>
                <w:color w:val="000000"/>
                <w:sz w:val="20"/>
              </w:rPr>
              <w:t>0 - 5 yrs</w:t>
            </w:r>
          </w:p>
        </w:tc>
        <w:tc>
          <w:tcPr>
            <w:tcW w:w="375" w:type="dxa"/>
            <w:gridSpan w:val="3"/>
            <w:tcBorders/>
            <w:shd w:fill="EE272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EE272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EE272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EE272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EE272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EE272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Lato;sans-serif" w:hAnsi="Lato;sans-serif"/>
                <w:b/>
                <w:color w:val="000000"/>
                <w:sz w:val="20"/>
              </w:rPr>
            </w:pPr>
            <w:r>
              <w:rPr>
                <w:rFonts w:ascii="Lato;sans-serif" w:hAnsi="Lato;sans-serif"/>
                <w:b/>
                <w:color w:val="000000"/>
                <w:sz w:val="20"/>
              </w:rPr>
              <w:t>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E272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E272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E272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E272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E272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E272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E272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E272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E272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Lato;sans-serif" w:hAnsi="Lato;sans-serif"/>
                <w:b/>
                <w:color w:val="000000"/>
                <w:sz w:val="20"/>
              </w:rPr>
            </w:pPr>
            <w:r>
              <w:rPr>
                <w:rFonts w:ascii="Lato;sans-serif" w:hAnsi="Lato;sans-serif"/>
                <w:b/>
                <w:color w:val="000000"/>
                <w:sz w:val="20"/>
              </w:rPr>
              <w:t>9</w:t>
            </w:r>
          </w:p>
        </w:tc>
      </w:tr>
      <w:tr>
        <w:trPr/>
        <w:tc>
          <w:tcPr>
            <w:tcW w:w="6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8"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Lato;sans-serif" w:hAnsi="Lato;sans-serif"/>
                <w:b/>
                <w:color w:val="000000"/>
                <w:sz w:val="20"/>
              </w:rPr>
            </w:pPr>
            <w:r>
              <w:rPr>
                <w:rFonts w:ascii="Lato;sans-serif" w:hAnsi="Lato;sans-serif"/>
                <w:b/>
                <w:color w:val="000000"/>
                <w:sz w:val="20"/>
              </w:rPr>
              <w:t>45 - 55</w:t>
            </w:r>
          </w:p>
        </w:tc>
        <w:tc>
          <w:tcPr>
            <w:tcW w:w="327" w:type="dxa"/>
            <w:gridSpan w:val="3"/>
            <w:tcBorders/>
            <w:shd w:fill="EE272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E272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E272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E272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E272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Lato;sans-serif" w:hAnsi="Lato;sans-serif"/>
                <w:b/>
                <w:color w:val="000000"/>
                <w:sz w:val="20"/>
              </w:rPr>
            </w:pPr>
            <w:r>
              <w:rPr>
                <w:rFonts w:ascii="Lato;sans-serif" w:hAnsi="Lato;sans-serif"/>
                <w:b/>
                <w:color w:val="000000"/>
                <w:sz w:val="20"/>
              </w:rPr>
              <w:t>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Lato;sans-serif" w:hAnsi="Lato;sans-serif"/>
                <w:b/>
                <w:color w:val="000000"/>
                <w:sz w:val="20"/>
              </w:rPr>
            </w:pPr>
            <w:r>
              <w:rPr>
                <w:rFonts w:ascii="Lato;sans-serif" w:hAnsi="Lato;sans-serif"/>
                <w:b/>
                <w:color w:val="000000"/>
                <w:sz w:val="20"/>
              </w:rPr>
              <w:t>5 -10 yrs</w:t>
            </w:r>
          </w:p>
        </w:tc>
        <w:tc>
          <w:tcPr>
            <w:tcW w:w="375" w:type="dxa"/>
            <w:gridSpan w:val="3"/>
            <w:tcBorders/>
            <w:shd w:fill="EE272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EE272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EE272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Lato;sans-serif" w:hAnsi="Lato;sans-serif"/>
                <w:b/>
                <w:color w:val="000000"/>
                <w:sz w:val="20"/>
              </w:rPr>
            </w:pPr>
            <w:r>
              <w:rPr>
                <w:rFonts w:ascii="Lato;sans-serif" w:hAnsi="Lato;sans-serif"/>
                <w:b/>
                <w:color w:val="000000"/>
                <w:sz w:val="20"/>
              </w:rPr>
              <w:t>3</w:t>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8"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Lato;sans-serif" w:hAnsi="Lato;sans-serif"/>
                <w:b/>
                <w:color w:val="000000"/>
                <w:sz w:val="20"/>
              </w:rPr>
            </w:pPr>
            <w:r>
              <w:rPr>
                <w:rFonts w:ascii="Lato;sans-serif" w:hAnsi="Lato;sans-serif"/>
                <w:b/>
                <w:color w:val="000000"/>
                <w:sz w:val="20"/>
              </w:rPr>
              <w:t>55+</w:t>
            </w:r>
          </w:p>
        </w:tc>
        <w:tc>
          <w:tcPr>
            <w:tcW w:w="327" w:type="dxa"/>
            <w:gridSpan w:val="3"/>
            <w:tcBorders/>
            <w:shd w:fill="EE272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E272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E272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Lato;sans-serif" w:hAnsi="Lato;sans-serif"/>
                <w:b w:val="false"/>
                <w:color w:val="000000"/>
                <w:sz w:val="20"/>
              </w:rPr>
            </w:pPr>
            <w:r>
              <w:rPr>
                <w:rFonts w:ascii="Lato;sans-serif" w:hAnsi="Lato;sans-serif"/>
                <w:b w:val="false"/>
                <w:color w:val="000000"/>
                <w:sz w:val="20"/>
              </w:rPr>
              <w:t>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Lato;sans-serif" w:hAnsi="Lato;sans-serif"/>
                <w:b/>
                <w:color w:val="000000"/>
                <w:sz w:val="20"/>
              </w:rPr>
            </w:pPr>
            <w:r>
              <w:rPr>
                <w:rFonts w:ascii="Lato;sans-serif" w:hAnsi="Lato;sans-serif"/>
                <w:b/>
                <w:color w:val="000000"/>
                <w:sz w:val="20"/>
              </w:rPr>
              <w:t>10 - 15 yrs</w:t>
            </w:r>
          </w:p>
        </w:tc>
        <w:tc>
          <w:tcPr>
            <w:tcW w:w="375" w:type="dxa"/>
            <w:gridSpan w:val="3"/>
            <w:tcBorders/>
            <w:shd w:fill="EE272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Lato;sans-serif" w:hAnsi="Lato;sans-serif"/>
                <w:b/>
                <w:color w:val="000000"/>
                <w:sz w:val="20"/>
              </w:rPr>
            </w:pPr>
            <w:r>
              <w:rPr>
                <w:rFonts w:ascii="Lato;sans-serif" w:hAnsi="Lato;sans-serif"/>
                <w:b/>
                <w:color w:val="000000"/>
                <w:sz w:val="20"/>
              </w:rPr>
              <w:t>1</w:t>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Lato;sans-serif" w:hAnsi="Lato;sans-serif"/>
                <w:b/>
                <w:color w:val="000000"/>
                <w:sz w:val="20"/>
              </w:rPr>
            </w:pPr>
            <w:r>
              <w:rPr>
                <w:rFonts w:ascii="Lato;sans-serif" w:hAnsi="Lato;sans-serif"/>
                <w:b/>
                <w:color w:val="000000"/>
                <w:sz w:val="20"/>
              </w:rPr>
              <w:t>15+ yrs</w:t>
            </w:r>
          </w:p>
        </w:tc>
        <w:tc>
          <w:tcPr>
            <w:tcW w:w="375" w:type="dxa"/>
            <w:gridSpan w:val="3"/>
            <w:tcBorders/>
            <w:shd w:fill="EE272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Lato;sans-serif" w:hAnsi="Lato;sans-serif"/>
                <w:b/>
                <w:color w:val="000000"/>
                <w:sz w:val="20"/>
              </w:rPr>
            </w:pPr>
            <w:r>
              <w:rPr>
                <w:rFonts w:ascii="Lato;sans-serif" w:hAnsi="Lato;sans-serif"/>
                <w:b/>
                <w:color w:val="000000"/>
                <w:sz w:val="20"/>
              </w:rPr>
              <w:t>1</w:t>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8" w:type="dxa"/>
            <w:gridSpan w:val="24"/>
            <w:tcBorders/>
            <w:tcMar>
              <w:top w:w="0" w:type="dxa"/>
              <w:left w:w="0" w:type="dxa"/>
              <w:bottom w:w="0" w:type="dxa"/>
              <w:right w:w="0" w:type="dxa"/>
            </w:tcMar>
            <w:vAlign w:val="center"/>
          </w:tcPr>
          <w:p>
            <w:pPr>
              <w:pStyle w:val="TableContents"/>
              <w:bidi w:val="0"/>
              <w:spacing w:lineRule="auto" w:line="240" w:before="0" w:after="0"/>
              <w:jc w:val="center"/>
              <w:rPr>
                <w:rFonts w:ascii="Lato;sans-serif" w:hAnsi="Lato;sans-serif"/>
                <w:b/>
                <w:color w:val="000000"/>
                <w:sz w:val="16"/>
              </w:rPr>
            </w:pPr>
            <w:r>
              <w:rPr>
                <w:rFonts w:ascii="Lato;sans-serif" w:hAnsi="Lato;sans-serif"/>
                <w:b/>
                <w:color w:val="000000"/>
                <w:sz w:val="16"/>
              </w:rPr>
              <w:t>* Includes tenure of ZoomInfo’s predecessor entities.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352425"/>
                <wp:effectExtent l="0" t="0" r="0" b="0"/>
                <wp:wrapNone/>
                <wp:docPr id="34" name="Frame20"/>
                <a:graphic xmlns:a="http://schemas.openxmlformats.org/drawingml/2006/main">
                  <a:graphicData uri="http://schemas.microsoft.com/office/word/2010/wordprocessingShape">
                    <wps:wsp>
                      <wps:cNvSpPr txBox="1"/>
                      <wps:spPr>
                        <a:xfrm>
                          <a:off x="0" y="0"/>
                          <a:ext cx="6480175" cy="352425"/>
                        </a:xfrm>
                        <a:prstGeom prst="rect"/>
                        <a:solidFill>
                          <a:srgbClr val="FFFFFF"/>
                        </a:solidFill>
                      </wps:spPr>
                      <wps:txbx>
                        <w:txbxContent>
                          <w:p>
                            <w:pPr>
                              <w:pStyle w:val="TextBody"/>
                              <w:bidi w:val="0"/>
                              <w:spacing w:lineRule="auto" w:line="288" w:before="0" w:after="0"/>
                              <w:jc w:val="center"/>
                              <w:rPr>
                                <w:rFonts w:ascii="Lato;sans-serif" w:hAnsi="Lato;sans-serif"/>
                                <w:b w:val="false"/>
                                <w:color w:val="000000"/>
                                <w:sz w:val="20"/>
                              </w:rPr>
                            </w:pPr>
                            <w:r>
                              <w:rPr>
                                <w:rFonts w:ascii="Lato;sans-serif" w:hAnsi="Lato;sans-serif"/>
                                <w:b w:val="false"/>
                                <w:color w:val="000000"/>
                                <w:sz w:val="20"/>
                              </w:rPr>
                              <w:t>14</w:t>
                            </w:r>
                          </w:p>
                          <w:p>
                            <w:pPr>
                              <w:pStyle w:val="TextBody"/>
                              <w:bidi w:val="0"/>
                              <w:spacing w:lineRule="auto" w:line="288" w:before="0" w:after="0"/>
                              <w:jc w:val="left"/>
                              <w:rPr>
                                <w:color w:val="000000"/>
                              </w:rPr>
                            </w:pPr>
                            <w:r>
                              <w:rPr>
                                <w:color w:val="000000"/>
                              </w:rPr>
                              <w:t>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Lato;sans-serif" w:hAnsi="Lato;sans-serif"/>
                          <w:b w:val="false"/>
                          <w:color w:val="000000"/>
                          <w:sz w:val="20"/>
                        </w:rPr>
                      </w:pPr>
                      <w:r>
                        <w:rPr>
                          <w:rFonts w:ascii="Lato;sans-serif" w:hAnsi="Lato;sans-serif"/>
                          <w:b w:val="false"/>
                          <w:color w:val="000000"/>
                          <w:sz w:val="20"/>
                        </w:rPr>
                        <w:t>14</w:t>
                      </w:r>
                    </w:p>
                    <w:p>
                      <w:pPr>
                        <w:pStyle w:val="TextBody"/>
                        <w:bidi w:val="0"/>
                        <w:spacing w:lineRule="auto" w:line="288" w:before="0" w:after="0"/>
                        <w:jc w:val="left"/>
                        <w:rPr>
                          <w:color w:val="000000"/>
                        </w:rPr>
                      </w:pPr>
                      <w:r>
                        <w:rPr>
                          <w:color w:val="000000"/>
                        </w:rPr>
                        <w:t>        </w:t>
                      </w:r>
                    </w:p>
                  </w:txbxContent>
                </v:textbox>
                <w10:wrap type="none"/>
              </v:rect>
            </w:pict>
          </mc:Fallback>
        </mc:AlternateConten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2683"/>
        <w:gridCol w:w="2280"/>
        <w:gridCol w:w="2285"/>
        <w:gridCol w:w="865"/>
        <w:gridCol w:w="865"/>
        <w:gridCol w:w="1227"/>
      </w:tblGrid>
      <w:tr>
        <w:trPr/>
        <w:tc>
          <w:tcPr>
            <w:tcW w:w="2683" w:type="dxa"/>
            <w:tcBorders/>
            <w:vAlign w:val="center"/>
          </w:tcPr>
          <w:p>
            <w:pPr>
              <w:pStyle w:val="TableContents"/>
              <w:bidi w:val="0"/>
              <w:spacing w:before="0" w:after="283"/>
              <w:jc w:val="left"/>
              <w:rPr>
                <w:sz w:val="4"/>
                <w:szCs w:val="4"/>
              </w:rPr>
            </w:pPr>
            <w:r>
              <w:rPr>
                <w:sz w:val="4"/>
                <w:szCs w:val="4"/>
              </w:rPr>
            </w:r>
          </w:p>
        </w:tc>
        <w:tc>
          <w:tcPr>
            <w:tcW w:w="2280" w:type="dxa"/>
            <w:tcBorders/>
            <w:vAlign w:val="center"/>
          </w:tcPr>
          <w:p>
            <w:pPr>
              <w:pStyle w:val="TableContents"/>
              <w:bidi w:val="0"/>
              <w:spacing w:before="0" w:after="283"/>
              <w:jc w:val="left"/>
              <w:rPr>
                <w:sz w:val="4"/>
                <w:szCs w:val="4"/>
              </w:rPr>
            </w:pPr>
            <w:r>
              <w:rPr>
                <w:sz w:val="4"/>
                <w:szCs w:val="4"/>
              </w:rPr>
            </w:r>
          </w:p>
        </w:tc>
        <w:tc>
          <w:tcPr>
            <w:tcW w:w="2285" w:type="dxa"/>
            <w:tcBorders/>
            <w:vAlign w:val="center"/>
          </w:tcPr>
          <w:p>
            <w:pPr>
              <w:pStyle w:val="TableContents"/>
              <w:bidi w:val="0"/>
              <w:spacing w:before="0" w:after="283"/>
              <w:jc w:val="left"/>
              <w:rPr>
                <w:sz w:val="4"/>
                <w:szCs w:val="4"/>
              </w:rPr>
            </w:pPr>
            <w:r>
              <w:rPr>
                <w:sz w:val="4"/>
                <w:szCs w:val="4"/>
              </w:rPr>
            </w:r>
          </w:p>
        </w:tc>
        <w:tc>
          <w:tcPr>
            <w:tcW w:w="865" w:type="dxa"/>
            <w:tcBorders/>
            <w:vAlign w:val="center"/>
          </w:tcPr>
          <w:p>
            <w:pPr>
              <w:pStyle w:val="TableContents"/>
              <w:bidi w:val="0"/>
              <w:spacing w:before="0" w:after="283"/>
              <w:jc w:val="left"/>
              <w:rPr>
                <w:sz w:val="4"/>
                <w:szCs w:val="4"/>
              </w:rPr>
            </w:pPr>
            <w:r>
              <w:rPr>
                <w:sz w:val="4"/>
                <w:szCs w:val="4"/>
              </w:rPr>
            </w:r>
          </w:p>
        </w:tc>
        <w:tc>
          <w:tcPr>
            <w:tcW w:w="865" w:type="dxa"/>
            <w:tcBorders/>
            <w:vAlign w:val="center"/>
          </w:tcPr>
          <w:p>
            <w:pPr>
              <w:pStyle w:val="TableContents"/>
              <w:bidi w:val="0"/>
              <w:spacing w:before="0" w:after="283"/>
              <w:jc w:val="left"/>
              <w:rPr>
                <w:sz w:val="4"/>
                <w:szCs w:val="4"/>
              </w:rPr>
            </w:pPr>
            <w:r>
              <w:rPr>
                <w:sz w:val="4"/>
                <w:szCs w:val="4"/>
              </w:rPr>
            </w:r>
          </w:p>
        </w:tc>
        <w:tc>
          <w:tcPr>
            <w:tcW w:w="1227" w:type="dxa"/>
            <w:tcBorders/>
            <w:vAlign w:val="center"/>
          </w:tcPr>
          <w:p>
            <w:pPr>
              <w:pStyle w:val="TableContents"/>
              <w:bidi w:val="0"/>
              <w:spacing w:before="0" w:after="283"/>
              <w:jc w:val="left"/>
              <w:rPr>
                <w:sz w:val="4"/>
                <w:szCs w:val="4"/>
              </w:rPr>
            </w:pPr>
            <w:r>
              <w:rPr>
                <w:sz w:val="4"/>
                <w:szCs w:val="4"/>
              </w:rPr>
            </w:r>
          </w:p>
        </w:tc>
      </w:tr>
      <w:tr>
        <w:trPr/>
        <w:tc>
          <w:tcPr>
            <w:tcW w:w="7248" w:type="dxa"/>
            <w:gridSpan w:val="3"/>
            <w:tcBorders/>
            <w:shd w:fill="F44238" w:val="clear"/>
            <w:tcMar>
              <w:top w:w="0" w:type="dxa"/>
              <w:left w:w="0" w:type="dxa"/>
              <w:bottom w:w="0" w:type="dxa"/>
              <w:right w:w="0" w:type="dxa"/>
            </w:tcMar>
            <w:vAlign w:val="center"/>
          </w:tcPr>
          <w:p>
            <w:pPr>
              <w:pStyle w:val="TableContents"/>
              <w:bidi w:val="0"/>
              <w:spacing w:lineRule="auto" w:line="240" w:before="0" w:after="283"/>
              <w:jc w:val="center"/>
              <w:rPr>
                <w:rFonts w:ascii="Lato;sans-serif" w:hAnsi="Lato;sans-serif"/>
                <w:b/>
                <w:color w:val="FFFFFF"/>
                <w:sz w:val="20"/>
              </w:rPr>
            </w:pPr>
            <w:r>
              <w:rPr>
                <w:rFonts w:ascii="Lato;sans-serif" w:hAnsi="Lato;sans-serif"/>
                <w:b/>
                <w:color w:val="FFFFFF"/>
                <w:sz w:val="20"/>
              </w:rPr>
              <w:t>Director Skills, Knowledge, Experience and Attributes Deemed Most Valuable by the Nominating and Corporate Governance Committee</w:t>
            </w:r>
          </w:p>
        </w:tc>
        <w:tc>
          <w:tcPr>
            <w:tcW w:w="2957" w:type="dxa"/>
            <w:gridSpan w:val="3"/>
            <w:tcBorders/>
            <w:shd w:fill="F44238" w:val="clear"/>
            <w:tcMar>
              <w:top w:w="0" w:type="dxa"/>
              <w:left w:w="0" w:type="dxa"/>
              <w:bottom w:w="0" w:type="dxa"/>
              <w:right w:w="0" w:type="dxa"/>
            </w:tcMar>
            <w:vAlign w:val="center"/>
          </w:tcPr>
          <w:p>
            <w:pPr>
              <w:pStyle w:val="TableContents"/>
              <w:bidi w:val="0"/>
              <w:spacing w:lineRule="auto" w:line="240" w:before="0" w:after="283"/>
              <w:jc w:val="center"/>
              <w:rPr>
                <w:rFonts w:ascii="Lato;sans-serif" w:hAnsi="Lato;sans-serif"/>
                <w:b/>
                <w:color w:val="FFFFFF"/>
                <w:sz w:val="20"/>
              </w:rPr>
            </w:pPr>
            <w:r>
              <w:rPr>
                <w:rFonts w:ascii="Lato;sans-serif" w:hAnsi="Lato;sans-serif"/>
                <w:b/>
                <w:color w:val="FFFFFF"/>
                <w:sz w:val="20"/>
              </w:rPr>
              <w:t>Directors Self-Reporting Qualification (#)</w:t>
            </w:r>
          </w:p>
        </w:tc>
      </w:tr>
      <w:tr>
        <w:trPr/>
        <w:tc>
          <w:tcPr>
            <w:tcW w:w="7248"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20"/>
              </w:rPr>
            </w:pPr>
            <w:r>
              <w:rPr>
                <w:rFonts w:ascii="Lato;sans-serif" w:hAnsi="Lato;sans-serif"/>
                <w:b w:val="false"/>
                <w:color w:val="000000"/>
                <w:sz w:val="20"/>
              </w:rPr>
              <w:t>Knowledge and Experience in ZoomInfo's Industry</w:t>
            </w:r>
          </w:p>
        </w:tc>
        <w:tc>
          <w:tcPr>
            <w:tcW w:w="2957"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Lato;sans-serif" w:hAnsi="Lato;sans-serif"/>
                <w:b w:val="false"/>
                <w:color w:val="000000"/>
                <w:sz w:val="20"/>
              </w:rPr>
            </w:pPr>
            <w:r>
              <w:rPr>
                <w:rFonts w:ascii="Lato;sans-serif" w:hAnsi="Lato;sans-serif"/>
                <w:b w:val="false"/>
                <w:color w:val="000000"/>
                <w:sz w:val="20"/>
              </w:rPr>
              <w:t>8</w:t>
            </w:r>
          </w:p>
        </w:tc>
      </w:tr>
      <w:tr>
        <w:trPr/>
        <w:tc>
          <w:tcPr>
            <w:tcW w:w="7248"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20"/>
              </w:rPr>
            </w:pPr>
            <w:r>
              <w:rPr>
                <w:rFonts w:ascii="Lato;sans-serif" w:hAnsi="Lato;sans-serif"/>
                <w:b w:val="false"/>
                <w:color w:val="000000"/>
                <w:sz w:val="20"/>
              </w:rPr>
              <w:t>Knowledge and Experience with SaaS Companies in Other Industries</w:t>
            </w:r>
          </w:p>
        </w:tc>
        <w:tc>
          <w:tcPr>
            <w:tcW w:w="2957"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Lato;sans-serif" w:hAnsi="Lato;sans-serif"/>
                <w:b w:val="false"/>
                <w:color w:val="000000"/>
                <w:sz w:val="20"/>
              </w:rPr>
            </w:pPr>
            <w:r>
              <w:rPr>
                <w:rFonts w:ascii="Lato;sans-serif" w:hAnsi="Lato;sans-serif"/>
                <w:b w:val="false"/>
                <w:color w:val="000000"/>
                <w:sz w:val="20"/>
              </w:rPr>
              <w:t>9</w:t>
            </w:r>
          </w:p>
        </w:tc>
      </w:tr>
      <w:tr>
        <w:trPr/>
        <w:tc>
          <w:tcPr>
            <w:tcW w:w="72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20"/>
              </w:rPr>
            </w:pPr>
            <w:r>
              <w:rPr>
                <w:rFonts w:ascii="Lato;sans-serif" w:hAnsi="Lato;sans-serif"/>
                <w:b w:val="false"/>
                <w:color w:val="000000"/>
                <w:sz w:val="20"/>
              </w:rPr>
              <w:t>Experience in Management of a Public Company</w:t>
            </w:r>
          </w:p>
        </w:tc>
        <w:tc>
          <w:tcPr>
            <w:tcW w:w="29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Lato;sans-serif" w:hAnsi="Lato;sans-serif"/>
                <w:b w:val="false"/>
                <w:color w:val="000000"/>
                <w:sz w:val="20"/>
              </w:rPr>
            </w:pPr>
            <w:r>
              <w:rPr>
                <w:rFonts w:ascii="Lato;sans-serif" w:hAnsi="Lato;sans-serif"/>
                <w:b w:val="false"/>
                <w:color w:val="000000"/>
                <w:sz w:val="20"/>
              </w:rPr>
              <w:t>7</w:t>
            </w:r>
          </w:p>
        </w:tc>
      </w:tr>
      <w:tr>
        <w:trPr/>
        <w:tc>
          <w:tcPr>
            <w:tcW w:w="7248"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20"/>
              </w:rPr>
            </w:pPr>
            <w:r>
              <w:rPr>
                <w:rFonts w:ascii="Lato;sans-serif" w:hAnsi="Lato;sans-serif"/>
                <w:b w:val="false"/>
                <w:color w:val="000000"/>
                <w:sz w:val="20"/>
              </w:rPr>
              <w:t>Other Extensive Management Experience in a Large Organization</w:t>
            </w:r>
          </w:p>
        </w:tc>
        <w:tc>
          <w:tcPr>
            <w:tcW w:w="2957"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Lato;sans-serif" w:hAnsi="Lato;sans-serif"/>
                <w:b w:val="false"/>
                <w:color w:val="000000"/>
                <w:sz w:val="20"/>
              </w:rPr>
            </w:pPr>
            <w:r>
              <w:rPr>
                <w:rFonts w:ascii="Lato;sans-serif" w:hAnsi="Lato;sans-serif"/>
                <w:b w:val="false"/>
                <w:color w:val="000000"/>
                <w:sz w:val="20"/>
              </w:rPr>
              <w:t>7</w:t>
            </w:r>
          </w:p>
        </w:tc>
      </w:tr>
      <w:tr>
        <w:trPr/>
        <w:tc>
          <w:tcPr>
            <w:tcW w:w="72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20"/>
              </w:rPr>
            </w:pPr>
            <w:r>
              <w:rPr>
                <w:rFonts w:ascii="Lato;sans-serif" w:hAnsi="Lato;sans-serif"/>
                <w:b w:val="false"/>
                <w:color w:val="000000"/>
                <w:sz w:val="20"/>
              </w:rPr>
              <w:t>Data Privacy Experience</w:t>
            </w:r>
          </w:p>
        </w:tc>
        <w:tc>
          <w:tcPr>
            <w:tcW w:w="29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Lato;sans-serif" w:hAnsi="Lato;sans-serif"/>
                <w:b w:val="false"/>
                <w:color w:val="000000"/>
                <w:sz w:val="20"/>
              </w:rPr>
            </w:pPr>
            <w:r>
              <w:rPr>
                <w:rFonts w:ascii="Lato;sans-serif" w:hAnsi="Lato;sans-serif"/>
                <w:b w:val="false"/>
                <w:color w:val="000000"/>
                <w:sz w:val="20"/>
              </w:rPr>
              <w:t>5</w:t>
            </w:r>
          </w:p>
        </w:tc>
      </w:tr>
      <w:tr>
        <w:trPr/>
        <w:tc>
          <w:tcPr>
            <w:tcW w:w="7248"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20"/>
              </w:rPr>
            </w:pPr>
            <w:r>
              <w:rPr>
                <w:rFonts w:ascii="Lato;sans-serif" w:hAnsi="Lato;sans-serif"/>
                <w:b w:val="false"/>
                <w:color w:val="000000"/>
                <w:sz w:val="20"/>
              </w:rPr>
              <w:t>Cyber Security Experience</w:t>
            </w:r>
          </w:p>
        </w:tc>
        <w:tc>
          <w:tcPr>
            <w:tcW w:w="2957"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Lato;sans-serif" w:hAnsi="Lato;sans-serif"/>
                <w:b w:val="false"/>
                <w:color w:val="000000"/>
                <w:sz w:val="20"/>
              </w:rPr>
            </w:pPr>
            <w:r>
              <w:rPr>
                <w:rFonts w:ascii="Lato;sans-serif" w:hAnsi="Lato;sans-serif"/>
                <w:b w:val="false"/>
                <w:color w:val="000000"/>
                <w:sz w:val="20"/>
              </w:rPr>
              <w:t>5</w:t>
            </w:r>
          </w:p>
        </w:tc>
      </w:tr>
      <w:tr>
        <w:trPr/>
        <w:tc>
          <w:tcPr>
            <w:tcW w:w="72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20"/>
              </w:rPr>
            </w:pPr>
            <w:r>
              <w:rPr>
                <w:rFonts w:ascii="Lato;sans-serif" w:hAnsi="Lato;sans-serif"/>
                <w:b w:val="false"/>
                <w:color w:val="000000"/>
                <w:sz w:val="20"/>
              </w:rPr>
              <w:t>Core Business and Leadership Skills</w:t>
            </w:r>
          </w:p>
        </w:tc>
        <w:tc>
          <w:tcPr>
            <w:tcW w:w="29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Lato;sans-serif" w:hAnsi="Lato;sans-serif"/>
                <w:b w:val="false"/>
                <w:color w:val="000000"/>
                <w:sz w:val="20"/>
              </w:rPr>
            </w:pPr>
            <w:r>
              <w:rPr>
                <w:rFonts w:ascii="Lato;sans-serif" w:hAnsi="Lato;sans-serif"/>
                <w:b w:val="false"/>
                <w:color w:val="000000"/>
                <w:sz w:val="20"/>
              </w:rPr>
              <w:t>10</w:t>
            </w:r>
          </w:p>
        </w:tc>
      </w:tr>
      <w:tr>
        <w:trPr/>
        <w:tc>
          <w:tcPr>
            <w:tcW w:w="7248"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20"/>
              </w:rPr>
            </w:pPr>
            <w:r>
              <w:rPr>
                <w:rFonts w:ascii="Lato;sans-serif" w:hAnsi="Lato;sans-serif"/>
                <w:b w:val="false"/>
                <w:color w:val="000000"/>
                <w:sz w:val="20"/>
              </w:rPr>
              <w:t>Leadership Experience in Sales / Go-to-Market Areas</w:t>
            </w:r>
          </w:p>
        </w:tc>
        <w:tc>
          <w:tcPr>
            <w:tcW w:w="2957"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Lato;sans-serif" w:hAnsi="Lato;sans-serif"/>
                <w:b w:val="false"/>
                <w:color w:val="000000"/>
                <w:sz w:val="20"/>
              </w:rPr>
            </w:pPr>
            <w:r>
              <w:rPr>
                <w:rFonts w:ascii="Lato;sans-serif" w:hAnsi="Lato;sans-serif"/>
                <w:b w:val="false"/>
                <w:color w:val="000000"/>
                <w:sz w:val="20"/>
              </w:rPr>
              <w:t>4</w:t>
            </w:r>
          </w:p>
        </w:tc>
      </w:tr>
      <w:tr>
        <w:trPr/>
        <w:tc>
          <w:tcPr>
            <w:tcW w:w="72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20"/>
              </w:rPr>
            </w:pPr>
            <w:r>
              <w:rPr>
                <w:rFonts w:ascii="Lato;sans-serif" w:hAnsi="Lato;sans-serif"/>
                <w:b w:val="false"/>
                <w:color w:val="000000"/>
                <w:sz w:val="20"/>
              </w:rPr>
              <w:t>Finance and Accounting Expertise</w:t>
            </w:r>
          </w:p>
        </w:tc>
        <w:tc>
          <w:tcPr>
            <w:tcW w:w="29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Lato;sans-serif" w:hAnsi="Lato;sans-serif"/>
                <w:b w:val="false"/>
                <w:color w:val="000000"/>
                <w:sz w:val="20"/>
              </w:rPr>
            </w:pPr>
            <w:r>
              <w:rPr>
                <w:rFonts w:ascii="Lato;sans-serif" w:hAnsi="Lato;sans-serif"/>
                <w:b w:val="false"/>
                <w:color w:val="000000"/>
                <w:sz w:val="20"/>
              </w:rPr>
              <w:t>6</w:t>
            </w:r>
          </w:p>
        </w:tc>
      </w:tr>
      <w:tr>
        <w:trPr/>
        <w:tc>
          <w:tcPr>
            <w:tcW w:w="7248"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20"/>
              </w:rPr>
            </w:pPr>
            <w:r>
              <w:rPr>
                <w:rFonts w:ascii="Lato;sans-serif" w:hAnsi="Lato;sans-serif"/>
                <w:b w:val="false"/>
                <w:color w:val="000000"/>
                <w:sz w:val="20"/>
              </w:rPr>
              <w:t>Financial and Strategic Planning Expertise</w:t>
            </w:r>
          </w:p>
        </w:tc>
        <w:tc>
          <w:tcPr>
            <w:tcW w:w="2957"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Lato;sans-serif" w:hAnsi="Lato;sans-serif"/>
                <w:b w:val="false"/>
                <w:color w:val="000000"/>
                <w:sz w:val="20"/>
              </w:rPr>
            </w:pPr>
            <w:r>
              <w:rPr>
                <w:rFonts w:ascii="Lato;sans-serif" w:hAnsi="Lato;sans-serif"/>
                <w:b w:val="false"/>
                <w:color w:val="000000"/>
                <w:sz w:val="20"/>
              </w:rPr>
              <w:t>7</w:t>
            </w:r>
          </w:p>
        </w:tc>
      </w:tr>
      <w:tr>
        <w:trPr/>
        <w:tc>
          <w:tcPr>
            <w:tcW w:w="72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20"/>
              </w:rPr>
            </w:pPr>
            <w:r>
              <w:rPr>
                <w:rFonts w:ascii="Lato;sans-serif" w:hAnsi="Lato;sans-serif"/>
                <w:b w:val="false"/>
                <w:color w:val="000000"/>
                <w:sz w:val="20"/>
              </w:rPr>
              <w:t>Experience in a Chief Product Officer or Similar Role with Oversight of Product Quality</w:t>
            </w:r>
          </w:p>
        </w:tc>
        <w:tc>
          <w:tcPr>
            <w:tcW w:w="29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Lato;sans-serif" w:hAnsi="Lato;sans-serif"/>
                <w:b w:val="false"/>
                <w:color w:val="000000"/>
                <w:sz w:val="20"/>
              </w:rPr>
            </w:pPr>
            <w:r>
              <w:rPr>
                <w:rFonts w:ascii="Lato;sans-serif" w:hAnsi="Lato;sans-serif"/>
                <w:b w:val="false"/>
                <w:color w:val="000000"/>
                <w:sz w:val="20"/>
              </w:rPr>
              <w:t>1</w:t>
            </w:r>
          </w:p>
        </w:tc>
      </w:tr>
      <w:tr>
        <w:trPr/>
        <w:tc>
          <w:tcPr>
            <w:tcW w:w="7248"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20"/>
              </w:rPr>
            </w:pPr>
            <w:r>
              <w:rPr>
                <w:rFonts w:ascii="Lato;sans-serif" w:hAnsi="Lato;sans-serif"/>
                <w:b w:val="false"/>
                <w:color w:val="000000"/>
                <w:sz w:val="20"/>
              </w:rPr>
              <w:t>Current or Past Director of Another Public Company</w:t>
            </w:r>
          </w:p>
        </w:tc>
        <w:tc>
          <w:tcPr>
            <w:tcW w:w="2957"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Lato;sans-serif" w:hAnsi="Lato;sans-serif"/>
                <w:b w:val="false"/>
                <w:color w:val="000000"/>
                <w:sz w:val="20"/>
              </w:rPr>
            </w:pPr>
            <w:r>
              <w:rPr>
                <w:rFonts w:ascii="Lato;sans-serif" w:hAnsi="Lato;sans-serif"/>
                <w:b w:val="false"/>
                <w:color w:val="000000"/>
                <w:sz w:val="20"/>
              </w:rPr>
              <w:t>4</w:t>
            </w:r>
          </w:p>
        </w:tc>
      </w:tr>
      <w:tr>
        <w:trPr/>
        <w:tc>
          <w:tcPr>
            <w:tcW w:w="72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20"/>
              </w:rPr>
            </w:pPr>
            <w:r>
              <w:rPr>
                <w:rFonts w:ascii="Lato;sans-serif" w:hAnsi="Lato;sans-serif"/>
                <w:b w:val="false"/>
                <w:color w:val="000000"/>
                <w:sz w:val="20"/>
              </w:rPr>
              <w:t>International Operations Experience</w:t>
            </w:r>
          </w:p>
        </w:tc>
        <w:tc>
          <w:tcPr>
            <w:tcW w:w="29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Lato;sans-serif" w:hAnsi="Lato;sans-serif"/>
                <w:b w:val="false"/>
                <w:color w:val="000000"/>
                <w:sz w:val="20"/>
              </w:rPr>
            </w:pPr>
            <w:r>
              <w:rPr>
                <w:rFonts w:ascii="Lato;sans-serif" w:hAnsi="Lato;sans-serif"/>
                <w:b w:val="false"/>
                <w:color w:val="000000"/>
                <w:sz w:val="20"/>
              </w:rPr>
              <w:t>7</w:t>
            </w:r>
          </w:p>
        </w:tc>
      </w:tr>
      <w:tr>
        <w:trPr/>
        <w:tc>
          <w:tcPr>
            <w:tcW w:w="7248"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20"/>
              </w:rPr>
            </w:pPr>
            <w:r>
              <w:rPr>
                <w:rFonts w:ascii="Lato;sans-serif" w:hAnsi="Lato;sans-serif"/>
                <w:b w:val="false"/>
                <w:color w:val="000000"/>
                <w:sz w:val="20"/>
              </w:rPr>
              <w:t>Experience at Growing a Scaled SaaS Business (revenue of $2bn+)</w:t>
            </w:r>
          </w:p>
        </w:tc>
        <w:tc>
          <w:tcPr>
            <w:tcW w:w="2957"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Lato;sans-serif" w:hAnsi="Lato;sans-serif"/>
                <w:b w:val="false"/>
                <w:color w:val="000000"/>
                <w:sz w:val="20"/>
              </w:rPr>
            </w:pPr>
            <w:r>
              <w:rPr>
                <w:rFonts w:ascii="Lato;sans-serif" w:hAnsi="Lato;sans-serif"/>
                <w:b w:val="false"/>
                <w:color w:val="000000"/>
                <w:sz w:val="20"/>
              </w:rPr>
              <w:t>5</w:t>
            </w:r>
          </w:p>
        </w:tc>
      </w:tr>
      <w:tr>
        <w:trPr/>
        <w:tc>
          <w:tcPr>
            <w:tcW w:w="72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20"/>
              </w:rPr>
            </w:pPr>
            <w:r>
              <w:rPr>
                <w:rFonts w:ascii="Lato;sans-serif" w:hAnsi="Lato;sans-serif"/>
                <w:b w:val="false"/>
                <w:color w:val="000000"/>
                <w:sz w:val="20"/>
              </w:rPr>
              <w:t>Multi-Product/Services or Multi-Segment Company Experience (Managing Multiple Products Across a Platform)</w:t>
            </w:r>
          </w:p>
        </w:tc>
        <w:tc>
          <w:tcPr>
            <w:tcW w:w="29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Lato;sans-serif" w:hAnsi="Lato;sans-serif"/>
                <w:b w:val="false"/>
                <w:color w:val="000000"/>
                <w:sz w:val="20"/>
              </w:rPr>
            </w:pPr>
            <w:r>
              <w:rPr>
                <w:rFonts w:ascii="Lato;sans-serif" w:hAnsi="Lato;sans-serif"/>
                <w:b w:val="false"/>
                <w:color w:val="000000"/>
                <w:sz w:val="20"/>
              </w:rPr>
              <w:t>8</w:t>
            </w:r>
          </w:p>
        </w:tc>
      </w:tr>
      <w:tr>
        <w:trPr/>
        <w:tc>
          <w:tcPr>
            <w:tcW w:w="7248"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20"/>
              </w:rPr>
            </w:pPr>
            <w:r>
              <w:rPr>
                <w:rFonts w:ascii="Lato;sans-serif" w:hAnsi="Lato;sans-serif"/>
                <w:b w:val="false"/>
                <w:color w:val="000000"/>
                <w:sz w:val="20"/>
              </w:rPr>
              <w:t>Demographic Background Considerations</w:t>
            </w:r>
          </w:p>
        </w:tc>
        <w:tc>
          <w:tcPr>
            <w:tcW w:w="2957"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Lato;sans-serif" w:hAnsi="Lato;sans-serif"/>
                <w:b w:val="false"/>
                <w:color w:val="000000"/>
                <w:sz w:val="20"/>
              </w:rPr>
            </w:pPr>
            <w:r>
              <w:rPr>
                <w:rFonts w:ascii="Lato;sans-serif" w:hAnsi="Lato;sans-serif"/>
                <w:b w:val="false"/>
                <w:color w:val="000000"/>
                <w:sz w:val="20"/>
              </w:rPr>
              <w:t>5*</w:t>
            </w:r>
          </w:p>
        </w:tc>
      </w:tr>
    </w:tbl>
    <w:p>
      <w:pPr>
        <w:pStyle w:val="TextBody"/>
        <w:bidi w:val="0"/>
        <w:spacing w:lineRule="auto" w:line="288" w:before="180" w:after="180"/>
        <w:jc w:val="left"/>
        <w:rPr/>
      </w:pPr>
      <w:r>
        <w:rPr>
          <w:rFonts w:ascii="Lato;sans-serif" w:hAnsi="Lato;sans-serif"/>
          <w:b w:val="false"/>
          <w:color w:val="000000"/>
          <w:sz w:val="20"/>
        </w:rPr>
        <w:t>*</w:t>
      </w:r>
      <w:r>
        <w:rPr>
          <w:rFonts w:ascii="Lato;sans-serif" w:hAnsi="Lato;sans-serif"/>
          <w:b w:val="false"/>
          <w:i/>
          <w:color w:val="000000"/>
          <w:sz w:val="20"/>
        </w:rPr>
        <w:t>Represents characteristics such as race/ethnicity (2 directors) and/or gender (3 directors)</w:t>
      </w:r>
      <w:r>
        <w:rPr>
          <w:rFonts w:ascii="Lato;sans-serif" w:hAnsi="Lato;sans-serif"/>
          <w:b w:val="false"/>
          <w:color w:val="000000"/>
          <w:sz w:val="20"/>
        </w:rPr>
        <w:t>.</w:t>
      </w:r>
    </w:p>
    <w:p>
      <w:pPr>
        <w:pStyle w:val="TextBody"/>
        <w:bidi w:val="0"/>
        <w:spacing w:lineRule="auto" w:line="288" w:before="0" w:after="0"/>
        <w:jc w:val="both"/>
        <w:rPr>
          <w:rFonts w:ascii="Lato;sans-serif" w:hAnsi="Lato;sans-serif"/>
          <w:b w:val="false"/>
          <w:color w:val="000000"/>
          <w:sz w:val="20"/>
        </w:rPr>
      </w:pPr>
      <w:r>
        <w:rPr>
          <w:rFonts w:ascii="Lato;sans-serif" w:hAnsi="Lato;sans-serif"/>
          <w:b w:val="false"/>
          <w:color w:val="000000"/>
          <w:sz w:val="20"/>
        </w:rPr>
        <w:t>In recommending that, or determining whether, members of the Board should stand for re-election, the Nominating and Corporate Governance Committee also may assess the contributions of incumbent directors in the context of the Board evaluation process and other perceived needs of the Board.</w:t>
      </w:r>
    </w:p>
    <w:p>
      <w:pPr>
        <w:pStyle w:val="TextBody"/>
        <w:bidi w:val="0"/>
        <w:spacing w:lineRule="auto" w:line="288" w:before="180" w:after="180"/>
        <w:jc w:val="both"/>
        <w:rPr/>
      </w:pPr>
      <w:r>
        <w:rPr>
          <w:rFonts w:ascii="Lato;sans-serif" w:hAnsi="Lato;sans-serif"/>
          <w:b w:val="false"/>
          <w:color w:val="000000"/>
          <w:sz w:val="20"/>
        </w:rPr>
        <w:t>In addition to the process described above, the Nominating and Corporate Governance Committee also nominates the individual designated by our Founders as required under the provisions of the stockholders agreement described under “</w:t>
      </w:r>
      <w:r>
        <w:rPr>
          <w:rFonts w:ascii="Lato;sans-serif" w:hAnsi="Lato;sans-serif"/>
          <w:b w:val="false"/>
          <w:i/>
          <w:color w:val="000000"/>
          <w:sz w:val="20"/>
        </w:rPr>
        <w:t>Transactions With Related Persons—Stockholders Agreement</w:t>
      </w:r>
      <w:r>
        <w:rPr>
          <w:rFonts w:ascii="Lato;sans-serif" w:hAnsi="Lato;sans-serif"/>
          <w:b w:val="false"/>
          <w:color w:val="000000"/>
          <w:sz w:val="20"/>
        </w:rPr>
        <w:t>.” Mr. Schuck is the director nominee of the Founders pursuant to the stockholders agreement.</w:t>
      </w:r>
    </w:p>
    <w:p>
      <w:pPr>
        <w:pStyle w:val="TextBody"/>
        <w:bidi w:val="0"/>
        <w:spacing w:lineRule="auto" w:line="288" w:before="180" w:after="180"/>
        <w:jc w:val="both"/>
        <w:rPr>
          <w:rFonts w:ascii="Lato;sans-serif" w:hAnsi="Lato;sans-serif"/>
          <w:b w:val="false"/>
          <w:color w:val="000000"/>
          <w:sz w:val="20"/>
        </w:rPr>
      </w:pPr>
      <w:r>
        <w:rPr>
          <w:rFonts w:ascii="Lato;sans-serif" w:hAnsi="Lato;sans-serif"/>
          <w:b w:val="false"/>
          <w:color w:val="000000"/>
          <w:sz w:val="20"/>
        </w:rPr>
        <w:t>When considering whether a nominee has the experience, qualifications, attributes and skills, taken as a whole, to enable the Board to satisfy its oversight responsibilities effectively in light of our business and structure, the Board focused primarily on the information discussed in the board member’s biographical information set forth above. This process resulted in the Board’s nomination of the incumbent directors named in this Proxy Statement and proposed for election by you at the upcoming Annual Meeting.</w:t>
      </w:r>
    </w:p>
    <w:p>
      <w:pPr>
        <w:pStyle w:val="TextBody"/>
        <w:bidi w:val="0"/>
        <w:spacing w:lineRule="auto" w:line="288" w:before="180" w:after="180"/>
        <w:jc w:val="both"/>
        <w:rPr>
          <w:rFonts w:ascii="Lato;sans-serif" w:hAnsi="Lato;sans-serif"/>
          <w:b w:val="false"/>
          <w:color w:val="000000"/>
          <w:sz w:val="20"/>
        </w:rPr>
      </w:pPr>
      <w:r>
        <w:rPr>
          <w:rFonts w:ascii="Lato;sans-serif" w:hAnsi="Lato;sans-serif"/>
          <w:b w:val="false"/>
          <w:color w:val="000000"/>
          <w:sz w:val="20"/>
        </w:rPr>
        <w:t>We believe that our directors provide an appropriate mix of experience and skills relevant to the size and nature of our business.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352425"/>
                <wp:effectExtent l="0" t="0" r="0" b="0"/>
                <wp:wrapNone/>
                <wp:docPr id="35" name="Frame21"/>
                <a:graphic xmlns:a="http://schemas.openxmlformats.org/drawingml/2006/main">
                  <a:graphicData uri="http://schemas.microsoft.com/office/word/2010/wordprocessingShape">
                    <wps:wsp>
                      <wps:cNvSpPr txBox="1"/>
                      <wps:spPr>
                        <a:xfrm>
                          <a:off x="0" y="0"/>
                          <a:ext cx="6480175" cy="352425"/>
                        </a:xfrm>
                        <a:prstGeom prst="rect"/>
                        <a:solidFill>
                          <a:srgbClr val="FFFFFF"/>
                        </a:solidFill>
                      </wps:spPr>
                      <wps:txbx>
                        <w:txbxContent>
                          <w:p>
                            <w:pPr>
                              <w:pStyle w:val="TextBody"/>
                              <w:bidi w:val="0"/>
                              <w:spacing w:lineRule="auto" w:line="288" w:before="0" w:after="0"/>
                              <w:jc w:val="center"/>
                              <w:rPr>
                                <w:rFonts w:ascii="Lato;sans-serif" w:hAnsi="Lato;sans-serif"/>
                                <w:b w:val="false"/>
                                <w:color w:val="000000"/>
                                <w:sz w:val="20"/>
                              </w:rPr>
                            </w:pPr>
                            <w:r>
                              <w:rPr>
                                <w:rFonts w:ascii="Lato;sans-serif" w:hAnsi="Lato;sans-serif"/>
                                <w:b w:val="false"/>
                                <w:color w:val="000000"/>
                                <w:sz w:val="20"/>
                              </w:rPr>
                              <w:t>15</w:t>
                            </w:r>
                          </w:p>
                          <w:p>
                            <w:pPr>
                              <w:pStyle w:val="TextBody"/>
                              <w:bidi w:val="0"/>
                              <w:spacing w:lineRule="auto" w:line="288" w:before="0" w:after="0"/>
                              <w:jc w:val="left"/>
                              <w:rPr>
                                <w:color w:val="000000"/>
                              </w:rPr>
                            </w:pPr>
                            <w:r>
                              <w:rPr>
                                <w:color w:val="000000"/>
                              </w:rPr>
                              <w:t>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Lato;sans-serif" w:hAnsi="Lato;sans-serif"/>
                          <w:b w:val="false"/>
                          <w:color w:val="000000"/>
                          <w:sz w:val="20"/>
                        </w:rPr>
                      </w:pPr>
                      <w:r>
                        <w:rPr>
                          <w:rFonts w:ascii="Lato;sans-serif" w:hAnsi="Lato;sans-serif"/>
                          <w:b w:val="false"/>
                          <w:color w:val="000000"/>
                          <w:sz w:val="20"/>
                        </w:rPr>
                        <w:t>15</w:t>
                      </w:r>
                    </w:p>
                    <w:p>
                      <w:pPr>
                        <w:pStyle w:val="TextBody"/>
                        <w:bidi w:val="0"/>
                        <w:spacing w:lineRule="auto" w:line="288" w:before="0" w:after="0"/>
                        <w:jc w:val="left"/>
                        <w:rPr>
                          <w:color w:val="000000"/>
                        </w:rPr>
                      </w:pPr>
                      <w:r>
                        <w:rPr>
                          <w:color w:val="000000"/>
                        </w:rPr>
                        <w:t>        </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80" w:after="180"/>
        <w:jc w:val="both"/>
        <w:rPr/>
      </w:pPr>
      <w:r>
        <w:rPr>
          <w:rFonts w:ascii="Lato;sans-serif" w:hAnsi="Lato;sans-serif"/>
          <w:b w:val="false"/>
          <w:color w:val="000000"/>
          <w:sz w:val="20"/>
        </w:rPr>
        <w:t>The Nominating and Corporate Governance Committee will consider director candidates recommended by stockholders. Any recommendation submitted to the Secretary of the Company should be in writing and should include any supporting material the stockholder considers appropriate in support of that recommendation, but must include all information relating to such person that is required to be disclosed in solicitations of proxies for election of directors in an election contest, or is otherwise required, in each case pursuant to Section 14(a) of the Exchange Act, and the rules and regulations promulgated thereunder, including such person’s written consent to being named in the Company’s proxy statement as a nominee of the stockholder and to serving as a director if elected. Stockholders wishing to propose a candidate for consideration may do so by submitting the above information to the attention of the Secretary, ZoomInfo Technologies Inc., at 330 W Columbia Way, Floor 8, Vancouver, Washington 98660. Stockholders also must satisfy the notification, timeliness, consent and information requirements set forth in our Bylaws. All recommendations for nomination received by the Secretary that satisfy our Bylaw requirements relating to director nominations will be presented to the Nominating and Corporate Governance Committee for its consideration. These requirements are also described under “</w:t>
      </w:r>
      <w:hyperlink w:anchor="ib09e1ad647de4075ad613c1a43ff4b94_160">
        <w:r>
          <w:rPr>
            <w:rStyle w:val="InternetLink"/>
            <w:rFonts w:ascii="Lato;sans-serif" w:hAnsi="Lato;sans-serif"/>
            <w:b w:val="false"/>
            <w:i/>
            <w:color w:val="000080"/>
            <w:sz w:val="20"/>
            <w:u w:val="single"/>
          </w:rPr>
          <w:t>Stockholder Proposals for the 202</w:t>
        </w:r>
      </w:hyperlink>
      <w:hyperlink w:anchor="ib09e1ad647de4075ad613c1a43ff4b94_160">
        <w:r>
          <w:rPr>
            <w:rStyle w:val="InternetLink"/>
            <w:rFonts w:ascii="Lato;sans-serif" w:hAnsi="Lato;sans-serif"/>
            <w:b w:val="false"/>
            <w:i/>
            <w:color w:val="000080"/>
            <w:sz w:val="20"/>
            <w:u w:val="single"/>
          </w:rPr>
          <w:t>7</w:t>
        </w:r>
      </w:hyperlink>
      <w:hyperlink w:anchor="ib09e1ad647de4075ad613c1a43ff4b94_160">
        <w:r>
          <w:rPr>
            <w:rStyle w:val="InternetLink"/>
            <w:rFonts w:ascii="Lato;sans-serif" w:hAnsi="Lato;sans-serif"/>
            <w:b w:val="false"/>
            <w:i/>
            <w:color w:val="000080"/>
            <w:sz w:val="20"/>
            <w:u w:val="single"/>
          </w:rPr>
          <w:t xml:space="preserve"> Annual Meeting</w:t>
        </w:r>
      </w:hyperlink>
      <w:r>
        <w:rPr>
          <w:rFonts w:ascii="Lato;sans-serif" w:hAnsi="Lato;sans-serif"/>
          <w:b w:val="false"/>
          <w:color w:val="000000"/>
          <w:sz w:val="20"/>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00" w:after="180"/>
        <w:jc w:val="both"/>
        <w:rPr>
          <w:rFonts w:ascii="Lato;sans-serif" w:hAnsi="Lato;sans-serif"/>
          <w:b/>
          <w:color w:val="000000"/>
          <w:sz w:val="20"/>
        </w:rPr>
      </w:pPr>
      <w:r>
        <w:rPr>
          <w:rFonts w:ascii="Lato;sans-serif" w:hAnsi="Lato;sans-serif"/>
          <w:b/>
          <w:color w:val="000000"/>
          <w:sz w:val="20"/>
        </w:rPr>
        <w:t>Stockholder Engagement</w:t>
      </w:r>
    </w:p>
    <w:p>
      <w:pPr>
        <w:pStyle w:val="TextBody"/>
        <w:bidi w:val="0"/>
        <w:spacing w:lineRule="auto" w:line="288" w:before="180" w:after="180"/>
        <w:jc w:val="both"/>
        <w:rPr>
          <w:rFonts w:ascii="Lato;sans-serif" w:hAnsi="Lato;sans-serif"/>
          <w:b w:val="false"/>
          <w:color w:val="000000"/>
          <w:sz w:val="20"/>
        </w:rPr>
      </w:pPr>
      <w:r>
        <w:rPr>
          <w:rFonts w:ascii="Lato;sans-serif" w:hAnsi="Lato;sans-serif"/>
          <w:b w:val="false"/>
          <w:color w:val="000000"/>
          <w:sz w:val="20"/>
        </w:rPr>
        <w:t>We have a history of actively engaging with our stockholders and regularly assessing our corporate governance, compensation and disclosure practices. We are committed to maintaining an active dialogue to understand the priorities of our stockholders and believe that ongoing engagement builds mutual trust and understanding. Both active and prospective stockholder engagement and feedback are important components of our corporate governance practices and inform our decisions and programs.</w:t>
      </w:r>
    </w:p>
    <w:p>
      <w:pPr>
        <w:pStyle w:val="TextBody"/>
        <w:bidi w:val="0"/>
        <w:spacing w:lineRule="auto" w:line="288" w:before="0" w:after="0"/>
        <w:jc w:val="both"/>
        <w:rPr/>
      </w:pPr>
      <w:r>
        <w:rPr>
          <w:rFonts w:ascii="Lato;sans-serif" w:hAnsi="Lato;sans-serif"/>
          <w:b w:val="false"/>
          <w:color w:val="000000"/>
          <w:sz w:val="20"/>
        </w:rPr>
        <w:t>In 2025, members of our management team held more than 300 meetings with our current and prospective stockholders, which included meetings with our top 50 most active investors, who collectively held more than 51% of our outstanding share capital. These discussions provided valuable feedback that informed our governance and compensation practices. The table below summarizes key topics relating to our corporate governance and executive compensation practices that we discussed with our stockholders, as well as our related accomplishments in these key areas in 2025. For additional information relating to our business, financial and product development highlights, see the section entitled “</w:t>
      </w:r>
      <w:r>
        <w:rPr>
          <w:rFonts w:ascii="Lato;sans-serif" w:hAnsi="Lato;sans-serif"/>
          <w:b w:val="false"/>
          <w:i/>
          <w:color w:val="000000"/>
          <w:sz w:val="20"/>
        </w:rPr>
        <w:t>Executive Compensation Discussion and Analysis—Executive Compensation Objectives and Philosophy—2025 Business Highlights</w:t>
      </w:r>
      <w:r>
        <w:rPr>
          <w:rFonts w:ascii="Lato;sans-serif" w:hAnsi="Lato;sans-serif"/>
          <w:b w:val="false"/>
          <w:color w:val="000000"/>
          <w:sz w:val="20"/>
        </w:rPr>
        <w: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352425"/>
                <wp:effectExtent l="0" t="0" r="0" b="0"/>
                <wp:wrapNone/>
                <wp:docPr id="36" name="Frame22"/>
                <a:graphic xmlns:a="http://schemas.openxmlformats.org/drawingml/2006/main">
                  <a:graphicData uri="http://schemas.microsoft.com/office/word/2010/wordprocessingShape">
                    <wps:wsp>
                      <wps:cNvSpPr txBox="1"/>
                      <wps:spPr>
                        <a:xfrm>
                          <a:off x="0" y="0"/>
                          <a:ext cx="6480175" cy="352425"/>
                        </a:xfrm>
                        <a:prstGeom prst="rect"/>
                        <a:solidFill>
                          <a:srgbClr val="FFFFFF"/>
                        </a:solidFill>
                      </wps:spPr>
                      <wps:txbx>
                        <w:txbxContent>
                          <w:p>
                            <w:pPr>
                              <w:pStyle w:val="TextBody"/>
                              <w:bidi w:val="0"/>
                              <w:spacing w:lineRule="auto" w:line="288" w:before="0" w:after="0"/>
                              <w:jc w:val="center"/>
                              <w:rPr>
                                <w:rFonts w:ascii="Lato;sans-serif" w:hAnsi="Lato;sans-serif"/>
                                <w:b w:val="false"/>
                                <w:color w:val="000000"/>
                                <w:sz w:val="20"/>
                              </w:rPr>
                            </w:pPr>
                            <w:r>
                              <w:rPr>
                                <w:rFonts w:ascii="Lato;sans-serif" w:hAnsi="Lato;sans-serif"/>
                                <w:b w:val="false"/>
                                <w:color w:val="000000"/>
                                <w:sz w:val="20"/>
                              </w:rPr>
                              <w:t>16</w:t>
                            </w:r>
                          </w:p>
                          <w:p>
                            <w:pPr>
                              <w:pStyle w:val="TextBody"/>
                              <w:bidi w:val="0"/>
                              <w:spacing w:lineRule="auto" w:line="288" w:before="0" w:after="0"/>
                              <w:jc w:val="left"/>
                              <w:rPr>
                                <w:color w:val="000000"/>
                              </w:rPr>
                            </w:pPr>
                            <w:r>
                              <w:rPr>
                                <w:color w:val="000000"/>
                              </w:rPr>
                              <w:t>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Lato;sans-serif" w:hAnsi="Lato;sans-serif"/>
                          <w:b w:val="false"/>
                          <w:color w:val="000000"/>
                          <w:sz w:val="20"/>
                        </w:rPr>
                      </w:pPr>
                      <w:r>
                        <w:rPr>
                          <w:rFonts w:ascii="Lato;sans-serif" w:hAnsi="Lato;sans-serif"/>
                          <w:b w:val="false"/>
                          <w:color w:val="000000"/>
                          <w:sz w:val="20"/>
                        </w:rPr>
                        <w:t>16</w:t>
                      </w:r>
                    </w:p>
                    <w:p>
                      <w:pPr>
                        <w:pStyle w:val="TextBody"/>
                        <w:bidi w:val="0"/>
                        <w:spacing w:lineRule="auto" w:line="288" w:before="0" w:after="0"/>
                        <w:jc w:val="left"/>
                        <w:rPr>
                          <w:color w:val="000000"/>
                        </w:rPr>
                      </w:pPr>
                      <w:r>
                        <w:rPr>
                          <w:color w:val="000000"/>
                        </w:rPr>
                        <w:t>        </w:t>
                      </w:r>
                    </w:p>
                  </w:txbxContent>
                </v:textbox>
                <w10:wrap type="none"/>
              </v:rect>
            </w:pict>
          </mc:Fallback>
        </mc:AlternateConten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1029"/>
        <w:gridCol w:w="631"/>
        <w:gridCol w:w="631"/>
        <w:gridCol w:w="631"/>
        <w:gridCol w:w="631"/>
        <w:gridCol w:w="631"/>
        <w:gridCol w:w="631"/>
        <w:gridCol w:w="631"/>
        <w:gridCol w:w="631"/>
        <w:gridCol w:w="631"/>
        <w:gridCol w:w="631"/>
        <w:gridCol w:w="631"/>
        <w:gridCol w:w="631"/>
        <w:gridCol w:w="631"/>
        <w:gridCol w:w="973"/>
      </w:tblGrid>
      <w:tr>
        <w:trPr/>
        <w:tc>
          <w:tcPr>
            <w:tcW w:w="1029"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973" w:type="dxa"/>
            <w:tcBorders/>
            <w:vAlign w:val="center"/>
          </w:tcPr>
          <w:p>
            <w:pPr>
              <w:pStyle w:val="TableContents"/>
              <w:bidi w:val="0"/>
              <w:spacing w:before="0" w:after="283"/>
              <w:jc w:val="left"/>
              <w:rPr>
                <w:sz w:val="4"/>
                <w:szCs w:val="4"/>
              </w:rPr>
            </w:pPr>
            <w:r>
              <w:rPr>
                <w:sz w:val="4"/>
                <w:szCs w:val="4"/>
              </w:rPr>
            </w:r>
          </w:p>
        </w:tc>
      </w:tr>
      <w:tr>
        <w:trPr/>
        <w:tc>
          <w:tcPr>
            <w:tcW w:w="10205" w:type="dxa"/>
            <w:gridSpan w:val="15"/>
            <w:tcBorders>
              <w:top w:val="single" w:sz="4" w:space="0" w:color="000000"/>
              <w:left w:val="single" w:sz="4" w:space="0" w:color="000000"/>
              <w:bottom w:val="single" w:sz="4" w:space="0" w:color="000000"/>
              <w:right w:val="single" w:sz="4" w:space="0" w:color="000000"/>
            </w:tcBorders>
            <w:shd w:fill="F44238" w:val="clear"/>
            <w:tcMar>
              <w:top w:w="30" w:type="dxa"/>
              <w:bottom w:w="30" w:type="dxa"/>
            </w:tcMar>
            <w:vAlign w:val="center"/>
          </w:tcPr>
          <w:p>
            <w:pPr>
              <w:pStyle w:val="TableContents"/>
              <w:bidi w:val="0"/>
              <w:spacing w:lineRule="auto" w:line="240" w:before="0" w:after="283"/>
              <w:jc w:val="center"/>
              <w:rPr>
                <w:rFonts w:ascii="Lato;sans-serif" w:hAnsi="Lato;sans-serif"/>
                <w:b/>
                <w:color w:val="FFFFFF"/>
                <w:sz w:val="20"/>
              </w:rPr>
            </w:pPr>
            <w:r>
              <w:rPr>
                <w:rFonts w:ascii="Lato;sans-serif" w:hAnsi="Lato;sans-serif"/>
                <w:b/>
                <w:color w:val="FFFFFF"/>
                <w:sz w:val="20"/>
              </w:rPr>
              <w:t>Corporate Governance and Executive Compensation - Key Topics and Highlights in 2025 - 2026</w:t>
            </w:r>
          </w:p>
        </w:tc>
      </w:tr>
      <w:tr>
        <w:trPr/>
        <w:tc>
          <w:tcPr>
            <w:tcW w:w="10205" w:type="dxa"/>
            <w:gridSpan w:val="15"/>
            <w:tcBorders>
              <w:top w:val="single" w:sz="4" w:space="0" w:color="000000"/>
              <w:left w:val="single" w:sz="4" w:space="0" w:color="000000"/>
              <w:bottom w:val="single" w:sz="4" w:space="0" w:color="000000"/>
              <w:right w:val="single" w:sz="4" w:space="0" w:color="000000"/>
            </w:tcBorders>
            <w:tcMar>
              <w:top w:w="30" w:type="dxa"/>
              <w:bottom w:w="30" w:type="dxa"/>
            </w:tcMar>
            <w:vAlign w:val="center"/>
          </w:tcPr>
          <w:p>
            <w:pPr>
              <w:pStyle w:val="TableContents"/>
              <w:bidi w:val="0"/>
              <w:spacing w:lineRule="auto" w:line="240" w:before="120" w:after="283"/>
              <w:jc w:val="both"/>
              <w:rPr/>
            </w:pPr>
            <w:r>
              <w:rPr>
                <w:rFonts w:ascii="Lato;sans-serif" w:hAnsi="Lato;sans-serif"/>
                <w:b/>
                <w:color w:val="000000"/>
                <w:sz w:val="20"/>
              </w:rPr>
              <w:t>Appointment of a Lead Independent Director</w:t>
            </w:r>
            <w:r>
              <w:rPr>
                <w:rFonts w:ascii="Lato;sans-serif" w:hAnsi="Lato;sans-serif"/>
                <w:b w:val="false"/>
                <w:color w:val="000000"/>
                <w:sz w:val="20"/>
              </w:rPr>
              <w:t>:</w:t>
            </w:r>
          </w:p>
          <w:p>
            <w:pPr>
              <w:pStyle w:val="TableContents"/>
              <w:bidi w:val="0"/>
              <w:spacing w:lineRule="auto" w:line="288" w:before="120" w:after="180"/>
              <w:jc w:val="both"/>
              <w:rPr/>
            </w:pPr>
            <w:r>
              <w:rPr>
                <w:rFonts w:ascii="Lato;sans-serif" w:hAnsi="Lato;sans-serif"/>
                <w:b w:val="false"/>
                <w:color w:val="000000"/>
                <w:sz w:val="20"/>
              </w:rPr>
              <w:t>Building and delivering upon the commitment we communicated to our stockholders in last year’s proxy statement, to continue strengthening our corporate governance practices and independent Board oversight, on February 5, 2026, the independent members of the Board elected Owen Wurzbacher to serve as Lead Independent Director until the Annual Meeting of Stockholders in 2027. This appointment furthers the Board’s ongoing efforts to ensure robust independent leadership alongside the Company’s combined Chairman and CEO structure. The Lead Independent Director will be responsible for, among other things, coordinating the efforts of the independent directors to ensure that objective judgment is brought on critical issues involving the management of the Company and, in particular, the performance of senior management. For a more detailed discussion relating to the nomination process and the responsibilities of the Lead Independent Director, please refer to the section entitled “</w:t>
            </w:r>
            <w:r>
              <w:rPr>
                <w:color w:val="000000"/>
              </w:rPr>
              <w:t xml:space="preserve">— </w:t>
            </w:r>
            <w:r>
              <w:rPr>
                <w:rFonts w:ascii="Lato;sans-serif" w:hAnsi="Lato;sans-serif"/>
                <w:b w:val="false"/>
                <w:i/>
                <w:color w:val="000000"/>
                <w:sz w:val="20"/>
              </w:rPr>
              <w:t>Board Leadership Structure</w:t>
            </w:r>
            <w:r>
              <w:rPr>
                <w:color w:val="000000"/>
              </w:rPr>
              <w:t xml:space="preserve">” </w:t>
            </w:r>
            <w:r>
              <w:rPr>
                <w:rFonts w:ascii="Lato;sans-serif" w:hAnsi="Lato;sans-serif"/>
                <w:b w:val="false"/>
                <w:color w:val="000000"/>
                <w:sz w:val="20"/>
              </w:rPr>
              <w:t>and the information set forth in the Company’s Corporate Governance Guidelines, available under the caption “Governance—Governance Highlights” at http://ir.zoominfo.com/.</w:t>
            </w:r>
          </w:p>
        </w:tc>
      </w:tr>
      <w:tr>
        <w:trPr/>
        <w:tc>
          <w:tcPr>
            <w:tcW w:w="10205" w:type="dxa"/>
            <w:gridSpan w:val="15"/>
            <w:tcBorders>
              <w:top w:val="single" w:sz="4" w:space="0" w:color="000000"/>
              <w:left w:val="single" w:sz="4" w:space="0" w:color="000000"/>
              <w:bottom w:val="single" w:sz="4" w:space="0" w:color="000000"/>
              <w:right w:val="single" w:sz="4" w:space="0" w:color="000000"/>
            </w:tcBorders>
            <w:shd w:fill="DBDBDB" w:val="clear"/>
            <w:tcMar>
              <w:top w:w="30" w:type="dxa"/>
              <w:bottom w:w="30" w:type="dxa"/>
            </w:tcMar>
            <w:vAlign w:val="center"/>
          </w:tcPr>
          <w:p>
            <w:pPr>
              <w:pStyle w:val="TableContents"/>
              <w:bidi w:val="0"/>
              <w:spacing w:lineRule="auto" w:line="240" w:before="0" w:after="180"/>
              <w:jc w:val="both"/>
              <w:rPr>
                <w:rFonts w:ascii="Lato;sans-serif" w:hAnsi="Lato;sans-serif"/>
                <w:b/>
                <w:color w:val="000000"/>
                <w:sz w:val="20"/>
              </w:rPr>
            </w:pPr>
            <w:r>
              <w:rPr>
                <w:rFonts w:ascii="Lato;sans-serif" w:hAnsi="Lato;sans-serif"/>
                <w:b/>
                <w:color w:val="000000"/>
                <w:sz w:val="20"/>
              </w:rPr>
              <w:t>Appointment of New Committee Chairs:</w:t>
            </w:r>
          </w:p>
          <w:p>
            <w:pPr>
              <w:pStyle w:val="TableContents"/>
              <w:bidi w:val="0"/>
              <w:spacing w:lineRule="auto" w:line="240" w:before="0" w:after="0"/>
              <w:jc w:val="both"/>
              <w:rPr>
                <w:rFonts w:ascii="Lato;sans-serif" w:hAnsi="Lato;sans-serif"/>
                <w:b w:val="false"/>
                <w:color w:val="000000"/>
                <w:sz w:val="20"/>
              </w:rPr>
            </w:pPr>
            <w:r>
              <w:rPr>
                <w:rFonts w:ascii="Lato;sans-serif" w:hAnsi="Lato;sans-serif"/>
                <w:b w:val="false"/>
                <w:color w:val="000000"/>
                <w:sz w:val="20"/>
              </w:rPr>
              <w:t>As part of the Board’s continued focus on aligning committee leadership with deep, relevant expertise, and a commitment to welcoming new perspectives and ideas, the Board appointed Katie Rooney as Chair of the Audit Committee on July 31, 2025 and Owen Wurzbacher as Chair of the Compensation Committee on October 28, 2025. Ms. Rooney, a seasoned global CFO and COO with more than two decades of experience in finance, operations, and corporate development, brings the financial acumen and audit oversight experience essential to leading the Audit Committee. Mr. Wurzbacher brings extensive experience in investment strategy and portfolio management as the Chief Investment Officer at HighSage Ventures, providing him with the perspective needed to evaluate and oversee executive compensation programs that align pay with long-term performance and stockholder value creation. Alison Gleeson, the chair of our Nominating and Corporate Governance Committee, and Keith Enright, the chair of our Privacy, Security, and Technology Committee, continue to serve in such capacities. These appointments and our continuing chairpersons strengthen the Board's ability to exercise informed, independent oversight over critical areas of corporate governance.</w:t>
            </w:r>
          </w:p>
        </w:tc>
      </w:tr>
      <w:tr>
        <w:trPr/>
        <w:tc>
          <w:tcPr>
            <w:tcW w:w="10205" w:type="dxa"/>
            <w:gridSpan w:val="15"/>
            <w:tcBorders>
              <w:top w:val="single" w:sz="4" w:space="0" w:color="000000"/>
              <w:left w:val="single" w:sz="4" w:space="0" w:color="000000"/>
              <w:bottom w:val="single" w:sz="4" w:space="0" w:color="000000"/>
              <w:right w:val="single" w:sz="4" w:space="0" w:color="000000"/>
            </w:tcBorders>
            <w:tcMar>
              <w:top w:w="30" w:type="dxa"/>
              <w:bottom w:w="30" w:type="dxa"/>
            </w:tcMar>
            <w:vAlign w:val="center"/>
          </w:tcPr>
          <w:p>
            <w:pPr>
              <w:pStyle w:val="TableContents"/>
              <w:bidi w:val="0"/>
              <w:spacing w:lineRule="auto" w:line="240" w:before="180" w:after="180"/>
              <w:jc w:val="both"/>
              <w:rPr/>
            </w:pPr>
            <w:r>
              <w:rPr>
                <w:rFonts w:ascii="Lato;sans-serif" w:hAnsi="Lato;sans-serif"/>
                <w:b/>
                <w:color w:val="000000"/>
                <w:sz w:val="20"/>
              </w:rPr>
              <w:t>CEO Performance Award</w:t>
            </w:r>
            <w:r>
              <w:rPr>
                <w:rFonts w:ascii="Lato;sans-serif" w:hAnsi="Lato;sans-serif"/>
                <w:b w:val="false"/>
                <w:color w:val="000000"/>
                <w:sz w:val="20"/>
              </w:rPr>
              <w:t>:</w:t>
            </w:r>
          </w:p>
          <w:p>
            <w:pPr>
              <w:pStyle w:val="TableContents"/>
              <w:bidi w:val="0"/>
              <w:spacing w:lineRule="auto" w:line="240" w:before="180" w:after="180"/>
              <w:jc w:val="both"/>
              <w:rPr/>
            </w:pPr>
            <w:r>
              <w:rPr>
                <w:rFonts w:ascii="Lato;sans-serif" w:hAnsi="Lato;sans-serif"/>
                <w:b w:val="false"/>
                <w:color w:val="000000"/>
                <w:sz w:val="20"/>
              </w:rPr>
              <w:t>On November 26, 2025, the Board granted a one-time, premium-priced performance-based stock option award to Henry L. Schuck, our Chief Executive Officer and Chairman of the Board under the Company’s 2020 Omnibus Incentive Plan. The performance award was carefully designed to serve as a significant incentive and retentive vehicle at a strategic inflection point for the Company. The performance award was designed to tightly align Mr. Schuck’s long-term compensation with sustained stockholder value creation, directly linking potential realizable value to the achievement of ambitious, measurable outcomes over a ten-year period. The performance award was intended to reinforce continuity of leadership during a period of transformation toward more durable, up-market growth with industry-leading and AI-centered products and to align Mr. Schuck’s incentives squarely with the next phase of the Company’s long-term value creation. For a more detailed discussion relating to the CEO performance award, refer to the section entitled “</w:t>
            </w:r>
            <w:r>
              <w:rPr>
                <w:rFonts w:ascii="Lato;sans-serif" w:hAnsi="Lato;sans-serif"/>
                <w:b w:val="false"/>
                <w:i/>
                <w:color w:val="000000"/>
                <w:sz w:val="20"/>
              </w:rPr>
              <w:t>Compensation Discussion and Analysis — 2025 CEO Premium-Priced Performance Option</w:t>
            </w:r>
            <w:r>
              <w:rPr>
                <w:rFonts w:ascii="Lato;sans-serif" w:hAnsi="Lato;sans-serif"/>
                <w:b w:val="false"/>
                <w:color w:val="000000"/>
                <w:sz w:val="20"/>
              </w:rPr>
              <w:t>.”</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00" w:after="180"/>
        <w:jc w:val="both"/>
        <w:rPr>
          <w:rFonts w:ascii="Lato;sans-serif" w:hAnsi="Lato;sans-serif"/>
          <w:b/>
          <w:color w:val="000000"/>
          <w:sz w:val="20"/>
        </w:rPr>
      </w:pPr>
      <w:r>
        <w:rPr>
          <w:rFonts w:ascii="Lato;sans-serif" w:hAnsi="Lato;sans-serif"/>
          <w:b/>
          <w:color w:val="000000"/>
          <w:sz w:val="20"/>
        </w:rPr>
        <w:t>Our Values and Our Commitment to Corporate Responsibility</w:t>
      </w:r>
    </w:p>
    <w:p>
      <w:pPr>
        <w:pStyle w:val="TextBody"/>
        <w:bidi w:val="0"/>
        <w:spacing w:lineRule="auto" w:line="288" w:before="120" w:after="120"/>
        <w:jc w:val="both"/>
        <w:rPr>
          <w:rFonts w:ascii="Lato;sans-serif" w:hAnsi="Lato;sans-serif"/>
          <w:b w:val="false"/>
          <w:color w:val="000000"/>
          <w:sz w:val="20"/>
        </w:rPr>
      </w:pPr>
      <w:r>
        <w:rPr>
          <w:rFonts w:ascii="Lato;sans-serif" w:hAnsi="Lato;sans-serif"/>
          <w:b w:val="false"/>
          <w:color w:val="000000"/>
          <w:sz w:val="20"/>
        </w:rPr>
        <w:t>The Audit Committee of our Board of Directors oversees the Company’s environmental, social and governance related strategies, policies, practices, risk assessment and management, and public disclosures, in accordance with its charter. During 2025, we continued a program to evaluate our environmental, social and governance related strategies.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352425"/>
                <wp:effectExtent l="0" t="0" r="0" b="0"/>
                <wp:wrapNone/>
                <wp:docPr id="37" name="Frame23"/>
                <a:graphic xmlns:a="http://schemas.openxmlformats.org/drawingml/2006/main">
                  <a:graphicData uri="http://schemas.microsoft.com/office/word/2010/wordprocessingShape">
                    <wps:wsp>
                      <wps:cNvSpPr txBox="1"/>
                      <wps:spPr>
                        <a:xfrm>
                          <a:off x="0" y="0"/>
                          <a:ext cx="6480175" cy="352425"/>
                        </a:xfrm>
                        <a:prstGeom prst="rect"/>
                        <a:solidFill>
                          <a:srgbClr val="FFFFFF"/>
                        </a:solidFill>
                      </wps:spPr>
                      <wps:txbx>
                        <w:txbxContent>
                          <w:p>
                            <w:pPr>
                              <w:pStyle w:val="TextBody"/>
                              <w:bidi w:val="0"/>
                              <w:spacing w:lineRule="auto" w:line="288" w:before="0" w:after="0"/>
                              <w:jc w:val="center"/>
                              <w:rPr>
                                <w:rFonts w:ascii="Lato;sans-serif" w:hAnsi="Lato;sans-serif"/>
                                <w:b w:val="false"/>
                                <w:color w:val="000000"/>
                                <w:sz w:val="20"/>
                              </w:rPr>
                            </w:pPr>
                            <w:r>
                              <w:rPr>
                                <w:rFonts w:ascii="Lato;sans-serif" w:hAnsi="Lato;sans-serif"/>
                                <w:b w:val="false"/>
                                <w:color w:val="000000"/>
                                <w:sz w:val="20"/>
                              </w:rPr>
                              <w:t>17</w:t>
                            </w:r>
                          </w:p>
                          <w:p>
                            <w:pPr>
                              <w:pStyle w:val="TextBody"/>
                              <w:bidi w:val="0"/>
                              <w:spacing w:lineRule="auto" w:line="288" w:before="0" w:after="0"/>
                              <w:jc w:val="left"/>
                              <w:rPr>
                                <w:color w:val="000000"/>
                              </w:rPr>
                            </w:pPr>
                            <w:r>
                              <w:rPr>
                                <w:color w:val="000000"/>
                              </w:rPr>
                              <w:t>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Lato;sans-serif" w:hAnsi="Lato;sans-serif"/>
                          <w:b w:val="false"/>
                          <w:color w:val="000000"/>
                          <w:sz w:val="20"/>
                        </w:rPr>
                      </w:pPr>
                      <w:r>
                        <w:rPr>
                          <w:rFonts w:ascii="Lato;sans-serif" w:hAnsi="Lato;sans-serif"/>
                          <w:b w:val="false"/>
                          <w:color w:val="000000"/>
                          <w:sz w:val="20"/>
                        </w:rPr>
                        <w:t>17</w:t>
                      </w:r>
                    </w:p>
                    <w:p>
                      <w:pPr>
                        <w:pStyle w:val="TextBody"/>
                        <w:bidi w:val="0"/>
                        <w:spacing w:lineRule="auto" w:line="288" w:before="0" w:after="0"/>
                        <w:jc w:val="left"/>
                        <w:rPr>
                          <w:color w:val="000000"/>
                        </w:rPr>
                      </w:pPr>
                      <w:r>
                        <w:rPr>
                          <w:color w:val="000000"/>
                        </w:rPr>
                        <w:t>        </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80"/>
        <w:jc w:val="both"/>
        <w:rPr>
          <w:rFonts w:ascii="Lato;sans-serif" w:hAnsi="Lato;sans-serif"/>
          <w:b w:val="false"/>
          <w:color w:val="000000"/>
          <w:sz w:val="20"/>
        </w:rPr>
      </w:pPr>
      <w:r>
        <w:rPr>
          <w:rFonts w:ascii="Lato;sans-serif" w:hAnsi="Lato;sans-serif"/>
          <w:b w:val="false"/>
          <w:color w:val="000000"/>
          <w:sz w:val="20"/>
        </w:rPr>
        <w:t>Set forth below are the Company’s core values, which we believe empower our employees and allow ZoomInfo to be the go-to-market intelligence platform:</w:t>
      </w:r>
    </w:p>
    <w:tbl>
      <w:tblPr>
        <w:tblW w:w="10205" w:type="dxa"/>
        <w:jc w:val="left"/>
        <w:tblInd w:w="0" w:type="dxa"/>
        <w:tblLayout w:type="fixed"/>
        <w:tblCellMar>
          <w:top w:w="28" w:type="dxa"/>
          <w:left w:w="28" w:type="dxa"/>
          <w:bottom w:w="28" w:type="dxa"/>
          <w:right w:w="28" w:type="dxa"/>
        </w:tblCellMar>
      </w:tblPr>
      <w:tblGrid>
        <w:gridCol w:w="127"/>
        <w:gridCol w:w="112"/>
        <w:gridCol w:w="112"/>
        <w:gridCol w:w="2303"/>
        <w:gridCol w:w="971"/>
        <w:gridCol w:w="971"/>
        <w:gridCol w:w="183"/>
        <w:gridCol w:w="183"/>
        <w:gridCol w:w="183"/>
        <w:gridCol w:w="183"/>
        <w:gridCol w:w="183"/>
        <w:gridCol w:w="183"/>
        <w:gridCol w:w="2018"/>
        <w:gridCol w:w="997"/>
        <w:gridCol w:w="997"/>
        <w:gridCol w:w="112"/>
        <w:gridCol w:w="112"/>
        <w:gridCol w:w="112"/>
        <w:gridCol w:w="163"/>
      </w:tblGrid>
      <w:tr>
        <w:trPr/>
        <w:tc>
          <w:tcPr>
            <w:tcW w:w="127"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2303" w:type="dxa"/>
            <w:tcBorders/>
            <w:vAlign w:val="center"/>
          </w:tcPr>
          <w:p>
            <w:pPr>
              <w:pStyle w:val="TableContents"/>
              <w:bidi w:val="0"/>
              <w:spacing w:before="0" w:after="283"/>
              <w:jc w:val="left"/>
              <w:rPr>
                <w:sz w:val="4"/>
                <w:szCs w:val="4"/>
              </w:rPr>
            </w:pPr>
            <w:r>
              <w:rPr>
                <w:sz w:val="4"/>
                <w:szCs w:val="4"/>
              </w:rPr>
            </w:r>
          </w:p>
        </w:tc>
        <w:tc>
          <w:tcPr>
            <w:tcW w:w="971" w:type="dxa"/>
            <w:tcBorders/>
            <w:vAlign w:val="center"/>
          </w:tcPr>
          <w:p>
            <w:pPr>
              <w:pStyle w:val="TableContents"/>
              <w:bidi w:val="0"/>
              <w:spacing w:before="0" w:after="283"/>
              <w:jc w:val="left"/>
              <w:rPr>
                <w:sz w:val="4"/>
                <w:szCs w:val="4"/>
              </w:rPr>
            </w:pPr>
            <w:r>
              <w:rPr>
                <w:sz w:val="4"/>
                <w:szCs w:val="4"/>
              </w:rPr>
            </w:r>
          </w:p>
        </w:tc>
        <w:tc>
          <w:tcPr>
            <w:tcW w:w="971"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2018" w:type="dxa"/>
            <w:tcBorders/>
            <w:vAlign w:val="center"/>
          </w:tcPr>
          <w:p>
            <w:pPr>
              <w:pStyle w:val="TableContents"/>
              <w:bidi w:val="0"/>
              <w:spacing w:before="0" w:after="283"/>
              <w:jc w:val="left"/>
              <w:rPr>
                <w:sz w:val="4"/>
                <w:szCs w:val="4"/>
              </w:rPr>
            </w:pPr>
            <w:r>
              <w:rPr>
                <w:sz w:val="4"/>
                <w:szCs w:val="4"/>
              </w:rPr>
            </w:r>
          </w:p>
        </w:tc>
        <w:tc>
          <w:tcPr>
            <w:tcW w:w="997" w:type="dxa"/>
            <w:tcBorders/>
            <w:vAlign w:val="center"/>
          </w:tcPr>
          <w:p>
            <w:pPr>
              <w:pStyle w:val="TableContents"/>
              <w:bidi w:val="0"/>
              <w:spacing w:before="0" w:after="283"/>
              <w:jc w:val="left"/>
              <w:rPr>
                <w:sz w:val="4"/>
                <w:szCs w:val="4"/>
              </w:rPr>
            </w:pPr>
            <w:r>
              <w:rPr>
                <w:sz w:val="4"/>
                <w:szCs w:val="4"/>
              </w:rPr>
            </w:r>
          </w:p>
        </w:tc>
        <w:tc>
          <w:tcPr>
            <w:tcW w:w="997"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63" w:type="dxa"/>
            <w:tcBorders/>
          </w:tcPr>
          <w:p>
            <w:pPr>
              <w:pStyle w:val="TableContents"/>
              <w:bidi w:val="0"/>
              <w:spacing w:before="0" w:after="283"/>
              <w:jc w:val="left"/>
              <w:rPr>
                <w:sz w:val="4"/>
                <w:szCs w:val="4"/>
              </w:rPr>
            </w:pPr>
            <w:r>
              <w:rPr>
                <w:sz w:val="4"/>
                <w:szCs w:val="4"/>
              </w:rPr>
            </w:r>
          </w:p>
        </w:tc>
      </w:tr>
      <w:tr>
        <w:trPr/>
        <w:tc>
          <w:tcPr>
            <w:tcW w:w="10042" w:type="dxa"/>
            <w:gridSpan w:val="18"/>
            <w:vMerge w:val="restart"/>
            <w:tcBorders>
              <w:top w:val="single" w:sz="4" w:space="0" w:color="000000"/>
              <w:left w:val="single" w:sz="4" w:space="0" w:color="000000"/>
              <w:right w:val="single" w:sz="4" w:space="0" w:color="000000"/>
            </w:tcBorders>
            <w:shd w:fill="F44238" w:val="clear"/>
            <w:tcMar>
              <w:top w:w="30" w:type="dxa"/>
              <w:bottom w:w="0" w:type="dxa"/>
            </w:tcMar>
            <w:vAlign w:val="center"/>
          </w:tcPr>
          <w:p>
            <w:pPr>
              <w:pStyle w:val="TableContents"/>
              <w:bidi w:val="0"/>
              <w:spacing w:lineRule="auto" w:line="240" w:before="0" w:after="283"/>
              <w:jc w:val="center"/>
              <w:rPr>
                <w:rFonts w:ascii="Lato;sans-serif" w:hAnsi="Lato;sans-serif"/>
                <w:b/>
                <w:color w:val="FFFFFF"/>
                <w:sz w:val="24"/>
              </w:rPr>
            </w:pPr>
            <w:r>
              <w:rPr>
                <w:rFonts w:ascii="Lato;sans-serif" w:hAnsi="Lato;sans-serif"/>
                <w:b/>
                <w:color w:val="FFFFFF"/>
                <w:sz w:val="24"/>
              </w:rPr>
              <w:t>Our Company Values</w:t>
            </w:r>
          </w:p>
        </w:tc>
        <w:tc>
          <w:tcPr>
            <w:tcW w:w="163" w:type="dxa"/>
            <w:tcBorders/>
          </w:tcPr>
          <w:p>
            <w:pPr>
              <w:pStyle w:val="TableContents"/>
              <w:bidi w:val="0"/>
              <w:spacing w:before="0" w:after="283"/>
              <w:jc w:val="left"/>
              <w:rPr>
                <w:sz w:val="4"/>
                <w:szCs w:val="4"/>
              </w:rPr>
            </w:pPr>
            <w:r>
              <w:rPr>
                <w:sz w:val="4"/>
                <w:szCs w:val="4"/>
              </w:rPr>
            </w:r>
          </w:p>
        </w:tc>
      </w:tr>
      <w:tr>
        <w:trPr/>
        <w:tc>
          <w:tcPr>
            <w:tcW w:w="10042" w:type="dxa"/>
            <w:gridSpan w:val="18"/>
            <w:vMerge w:val="continue"/>
            <w:tcBorders>
              <w:top w:val="single" w:sz="4" w:space="0" w:color="000000"/>
              <w:left w:val="single" w:sz="4" w:space="0" w:color="000000"/>
              <w:right w:val="single" w:sz="4" w:space="0" w:color="000000"/>
            </w:tcBorders>
            <w:shd w:fill="F44238" w:val="clear"/>
            <w:tcMar>
              <w:top w:w="30" w:type="dxa"/>
              <w:bottom w:w="0" w:type="dxa"/>
            </w:tcMar>
            <w:vAlign w:val="center"/>
          </w:tcPr>
          <w:p>
            <w:pPr>
              <w:pStyle w:val="Normal"/>
              <w:bidi w:val="0"/>
              <w:jc w:val="left"/>
              <w:rPr/>
            </w:pPr>
            <w:r>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10042" w:type="dxa"/>
            <w:gridSpan w:val="18"/>
            <w:vMerge w:val="continue"/>
            <w:tcBorders>
              <w:top w:val="single" w:sz="4" w:space="0" w:color="000000"/>
              <w:left w:val="single" w:sz="4" w:space="0" w:color="000000"/>
              <w:right w:val="single" w:sz="4" w:space="0" w:color="000000"/>
            </w:tcBorders>
            <w:shd w:fill="F44238" w:val="clear"/>
            <w:tcMar>
              <w:top w:w="30" w:type="dxa"/>
              <w:bottom w:w="0" w:type="dxa"/>
            </w:tcMar>
            <w:vAlign w:val="center"/>
          </w:tcPr>
          <w:p>
            <w:pPr>
              <w:pStyle w:val="Normal"/>
              <w:bidi w:val="0"/>
              <w:jc w:val="left"/>
              <w:rPr/>
            </w:pPr>
            <w:r>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351"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9355" w:type="dxa"/>
            <w:gridSpan w:val="12"/>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top w:val="single" w:sz="4" w:space="0" w:color="000000"/>
              <w:right w:val="single" w:sz="4" w:space="0" w:color="000000"/>
            </w:tcBorders>
            <w:tcMar>
              <w:left w:w="0" w:type="dxa"/>
              <w:bottom w:w="0" w:type="dxa"/>
            </w:tcMar>
            <w:vAlign w:val="center"/>
          </w:tcPr>
          <w:p>
            <w:pPr>
              <w:pStyle w:val="TableContents"/>
              <w:bidi w:val="0"/>
              <w:spacing w:before="0" w:after="283"/>
              <w:jc w:val="left"/>
              <w:rPr>
                <w:sz w:val="4"/>
                <w:szCs w:val="4"/>
              </w:rPr>
            </w:pPr>
            <w:r>
              <w:rPr>
                <w:sz w:val="4"/>
                <w:szCs w:val="4"/>
              </w:rPr>
            </w:r>
          </w:p>
        </w:tc>
        <w:tc>
          <w:tcPr>
            <w:tcW w:w="163" w:type="dxa"/>
            <w:tcBorders/>
          </w:tcPr>
          <w:p>
            <w:pPr>
              <w:pStyle w:val="TableContents"/>
              <w:bidi w:val="0"/>
              <w:spacing w:before="0" w:after="283"/>
              <w:jc w:val="left"/>
              <w:rPr>
                <w:sz w:val="4"/>
                <w:szCs w:val="4"/>
              </w:rPr>
            </w:pPr>
            <w:r>
              <w:rPr>
                <w:sz w:val="4"/>
                <w:szCs w:val="4"/>
              </w:rPr>
            </w:r>
          </w:p>
        </w:tc>
      </w:tr>
      <w:tr>
        <w:trPr/>
        <w:tc>
          <w:tcPr>
            <w:tcW w:w="351" w:type="dxa"/>
            <w:gridSpan w:val="3"/>
            <w:tcBorders>
              <w:left w:val="single" w:sz="4"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355" w:type="dxa"/>
            <w:gridSpan w:val="12"/>
            <w:tcBorders/>
            <w:tcMar>
              <w:top w:w="0" w:type="dxa"/>
              <w:left w:w="0" w:type="dxa"/>
              <w:bottom w:w="0" w:type="dxa"/>
              <w:right w:w="0" w:type="dxa"/>
            </w:tcMar>
            <w:vAlign w:val="center"/>
          </w:tcPr>
          <w:p>
            <w:pPr>
              <w:pStyle w:val="TableContents"/>
              <w:bidi w:val="0"/>
              <w:spacing w:lineRule="auto" w:line="240" w:before="0" w:after="0"/>
              <w:jc w:val="center"/>
              <w:rPr/>
            </w:pPr>
            <w:r>
              <w:rPr>
                <w:rFonts w:ascii="Lato;sans-serif" w:hAnsi="Lato;sans-serif"/>
                <w:b/>
                <w:color w:val="000000"/>
                <w:sz w:val="20"/>
              </w:rPr>
              <w:t xml:space="preserve">Be a Team. </w:t>
            </w:r>
            <w:r>
              <w:rPr>
                <w:rFonts w:ascii="Lato;sans-serif" w:hAnsi="Lato;sans-serif"/>
                <w:b w:val="false"/>
                <w:color w:val="000000"/>
                <w:sz w:val="20"/>
              </w:rPr>
              <w:t>We can’t win if we act like a random assortment of siloed groups. We are one team, working together to win. We collaborate and lean in to help each other.</w:t>
            </w:r>
          </w:p>
        </w:tc>
        <w:tc>
          <w:tcPr>
            <w:tcW w:w="336" w:type="dxa"/>
            <w:gridSpan w:val="3"/>
            <w:tcBorders>
              <w:right w:val="single" w:sz="4"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63" w:type="dxa"/>
            <w:tcBorders/>
          </w:tcPr>
          <w:p>
            <w:pPr>
              <w:pStyle w:val="TableContents"/>
              <w:bidi w:val="0"/>
              <w:spacing w:before="0" w:after="283"/>
              <w:jc w:val="left"/>
              <w:rPr>
                <w:sz w:val="4"/>
                <w:szCs w:val="4"/>
              </w:rPr>
            </w:pPr>
            <w:r>
              <w:rPr>
                <w:sz w:val="4"/>
                <w:szCs w:val="4"/>
              </w:rPr>
            </w:r>
          </w:p>
        </w:tc>
      </w:tr>
      <w:tr>
        <w:trPr/>
        <w:tc>
          <w:tcPr>
            <w:tcW w:w="351" w:type="dxa"/>
            <w:gridSpan w:val="3"/>
            <w:tcBorders>
              <w:left w:val="single" w:sz="4"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355" w:type="dxa"/>
            <w:gridSpan w:val="12"/>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right w:val="single" w:sz="4"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63" w:type="dxa"/>
            <w:tcBorders/>
          </w:tcPr>
          <w:p>
            <w:pPr>
              <w:pStyle w:val="TableContents"/>
              <w:bidi w:val="0"/>
              <w:spacing w:before="0" w:after="283"/>
              <w:jc w:val="left"/>
              <w:rPr>
                <w:sz w:val="4"/>
                <w:szCs w:val="4"/>
              </w:rPr>
            </w:pPr>
            <w:r>
              <w:rPr>
                <w:sz w:val="4"/>
                <w:szCs w:val="4"/>
              </w:rPr>
            </w:r>
          </w:p>
        </w:tc>
      </w:tr>
      <w:tr>
        <w:trPr/>
        <w:tc>
          <w:tcPr>
            <w:tcW w:w="351" w:type="dxa"/>
            <w:gridSpan w:val="3"/>
            <w:tcBorders>
              <w:top w:val="single" w:sz="8" w:space="0" w:color="6D6D6D"/>
              <w:left w:val="single" w:sz="8" w:space="0" w:color="6D6D6D"/>
            </w:tcBorders>
            <w:tcMar>
              <w:bottom w:w="0" w:type="dxa"/>
              <w:right w:w="0" w:type="dxa"/>
            </w:tcMar>
            <w:vAlign w:val="center"/>
          </w:tcPr>
          <w:p>
            <w:pPr>
              <w:pStyle w:val="TableContents"/>
              <w:bidi w:val="0"/>
              <w:spacing w:before="0" w:after="283"/>
              <w:jc w:val="left"/>
              <w:rPr>
                <w:sz w:val="4"/>
                <w:szCs w:val="4"/>
              </w:rPr>
            </w:pPr>
            <w:r>
              <w:rPr>
                <w:sz w:val="4"/>
                <w:szCs w:val="4"/>
              </w:rPr>
            </w:r>
          </w:p>
        </w:tc>
        <w:tc>
          <w:tcPr>
            <w:tcW w:w="4245" w:type="dxa"/>
            <w:gridSpan w:val="3"/>
            <w:vMerge w:val="restart"/>
            <w:tcBorders>
              <w:top w:val="single" w:sz="8" w:space="0" w:color="6D6D6D"/>
            </w:tcBorders>
            <w:tcMar>
              <w:top w:w="30" w:type="dxa"/>
              <w:left w:w="0" w:type="dxa"/>
              <w:bottom w:w="0" w:type="dxa"/>
              <w:right w:w="0" w:type="dxa"/>
            </w:tcMar>
            <w:vAlign w:val="center"/>
          </w:tcPr>
          <w:p>
            <w:pPr>
              <w:pStyle w:val="TableContents"/>
              <w:bidi w:val="0"/>
              <w:spacing w:lineRule="auto" w:line="240" w:before="0" w:after="0"/>
              <w:jc w:val="both"/>
              <w:rPr/>
            </w:pPr>
            <w:r>
              <w:rPr>
                <w:rFonts w:ascii="Lato;sans-serif" w:hAnsi="Lato;sans-serif"/>
                <w:b/>
                <w:color w:val="000000"/>
                <w:sz w:val="20"/>
              </w:rPr>
              <w:t xml:space="preserve">Be Relentless. </w:t>
            </w:r>
            <w:r>
              <w:rPr>
                <w:rFonts w:ascii="Lato;sans-serif" w:hAnsi="Lato;sans-serif"/>
                <w:b w:val="false"/>
                <w:color w:val="000000"/>
                <w:sz w:val="20"/>
              </w:rPr>
              <w:t>We will be relentless: when we deliver value to clients; when we compete; when we run into difficult problems. We will outpace and out compete our competition. We are smart, clever, and resourceful in everything we do. Competing with us for the same customers will be a daunting experience.</w:t>
            </w:r>
          </w:p>
        </w:tc>
        <w:tc>
          <w:tcPr>
            <w:tcW w:w="549" w:type="dxa"/>
            <w:gridSpan w:val="3"/>
            <w:tcBorders>
              <w:top w:val="single" w:sz="8" w:space="0" w:color="6D6D6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9" w:type="dxa"/>
            <w:gridSpan w:val="3"/>
            <w:tcBorders>
              <w:top w:val="single" w:sz="8" w:space="0" w:color="6D6D6D"/>
              <w:left w:val="single" w:sz="4"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4012" w:type="dxa"/>
            <w:gridSpan w:val="3"/>
            <w:vMerge w:val="restart"/>
            <w:tcBorders>
              <w:top w:val="single" w:sz="8" w:space="0" w:color="6D6D6D"/>
            </w:tcBorders>
            <w:tcMar>
              <w:top w:w="30" w:type="dxa"/>
              <w:left w:w="0" w:type="dxa"/>
              <w:bottom w:w="0" w:type="dxa"/>
              <w:right w:w="0" w:type="dxa"/>
            </w:tcMar>
            <w:vAlign w:val="center"/>
          </w:tcPr>
          <w:p>
            <w:pPr>
              <w:pStyle w:val="TableContents"/>
              <w:bidi w:val="0"/>
              <w:spacing w:lineRule="auto" w:line="240" w:before="0" w:after="0"/>
              <w:jc w:val="both"/>
              <w:rPr/>
            </w:pPr>
            <w:r>
              <w:rPr>
                <w:rFonts w:ascii="Lato;sans-serif" w:hAnsi="Lato;sans-serif"/>
                <w:b/>
                <w:color w:val="000000"/>
                <w:sz w:val="20"/>
              </w:rPr>
              <w:t xml:space="preserve">Be Experts. </w:t>
            </w:r>
            <w:r>
              <w:rPr>
                <w:rFonts w:ascii="Lato;sans-serif" w:hAnsi="Lato;sans-serif"/>
                <w:b w:val="false"/>
                <w:color w:val="000000"/>
                <w:sz w:val="20"/>
              </w:rPr>
              <w:t>Winning for our customers requires that we understand them deeply. Winning for our business requires us to be experts in our domain areas. Great companies solve complex and costly problems for their customers - you can’t do this without being an expert in your customers’ day to day workflow. We will demand this level of customer and business expertise from everyone at the Company.</w:t>
            </w:r>
          </w:p>
        </w:tc>
        <w:tc>
          <w:tcPr>
            <w:tcW w:w="336" w:type="dxa"/>
            <w:gridSpan w:val="3"/>
            <w:tcBorders>
              <w:top w:val="single" w:sz="8" w:space="0" w:color="6D6D6D"/>
              <w:right w:val="single" w:sz="8" w:space="0" w:color="6D6D6D"/>
            </w:tcBorders>
            <w:tcMar>
              <w:left w:w="0" w:type="dxa"/>
              <w:bottom w:w="0" w:type="dxa"/>
            </w:tcMar>
            <w:vAlign w:val="center"/>
          </w:tcPr>
          <w:p>
            <w:pPr>
              <w:pStyle w:val="TableContents"/>
              <w:bidi w:val="0"/>
              <w:spacing w:before="0" w:after="283"/>
              <w:jc w:val="left"/>
              <w:rPr>
                <w:sz w:val="4"/>
                <w:szCs w:val="4"/>
              </w:rPr>
            </w:pPr>
            <w:r>
              <w:rPr>
                <w:sz w:val="4"/>
                <w:szCs w:val="4"/>
              </w:rPr>
            </w:r>
          </w:p>
        </w:tc>
        <w:tc>
          <w:tcPr>
            <w:tcW w:w="163" w:type="dxa"/>
            <w:tcBorders/>
          </w:tcPr>
          <w:p>
            <w:pPr>
              <w:pStyle w:val="TableContents"/>
              <w:bidi w:val="0"/>
              <w:spacing w:before="0" w:after="283"/>
              <w:jc w:val="left"/>
              <w:rPr>
                <w:sz w:val="4"/>
                <w:szCs w:val="4"/>
              </w:rPr>
            </w:pPr>
            <w:r>
              <w:rPr>
                <w:sz w:val="4"/>
                <w:szCs w:val="4"/>
              </w:rPr>
            </w:r>
          </w:p>
        </w:tc>
      </w:tr>
      <w:tr>
        <w:trPr/>
        <w:tc>
          <w:tcPr>
            <w:tcW w:w="351" w:type="dxa"/>
            <w:gridSpan w:val="3"/>
            <w:tcBorders>
              <w:left w:val="single" w:sz="8" w:space="0" w:color="6D6D6D"/>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4245" w:type="dxa"/>
            <w:gridSpan w:val="3"/>
            <w:vMerge w:val="continue"/>
            <w:tcBorders>
              <w:top w:val="single" w:sz="8" w:space="0" w:color="6D6D6D"/>
            </w:tcBorders>
            <w:tcMar>
              <w:top w:w="30" w:type="dxa"/>
              <w:left w:w="0" w:type="dxa"/>
              <w:bottom w:w="0" w:type="dxa"/>
              <w:right w:w="0" w:type="dxa"/>
            </w:tcMar>
            <w:vAlign w:val="center"/>
          </w:tcPr>
          <w:p>
            <w:pPr>
              <w:pStyle w:val="Normal"/>
              <w:bidi w:val="0"/>
              <w:jc w:val="left"/>
              <w:rPr/>
            </w:pPr>
            <w:r>
              <w:rPr/>
            </w:r>
          </w:p>
        </w:tc>
        <w:tc>
          <w:tcPr>
            <w:tcW w:w="5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9" w:type="dxa"/>
            <w:gridSpan w:val="3"/>
            <w:tcBorders>
              <w:left w:val="single" w:sz="4"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4012" w:type="dxa"/>
            <w:gridSpan w:val="3"/>
            <w:vMerge w:val="continue"/>
            <w:tcBorders>
              <w:top w:val="single" w:sz="8" w:space="0" w:color="6D6D6D"/>
            </w:tcBorders>
            <w:tcMar>
              <w:top w:w="30" w:type="dxa"/>
              <w:left w:w="0" w:type="dxa"/>
              <w:bottom w:w="0" w:type="dxa"/>
              <w:right w:w="0" w:type="dxa"/>
            </w:tcMar>
            <w:vAlign w:val="center"/>
          </w:tcPr>
          <w:p>
            <w:pPr>
              <w:pStyle w:val="Normal"/>
              <w:bidi w:val="0"/>
              <w:jc w:val="left"/>
              <w:rPr/>
            </w:pPr>
            <w:r>
              <w:rPr/>
            </w:r>
          </w:p>
        </w:tc>
        <w:tc>
          <w:tcPr>
            <w:tcW w:w="336" w:type="dxa"/>
            <w:gridSpan w:val="3"/>
            <w:tcBorders>
              <w:right w:val="single" w:sz="8" w:space="0" w:color="6D6D6D"/>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63" w:type="dxa"/>
            <w:tcBorders/>
          </w:tcPr>
          <w:p>
            <w:pPr>
              <w:pStyle w:val="TableContents"/>
              <w:bidi w:val="0"/>
              <w:spacing w:before="0" w:after="283"/>
              <w:jc w:val="left"/>
              <w:rPr>
                <w:sz w:val="4"/>
                <w:szCs w:val="4"/>
              </w:rPr>
            </w:pPr>
            <w:r>
              <w:rPr>
                <w:sz w:val="4"/>
                <w:szCs w:val="4"/>
              </w:rPr>
            </w:r>
          </w:p>
        </w:tc>
      </w:tr>
      <w:tr>
        <w:trPr/>
        <w:tc>
          <w:tcPr>
            <w:tcW w:w="351" w:type="dxa"/>
            <w:gridSpan w:val="3"/>
            <w:tcBorders>
              <w:left w:val="single" w:sz="8" w:space="0" w:color="6D6D6D"/>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4245" w:type="dxa"/>
            <w:gridSpan w:val="3"/>
            <w:vMerge w:val="continue"/>
            <w:tcBorders>
              <w:top w:val="single" w:sz="8" w:space="0" w:color="6D6D6D"/>
            </w:tcBorders>
            <w:tcMar>
              <w:top w:w="30" w:type="dxa"/>
              <w:left w:w="0" w:type="dxa"/>
              <w:bottom w:w="0" w:type="dxa"/>
              <w:right w:w="0" w:type="dxa"/>
            </w:tcMar>
            <w:vAlign w:val="center"/>
          </w:tcPr>
          <w:p>
            <w:pPr>
              <w:pStyle w:val="Normal"/>
              <w:bidi w:val="0"/>
              <w:jc w:val="left"/>
              <w:rPr/>
            </w:pPr>
            <w:r>
              <w:rPr/>
            </w:r>
          </w:p>
        </w:tc>
        <w:tc>
          <w:tcPr>
            <w:tcW w:w="5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9" w:type="dxa"/>
            <w:gridSpan w:val="3"/>
            <w:tcBorders>
              <w:left w:val="single" w:sz="4"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4012" w:type="dxa"/>
            <w:gridSpan w:val="3"/>
            <w:vMerge w:val="continue"/>
            <w:tcBorders>
              <w:top w:val="single" w:sz="8" w:space="0" w:color="6D6D6D"/>
            </w:tcBorders>
            <w:tcMar>
              <w:top w:w="30" w:type="dxa"/>
              <w:left w:w="0" w:type="dxa"/>
              <w:bottom w:w="0" w:type="dxa"/>
              <w:right w:w="0" w:type="dxa"/>
            </w:tcMar>
            <w:vAlign w:val="center"/>
          </w:tcPr>
          <w:p>
            <w:pPr>
              <w:pStyle w:val="Normal"/>
              <w:bidi w:val="0"/>
              <w:jc w:val="left"/>
              <w:rPr/>
            </w:pPr>
            <w:r>
              <w:rPr/>
            </w:r>
          </w:p>
        </w:tc>
        <w:tc>
          <w:tcPr>
            <w:tcW w:w="336" w:type="dxa"/>
            <w:gridSpan w:val="3"/>
            <w:tcBorders>
              <w:right w:val="single" w:sz="8" w:space="0" w:color="6D6D6D"/>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63" w:type="dxa"/>
            <w:tcBorders/>
          </w:tcPr>
          <w:p>
            <w:pPr>
              <w:pStyle w:val="TableContents"/>
              <w:bidi w:val="0"/>
              <w:spacing w:before="0" w:after="283"/>
              <w:jc w:val="left"/>
              <w:rPr>
                <w:sz w:val="4"/>
                <w:szCs w:val="4"/>
              </w:rPr>
            </w:pPr>
            <w:r>
              <w:rPr>
                <w:sz w:val="4"/>
                <w:szCs w:val="4"/>
              </w:rPr>
            </w:r>
          </w:p>
        </w:tc>
      </w:tr>
      <w:tr>
        <w:trPr/>
        <w:tc>
          <w:tcPr>
            <w:tcW w:w="351" w:type="dxa"/>
            <w:gridSpan w:val="3"/>
            <w:tcBorders>
              <w:left w:val="single" w:sz="8" w:space="0" w:color="6D6D6D"/>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4245" w:type="dxa"/>
            <w:gridSpan w:val="3"/>
            <w:vMerge w:val="continue"/>
            <w:tcBorders>
              <w:top w:val="single" w:sz="8" w:space="0" w:color="6D6D6D"/>
            </w:tcBorders>
            <w:tcMar>
              <w:top w:w="30" w:type="dxa"/>
              <w:left w:w="0" w:type="dxa"/>
              <w:bottom w:w="0" w:type="dxa"/>
              <w:right w:w="0" w:type="dxa"/>
            </w:tcMar>
            <w:vAlign w:val="center"/>
          </w:tcPr>
          <w:p>
            <w:pPr>
              <w:pStyle w:val="Normal"/>
              <w:bidi w:val="0"/>
              <w:jc w:val="left"/>
              <w:rPr/>
            </w:pPr>
            <w:r>
              <w:rPr/>
            </w:r>
          </w:p>
        </w:tc>
        <w:tc>
          <w:tcPr>
            <w:tcW w:w="5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9" w:type="dxa"/>
            <w:gridSpan w:val="3"/>
            <w:tcBorders>
              <w:left w:val="single" w:sz="4"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4012" w:type="dxa"/>
            <w:gridSpan w:val="3"/>
            <w:vMerge w:val="continue"/>
            <w:tcBorders>
              <w:top w:val="single" w:sz="8" w:space="0" w:color="6D6D6D"/>
            </w:tcBorders>
            <w:tcMar>
              <w:top w:w="30" w:type="dxa"/>
              <w:left w:w="0" w:type="dxa"/>
              <w:bottom w:w="0" w:type="dxa"/>
              <w:right w:w="0" w:type="dxa"/>
            </w:tcMar>
            <w:vAlign w:val="center"/>
          </w:tcPr>
          <w:p>
            <w:pPr>
              <w:pStyle w:val="Normal"/>
              <w:bidi w:val="0"/>
              <w:jc w:val="left"/>
              <w:rPr/>
            </w:pPr>
            <w:r>
              <w:rPr/>
            </w:r>
          </w:p>
        </w:tc>
        <w:tc>
          <w:tcPr>
            <w:tcW w:w="336" w:type="dxa"/>
            <w:gridSpan w:val="3"/>
            <w:tcBorders>
              <w:right w:val="single" w:sz="8" w:space="0" w:color="6D6D6D"/>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63" w:type="dxa"/>
            <w:tcBorders/>
          </w:tcPr>
          <w:p>
            <w:pPr>
              <w:pStyle w:val="TableContents"/>
              <w:bidi w:val="0"/>
              <w:spacing w:before="0" w:after="283"/>
              <w:jc w:val="left"/>
              <w:rPr>
                <w:sz w:val="4"/>
                <w:szCs w:val="4"/>
              </w:rPr>
            </w:pPr>
            <w:r>
              <w:rPr>
                <w:sz w:val="4"/>
                <w:szCs w:val="4"/>
              </w:rPr>
            </w:r>
          </w:p>
        </w:tc>
      </w:tr>
      <w:tr>
        <w:trPr/>
        <w:tc>
          <w:tcPr>
            <w:tcW w:w="351" w:type="dxa"/>
            <w:gridSpan w:val="3"/>
            <w:tcBorders>
              <w:top w:val="single" w:sz="8" w:space="0" w:color="6D6D6D"/>
              <w:left w:val="single" w:sz="4"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4245" w:type="dxa"/>
            <w:gridSpan w:val="3"/>
            <w:vMerge w:val="restart"/>
            <w:tcBorders>
              <w:bottom w:val="single" w:sz="4" w:space="0" w:color="000000"/>
            </w:tcBorders>
            <w:tcMar>
              <w:top w:w="0" w:type="dxa"/>
              <w:left w:w="0" w:type="dxa"/>
              <w:bottom w:w="30" w:type="dxa"/>
              <w:right w:w="0" w:type="dxa"/>
            </w:tcMar>
            <w:vAlign w:val="center"/>
          </w:tcPr>
          <w:p>
            <w:pPr>
              <w:pStyle w:val="TableContents"/>
              <w:bidi w:val="0"/>
              <w:spacing w:lineRule="auto" w:line="240" w:before="0" w:after="0"/>
              <w:jc w:val="both"/>
              <w:rPr/>
            </w:pPr>
            <w:r>
              <w:rPr>
                <w:rFonts w:ascii="Lato;sans-serif" w:hAnsi="Lato;sans-serif"/>
                <w:b/>
                <w:color w:val="000000"/>
                <w:sz w:val="20"/>
              </w:rPr>
              <w:t xml:space="preserve">Be Entrepreneurs. </w:t>
            </w:r>
            <w:r>
              <w:rPr>
                <w:rFonts w:ascii="Lato;sans-serif" w:hAnsi="Lato;sans-serif"/>
                <w:b w:val="false"/>
                <w:color w:val="000000"/>
                <w:sz w:val="20"/>
              </w:rPr>
              <w:t>Entrepreneurs hustle, move fast, take ownership, they have autonomy, and make decisions. They are opinionated and they don’t hide behind process for protection. They lead with a strong point of view. They are accountable. They do not operate in fear. They are resilient. They are resourceful. They look for solutions when others make excuses. We will entrust, and expect, our leadership and our teams to operate as entrepreneurs.</w:t>
            </w:r>
          </w:p>
        </w:tc>
        <w:tc>
          <w:tcPr>
            <w:tcW w:w="549" w:type="dxa"/>
            <w:gridSpan w:val="3"/>
            <w:tcBorders>
              <w:top w:val="single" w:sz="8" w:space="0" w:color="6D6D6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9" w:type="dxa"/>
            <w:gridSpan w:val="3"/>
            <w:tcBorders>
              <w:top w:val="single" w:sz="8" w:space="0" w:color="6D6D6D"/>
              <w:left w:val="single" w:sz="4"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4012" w:type="dxa"/>
            <w:gridSpan w:val="3"/>
            <w:vMerge w:val="restart"/>
            <w:tcBorders>
              <w:bottom w:val="single" w:sz="4" w:space="0" w:color="000000"/>
            </w:tcBorders>
            <w:tcMar>
              <w:top w:w="0" w:type="dxa"/>
              <w:left w:w="0" w:type="dxa"/>
              <w:bottom w:w="30" w:type="dxa"/>
              <w:right w:w="0" w:type="dxa"/>
            </w:tcMar>
            <w:vAlign w:val="center"/>
          </w:tcPr>
          <w:p>
            <w:pPr>
              <w:pStyle w:val="TableContents"/>
              <w:bidi w:val="0"/>
              <w:spacing w:lineRule="auto" w:line="240" w:before="0" w:after="0"/>
              <w:jc w:val="both"/>
              <w:rPr/>
            </w:pPr>
            <w:r>
              <w:rPr>
                <w:rFonts w:ascii="Lato;sans-serif" w:hAnsi="Lato;sans-serif"/>
                <w:b/>
                <w:color w:val="000000"/>
                <w:sz w:val="20"/>
              </w:rPr>
              <w:t xml:space="preserve">Be Innovators. </w:t>
            </w:r>
            <w:r>
              <w:rPr>
                <w:rFonts w:ascii="Lato;sans-serif" w:hAnsi="Lato;sans-serif"/>
                <w:b w:val="false"/>
                <w:color w:val="000000"/>
                <w:sz w:val="20"/>
              </w:rPr>
              <w:t>Innovating is who we are, it is how we have gotten here. But not just with our product and how we define what go-to-market means for the future. We innovate to be leaner and more efficient in the way we operate, we will find ways to drive outcomes no one thought were possible - from marketing and lead generation to legal, finance, and procurement. Through innovation, we will set a new standard for how great companies operate with discipline.</w:t>
            </w:r>
          </w:p>
        </w:tc>
        <w:tc>
          <w:tcPr>
            <w:tcW w:w="336" w:type="dxa"/>
            <w:gridSpan w:val="3"/>
            <w:tcBorders>
              <w:top w:val="single" w:sz="8" w:space="0" w:color="6D6D6D"/>
              <w:right w:val="single" w:sz="4" w:space="0" w:color="000000"/>
            </w:tcBorders>
            <w:tcMar>
              <w:left w:w="0" w:type="dxa"/>
              <w:bottom w:w="0" w:type="dxa"/>
            </w:tcMar>
            <w:vAlign w:val="center"/>
          </w:tcPr>
          <w:p>
            <w:pPr>
              <w:pStyle w:val="TableContents"/>
              <w:bidi w:val="0"/>
              <w:spacing w:before="0" w:after="283"/>
              <w:jc w:val="left"/>
              <w:rPr>
                <w:sz w:val="4"/>
                <w:szCs w:val="4"/>
              </w:rPr>
            </w:pPr>
            <w:r>
              <w:rPr>
                <w:sz w:val="4"/>
                <w:szCs w:val="4"/>
              </w:rPr>
            </w:r>
          </w:p>
        </w:tc>
        <w:tc>
          <w:tcPr>
            <w:tcW w:w="163" w:type="dxa"/>
            <w:tcBorders/>
          </w:tcPr>
          <w:p>
            <w:pPr>
              <w:pStyle w:val="TableContents"/>
              <w:bidi w:val="0"/>
              <w:spacing w:before="0" w:after="283"/>
              <w:jc w:val="left"/>
              <w:rPr>
                <w:sz w:val="4"/>
                <w:szCs w:val="4"/>
              </w:rPr>
            </w:pPr>
            <w:r>
              <w:rPr>
                <w:sz w:val="4"/>
                <w:szCs w:val="4"/>
              </w:rPr>
            </w:r>
          </w:p>
        </w:tc>
      </w:tr>
      <w:tr>
        <w:trPr/>
        <w:tc>
          <w:tcPr>
            <w:tcW w:w="351" w:type="dxa"/>
            <w:gridSpan w:val="3"/>
            <w:tcBorders>
              <w:left w:val="single" w:sz="4"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4245" w:type="dxa"/>
            <w:gridSpan w:val="3"/>
            <w:vMerge w:val="continue"/>
            <w:tcBorders>
              <w:bottom w:val="single" w:sz="4" w:space="0" w:color="000000"/>
            </w:tcBorders>
            <w:tcMar>
              <w:top w:w="0" w:type="dxa"/>
              <w:left w:w="0" w:type="dxa"/>
              <w:bottom w:w="30" w:type="dxa"/>
              <w:right w:w="0" w:type="dxa"/>
            </w:tcMar>
            <w:vAlign w:val="center"/>
          </w:tcPr>
          <w:p>
            <w:pPr>
              <w:pStyle w:val="Normal"/>
              <w:bidi w:val="0"/>
              <w:jc w:val="left"/>
              <w:rPr/>
            </w:pPr>
            <w:r>
              <w:rPr/>
            </w:r>
          </w:p>
        </w:tc>
        <w:tc>
          <w:tcPr>
            <w:tcW w:w="5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9" w:type="dxa"/>
            <w:gridSpan w:val="3"/>
            <w:tcBorders>
              <w:left w:val="single" w:sz="4"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4012" w:type="dxa"/>
            <w:gridSpan w:val="3"/>
            <w:vMerge w:val="continue"/>
            <w:tcBorders>
              <w:bottom w:val="single" w:sz="4" w:space="0" w:color="000000"/>
            </w:tcBorders>
            <w:tcMar>
              <w:top w:w="0" w:type="dxa"/>
              <w:left w:w="0" w:type="dxa"/>
              <w:bottom w:w="30" w:type="dxa"/>
              <w:right w:w="0" w:type="dxa"/>
            </w:tcMar>
            <w:vAlign w:val="center"/>
          </w:tcPr>
          <w:p>
            <w:pPr>
              <w:pStyle w:val="Normal"/>
              <w:bidi w:val="0"/>
              <w:jc w:val="left"/>
              <w:rPr/>
            </w:pPr>
            <w:r>
              <w:rPr/>
            </w:r>
          </w:p>
        </w:tc>
        <w:tc>
          <w:tcPr>
            <w:tcW w:w="336" w:type="dxa"/>
            <w:gridSpan w:val="3"/>
            <w:tcBorders>
              <w:right w:val="single" w:sz="4"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63" w:type="dxa"/>
            <w:tcBorders/>
          </w:tcPr>
          <w:p>
            <w:pPr>
              <w:pStyle w:val="TableContents"/>
              <w:bidi w:val="0"/>
              <w:spacing w:before="0" w:after="283"/>
              <w:jc w:val="left"/>
              <w:rPr>
                <w:sz w:val="4"/>
                <w:szCs w:val="4"/>
              </w:rPr>
            </w:pPr>
            <w:r>
              <w:rPr>
                <w:sz w:val="4"/>
                <w:szCs w:val="4"/>
              </w:rPr>
            </w:r>
          </w:p>
        </w:tc>
      </w:tr>
      <w:tr>
        <w:trPr/>
        <w:tc>
          <w:tcPr>
            <w:tcW w:w="351" w:type="dxa"/>
            <w:gridSpan w:val="3"/>
            <w:tcBorders>
              <w:left w:val="single" w:sz="4"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4245" w:type="dxa"/>
            <w:gridSpan w:val="3"/>
            <w:vMerge w:val="continue"/>
            <w:tcBorders>
              <w:bottom w:val="single" w:sz="4" w:space="0" w:color="000000"/>
            </w:tcBorders>
            <w:tcMar>
              <w:top w:w="0" w:type="dxa"/>
              <w:left w:w="0" w:type="dxa"/>
              <w:bottom w:w="30" w:type="dxa"/>
              <w:right w:w="0" w:type="dxa"/>
            </w:tcMar>
            <w:vAlign w:val="center"/>
          </w:tcPr>
          <w:p>
            <w:pPr>
              <w:pStyle w:val="Normal"/>
              <w:bidi w:val="0"/>
              <w:jc w:val="left"/>
              <w:rPr/>
            </w:pPr>
            <w:r>
              <w:rPr/>
            </w:r>
          </w:p>
        </w:tc>
        <w:tc>
          <w:tcPr>
            <w:tcW w:w="5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9" w:type="dxa"/>
            <w:gridSpan w:val="3"/>
            <w:tcBorders>
              <w:left w:val="single" w:sz="4"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4012" w:type="dxa"/>
            <w:gridSpan w:val="3"/>
            <w:vMerge w:val="continue"/>
            <w:tcBorders>
              <w:bottom w:val="single" w:sz="4" w:space="0" w:color="000000"/>
            </w:tcBorders>
            <w:tcMar>
              <w:top w:w="0" w:type="dxa"/>
              <w:left w:w="0" w:type="dxa"/>
              <w:bottom w:w="30" w:type="dxa"/>
              <w:right w:w="0" w:type="dxa"/>
            </w:tcMar>
            <w:vAlign w:val="center"/>
          </w:tcPr>
          <w:p>
            <w:pPr>
              <w:pStyle w:val="Normal"/>
              <w:bidi w:val="0"/>
              <w:jc w:val="left"/>
              <w:rPr/>
            </w:pPr>
            <w:r>
              <w:rPr/>
            </w:r>
          </w:p>
        </w:tc>
        <w:tc>
          <w:tcPr>
            <w:tcW w:w="336" w:type="dxa"/>
            <w:gridSpan w:val="3"/>
            <w:tcBorders>
              <w:right w:val="single" w:sz="4"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63" w:type="dxa"/>
            <w:tcBorders/>
          </w:tcPr>
          <w:p>
            <w:pPr>
              <w:pStyle w:val="TableContents"/>
              <w:bidi w:val="0"/>
              <w:spacing w:before="0" w:after="283"/>
              <w:jc w:val="left"/>
              <w:rPr>
                <w:sz w:val="4"/>
                <w:szCs w:val="4"/>
              </w:rPr>
            </w:pPr>
            <w:r>
              <w:rPr>
                <w:sz w:val="4"/>
                <w:szCs w:val="4"/>
              </w:rPr>
            </w:r>
          </w:p>
        </w:tc>
      </w:tr>
      <w:tr>
        <w:trPr/>
        <w:tc>
          <w:tcPr>
            <w:tcW w:w="351" w:type="dxa"/>
            <w:gridSpan w:val="3"/>
            <w:tcBorders>
              <w:left w:val="single" w:sz="4"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4245" w:type="dxa"/>
            <w:gridSpan w:val="3"/>
            <w:vMerge w:val="continue"/>
            <w:tcBorders>
              <w:bottom w:val="single" w:sz="4" w:space="0" w:color="000000"/>
            </w:tcBorders>
            <w:tcMar>
              <w:top w:w="0" w:type="dxa"/>
              <w:left w:w="0" w:type="dxa"/>
              <w:bottom w:w="30" w:type="dxa"/>
              <w:right w:w="0" w:type="dxa"/>
            </w:tcMar>
            <w:vAlign w:val="center"/>
          </w:tcPr>
          <w:p>
            <w:pPr>
              <w:pStyle w:val="Normal"/>
              <w:bidi w:val="0"/>
              <w:jc w:val="left"/>
              <w:rPr/>
            </w:pPr>
            <w:r>
              <w:rPr/>
            </w:r>
          </w:p>
        </w:tc>
        <w:tc>
          <w:tcPr>
            <w:tcW w:w="5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9" w:type="dxa"/>
            <w:gridSpan w:val="3"/>
            <w:tcBorders>
              <w:left w:val="single" w:sz="4"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4012" w:type="dxa"/>
            <w:gridSpan w:val="3"/>
            <w:vMerge w:val="continue"/>
            <w:tcBorders>
              <w:bottom w:val="single" w:sz="4" w:space="0" w:color="000000"/>
            </w:tcBorders>
            <w:tcMar>
              <w:top w:w="0" w:type="dxa"/>
              <w:left w:w="0" w:type="dxa"/>
              <w:bottom w:w="30" w:type="dxa"/>
              <w:right w:w="0" w:type="dxa"/>
            </w:tcMar>
            <w:vAlign w:val="center"/>
          </w:tcPr>
          <w:p>
            <w:pPr>
              <w:pStyle w:val="Normal"/>
              <w:bidi w:val="0"/>
              <w:jc w:val="left"/>
              <w:rPr/>
            </w:pPr>
            <w:r>
              <w:rPr/>
            </w:r>
          </w:p>
        </w:tc>
        <w:tc>
          <w:tcPr>
            <w:tcW w:w="336" w:type="dxa"/>
            <w:gridSpan w:val="3"/>
            <w:tcBorders>
              <w:right w:val="single" w:sz="4"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63" w:type="dxa"/>
            <w:tcBorders/>
          </w:tcPr>
          <w:p>
            <w:pPr>
              <w:pStyle w:val="TableContents"/>
              <w:bidi w:val="0"/>
              <w:spacing w:before="0" w:after="283"/>
              <w:jc w:val="left"/>
              <w:rPr>
                <w:sz w:val="4"/>
                <w:szCs w:val="4"/>
              </w:rPr>
            </w:pPr>
            <w:r>
              <w:rPr>
                <w:sz w:val="4"/>
                <w:szCs w:val="4"/>
              </w:rPr>
            </w:r>
          </w:p>
        </w:tc>
      </w:tr>
      <w:tr>
        <w:trPr/>
        <w:tc>
          <w:tcPr>
            <w:tcW w:w="351" w:type="dxa"/>
            <w:gridSpan w:val="3"/>
            <w:tcBorders>
              <w:left w:val="single" w:sz="4"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4245" w:type="dxa"/>
            <w:gridSpan w:val="3"/>
            <w:vMerge w:val="continue"/>
            <w:tcBorders>
              <w:bottom w:val="single" w:sz="4" w:space="0" w:color="000000"/>
            </w:tcBorders>
            <w:tcMar>
              <w:top w:w="0" w:type="dxa"/>
              <w:left w:w="0" w:type="dxa"/>
              <w:bottom w:w="30" w:type="dxa"/>
              <w:right w:w="0" w:type="dxa"/>
            </w:tcMar>
            <w:vAlign w:val="center"/>
          </w:tcPr>
          <w:p>
            <w:pPr>
              <w:pStyle w:val="Normal"/>
              <w:bidi w:val="0"/>
              <w:jc w:val="left"/>
              <w:rPr/>
            </w:pPr>
            <w:r>
              <w:rPr/>
            </w:r>
          </w:p>
        </w:tc>
        <w:tc>
          <w:tcPr>
            <w:tcW w:w="5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9" w:type="dxa"/>
            <w:gridSpan w:val="3"/>
            <w:tcBorders>
              <w:left w:val="single" w:sz="4"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4012" w:type="dxa"/>
            <w:gridSpan w:val="3"/>
            <w:vMerge w:val="continue"/>
            <w:tcBorders>
              <w:bottom w:val="single" w:sz="4" w:space="0" w:color="000000"/>
            </w:tcBorders>
            <w:tcMar>
              <w:top w:w="0" w:type="dxa"/>
              <w:left w:w="0" w:type="dxa"/>
              <w:bottom w:w="30" w:type="dxa"/>
              <w:right w:w="0" w:type="dxa"/>
            </w:tcMar>
            <w:vAlign w:val="center"/>
          </w:tcPr>
          <w:p>
            <w:pPr>
              <w:pStyle w:val="Normal"/>
              <w:bidi w:val="0"/>
              <w:jc w:val="left"/>
              <w:rPr/>
            </w:pPr>
            <w:r>
              <w:rPr/>
            </w:r>
          </w:p>
        </w:tc>
        <w:tc>
          <w:tcPr>
            <w:tcW w:w="336" w:type="dxa"/>
            <w:gridSpan w:val="3"/>
            <w:tcBorders>
              <w:right w:val="single" w:sz="4"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63" w:type="dxa"/>
            <w:tcBorders/>
          </w:tcPr>
          <w:p>
            <w:pPr>
              <w:pStyle w:val="TableContents"/>
              <w:bidi w:val="0"/>
              <w:spacing w:before="0" w:after="283"/>
              <w:jc w:val="left"/>
              <w:rPr>
                <w:sz w:val="4"/>
                <w:szCs w:val="4"/>
              </w:rPr>
            </w:pPr>
            <w:r>
              <w:rPr>
                <w:sz w:val="4"/>
                <w:szCs w:val="4"/>
              </w:rPr>
            </w:r>
          </w:p>
        </w:tc>
      </w:tr>
      <w:tr>
        <w:trPr/>
        <w:tc>
          <w:tcPr>
            <w:tcW w:w="351" w:type="dxa"/>
            <w:gridSpan w:val="3"/>
            <w:tcBorders>
              <w:left w:val="single" w:sz="4"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4245" w:type="dxa"/>
            <w:gridSpan w:val="3"/>
            <w:vMerge w:val="continue"/>
            <w:tcBorders>
              <w:bottom w:val="single" w:sz="4" w:space="0" w:color="000000"/>
            </w:tcBorders>
            <w:tcMar>
              <w:top w:w="0" w:type="dxa"/>
              <w:left w:w="0" w:type="dxa"/>
              <w:bottom w:w="30" w:type="dxa"/>
              <w:right w:w="0" w:type="dxa"/>
            </w:tcMar>
            <w:vAlign w:val="center"/>
          </w:tcPr>
          <w:p>
            <w:pPr>
              <w:pStyle w:val="Normal"/>
              <w:bidi w:val="0"/>
              <w:jc w:val="left"/>
              <w:rPr/>
            </w:pPr>
            <w:r>
              <w:rPr/>
            </w:r>
          </w:p>
        </w:tc>
        <w:tc>
          <w:tcPr>
            <w:tcW w:w="5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9" w:type="dxa"/>
            <w:gridSpan w:val="3"/>
            <w:tcBorders>
              <w:left w:val="single" w:sz="4"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4012" w:type="dxa"/>
            <w:gridSpan w:val="3"/>
            <w:vMerge w:val="continue"/>
            <w:tcBorders>
              <w:bottom w:val="single" w:sz="4" w:space="0" w:color="000000"/>
            </w:tcBorders>
            <w:tcMar>
              <w:top w:w="0" w:type="dxa"/>
              <w:left w:w="0" w:type="dxa"/>
              <w:bottom w:w="30" w:type="dxa"/>
              <w:right w:w="0" w:type="dxa"/>
            </w:tcMar>
            <w:vAlign w:val="center"/>
          </w:tcPr>
          <w:p>
            <w:pPr>
              <w:pStyle w:val="Normal"/>
              <w:bidi w:val="0"/>
              <w:jc w:val="left"/>
              <w:rPr/>
            </w:pPr>
            <w:r>
              <w:rPr/>
            </w:r>
          </w:p>
        </w:tc>
        <w:tc>
          <w:tcPr>
            <w:tcW w:w="336" w:type="dxa"/>
            <w:gridSpan w:val="3"/>
            <w:tcBorders>
              <w:right w:val="single" w:sz="4"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63" w:type="dxa"/>
            <w:tcBorders/>
          </w:tcPr>
          <w:p>
            <w:pPr>
              <w:pStyle w:val="TableContents"/>
              <w:bidi w:val="0"/>
              <w:spacing w:before="0" w:after="283"/>
              <w:jc w:val="left"/>
              <w:rPr>
                <w:sz w:val="4"/>
                <w:szCs w:val="4"/>
              </w:rPr>
            </w:pPr>
            <w:r>
              <w:rPr>
                <w:sz w:val="4"/>
                <w:szCs w:val="4"/>
              </w:rPr>
            </w:r>
          </w:p>
        </w:tc>
      </w:tr>
      <w:tr>
        <w:trPr/>
        <w:tc>
          <w:tcPr>
            <w:tcW w:w="351" w:type="dxa"/>
            <w:gridSpan w:val="3"/>
            <w:tcBorders>
              <w:left w:val="single" w:sz="4"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4245" w:type="dxa"/>
            <w:gridSpan w:val="3"/>
            <w:vMerge w:val="continue"/>
            <w:tcBorders>
              <w:bottom w:val="single" w:sz="4" w:space="0" w:color="000000"/>
            </w:tcBorders>
            <w:tcMar>
              <w:top w:w="0" w:type="dxa"/>
              <w:left w:w="0" w:type="dxa"/>
              <w:bottom w:w="30" w:type="dxa"/>
              <w:right w:w="0" w:type="dxa"/>
            </w:tcMar>
            <w:vAlign w:val="center"/>
          </w:tcPr>
          <w:p>
            <w:pPr>
              <w:pStyle w:val="Normal"/>
              <w:bidi w:val="0"/>
              <w:jc w:val="left"/>
              <w:rPr/>
            </w:pPr>
            <w:r>
              <w:rPr/>
            </w:r>
          </w:p>
        </w:tc>
        <w:tc>
          <w:tcPr>
            <w:tcW w:w="5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9" w:type="dxa"/>
            <w:gridSpan w:val="3"/>
            <w:tcBorders>
              <w:left w:val="single" w:sz="4"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4012" w:type="dxa"/>
            <w:gridSpan w:val="3"/>
            <w:vMerge w:val="continue"/>
            <w:tcBorders>
              <w:bottom w:val="single" w:sz="4" w:space="0" w:color="000000"/>
            </w:tcBorders>
            <w:tcMar>
              <w:top w:w="0" w:type="dxa"/>
              <w:left w:w="0" w:type="dxa"/>
              <w:bottom w:w="30" w:type="dxa"/>
              <w:right w:w="0" w:type="dxa"/>
            </w:tcMar>
            <w:vAlign w:val="center"/>
          </w:tcPr>
          <w:p>
            <w:pPr>
              <w:pStyle w:val="Normal"/>
              <w:bidi w:val="0"/>
              <w:jc w:val="left"/>
              <w:rPr/>
            </w:pPr>
            <w:r>
              <w:rPr/>
            </w:r>
          </w:p>
        </w:tc>
        <w:tc>
          <w:tcPr>
            <w:tcW w:w="336" w:type="dxa"/>
            <w:gridSpan w:val="3"/>
            <w:tcBorders>
              <w:right w:val="single" w:sz="4"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63" w:type="dxa"/>
            <w:tcBorders/>
          </w:tcPr>
          <w:p>
            <w:pPr>
              <w:pStyle w:val="TableContents"/>
              <w:bidi w:val="0"/>
              <w:spacing w:before="0" w:after="283"/>
              <w:jc w:val="left"/>
              <w:rPr>
                <w:sz w:val="4"/>
                <w:szCs w:val="4"/>
              </w:rPr>
            </w:pPr>
            <w:r>
              <w:rPr>
                <w:sz w:val="4"/>
                <w:szCs w:val="4"/>
              </w:rPr>
            </w:r>
          </w:p>
        </w:tc>
      </w:tr>
      <w:tr>
        <w:trPr/>
        <w:tc>
          <w:tcPr>
            <w:tcW w:w="351" w:type="dxa"/>
            <w:gridSpan w:val="3"/>
            <w:tcBorders>
              <w:left w:val="single" w:sz="4" w:space="0" w:color="000000"/>
              <w:bottom w:val="single" w:sz="4" w:space="0" w:color="000000"/>
            </w:tcBorders>
            <w:tcMar>
              <w:top w:w="0" w:type="dxa"/>
              <w:right w:w="0" w:type="dxa"/>
            </w:tcMar>
            <w:vAlign w:val="center"/>
          </w:tcPr>
          <w:p>
            <w:pPr>
              <w:pStyle w:val="TableContents"/>
              <w:bidi w:val="0"/>
              <w:spacing w:before="0" w:after="283"/>
              <w:jc w:val="left"/>
              <w:rPr>
                <w:sz w:val="4"/>
                <w:szCs w:val="4"/>
              </w:rPr>
            </w:pPr>
            <w:r>
              <w:rPr>
                <w:sz w:val="4"/>
                <w:szCs w:val="4"/>
              </w:rPr>
            </w:r>
          </w:p>
        </w:tc>
        <w:tc>
          <w:tcPr>
            <w:tcW w:w="4245" w:type="dxa"/>
            <w:gridSpan w:val="3"/>
            <w:vMerge w:val="continue"/>
            <w:tcBorders>
              <w:bottom w:val="single" w:sz="4" w:space="0" w:color="000000"/>
            </w:tcBorders>
            <w:tcMar>
              <w:top w:w="0" w:type="dxa"/>
              <w:left w:w="0" w:type="dxa"/>
              <w:bottom w:w="30" w:type="dxa"/>
              <w:right w:w="0" w:type="dxa"/>
            </w:tcMar>
            <w:vAlign w:val="center"/>
          </w:tcPr>
          <w:p>
            <w:pPr>
              <w:pStyle w:val="Normal"/>
              <w:bidi w:val="0"/>
              <w:jc w:val="left"/>
              <w:rPr/>
            </w:pPr>
            <w:r>
              <w:rPr/>
            </w:r>
          </w:p>
        </w:tc>
        <w:tc>
          <w:tcPr>
            <w:tcW w:w="549"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549" w:type="dxa"/>
            <w:gridSpan w:val="3"/>
            <w:tcBorders>
              <w:left w:val="single" w:sz="4" w:space="0" w:color="000000"/>
              <w:bottom w:val="single" w:sz="4" w:space="0" w:color="000000"/>
            </w:tcBorders>
            <w:tcMar>
              <w:top w:w="0" w:type="dxa"/>
              <w:right w:w="0" w:type="dxa"/>
            </w:tcMar>
            <w:vAlign w:val="center"/>
          </w:tcPr>
          <w:p>
            <w:pPr>
              <w:pStyle w:val="TableContents"/>
              <w:bidi w:val="0"/>
              <w:spacing w:before="0" w:after="283"/>
              <w:jc w:val="left"/>
              <w:rPr>
                <w:sz w:val="4"/>
                <w:szCs w:val="4"/>
              </w:rPr>
            </w:pPr>
            <w:r>
              <w:rPr>
                <w:sz w:val="4"/>
                <w:szCs w:val="4"/>
              </w:rPr>
            </w:r>
          </w:p>
        </w:tc>
        <w:tc>
          <w:tcPr>
            <w:tcW w:w="4012" w:type="dxa"/>
            <w:gridSpan w:val="3"/>
            <w:vMerge w:val="continue"/>
            <w:tcBorders>
              <w:bottom w:val="single" w:sz="4" w:space="0" w:color="000000"/>
            </w:tcBorders>
            <w:tcMar>
              <w:top w:w="0" w:type="dxa"/>
              <w:left w:w="0" w:type="dxa"/>
              <w:bottom w:w="30" w:type="dxa"/>
              <w:right w:w="0" w:type="dxa"/>
            </w:tcMar>
            <w:vAlign w:val="center"/>
          </w:tcPr>
          <w:p>
            <w:pPr>
              <w:pStyle w:val="Normal"/>
              <w:bidi w:val="0"/>
              <w:jc w:val="left"/>
              <w:rPr/>
            </w:pPr>
            <w:r>
              <w:rPr/>
            </w:r>
          </w:p>
        </w:tc>
        <w:tc>
          <w:tcPr>
            <w:tcW w:w="336" w:type="dxa"/>
            <w:gridSpan w:val="3"/>
            <w:tcBorders>
              <w:bottom w:val="single" w:sz="4" w:space="0" w:color="000000"/>
              <w:right w:val="single" w:sz="4" w:space="0" w:color="000000"/>
            </w:tcBorders>
            <w:tcMar>
              <w:top w:w="0" w:type="dxa"/>
              <w:left w:w="0" w:type="dxa"/>
            </w:tcMar>
            <w:vAlign w:val="center"/>
          </w:tcPr>
          <w:p>
            <w:pPr>
              <w:pStyle w:val="TableContents"/>
              <w:bidi w:val="0"/>
              <w:spacing w:before="0" w:after="283"/>
              <w:jc w:val="left"/>
              <w:rPr>
                <w:sz w:val="4"/>
                <w:szCs w:val="4"/>
              </w:rPr>
            </w:pPr>
            <w:r>
              <w:rPr>
                <w:sz w:val="4"/>
                <w:szCs w:val="4"/>
              </w:rPr>
            </w:r>
          </w:p>
        </w:tc>
        <w:tc>
          <w:tcPr>
            <w:tcW w:w="163" w:type="dxa"/>
            <w:tcBorders/>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00" w:after="180"/>
        <w:jc w:val="both"/>
        <w:rPr>
          <w:rFonts w:ascii="Lato;sans-serif" w:hAnsi="Lato;sans-serif"/>
          <w:b/>
          <w:color w:val="000000"/>
          <w:sz w:val="20"/>
        </w:rPr>
      </w:pPr>
      <w:r>
        <w:rPr>
          <w:rFonts w:ascii="Lato;sans-serif" w:hAnsi="Lato;sans-serif"/>
          <w:b/>
          <w:color w:val="000000"/>
          <w:sz w:val="20"/>
        </w:rPr>
        <w:t>Board Leadership Structure</w:t>
      </w:r>
    </w:p>
    <w:p>
      <w:pPr>
        <w:pStyle w:val="TextBody"/>
        <w:bidi w:val="0"/>
        <w:spacing w:lineRule="auto" w:line="288" w:before="180" w:after="180"/>
        <w:jc w:val="both"/>
        <w:rPr>
          <w:rFonts w:ascii="Lato;sans-serif" w:hAnsi="Lato;sans-serif"/>
          <w:b w:val="false"/>
          <w:i/>
          <w:color w:val="000000"/>
          <w:sz w:val="20"/>
        </w:rPr>
      </w:pPr>
      <w:r>
        <w:rPr>
          <w:rFonts w:ascii="Lato;sans-serif" w:hAnsi="Lato;sans-serif"/>
          <w:b w:val="false"/>
          <w:i/>
          <w:color w:val="000000"/>
          <w:sz w:val="20"/>
        </w:rPr>
        <w:t>Overview</w:t>
      </w:r>
    </w:p>
    <w:p>
      <w:pPr>
        <w:pStyle w:val="TextBody"/>
        <w:bidi w:val="0"/>
        <w:spacing w:lineRule="auto" w:line="288" w:before="0" w:after="0"/>
        <w:jc w:val="both"/>
        <w:rPr>
          <w:rFonts w:ascii="Lato;sans-serif" w:hAnsi="Lato;sans-serif"/>
          <w:b w:val="false"/>
          <w:color w:val="000000"/>
          <w:sz w:val="20"/>
        </w:rPr>
      </w:pPr>
      <w:r>
        <w:rPr>
          <w:rFonts w:ascii="Lato;sans-serif" w:hAnsi="Lato;sans-serif"/>
          <w:b w:val="false"/>
          <w:color w:val="000000"/>
          <w:sz w:val="20"/>
        </w:rPr>
        <w:t>Our Board of Directors is led by Mr. Schuck, our Chairman of the Board and Chief Executive Officer. The Board maintains the flexibility to determine whether the roles of Chairman and Chief Executive Officer should be combined or separated, based on what it believes is in the best interests of the Company at a given point in time. The Board believes that this flexibility is in the best interests of the Company and that a one-size-fits-all approach to corporate governance, with a mandated independent Chairman, would not result in better governance or oversight. By combining the role of Chairman and Chief Executive Officer in Mr. Schuck, one of our Founders, we have ensured that the Chairman of the Board has a unique understanding of our Company as well as ongoing executive responsibility for the Company. In the Board’s view, this enables the Board to better understand the Company and work with management to enhance stockholder value. In addition, the Board believes that this structure enables it to better fulfill its risk oversight responsibilities and enhances the ability of the Chief Executive Officer to effectively communicate the Board’s view to management.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352425"/>
                <wp:effectExtent l="0" t="0" r="0" b="0"/>
                <wp:wrapNone/>
                <wp:docPr id="38" name="Frame24"/>
                <a:graphic xmlns:a="http://schemas.openxmlformats.org/drawingml/2006/main">
                  <a:graphicData uri="http://schemas.microsoft.com/office/word/2010/wordprocessingShape">
                    <wps:wsp>
                      <wps:cNvSpPr txBox="1"/>
                      <wps:spPr>
                        <a:xfrm>
                          <a:off x="0" y="0"/>
                          <a:ext cx="6480175" cy="352425"/>
                        </a:xfrm>
                        <a:prstGeom prst="rect"/>
                        <a:solidFill>
                          <a:srgbClr val="FFFFFF"/>
                        </a:solidFill>
                      </wps:spPr>
                      <wps:txbx>
                        <w:txbxContent>
                          <w:p>
                            <w:pPr>
                              <w:pStyle w:val="TextBody"/>
                              <w:bidi w:val="0"/>
                              <w:spacing w:lineRule="auto" w:line="288" w:before="0" w:after="0"/>
                              <w:jc w:val="center"/>
                              <w:rPr>
                                <w:rFonts w:ascii="Lato;sans-serif" w:hAnsi="Lato;sans-serif"/>
                                <w:b w:val="false"/>
                                <w:color w:val="000000"/>
                                <w:sz w:val="20"/>
                              </w:rPr>
                            </w:pPr>
                            <w:r>
                              <w:rPr>
                                <w:rFonts w:ascii="Lato;sans-serif" w:hAnsi="Lato;sans-serif"/>
                                <w:b w:val="false"/>
                                <w:color w:val="000000"/>
                                <w:sz w:val="20"/>
                              </w:rPr>
                              <w:t>18</w:t>
                            </w:r>
                          </w:p>
                          <w:p>
                            <w:pPr>
                              <w:pStyle w:val="TextBody"/>
                              <w:bidi w:val="0"/>
                              <w:spacing w:lineRule="auto" w:line="288" w:before="0" w:after="0"/>
                              <w:jc w:val="left"/>
                              <w:rPr>
                                <w:color w:val="000000"/>
                              </w:rPr>
                            </w:pPr>
                            <w:r>
                              <w:rPr>
                                <w:color w:val="000000"/>
                              </w:rPr>
                              <w:t>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Lato;sans-serif" w:hAnsi="Lato;sans-serif"/>
                          <w:b w:val="false"/>
                          <w:color w:val="000000"/>
                          <w:sz w:val="20"/>
                        </w:rPr>
                      </w:pPr>
                      <w:r>
                        <w:rPr>
                          <w:rFonts w:ascii="Lato;sans-serif" w:hAnsi="Lato;sans-serif"/>
                          <w:b w:val="false"/>
                          <w:color w:val="000000"/>
                          <w:sz w:val="20"/>
                        </w:rPr>
                        <w:t>18</w:t>
                      </w:r>
                    </w:p>
                    <w:p>
                      <w:pPr>
                        <w:pStyle w:val="TextBody"/>
                        <w:bidi w:val="0"/>
                        <w:spacing w:lineRule="auto" w:line="288" w:before="0" w:after="0"/>
                        <w:jc w:val="left"/>
                        <w:rPr>
                          <w:color w:val="000000"/>
                        </w:rPr>
                      </w:pPr>
                      <w:r>
                        <w:rPr>
                          <w:color w:val="000000"/>
                        </w:rPr>
                        <w:t>        </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300" w:after="180"/>
        <w:jc w:val="both"/>
        <w:rPr>
          <w:rFonts w:ascii="Lato;sans-serif" w:hAnsi="Lato;sans-serif"/>
          <w:b w:val="false"/>
          <w:i/>
          <w:color w:val="000000"/>
          <w:sz w:val="20"/>
        </w:rPr>
      </w:pPr>
      <w:r>
        <w:rPr>
          <w:rFonts w:ascii="Lato;sans-serif" w:hAnsi="Lato;sans-serif"/>
          <w:b w:val="false"/>
          <w:i/>
          <w:color w:val="000000"/>
          <w:sz w:val="20"/>
        </w:rPr>
        <w:t>Lead Independent Director</w:t>
      </w:r>
    </w:p>
    <w:p>
      <w:pPr>
        <w:pStyle w:val="TextBody"/>
        <w:bidi w:val="0"/>
        <w:spacing w:lineRule="auto" w:line="288" w:before="0" w:after="180"/>
        <w:jc w:val="both"/>
        <w:rPr/>
      </w:pPr>
      <w:r>
        <w:rPr>
          <w:rFonts w:ascii="Lato;sans-serif" w:hAnsi="Lato;sans-serif"/>
          <w:b w:val="false"/>
          <w:color w:val="000000"/>
          <w:sz w:val="20"/>
        </w:rPr>
        <w:t>As previously stated in our proxy statement filed on March 27, 2025, and in consideration of the best interests of the Company and the feedback that we received from our stockholders, we made a public commitment to the appointment of a lead independent director (the “</w:t>
      </w:r>
      <w:r>
        <w:rPr>
          <w:rFonts w:ascii="Lato;sans-serif" w:hAnsi="Lato;sans-serif"/>
          <w:b/>
          <w:i/>
          <w:color w:val="000000"/>
          <w:sz w:val="20"/>
        </w:rPr>
        <w:t>Lead Independent Director</w:t>
      </w:r>
      <w:r>
        <w:rPr>
          <w:color w:val="000000"/>
        </w:rPr>
        <w:t>”</w:t>
      </w:r>
      <w:r>
        <w:rPr>
          <w:rFonts w:ascii="Lato;sans-serif" w:hAnsi="Lato;sans-serif"/>
          <w:b w:val="false"/>
          <w:color w:val="000000"/>
          <w:sz w:val="20"/>
        </w:rPr>
        <w:t>) prior to this year’s Annual Meeting of Stockholders to be held on Thursday, May 14, 2026. This year, we are pleased to announce that the independent directors of the Board approved the election of Owen Wurzbacher to serve as Lead Independent Director of the Board, effective February 5, 2026.</w:t>
      </w:r>
    </w:p>
    <w:p>
      <w:pPr>
        <w:pStyle w:val="TextBody"/>
        <w:bidi w:val="0"/>
        <w:spacing w:lineRule="auto" w:line="288" w:before="0" w:after="180"/>
        <w:jc w:val="both"/>
        <w:rPr>
          <w:rFonts w:ascii="Lato;sans-serif" w:hAnsi="Lato;sans-serif"/>
          <w:b w:val="false"/>
          <w:color w:val="000000"/>
          <w:sz w:val="20"/>
        </w:rPr>
      </w:pPr>
      <w:r>
        <w:rPr>
          <w:rFonts w:ascii="Lato;sans-serif" w:hAnsi="Lato;sans-serif"/>
          <w:b w:val="false"/>
          <w:color w:val="000000"/>
          <w:sz w:val="20"/>
        </w:rPr>
        <w:t>Mr. Wurzbacher has served on the Board since August 2024, and currently serves as Chair of the Compensation Committee and as a member of the Nominating and Corporate Governance Committee. The Board believes that Mr. Wurzbacher’s management experience, including his role as Chief Investment Officer at HighSage Ventures, together with his familiarity with the Company’s business and governance practices gained through his Board and committee service, positions him well to serve as Lead Independent Director and to continue providing strong, independent leadership for the Board.</w:t>
      </w:r>
    </w:p>
    <w:p>
      <w:pPr>
        <w:pStyle w:val="TextBody"/>
        <w:bidi w:val="0"/>
        <w:spacing w:lineRule="auto" w:line="288" w:before="0" w:after="180"/>
        <w:jc w:val="both"/>
        <w:rPr>
          <w:rFonts w:ascii="Lato;sans-serif" w:hAnsi="Lato;sans-serif"/>
          <w:b w:val="false"/>
          <w:color w:val="000000"/>
          <w:sz w:val="20"/>
        </w:rPr>
      </w:pPr>
      <w:r>
        <w:rPr>
          <w:rFonts w:ascii="Lato;sans-serif" w:hAnsi="Lato;sans-serif"/>
          <w:b w:val="false"/>
          <w:color w:val="000000"/>
          <w:sz w:val="20"/>
        </w:rPr>
        <w:t>The Board believes that the combined Chairman and CEO structure, together with a strong, empowered Lead Independent Director, provides the right leadership framework for the Company at this time. This structure balances the benefits of unified leadership of the Company with robust independent oversight of management, while ensuring that the appropriate level of independent leadership is brought to bear on sensitive issues.</w:t>
      </w:r>
    </w:p>
    <w:p>
      <w:pPr>
        <w:pStyle w:val="TextBody"/>
        <w:bidi w:val="0"/>
        <w:spacing w:lineRule="auto" w:line="288" w:before="0" w:after="180"/>
        <w:jc w:val="both"/>
        <w:rPr>
          <w:rFonts w:ascii="Lato;sans-serif" w:hAnsi="Lato;sans-serif"/>
          <w:b w:val="false"/>
          <w:color w:val="000000"/>
          <w:sz w:val="20"/>
        </w:rPr>
      </w:pPr>
      <w:r>
        <w:rPr>
          <w:rFonts w:ascii="Lato;sans-serif" w:hAnsi="Lato;sans-serif"/>
          <w:b w:val="false"/>
          <w:color w:val="000000"/>
          <w:sz w:val="20"/>
        </w:rPr>
        <w:t>The appointment of Mr. Wurzbacher as the Board’s Lead Independent Director is in furtherance of, and follows the principles set forth in, our Corporate Governance Guidelines, which provide that, among other things, whenever the Chairman of our Board is also the Chief Executive Officer or is a director who does not otherwise qualify as an “independent director,” the independent directors may, but are not obligated to, appoint from among themselves a Lead Independent Director.</w:t>
      </w:r>
    </w:p>
    <w:p>
      <w:pPr>
        <w:pStyle w:val="TextBody"/>
        <w:bidi w:val="0"/>
        <w:spacing w:lineRule="auto" w:line="288" w:before="0" w:after="180"/>
        <w:jc w:val="both"/>
        <w:rPr>
          <w:rFonts w:ascii="Lato;sans-serif" w:hAnsi="Lato;sans-serif"/>
          <w:b w:val="false"/>
          <w:color w:val="000000"/>
          <w:sz w:val="20"/>
        </w:rPr>
      </w:pPr>
      <w:r>
        <w:rPr>
          <w:rFonts w:ascii="Lato;sans-serif" w:hAnsi="Lato;sans-serif"/>
          <w:b w:val="false"/>
          <w:color w:val="000000"/>
          <w:sz w:val="20"/>
        </w:rPr>
        <w:t>Mr. Wurzbacher’s appointment as the Lead Independent Director was effectuated following the recommendation of the Nominating and Corporate Governance Committee, which was subsequently approved by the independent members of the Board. Mr. Wurzbacher will serve as the Lead Independent Director of the Board until the Company’s 2027 Annual Meeting of Stockholders, or until his successor is duly appointed and qualified.</w:t>
      </w:r>
    </w:p>
    <w:p>
      <w:pPr>
        <w:pStyle w:val="TextBody"/>
        <w:bidi w:val="0"/>
        <w:spacing w:lineRule="auto" w:line="288" w:before="0" w:after="180"/>
        <w:jc w:val="both"/>
        <w:rPr>
          <w:rFonts w:ascii="Lato;sans-serif" w:hAnsi="Lato;sans-serif"/>
          <w:b w:val="false"/>
          <w:color w:val="000000"/>
          <w:sz w:val="20"/>
        </w:rPr>
      </w:pPr>
      <w:r>
        <w:rPr>
          <w:rFonts w:ascii="Lato;sans-serif" w:hAnsi="Lato;sans-serif"/>
          <w:b w:val="false"/>
          <w:color w:val="000000"/>
          <w:sz w:val="20"/>
        </w:rPr>
        <w:t>In accordance with the Company’s Corporate Governance Guidelines, Mr. Wurzbacher, in his capacity as the Lead Independent Director of the Board, will be responsible for coordinating the efforts of the independent directors of the Board to help ensure that objective judgment is brought on critical issues involving the management of the Company and, in particular, the performance of senior management, and shall be responsible for, among other things:</w:t>
      </w:r>
    </w:p>
    <w:p>
      <w:pPr>
        <w:pStyle w:val="TextBody"/>
        <w:bidi w:val="0"/>
        <w:spacing w:lineRule="auto" w:line="288" w:before="0" w:after="100"/>
        <w:ind w:left="0" w:right="0" w:hanging="360"/>
        <w:jc w:val="left"/>
        <w:rPr/>
      </w:pPr>
      <w:r>
        <w:rPr>
          <w:color w:val="000000"/>
        </w:rPr>
        <w:t>•</w:t>
      </w:r>
      <w:r>
        <w:rPr>
          <w:rFonts w:ascii="Lato;sans-serif" w:hAnsi="Lato;sans-serif"/>
          <w:b w:val="false"/>
          <w:color w:val="000000"/>
          <w:sz w:val="20"/>
        </w:rPr>
        <w:t>Presiding over all meetings of the Board at which the Chairperson is not present, including any executive sessions;</w:t>
      </w:r>
    </w:p>
    <w:p>
      <w:pPr>
        <w:pStyle w:val="TextBody"/>
        <w:bidi w:val="0"/>
        <w:spacing w:lineRule="auto" w:line="288" w:before="0" w:after="100"/>
        <w:ind w:left="0" w:right="0" w:hanging="360"/>
        <w:jc w:val="left"/>
        <w:rPr/>
      </w:pPr>
      <w:r>
        <w:rPr>
          <w:color w:val="000000"/>
        </w:rPr>
        <w:t>•</w:t>
      </w:r>
      <w:r>
        <w:rPr>
          <w:rFonts w:ascii="Lato;sans-serif" w:hAnsi="Lato;sans-serif"/>
          <w:b w:val="false"/>
          <w:color w:val="000000"/>
          <w:sz w:val="20"/>
        </w:rPr>
        <w:t>Assisting in the scheduling of Board meetings and approving meeting agendas and meeting schedules;</w:t>
      </w:r>
    </w:p>
    <w:p>
      <w:pPr>
        <w:pStyle w:val="TextBody"/>
        <w:bidi w:val="0"/>
        <w:spacing w:lineRule="auto" w:line="288" w:before="0" w:after="100"/>
        <w:ind w:left="0" w:right="0" w:hanging="360"/>
        <w:jc w:val="left"/>
        <w:rPr/>
      </w:pPr>
      <w:r>
        <w:rPr>
          <w:color w:val="000000"/>
        </w:rPr>
        <w:t>•</w:t>
      </w:r>
      <w:r>
        <w:rPr>
          <w:rFonts w:ascii="Lato;sans-serif" w:hAnsi="Lato;sans-serif"/>
          <w:b w:val="false"/>
          <w:color w:val="000000"/>
          <w:sz w:val="20"/>
        </w:rPr>
        <w:t>Briefing the CEO on issues from executive sessions as appropriate;</w:t>
      </w:r>
    </w:p>
    <w:p>
      <w:pPr>
        <w:pStyle w:val="TextBody"/>
        <w:bidi w:val="0"/>
        <w:spacing w:lineRule="auto" w:line="288" w:before="0" w:after="100"/>
        <w:ind w:left="0" w:right="0" w:hanging="360"/>
        <w:jc w:val="left"/>
        <w:rPr/>
      </w:pPr>
      <w:r>
        <w:rPr>
          <w:color w:val="000000"/>
        </w:rPr>
        <w:t>•</w:t>
      </w:r>
      <w:r>
        <w:rPr>
          <w:rFonts w:ascii="Lato;sans-serif" w:hAnsi="Lato;sans-serif"/>
          <w:b w:val="false"/>
          <w:color w:val="000000"/>
          <w:sz w:val="20"/>
        </w:rPr>
        <w:t>Communicating with the CEO, together with the Chairperson of the Compensation Committee (if applicable), the results of the Board’s evaluation of CEO performance;</w:t>
      </w:r>
    </w:p>
    <w:p>
      <w:pPr>
        <w:pStyle w:val="TextBody"/>
        <w:bidi w:val="0"/>
        <w:spacing w:lineRule="auto" w:line="288" w:before="0" w:after="100"/>
        <w:ind w:left="0" w:right="0" w:hanging="360"/>
        <w:jc w:val="left"/>
        <w:rPr/>
      </w:pPr>
      <w:r>
        <w:rPr>
          <w:color w:val="000000"/>
        </w:rPr>
        <w:t>•</w:t>
      </w:r>
      <w:r>
        <w:rPr>
          <w:rFonts w:ascii="Lato;sans-serif" w:hAnsi="Lato;sans-serif"/>
          <w:b w:val="false"/>
          <w:color w:val="000000"/>
          <w:sz w:val="20"/>
        </w:rPr>
        <w:t>Collaborating with the CEO on Board meeting agendas and approving such agendas;</w:t>
      </w:r>
    </w:p>
    <w:p>
      <w:pPr>
        <w:pStyle w:val="TextBody"/>
        <w:bidi w:val="0"/>
        <w:spacing w:lineRule="auto" w:line="288" w:before="0" w:after="100"/>
        <w:ind w:left="0" w:right="0" w:hanging="360"/>
        <w:jc w:val="left"/>
        <w:rPr/>
      </w:pPr>
      <w:r>
        <w:rPr>
          <w:color w:val="000000"/>
        </w:rPr>
        <w:t>•</w:t>
      </w:r>
      <w:r>
        <w:rPr>
          <w:rFonts w:ascii="Lato;sans-serif" w:hAnsi="Lato;sans-serif"/>
          <w:b w:val="false"/>
          <w:color w:val="000000"/>
          <w:sz w:val="20"/>
        </w:rPr>
        <w:t>Collaborating with the CEO in determining the need for special meetings of the Board;</w:t>
      </w:r>
    </w:p>
    <w:p>
      <w:pPr>
        <w:pStyle w:val="TextBody"/>
        <w:bidi w:val="0"/>
        <w:spacing w:lineRule="auto" w:line="288" w:before="0" w:after="100"/>
        <w:ind w:left="0" w:right="0" w:hanging="360"/>
        <w:jc w:val="left"/>
        <w:rPr/>
      </w:pPr>
      <w:r>
        <w:rPr>
          <w:color w:val="000000"/>
        </w:rPr>
        <w:t>•</w:t>
      </w:r>
      <w:r>
        <w:rPr>
          <w:rFonts w:ascii="Lato;sans-serif" w:hAnsi="Lato;sans-serif"/>
          <w:b w:val="false"/>
          <w:color w:val="000000"/>
          <w:sz w:val="20"/>
        </w:rPr>
        <w:t>Providing leadership and serving as temporary Chairperson of the Board or CEO in the event of the inability of the Chairperson of the Board or CEO to fulfill their role due to crisis or other event or circumstance;</w:t>
      </w:r>
    </w:p>
    <w:p>
      <w:pPr>
        <w:pStyle w:val="TextBody"/>
        <w:bidi w:val="0"/>
        <w:spacing w:lineRule="auto" w:line="288" w:before="0" w:after="100"/>
        <w:ind w:left="0" w:right="0" w:hanging="360"/>
        <w:jc w:val="left"/>
        <w:rPr/>
      </w:pPr>
      <w:r>
        <w:rPr>
          <w:color w:val="000000"/>
        </w:rPr>
        <w:t>•</w:t>
      </w:r>
      <w:r>
        <w:rPr>
          <w:rFonts w:ascii="Lato;sans-serif" w:hAnsi="Lato;sans-serif"/>
          <w:b w:val="false"/>
          <w:color w:val="000000"/>
          <w:sz w:val="20"/>
        </w:rPr>
        <w:t>Being available for consultation and direct communication if requested by major shareholders;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352425"/>
                <wp:effectExtent l="0" t="0" r="0" b="0"/>
                <wp:wrapNone/>
                <wp:docPr id="39" name="Frame25"/>
                <a:graphic xmlns:a="http://schemas.openxmlformats.org/drawingml/2006/main">
                  <a:graphicData uri="http://schemas.microsoft.com/office/word/2010/wordprocessingShape">
                    <wps:wsp>
                      <wps:cNvSpPr txBox="1"/>
                      <wps:spPr>
                        <a:xfrm>
                          <a:off x="0" y="0"/>
                          <a:ext cx="6480175" cy="352425"/>
                        </a:xfrm>
                        <a:prstGeom prst="rect"/>
                        <a:solidFill>
                          <a:srgbClr val="FFFFFF"/>
                        </a:solidFill>
                      </wps:spPr>
                      <wps:txbx>
                        <w:txbxContent>
                          <w:p>
                            <w:pPr>
                              <w:pStyle w:val="TextBody"/>
                              <w:bidi w:val="0"/>
                              <w:spacing w:lineRule="auto" w:line="288" w:before="0" w:after="0"/>
                              <w:jc w:val="center"/>
                              <w:rPr>
                                <w:rFonts w:ascii="Lato;sans-serif" w:hAnsi="Lato;sans-serif"/>
                                <w:b w:val="false"/>
                                <w:color w:val="000000"/>
                                <w:sz w:val="20"/>
                              </w:rPr>
                            </w:pPr>
                            <w:r>
                              <w:rPr>
                                <w:rFonts w:ascii="Lato;sans-serif" w:hAnsi="Lato;sans-serif"/>
                                <w:b w:val="false"/>
                                <w:color w:val="000000"/>
                                <w:sz w:val="20"/>
                              </w:rPr>
                              <w:t>19</w:t>
                            </w:r>
                          </w:p>
                          <w:p>
                            <w:pPr>
                              <w:pStyle w:val="TextBody"/>
                              <w:bidi w:val="0"/>
                              <w:spacing w:lineRule="auto" w:line="288" w:before="0" w:after="0"/>
                              <w:jc w:val="left"/>
                              <w:rPr>
                                <w:color w:val="000000"/>
                              </w:rPr>
                            </w:pPr>
                            <w:r>
                              <w:rPr>
                                <w:color w:val="000000"/>
                              </w:rPr>
                              <w:t>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Lato;sans-serif" w:hAnsi="Lato;sans-serif"/>
                          <w:b w:val="false"/>
                          <w:color w:val="000000"/>
                          <w:sz w:val="20"/>
                        </w:rPr>
                      </w:pPr>
                      <w:r>
                        <w:rPr>
                          <w:rFonts w:ascii="Lato;sans-serif" w:hAnsi="Lato;sans-serif"/>
                          <w:b w:val="false"/>
                          <w:color w:val="000000"/>
                          <w:sz w:val="20"/>
                        </w:rPr>
                        <w:t>19</w:t>
                      </w:r>
                    </w:p>
                    <w:p>
                      <w:pPr>
                        <w:pStyle w:val="TextBody"/>
                        <w:bidi w:val="0"/>
                        <w:spacing w:lineRule="auto" w:line="288" w:before="0" w:after="0"/>
                        <w:jc w:val="left"/>
                        <w:rPr>
                          <w:color w:val="000000"/>
                        </w:rPr>
                      </w:pPr>
                      <w:r>
                        <w:rPr>
                          <w:color w:val="000000"/>
                        </w:rPr>
                        <w:t>        </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00"/>
        <w:ind w:left="0" w:right="0" w:hanging="360"/>
        <w:jc w:val="left"/>
        <w:rPr/>
      </w:pPr>
      <w:r>
        <w:rPr>
          <w:color w:val="000000"/>
        </w:rPr>
        <w:t>•</w:t>
      </w:r>
      <w:r>
        <w:rPr>
          <w:rFonts w:ascii="Lato;sans-serif" w:hAnsi="Lato;sans-serif"/>
          <w:b w:val="false"/>
          <w:color w:val="000000"/>
          <w:sz w:val="20"/>
        </w:rPr>
        <w:t>Acting as the liaison between the independent or non-management directors and the Chairperson of the Board, as appropriate;</w:t>
      </w:r>
    </w:p>
    <w:p>
      <w:pPr>
        <w:pStyle w:val="TextBody"/>
        <w:bidi w:val="0"/>
        <w:spacing w:lineRule="auto" w:line="288" w:before="0" w:after="100"/>
        <w:ind w:left="0" w:right="0" w:hanging="360"/>
        <w:jc w:val="left"/>
        <w:rPr/>
      </w:pPr>
      <w:r>
        <w:rPr>
          <w:color w:val="000000"/>
        </w:rPr>
        <w:t>•</w:t>
      </w:r>
      <w:r>
        <w:rPr>
          <w:rFonts w:ascii="Lato;sans-serif" w:hAnsi="Lato;sans-serif"/>
          <w:b w:val="false"/>
          <w:color w:val="000000"/>
          <w:sz w:val="20"/>
        </w:rPr>
        <w:t>Calling meetings of the independent directors when necessary and appropriate; and</w:t>
      </w:r>
    </w:p>
    <w:p>
      <w:pPr>
        <w:pStyle w:val="TextBody"/>
        <w:bidi w:val="0"/>
        <w:spacing w:lineRule="auto" w:line="288" w:before="0" w:after="180"/>
        <w:ind w:left="0" w:right="0" w:hanging="360"/>
        <w:jc w:val="left"/>
        <w:rPr/>
      </w:pPr>
      <w:r>
        <w:rPr>
          <w:color w:val="000000"/>
        </w:rPr>
        <w:t>•</w:t>
      </w:r>
      <w:r>
        <w:rPr>
          <w:rFonts w:ascii="Lato;sans-serif" w:hAnsi="Lato;sans-serif"/>
          <w:b w:val="false"/>
          <w:color w:val="000000"/>
          <w:sz w:val="20"/>
        </w:rPr>
        <w:t>Recommending to the Board, in concert with the chairpersons of the respective Board committees, the retention of consultants and advisors who directly report to the Board.</w:t>
      </w:r>
    </w:p>
    <w:p>
      <w:pPr>
        <w:pStyle w:val="TextBody"/>
        <w:bidi w:val="0"/>
        <w:spacing w:lineRule="auto" w:line="288" w:before="300" w:after="180"/>
        <w:jc w:val="both"/>
        <w:rPr>
          <w:rFonts w:ascii="Lato;sans-serif" w:hAnsi="Lato;sans-serif"/>
          <w:b w:val="false"/>
          <w:i/>
          <w:color w:val="000000"/>
          <w:sz w:val="20"/>
        </w:rPr>
      </w:pPr>
      <w:r>
        <w:rPr>
          <w:rFonts w:ascii="Lato;sans-serif" w:hAnsi="Lato;sans-serif"/>
          <w:b w:val="false"/>
          <w:i/>
          <w:color w:val="000000"/>
          <w:sz w:val="20"/>
        </w:rPr>
        <w:t>Additional Board Leadership and Structure Considerations</w:t>
      </w:r>
    </w:p>
    <w:p>
      <w:pPr>
        <w:pStyle w:val="TextBody"/>
        <w:bidi w:val="0"/>
        <w:spacing w:lineRule="auto" w:line="288" w:before="180" w:after="180"/>
        <w:jc w:val="both"/>
        <w:rPr>
          <w:rFonts w:ascii="Lato;sans-serif" w:hAnsi="Lato;sans-serif"/>
          <w:b w:val="false"/>
          <w:color w:val="000000"/>
          <w:sz w:val="20"/>
        </w:rPr>
      </w:pPr>
      <w:r>
        <w:rPr>
          <w:rFonts w:ascii="Lato;sans-serif" w:hAnsi="Lato;sans-serif"/>
          <w:b w:val="false"/>
          <w:color w:val="000000"/>
          <w:sz w:val="20"/>
        </w:rPr>
        <w:t>Factors that our Board considers in reviewing its leadership structure and making these determinations include, but are not limited to, the current composition of the Board and the Board’s standing committee, the policies and practices in place to provide independent Board oversight of management, the Company’s circumstances, and the views of our stockholders and other stakeholders.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00" w:after="180"/>
        <w:jc w:val="both"/>
        <w:rPr>
          <w:rFonts w:ascii="Lato;sans-serif" w:hAnsi="Lato;sans-serif"/>
          <w:b/>
          <w:color w:val="000000"/>
          <w:sz w:val="20"/>
        </w:rPr>
      </w:pPr>
      <w:r>
        <w:rPr>
          <w:rFonts w:ascii="Lato;sans-serif" w:hAnsi="Lato;sans-serif"/>
          <w:b/>
          <w:color w:val="000000"/>
          <w:sz w:val="20"/>
        </w:rPr>
        <w:t>Compensation Committee Interlocks and Insider Participation</w:t>
      </w:r>
    </w:p>
    <w:p>
      <w:pPr>
        <w:pStyle w:val="TextBody"/>
        <w:bidi w:val="0"/>
        <w:spacing w:lineRule="auto" w:line="288" w:before="180" w:after="180"/>
        <w:jc w:val="both"/>
        <w:rPr>
          <w:rFonts w:ascii="Lato;sans-serif" w:hAnsi="Lato;sans-serif"/>
          <w:b w:val="false"/>
          <w:color w:val="000000"/>
          <w:sz w:val="20"/>
        </w:rPr>
      </w:pPr>
      <w:r>
        <w:rPr>
          <w:rFonts w:ascii="Lato;sans-serif" w:hAnsi="Lato;sans-serif"/>
          <w:b w:val="false"/>
          <w:color w:val="000000"/>
          <w:sz w:val="20"/>
        </w:rPr>
        <w:t>The members of our Compensation Committee during 2025 included Mses. Evans and Gleeson, and Messrs. Winn and Wurzbacher, as well as former director Patrick McCarter through February 28, 2025. None of the members of our Compensation Committee during 2025 has at any time been one of our executive officers or employees. None of our executive officers currently serves, or has served during the last completed fiscal year, on the compensation committee or board of directors of any other entity that has one or more executive officers serving as a member of our Board of Directors or Compensation Committee.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00" w:after="180"/>
        <w:jc w:val="left"/>
        <w:rPr>
          <w:rFonts w:ascii="Lato;sans-serif" w:hAnsi="Lato;sans-serif"/>
          <w:b/>
          <w:color w:val="000000"/>
          <w:sz w:val="20"/>
        </w:rPr>
      </w:pPr>
      <w:r>
        <w:rPr>
          <w:rFonts w:ascii="Lato;sans-serif" w:hAnsi="Lato;sans-serif"/>
          <w:b/>
          <w:color w:val="000000"/>
          <w:sz w:val="20"/>
        </w:rPr>
        <w:t>Executive Sessions</w:t>
      </w:r>
    </w:p>
    <w:p>
      <w:pPr>
        <w:pStyle w:val="TextBody"/>
        <w:bidi w:val="0"/>
        <w:spacing w:lineRule="auto" w:line="288" w:before="180" w:after="180"/>
        <w:jc w:val="both"/>
        <w:rPr/>
      </w:pPr>
      <w:r>
        <w:rPr>
          <w:rFonts w:ascii="Lato;sans-serif" w:hAnsi="Lato;sans-serif"/>
          <w:b w:val="false"/>
          <w:color w:val="000000"/>
          <w:sz w:val="20"/>
        </w:rPr>
        <w:t xml:space="preserve">Executive sessions, which are meetings of the non-management members of the Board, are regularly scheduled throughout the year. In addition, </w:t>
      </w:r>
      <w:r>
        <w:rPr>
          <w:rFonts w:ascii="Lato;sans-serif" w:hAnsi="Lato;sans-serif"/>
          <w:b w:val="false"/>
          <w:color w:val="000000"/>
          <w:sz w:val="20"/>
          <w:shd w:fill="FFFFFF" w:val="clear"/>
        </w:rPr>
        <w:t>at each regularly scheduled Board meeting (and in any event at least twice per year)</w:t>
      </w:r>
      <w:r>
        <w:rPr>
          <w:rFonts w:ascii="Lato;sans-serif" w:hAnsi="Lato;sans-serif"/>
          <w:b w:val="false"/>
          <w:color w:val="000000"/>
          <w:sz w:val="20"/>
        </w:rPr>
        <w:t>, the independent directors meet in a private session that excludes management and any non-independent directors.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00" w:after="180"/>
        <w:jc w:val="both"/>
        <w:rPr>
          <w:rFonts w:ascii="Lato;sans-serif" w:hAnsi="Lato;sans-serif"/>
          <w:b/>
          <w:color w:val="000000"/>
          <w:sz w:val="20"/>
        </w:rPr>
      </w:pPr>
      <w:r>
        <w:rPr>
          <w:rFonts w:ascii="Lato;sans-serif" w:hAnsi="Lato;sans-serif"/>
          <w:b/>
          <w:color w:val="000000"/>
          <w:sz w:val="20"/>
        </w:rPr>
        <w:t>Communications with the Board</w:t>
      </w:r>
    </w:p>
    <w:p>
      <w:pPr>
        <w:pStyle w:val="TextBody"/>
        <w:bidi w:val="0"/>
        <w:spacing w:lineRule="auto" w:line="288" w:before="180" w:after="180"/>
        <w:jc w:val="both"/>
        <w:rPr>
          <w:rFonts w:ascii="Lato;sans-serif" w:hAnsi="Lato;sans-serif"/>
          <w:b w:val="false"/>
          <w:color w:val="000000"/>
          <w:sz w:val="20"/>
        </w:rPr>
      </w:pPr>
      <w:r>
        <w:rPr>
          <w:rFonts w:ascii="Lato;sans-serif" w:hAnsi="Lato;sans-serif"/>
          <w:b w:val="false"/>
          <w:color w:val="000000"/>
          <w:sz w:val="20"/>
        </w:rPr>
        <w:t>As described in our Corporate Governance Guidelines, stockholders and other interested parties who wish to communicate with a member or members of our Board of Directors, including each of the committees of the Board, or with the non-management or independent directors as a group, may do so by addressing such communications or concerns to the General Counsel of the Company, at 330 W Columbia Way, Floor 8, Vancouver, Washington 98660, who will forward such communication to the appropriate party.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352425"/>
                <wp:effectExtent l="0" t="0" r="0" b="0"/>
                <wp:wrapNone/>
                <wp:docPr id="40" name="Frame26"/>
                <a:graphic xmlns:a="http://schemas.openxmlformats.org/drawingml/2006/main">
                  <a:graphicData uri="http://schemas.microsoft.com/office/word/2010/wordprocessingShape">
                    <wps:wsp>
                      <wps:cNvSpPr txBox="1"/>
                      <wps:spPr>
                        <a:xfrm>
                          <a:off x="0" y="0"/>
                          <a:ext cx="6480175" cy="352425"/>
                        </a:xfrm>
                        <a:prstGeom prst="rect"/>
                        <a:solidFill>
                          <a:srgbClr val="FFFFFF"/>
                        </a:solidFill>
                      </wps:spPr>
                      <wps:txbx>
                        <w:txbxContent>
                          <w:p>
                            <w:pPr>
                              <w:pStyle w:val="TextBody"/>
                              <w:bidi w:val="0"/>
                              <w:spacing w:lineRule="auto" w:line="288" w:before="0" w:after="0"/>
                              <w:jc w:val="center"/>
                              <w:rPr>
                                <w:rFonts w:ascii="Lato;sans-serif" w:hAnsi="Lato;sans-serif"/>
                                <w:b w:val="false"/>
                                <w:color w:val="000000"/>
                                <w:sz w:val="20"/>
                              </w:rPr>
                            </w:pPr>
                            <w:r>
                              <w:rPr>
                                <w:rFonts w:ascii="Lato;sans-serif" w:hAnsi="Lato;sans-serif"/>
                                <w:b w:val="false"/>
                                <w:color w:val="000000"/>
                                <w:sz w:val="20"/>
                              </w:rPr>
                              <w:t>20</w:t>
                            </w:r>
                          </w:p>
                          <w:p>
                            <w:pPr>
                              <w:pStyle w:val="TextBody"/>
                              <w:bidi w:val="0"/>
                              <w:spacing w:lineRule="auto" w:line="288" w:before="0" w:after="0"/>
                              <w:jc w:val="left"/>
                              <w:rPr>
                                <w:color w:val="000000"/>
                              </w:rPr>
                            </w:pPr>
                            <w:r>
                              <w:rPr>
                                <w:color w:val="000000"/>
                              </w:rPr>
                              <w:t>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Lato;sans-serif" w:hAnsi="Lato;sans-serif"/>
                          <w:b w:val="false"/>
                          <w:color w:val="000000"/>
                          <w:sz w:val="20"/>
                        </w:rPr>
                      </w:pPr>
                      <w:r>
                        <w:rPr>
                          <w:rFonts w:ascii="Lato;sans-serif" w:hAnsi="Lato;sans-serif"/>
                          <w:b w:val="false"/>
                          <w:color w:val="000000"/>
                          <w:sz w:val="20"/>
                        </w:rPr>
                        <w:t>20</w:t>
                      </w:r>
                    </w:p>
                    <w:p>
                      <w:pPr>
                        <w:pStyle w:val="TextBody"/>
                        <w:bidi w:val="0"/>
                        <w:spacing w:lineRule="auto" w:line="288" w:before="0" w:after="0"/>
                        <w:jc w:val="left"/>
                        <w:rPr>
                          <w:color w:val="000000"/>
                        </w:rPr>
                      </w:pPr>
                      <w:r>
                        <w:rPr>
                          <w:color w:val="000000"/>
                        </w:rPr>
                        <w:t>        </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300" w:after="180"/>
        <w:jc w:val="both"/>
        <w:rPr>
          <w:rFonts w:ascii="Lato;sans-serif" w:hAnsi="Lato;sans-serif"/>
          <w:b/>
          <w:color w:val="000000"/>
          <w:sz w:val="20"/>
        </w:rPr>
      </w:pPr>
      <w:r>
        <w:rPr>
          <w:rFonts w:ascii="Lato;sans-serif" w:hAnsi="Lato;sans-serif"/>
          <w:b/>
          <w:color w:val="000000"/>
          <w:sz w:val="20"/>
        </w:rPr>
        <w:t>Board Committees and Meetings</w:t>
      </w:r>
    </w:p>
    <w:p>
      <w:pPr>
        <w:pStyle w:val="TextBody"/>
        <w:bidi w:val="0"/>
        <w:spacing w:lineRule="auto" w:line="288" w:before="180" w:after="180"/>
        <w:jc w:val="both"/>
        <w:rPr>
          <w:rFonts w:ascii="Lato;sans-serif" w:hAnsi="Lato;sans-serif"/>
          <w:b w:val="false"/>
          <w:color w:val="000000"/>
          <w:sz w:val="20"/>
        </w:rPr>
      </w:pPr>
      <w:r>
        <w:rPr>
          <w:rFonts w:ascii="Lato;sans-serif" w:hAnsi="Lato;sans-serif"/>
          <w:b w:val="false"/>
          <w:color w:val="000000"/>
          <w:sz w:val="20"/>
        </w:rPr>
        <w:t>The following table summarizes the current membership of each of the Board’s committees and the number of meetings held by each committee during the year ended December 31, 2025.</w:t>
      </w:r>
    </w:p>
    <w:tbl>
      <w:tblPr>
        <w:tblW w:w="10205" w:type="dxa"/>
        <w:jc w:val="left"/>
        <w:tblInd w:w="0" w:type="dxa"/>
        <w:tblLayout w:type="fixed"/>
        <w:tblCellMar>
          <w:top w:w="28" w:type="dxa"/>
          <w:left w:w="28" w:type="dxa"/>
          <w:bottom w:w="28" w:type="dxa"/>
          <w:right w:w="28" w:type="dxa"/>
        </w:tblCellMar>
      </w:tblPr>
      <w:tblGrid>
        <w:gridCol w:w="829"/>
        <w:gridCol w:w="472"/>
        <w:gridCol w:w="445"/>
        <w:gridCol w:w="109"/>
        <w:gridCol w:w="109"/>
        <w:gridCol w:w="109"/>
        <w:gridCol w:w="470"/>
        <w:gridCol w:w="470"/>
        <w:gridCol w:w="471"/>
        <w:gridCol w:w="109"/>
        <w:gridCol w:w="109"/>
        <w:gridCol w:w="109"/>
        <w:gridCol w:w="560"/>
        <w:gridCol w:w="560"/>
        <w:gridCol w:w="561"/>
        <w:gridCol w:w="109"/>
        <w:gridCol w:w="109"/>
        <w:gridCol w:w="109"/>
        <w:gridCol w:w="615"/>
        <w:gridCol w:w="615"/>
        <w:gridCol w:w="616"/>
        <w:gridCol w:w="109"/>
        <w:gridCol w:w="109"/>
        <w:gridCol w:w="109"/>
        <w:gridCol w:w="647"/>
        <w:gridCol w:w="647"/>
        <w:gridCol w:w="919"/>
      </w:tblGrid>
      <w:tr>
        <w:trPr/>
        <w:tc>
          <w:tcPr>
            <w:tcW w:w="829" w:type="dxa"/>
            <w:tcBorders/>
            <w:vAlign w:val="center"/>
          </w:tcPr>
          <w:p>
            <w:pPr>
              <w:pStyle w:val="TableContents"/>
              <w:bidi w:val="0"/>
              <w:spacing w:before="0" w:after="283"/>
              <w:jc w:val="left"/>
              <w:rPr>
                <w:sz w:val="4"/>
                <w:szCs w:val="4"/>
              </w:rPr>
            </w:pPr>
            <w:r>
              <w:rPr>
                <w:sz w:val="4"/>
                <w:szCs w:val="4"/>
              </w:rPr>
            </w:r>
          </w:p>
        </w:tc>
        <w:tc>
          <w:tcPr>
            <w:tcW w:w="472" w:type="dxa"/>
            <w:tcBorders/>
            <w:vAlign w:val="center"/>
          </w:tcPr>
          <w:p>
            <w:pPr>
              <w:pStyle w:val="TableContents"/>
              <w:bidi w:val="0"/>
              <w:spacing w:before="0" w:after="283"/>
              <w:jc w:val="left"/>
              <w:rPr>
                <w:sz w:val="4"/>
                <w:szCs w:val="4"/>
              </w:rPr>
            </w:pPr>
            <w:r>
              <w:rPr>
                <w:sz w:val="4"/>
                <w:szCs w:val="4"/>
              </w:rPr>
            </w:r>
          </w:p>
        </w:tc>
        <w:tc>
          <w:tcPr>
            <w:tcW w:w="4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0" w:type="dxa"/>
            <w:tcBorders/>
            <w:vAlign w:val="center"/>
          </w:tcPr>
          <w:p>
            <w:pPr>
              <w:pStyle w:val="TableContents"/>
              <w:bidi w:val="0"/>
              <w:spacing w:before="0" w:after="283"/>
              <w:jc w:val="left"/>
              <w:rPr>
                <w:sz w:val="4"/>
                <w:szCs w:val="4"/>
              </w:rPr>
            </w:pPr>
            <w:r>
              <w:rPr>
                <w:sz w:val="4"/>
                <w:szCs w:val="4"/>
              </w:rPr>
            </w:r>
          </w:p>
        </w:tc>
        <w:tc>
          <w:tcPr>
            <w:tcW w:w="470"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c>
          <w:tcPr>
            <w:tcW w:w="5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15" w:type="dxa"/>
            <w:tcBorders/>
            <w:vAlign w:val="center"/>
          </w:tcPr>
          <w:p>
            <w:pPr>
              <w:pStyle w:val="TableContents"/>
              <w:bidi w:val="0"/>
              <w:spacing w:before="0" w:after="283"/>
              <w:jc w:val="left"/>
              <w:rPr>
                <w:sz w:val="4"/>
                <w:szCs w:val="4"/>
              </w:rPr>
            </w:pPr>
            <w:r>
              <w:rPr>
                <w:sz w:val="4"/>
                <w:szCs w:val="4"/>
              </w:rPr>
            </w:r>
          </w:p>
        </w:tc>
        <w:tc>
          <w:tcPr>
            <w:tcW w:w="615"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47" w:type="dxa"/>
            <w:tcBorders/>
            <w:vAlign w:val="center"/>
          </w:tcPr>
          <w:p>
            <w:pPr>
              <w:pStyle w:val="TableContents"/>
              <w:bidi w:val="0"/>
              <w:spacing w:before="0" w:after="283"/>
              <w:jc w:val="left"/>
              <w:rPr>
                <w:sz w:val="4"/>
                <w:szCs w:val="4"/>
              </w:rPr>
            </w:pPr>
            <w:r>
              <w:rPr>
                <w:sz w:val="4"/>
                <w:szCs w:val="4"/>
              </w:rPr>
            </w:r>
          </w:p>
        </w:tc>
        <w:tc>
          <w:tcPr>
            <w:tcW w:w="647" w:type="dxa"/>
            <w:tcBorders/>
            <w:vAlign w:val="center"/>
          </w:tcPr>
          <w:p>
            <w:pPr>
              <w:pStyle w:val="TableContents"/>
              <w:bidi w:val="0"/>
              <w:spacing w:before="0" w:after="283"/>
              <w:jc w:val="left"/>
              <w:rPr>
                <w:sz w:val="4"/>
                <w:szCs w:val="4"/>
              </w:rPr>
            </w:pPr>
            <w:r>
              <w:rPr>
                <w:sz w:val="4"/>
                <w:szCs w:val="4"/>
              </w:rPr>
            </w:r>
          </w:p>
        </w:tc>
        <w:tc>
          <w:tcPr>
            <w:tcW w:w="919" w:type="dxa"/>
            <w:tcBorders/>
            <w:vAlign w:val="center"/>
          </w:tcPr>
          <w:p>
            <w:pPr>
              <w:pStyle w:val="TableContents"/>
              <w:bidi w:val="0"/>
              <w:spacing w:before="0" w:after="283"/>
              <w:jc w:val="left"/>
              <w:rPr>
                <w:sz w:val="4"/>
                <w:szCs w:val="4"/>
              </w:rPr>
            </w:pPr>
            <w:r>
              <w:rPr>
                <w:sz w:val="4"/>
                <w:szCs w:val="4"/>
              </w:rPr>
            </w:r>
          </w:p>
        </w:tc>
      </w:tr>
      <w:tr>
        <w:trPr/>
        <w:tc>
          <w:tcPr>
            <w:tcW w:w="1746" w:type="dxa"/>
            <w:gridSpan w:val="3"/>
            <w:tcBorders/>
            <w:shd w:fill="F44238" w:val="clear"/>
            <w:tcMar>
              <w:top w:w="0" w:type="dxa"/>
              <w:left w:w="0" w:type="dxa"/>
              <w:bottom w:w="0" w:type="dxa"/>
              <w:right w:w="0" w:type="dxa"/>
            </w:tcMar>
            <w:vAlign w:val="center"/>
          </w:tcPr>
          <w:p>
            <w:pPr>
              <w:pStyle w:val="TableContents"/>
              <w:bidi w:val="0"/>
              <w:spacing w:lineRule="auto" w:line="240" w:before="0" w:after="0"/>
              <w:jc w:val="left"/>
              <w:rPr/>
            </w:pPr>
            <w:r>
              <w:rPr>
                <w:rFonts w:ascii="Lato;sans-serif" w:hAnsi="Lato;sans-serif"/>
                <w:b/>
                <w:color w:val="FFFFFF"/>
                <w:sz w:val="20"/>
              </w:rPr>
              <w:t>Name</w:t>
            </w:r>
            <w:r>
              <w:rPr>
                <w:rFonts w:ascii="Lato;sans-serif" w:hAnsi="Lato;sans-serif"/>
                <w:b/>
                <w:color w:val="FFFFFF"/>
                <w:sz w:val="13"/>
              </w:rPr>
              <w:t>(1)</w:t>
            </w:r>
          </w:p>
        </w:tc>
        <w:tc>
          <w:tcPr>
            <w:tcW w:w="327" w:type="dxa"/>
            <w:gridSpan w:val="3"/>
            <w:tcBorders/>
            <w:shd w:fill="F44238" w:val="clear"/>
            <w:tcMar>
              <w:top w:w="0" w:type="dxa"/>
              <w:left w:w="0" w:type="dxa"/>
              <w:bottom w:w="0" w:type="dxa"/>
              <w:right w:w="0" w:type="dxa"/>
            </w:tcMar>
            <w:vAlign w:val="center"/>
          </w:tcPr>
          <w:p>
            <w:pPr>
              <w:pStyle w:val="TableContents"/>
              <w:bidi w:val="0"/>
              <w:spacing w:before="0" w:after="0"/>
              <w:jc w:val="left"/>
              <w:rPr/>
            </w:pPr>
            <w:r>
              <w:rPr/>
            </w:r>
          </w:p>
        </w:tc>
        <w:tc>
          <w:tcPr>
            <w:tcW w:w="1411" w:type="dxa"/>
            <w:gridSpan w:val="3"/>
            <w:tcBorders/>
            <w:shd w:fill="F44238" w:val="clear"/>
            <w:tcMar>
              <w:top w:w="0" w:type="dxa"/>
              <w:left w:w="0" w:type="dxa"/>
              <w:bottom w:w="0" w:type="dxa"/>
              <w:right w:w="0" w:type="dxa"/>
            </w:tcMar>
            <w:vAlign w:val="center"/>
          </w:tcPr>
          <w:p>
            <w:pPr>
              <w:pStyle w:val="TableContents"/>
              <w:bidi w:val="0"/>
              <w:spacing w:lineRule="auto" w:line="240" w:before="0" w:after="0"/>
              <w:jc w:val="center"/>
              <w:rPr>
                <w:rFonts w:ascii="Lato;sans-serif" w:hAnsi="Lato;sans-serif"/>
                <w:b/>
                <w:color w:val="FFFFFF"/>
                <w:sz w:val="20"/>
              </w:rPr>
            </w:pPr>
            <w:r>
              <w:rPr>
                <w:rFonts w:ascii="Lato;sans-serif" w:hAnsi="Lato;sans-serif"/>
                <w:b/>
                <w:color w:val="FFFFFF"/>
                <w:sz w:val="20"/>
              </w:rPr>
              <w:t>Audit</w:t>
            </w:r>
          </w:p>
          <w:p>
            <w:pPr>
              <w:pStyle w:val="TableContents"/>
              <w:bidi w:val="0"/>
              <w:spacing w:lineRule="auto" w:line="240" w:before="0" w:after="0"/>
              <w:jc w:val="center"/>
              <w:rPr/>
            </w:pPr>
            <w:r>
              <w:rPr>
                <w:rFonts w:ascii="Lato;sans-serif" w:hAnsi="Lato;sans-serif"/>
                <w:b/>
                <w:color w:val="FFFFFF"/>
                <w:sz w:val="20"/>
              </w:rPr>
              <w:t>Committee</w:t>
            </w:r>
            <w:r>
              <w:rPr>
                <w:rFonts w:ascii="Lato;sans-serif" w:hAnsi="Lato;sans-serif"/>
                <w:b/>
                <w:color w:val="FFFFFF"/>
                <w:sz w:val="13"/>
              </w:rPr>
              <w:t>(2)</w:t>
            </w:r>
          </w:p>
        </w:tc>
        <w:tc>
          <w:tcPr>
            <w:tcW w:w="327" w:type="dxa"/>
            <w:gridSpan w:val="3"/>
            <w:tcBorders/>
            <w:shd w:fill="F4423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1" w:type="dxa"/>
            <w:gridSpan w:val="3"/>
            <w:tcBorders/>
            <w:shd w:fill="F44238" w:val="clear"/>
            <w:tcMar>
              <w:top w:w="0" w:type="dxa"/>
              <w:left w:w="0" w:type="dxa"/>
              <w:bottom w:w="0" w:type="dxa"/>
              <w:right w:w="0" w:type="dxa"/>
            </w:tcMar>
            <w:vAlign w:val="center"/>
          </w:tcPr>
          <w:p>
            <w:pPr>
              <w:pStyle w:val="TableContents"/>
              <w:bidi w:val="0"/>
              <w:spacing w:lineRule="auto" w:line="240" w:before="0" w:after="0"/>
              <w:jc w:val="center"/>
              <w:rPr>
                <w:rFonts w:ascii="Lato;sans-serif" w:hAnsi="Lato;sans-serif"/>
                <w:b/>
                <w:color w:val="FFFFFF"/>
                <w:sz w:val="20"/>
              </w:rPr>
            </w:pPr>
            <w:r>
              <w:rPr>
                <w:rFonts w:ascii="Lato;sans-serif" w:hAnsi="Lato;sans-serif"/>
                <w:b/>
                <w:color w:val="FFFFFF"/>
                <w:sz w:val="20"/>
              </w:rPr>
              <w:t>Compensation</w:t>
            </w:r>
          </w:p>
          <w:p>
            <w:pPr>
              <w:pStyle w:val="TableContents"/>
              <w:bidi w:val="0"/>
              <w:spacing w:lineRule="auto" w:line="240" w:before="0" w:after="0"/>
              <w:jc w:val="center"/>
              <w:rPr/>
            </w:pPr>
            <w:r>
              <w:rPr>
                <w:rFonts w:ascii="Lato;sans-serif" w:hAnsi="Lato;sans-serif"/>
                <w:b/>
                <w:color w:val="FFFFFF"/>
                <w:sz w:val="20"/>
              </w:rPr>
              <w:t>Committee</w:t>
            </w:r>
            <w:r>
              <w:rPr>
                <w:rFonts w:ascii="Lato;sans-serif" w:hAnsi="Lato;sans-serif"/>
                <w:b/>
                <w:color w:val="FFFFFF"/>
                <w:sz w:val="13"/>
              </w:rPr>
              <w:t>(3)</w:t>
            </w:r>
          </w:p>
        </w:tc>
        <w:tc>
          <w:tcPr>
            <w:tcW w:w="327" w:type="dxa"/>
            <w:gridSpan w:val="3"/>
            <w:tcBorders/>
            <w:shd w:fill="F4423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6" w:type="dxa"/>
            <w:gridSpan w:val="3"/>
            <w:tcBorders/>
            <w:shd w:fill="F44238" w:val="clear"/>
            <w:tcMar>
              <w:top w:w="0" w:type="dxa"/>
              <w:left w:w="0" w:type="dxa"/>
              <w:bottom w:w="0" w:type="dxa"/>
              <w:right w:w="0" w:type="dxa"/>
            </w:tcMar>
            <w:vAlign w:val="center"/>
          </w:tcPr>
          <w:p>
            <w:pPr>
              <w:pStyle w:val="TableContents"/>
              <w:bidi w:val="0"/>
              <w:spacing w:lineRule="auto" w:line="240" w:before="0" w:after="0"/>
              <w:jc w:val="center"/>
              <w:rPr>
                <w:rFonts w:ascii="Lato;sans-serif" w:hAnsi="Lato;sans-serif"/>
                <w:b/>
                <w:color w:val="FFFFFF"/>
                <w:sz w:val="20"/>
              </w:rPr>
            </w:pPr>
            <w:r>
              <w:rPr>
                <w:rFonts w:ascii="Lato;sans-serif" w:hAnsi="Lato;sans-serif"/>
                <w:b/>
                <w:color w:val="FFFFFF"/>
                <w:sz w:val="20"/>
              </w:rPr>
              <w:t>Nominating and</w:t>
            </w:r>
          </w:p>
          <w:p>
            <w:pPr>
              <w:pStyle w:val="TableContents"/>
              <w:bidi w:val="0"/>
              <w:spacing w:lineRule="auto" w:line="240" w:before="0" w:after="0"/>
              <w:jc w:val="center"/>
              <w:rPr>
                <w:rFonts w:ascii="Lato;sans-serif" w:hAnsi="Lato;sans-serif"/>
                <w:b/>
                <w:color w:val="FFFFFF"/>
                <w:sz w:val="20"/>
              </w:rPr>
            </w:pPr>
            <w:r>
              <w:rPr>
                <w:rFonts w:ascii="Lato;sans-serif" w:hAnsi="Lato;sans-serif"/>
                <w:b/>
                <w:color w:val="FFFFFF"/>
                <w:sz w:val="20"/>
              </w:rPr>
              <w:t>Corporate </w:t>
            </w:r>
          </w:p>
          <w:p>
            <w:pPr>
              <w:pStyle w:val="TableContents"/>
              <w:bidi w:val="0"/>
              <w:spacing w:lineRule="auto" w:line="240" w:before="0" w:after="0"/>
              <w:jc w:val="center"/>
              <w:rPr>
                <w:rFonts w:ascii="Lato;sans-serif" w:hAnsi="Lato;sans-serif"/>
                <w:b/>
                <w:color w:val="FFFFFF"/>
                <w:sz w:val="20"/>
              </w:rPr>
            </w:pPr>
            <w:r>
              <w:rPr>
                <w:rFonts w:ascii="Lato;sans-serif" w:hAnsi="Lato;sans-serif"/>
                <w:b/>
                <w:color w:val="FFFFFF"/>
                <w:sz w:val="20"/>
              </w:rPr>
              <w:t>Governance</w:t>
            </w:r>
          </w:p>
          <w:p>
            <w:pPr>
              <w:pStyle w:val="TableContents"/>
              <w:bidi w:val="0"/>
              <w:spacing w:lineRule="auto" w:line="240" w:before="0" w:after="0"/>
              <w:jc w:val="center"/>
              <w:rPr/>
            </w:pPr>
            <w:r>
              <w:rPr>
                <w:rFonts w:ascii="Lato;sans-serif" w:hAnsi="Lato;sans-serif"/>
                <w:b/>
                <w:color w:val="FFFFFF"/>
                <w:sz w:val="20"/>
              </w:rPr>
              <w:t>Committee</w:t>
            </w:r>
            <w:r>
              <w:rPr>
                <w:rFonts w:ascii="Lato;sans-serif" w:hAnsi="Lato;sans-serif"/>
                <w:b/>
                <w:color w:val="FFFFFF"/>
                <w:sz w:val="13"/>
              </w:rPr>
              <w:t>(4)</w:t>
            </w:r>
          </w:p>
        </w:tc>
        <w:tc>
          <w:tcPr>
            <w:tcW w:w="327" w:type="dxa"/>
            <w:gridSpan w:val="3"/>
            <w:tcBorders/>
            <w:shd w:fill="F4423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3" w:type="dxa"/>
            <w:gridSpan w:val="3"/>
            <w:tcBorders/>
            <w:shd w:fill="F44238" w:val="clear"/>
            <w:tcMar>
              <w:top w:w="0" w:type="dxa"/>
              <w:left w:w="0" w:type="dxa"/>
              <w:bottom w:w="0" w:type="dxa"/>
              <w:right w:w="0" w:type="dxa"/>
            </w:tcMar>
            <w:vAlign w:val="center"/>
          </w:tcPr>
          <w:p>
            <w:pPr>
              <w:pStyle w:val="TableContents"/>
              <w:bidi w:val="0"/>
              <w:spacing w:lineRule="auto" w:line="240" w:before="0" w:after="0"/>
              <w:jc w:val="center"/>
              <w:rPr>
                <w:rFonts w:ascii="Lato;sans-serif" w:hAnsi="Lato;sans-serif"/>
                <w:b/>
                <w:color w:val="FFFFFF"/>
                <w:sz w:val="20"/>
              </w:rPr>
            </w:pPr>
            <w:r>
              <w:rPr>
                <w:rFonts w:ascii="Lato;sans-serif" w:hAnsi="Lato;sans-serif"/>
                <w:b/>
                <w:color w:val="FFFFFF"/>
                <w:sz w:val="20"/>
              </w:rPr>
              <w:t>Privacy, Security, and Technology Committee</w:t>
            </w:r>
          </w:p>
        </w:tc>
      </w:tr>
      <w:tr>
        <w:trPr/>
        <w:tc>
          <w:tcPr>
            <w:tcW w:w="1746"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0"/>
              <w:ind w:left="0" w:right="0" w:hanging="200"/>
              <w:jc w:val="left"/>
              <w:rPr>
                <w:rFonts w:ascii="Lato;sans-serif" w:hAnsi="Lato;sans-serif"/>
                <w:b w:val="false"/>
                <w:color w:val="000000"/>
                <w:sz w:val="20"/>
              </w:rPr>
            </w:pPr>
            <w:r>
              <w:rPr>
                <w:rFonts w:ascii="Lato;sans-serif" w:hAnsi="Lato;sans-serif"/>
                <w:b w:val="false"/>
                <w:color w:val="000000"/>
                <w:sz w:val="20"/>
              </w:rPr>
              <w:t>Keith Enright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0"/>
              <w:jc w:val="center"/>
              <w:rPr>
                <w:rFonts w:ascii="Lato;sans-serif" w:hAnsi="Lato;sans-serif"/>
                <w:b w:val="false"/>
                <w:color w:val="000000"/>
                <w:sz w:val="20"/>
              </w:rPr>
            </w:pPr>
            <w:r>
              <w:rPr>
                <w:rFonts w:ascii="Lato;sans-serif" w:hAnsi="Lato;sans-serif"/>
                <w:b w:val="false"/>
                <w:color w:val="000000"/>
                <w:sz w:val="20"/>
              </w:rPr>
              <w:t>X</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1"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6"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3"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0"/>
              <w:jc w:val="center"/>
              <w:rPr>
                <w:rFonts w:ascii="Lato;sans-serif" w:hAnsi="Lato;sans-serif"/>
                <w:b w:val="false"/>
                <w:color w:val="000000"/>
                <w:sz w:val="20"/>
              </w:rPr>
            </w:pPr>
            <w:r>
              <w:rPr>
                <w:rFonts w:ascii="Lato;sans-serif" w:hAnsi="Lato;sans-serif"/>
                <w:b w:val="false"/>
                <w:color w:val="000000"/>
                <w:sz w:val="20"/>
              </w:rPr>
              <w:t>Chair</w:t>
            </w:r>
          </w:p>
        </w:tc>
      </w:tr>
      <w:tr>
        <w:trPr/>
        <w:tc>
          <w:tcPr>
            <w:tcW w:w="1746" w:type="dxa"/>
            <w:gridSpan w:val="3"/>
            <w:tcBorders/>
            <w:shd w:fill="DBDBDB" w:val="clear"/>
            <w:tcMar>
              <w:top w:w="0" w:type="dxa"/>
              <w:left w:w="0" w:type="dxa"/>
              <w:bottom w:w="0" w:type="dxa"/>
              <w:right w:w="0" w:type="dxa"/>
            </w:tcMar>
            <w:vAlign w:val="center"/>
          </w:tcPr>
          <w:p>
            <w:pPr>
              <w:pStyle w:val="TableContents"/>
              <w:bidi w:val="0"/>
              <w:spacing w:lineRule="auto" w:line="288" w:before="0" w:after="0"/>
              <w:ind w:left="0" w:right="0" w:hanging="200"/>
              <w:jc w:val="left"/>
              <w:rPr>
                <w:rFonts w:ascii="Lato;sans-serif" w:hAnsi="Lato;sans-serif"/>
                <w:b w:val="false"/>
                <w:color w:val="000000"/>
                <w:sz w:val="20"/>
              </w:rPr>
            </w:pPr>
            <w:r>
              <w:rPr>
                <w:rFonts w:ascii="Lato;sans-serif" w:hAnsi="Lato;sans-serif"/>
                <w:b w:val="false"/>
                <w:color w:val="000000"/>
                <w:sz w:val="20"/>
              </w:rPr>
              <w:t>Ashley S. Evans</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3"/>
            <w:tcBorders/>
            <w:shd w:fill="DBDBDB" w:val="clear"/>
            <w:tcMar>
              <w:top w:w="0" w:type="dxa"/>
              <w:left w:w="0" w:type="dxa"/>
              <w:bottom w:w="0" w:type="dxa"/>
              <w:right w:w="0" w:type="dxa"/>
            </w:tcMar>
            <w:vAlign w:val="center"/>
          </w:tcPr>
          <w:p>
            <w:pPr>
              <w:pStyle w:val="TableContents"/>
              <w:bidi w:val="0"/>
              <w:spacing w:lineRule="auto" w:line="288" w:before="0" w:after="0"/>
              <w:jc w:val="center"/>
              <w:rPr>
                <w:rFonts w:ascii="Lato;sans-serif" w:hAnsi="Lato;sans-serif"/>
                <w:b w:val="false"/>
                <w:color w:val="000000"/>
                <w:sz w:val="20"/>
              </w:rPr>
            </w:pPr>
            <w:r>
              <w:rPr>
                <w:rFonts w:ascii="Lato;sans-serif" w:hAnsi="Lato;sans-serif"/>
                <w:b w:val="false"/>
                <w:color w:val="000000"/>
                <w:sz w:val="20"/>
              </w:rPr>
              <w:t>X</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1" w:type="dxa"/>
            <w:gridSpan w:val="3"/>
            <w:tcBorders/>
            <w:shd w:fill="DBDBDB" w:val="clear"/>
            <w:tcMar>
              <w:top w:w="0" w:type="dxa"/>
              <w:left w:w="0" w:type="dxa"/>
              <w:bottom w:w="0" w:type="dxa"/>
              <w:right w:w="0" w:type="dxa"/>
            </w:tcMar>
            <w:vAlign w:val="center"/>
          </w:tcPr>
          <w:p>
            <w:pPr>
              <w:pStyle w:val="TableContents"/>
              <w:bidi w:val="0"/>
              <w:spacing w:lineRule="auto" w:line="240" w:before="0" w:after="0"/>
              <w:jc w:val="center"/>
              <w:rPr>
                <w:rFonts w:ascii="Lato;sans-serif" w:hAnsi="Lato;sans-serif"/>
                <w:b w:val="false"/>
                <w:color w:val="000000"/>
                <w:sz w:val="20"/>
              </w:rPr>
            </w:pPr>
            <w:r>
              <w:rPr>
                <w:rFonts w:ascii="Lato;sans-serif" w:hAnsi="Lato;sans-serif"/>
                <w:b w:val="false"/>
                <w:color w:val="000000"/>
                <w:sz w:val="20"/>
              </w:rPr>
              <w:t>X</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6"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3"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6"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200"/>
              <w:jc w:val="left"/>
              <w:rPr>
                <w:rFonts w:ascii="Lato;sans-serif" w:hAnsi="Lato;sans-serif"/>
                <w:b w:val="false"/>
                <w:color w:val="000000"/>
                <w:sz w:val="20"/>
              </w:rPr>
            </w:pPr>
            <w:r>
              <w:rPr>
                <w:rFonts w:ascii="Lato;sans-serif" w:hAnsi="Lato;sans-serif"/>
                <w:b w:val="false"/>
                <w:color w:val="000000"/>
                <w:sz w:val="20"/>
              </w:rPr>
              <w:t>Robert Keith Giglio</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rFonts w:ascii="Lato;sans-serif" w:hAnsi="Lato;sans-serif"/>
                <w:b w:val="false"/>
                <w:color w:val="000000"/>
                <w:sz w:val="20"/>
              </w:rPr>
            </w:pPr>
            <w:r>
              <w:rPr>
                <w:rFonts w:ascii="Lato;sans-serif" w:hAnsi="Lato;sans-serif"/>
                <w:b w:val="false"/>
                <w:color w:val="000000"/>
                <w:sz w:val="20"/>
              </w:rPr>
              <w:t>X</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6"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left"/>
              <w:rPr>
                <w:rFonts w:ascii="Lato;sans-serif" w:hAnsi="Lato;sans-serif"/>
                <w:b w:val="false"/>
                <w:color w:val="000000"/>
                <w:sz w:val="20"/>
              </w:rPr>
            </w:pPr>
            <w:r>
              <w:rPr>
                <w:rFonts w:ascii="Lato;sans-serif" w:hAnsi="Lato;sans-serif"/>
                <w:b w:val="false"/>
                <w:color w:val="000000"/>
                <w:sz w:val="20"/>
              </w:rPr>
              <w:t>Alison Gleeson</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1" w:type="dxa"/>
            <w:gridSpan w:val="3"/>
            <w:tcBorders/>
            <w:shd w:fill="DBDBDB" w:val="clear"/>
            <w:tcMar>
              <w:top w:w="0" w:type="dxa"/>
              <w:left w:w="0" w:type="dxa"/>
              <w:bottom w:w="0" w:type="dxa"/>
              <w:right w:w="0" w:type="dxa"/>
            </w:tcMar>
            <w:vAlign w:val="center"/>
          </w:tcPr>
          <w:p>
            <w:pPr>
              <w:pStyle w:val="TableContents"/>
              <w:bidi w:val="0"/>
              <w:spacing w:lineRule="auto" w:line="240" w:before="0" w:after="0"/>
              <w:jc w:val="center"/>
              <w:rPr>
                <w:rFonts w:ascii="Lato;sans-serif" w:hAnsi="Lato;sans-serif"/>
                <w:b w:val="false"/>
                <w:color w:val="000000"/>
                <w:sz w:val="20"/>
              </w:rPr>
            </w:pPr>
            <w:r>
              <w:rPr>
                <w:rFonts w:ascii="Lato;sans-serif" w:hAnsi="Lato;sans-serif"/>
                <w:b w:val="false"/>
                <w:color w:val="000000"/>
                <w:sz w:val="20"/>
              </w:rPr>
              <w:t>X</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6" w:type="dxa"/>
            <w:gridSpan w:val="3"/>
            <w:tcBorders/>
            <w:shd w:fill="DBDBDB" w:val="clear"/>
            <w:tcMar>
              <w:top w:w="0" w:type="dxa"/>
              <w:left w:w="0" w:type="dxa"/>
              <w:bottom w:w="0" w:type="dxa"/>
              <w:right w:w="0" w:type="dxa"/>
            </w:tcMar>
            <w:vAlign w:val="center"/>
          </w:tcPr>
          <w:p>
            <w:pPr>
              <w:pStyle w:val="TableContents"/>
              <w:bidi w:val="0"/>
              <w:spacing w:lineRule="auto" w:line="240" w:before="0" w:after="0"/>
              <w:jc w:val="center"/>
              <w:rPr>
                <w:rFonts w:ascii="Lato;sans-serif" w:hAnsi="Lato;sans-serif"/>
                <w:b w:val="false"/>
                <w:color w:val="000000"/>
                <w:sz w:val="20"/>
              </w:rPr>
            </w:pPr>
            <w:r>
              <w:rPr>
                <w:rFonts w:ascii="Lato;sans-serif" w:hAnsi="Lato;sans-serif"/>
                <w:b w:val="false"/>
                <w:color w:val="000000"/>
                <w:sz w:val="20"/>
              </w:rPr>
              <w:t>Chair</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3"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Lato;sans-serif" w:hAnsi="Lato;sans-serif"/>
                <w:b w:val="false"/>
                <w:color w:val="000000"/>
                <w:sz w:val="20"/>
              </w:rPr>
            </w:pPr>
            <w:r>
              <w:rPr>
                <w:rFonts w:ascii="Lato;sans-serif" w:hAnsi="Lato;sans-serif"/>
                <w:b w:val="false"/>
                <w:color w:val="000000"/>
                <w:sz w:val="20"/>
              </w:rPr>
              <w:t>Mark Mader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rFonts w:ascii="Lato;sans-serif" w:hAnsi="Lato;sans-serif"/>
                <w:b w:val="false"/>
                <w:color w:val="000000"/>
                <w:sz w:val="20"/>
              </w:rPr>
            </w:pPr>
            <w:r>
              <w:rPr>
                <w:rFonts w:ascii="Lato;sans-serif" w:hAnsi="Lato;sans-serif"/>
                <w:b w:val="false"/>
                <w:color w:val="000000"/>
                <w:sz w:val="20"/>
              </w:rPr>
              <w:t>X</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1746" w:type="dxa"/>
            <w:gridSpan w:val="3"/>
            <w:tcBorders/>
            <w:shd w:fill="DBDBDB" w:val="clear"/>
            <w:tcMar>
              <w:top w:w="0" w:type="dxa"/>
              <w:left w:w="0" w:type="dxa"/>
              <w:bottom w:w="0" w:type="dxa"/>
              <w:right w:w="0" w:type="dxa"/>
            </w:tcMar>
            <w:vAlign w:val="center"/>
          </w:tcPr>
          <w:p>
            <w:pPr>
              <w:pStyle w:val="TableContents"/>
              <w:bidi w:val="0"/>
              <w:spacing w:lineRule="auto" w:line="288" w:before="0" w:after="0"/>
              <w:jc w:val="left"/>
              <w:rPr>
                <w:rFonts w:ascii="Lato;sans-serif" w:hAnsi="Lato;sans-serif"/>
                <w:b w:val="false"/>
                <w:color w:val="000000"/>
                <w:sz w:val="20"/>
              </w:rPr>
            </w:pPr>
            <w:r>
              <w:rPr>
                <w:rFonts w:ascii="Lato;sans-serif" w:hAnsi="Lato;sans-serif"/>
                <w:b w:val="false"/>
                <w:color w:val="000000"/>
                <w:sz w:val="20"/>
              </w:rPr>
              <w:t>Domenic J. Maida</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1"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6"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3" w:type="dxa"/>
            <w:gridSpan w:val="3"/>
            <w:tcBorders/>
            <w:shd w:fill="DBDBDB" w:val="clear"/>
            <w:tcMar>
              <w:top w:w="0" w:type="dxa"/>
              <w:left w:w="0" w:type="dxa"/>
              <w:bottom w:w="0" w:type="dxa"/>
              <w:right w:w="0" w:type="dxa"/>
            </w:tcMar>
            <w:vAlign w:val="center"/>
          </w:tcPr>
          <w:p>
            <w:pPr>
              <w:pStyle w:val="TableContents"/>
              <w:bidi w:val="0"/>
              <w:spacing w:lineRule="auto" w:line="288" w:before="0" w:after="0"/>
              <w:jc w:val="center"/>
              <w:rPr>
                <w:rFonts w:ascii="Lato;sans-serif" w:hAnsi="Lato;sans-serif"/>
                <w:b w:val="false"/>
                <w:color w:val="000000"/>
                <w:sz w:val="20"/>
              </w:rPr>
            </w:pPr>
            <w:r>
              <w:rPr>
                <w:rFonts w:ascii="Lato;sans-serif" w:hAnsi="Lato;sans-serif"/>
                <w:b w:val="false"/>
                <w:color w:val="000000"/>
                <w:sz w:val="20"/>
              </w:rPr>
              <w:t>X</w:t>
            </w:r>
          </w:p>
        </w:tc>
      </w:tr>
      <w:tr>
        <w:trPr/>
        <w:tc>
          <w:tcPr>
            <w:tcW w:w="174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Lato;sans-serif" w:hAnsi="Lato;sans-serif"/>
                <w:b w:val="false"/>
                <w:color w:val="000000"/>
                <w:sz w:val="20"/>
              </w:rPr>
            </w:pPr>
            <w:r>
              <w:rPr>
                <w:rFonts w:ascii="Lato;sans-serif" w:hAnsi="Lato;sans-serif"/>
                <w:b w:val="false"/>
                <w:color w:val="000000"/>
                <w:sz w:val="20"/>
              </w:rPr>
              <w:t>Katie Rooney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rFonts w:ascii="Lato;sans-serif" w:hAnsi="Lato;sans-serif"/>
                <w:b w:val="false"/>
                <w:color w:val="000000"/>
                <w:sz w:val="20"/>
              </w:rPr>
            </w:pPr>
            <w:r>
              <w:rPr>
                <w:rFonts w:ascii="Lato;sans-serif" w:hAnsi="Lato;sans-serif"/>
                <w:b w:val="false"/>
                <w:color w:val="000000"/>
                <w:sz w:val="20"/>
              </w:rPr>
              <w:t>Chair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rFonts w:ascii="Lato;sans-serif" w:hAnsi="Lato;sans-serif"/>
                <w:b w:val="false"/>
                <w:color w:val="000000"/>
                <w:sz w:val="20"/>
              </w:rPr>
            </w:pPr>
            <w:r>
              <w:rPr>
                <w:rFonts w:ascii="Lato;sans-serif" w:hAnsi="Lato;sans-serif"/>
                <w:b w:val="false"/>
                <w:color w:val="000000"/>
                <w:sz w:val="20"/>
              </w:rPr>
              <w:t>X</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6" w:type="dxa"/>
            <w:gridSpan w:val="3"/>
            <w:tcBorders/>
            <w:shd w:fill="DBDBDB" w:val="clear"/>
            <w:tcMar>
              <w:top w:w="0" w:type="dxa"/>
              <w:left w:w="0" w:type="dxa"/>
              <w:bottom w:w="0" w:type="dxa"/>
              <w:right w:w="0" w:type="dxa"/>
            </w:tcMar>
            <w:vAlign w:val="center"/>
          </w:tcPr>
          <w:p>
            <w:pPr>
              <w:pStyle w:val="TableContents"/>
              <w:bidi w:val="0"/>
              <w:spacing w:lineRule="auto" w:line="288" w:before="0" w:after="0"/>
              <w:ind w:left="0" w:right="0" w:hanging="200"/>
              <w:jc w:val="left"/>
              <w:rPr>
                <w:rFonts w:ascii="Lato;sans-serif" w:hAnsi="Lato;sans-serif"/>
                <w:b w:val="false"/>
                <w:color w:val="000000"/>
                <w:sz w:val="20"/>
              </w:rPr>
            </w:pPr>
            <w:r>
              <w:rPr>
                <w:rFonts w:ascii="Lato;sans-serif" w:hAnsi="Lato;sans-serif"/>
                <w:b w:val="false"/>
                <w:color w:val="000000"/>
                <w:sz w:val="20"/>
              </w:rPr>
              <w:t>Henry L. Schuck</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1"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6"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3"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6"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200"/>
              <w:jc w:val="left"/>
              <w:rPr>
                <w:rFonts w:ascii="Lato;sans-serif" w:hAnsi="Lato;sans-serif"/>
                <w:b w:val="false"/>
                <w:color w:val="000000"/>
                <w:sz w:val="20"/>
              </w:rPr>
            </w:pPr>
            <w:r>
              <w:rPr>
                <w:rFonts w:ascii="Lato;sans-serif" w:hAnsi="Lato;sans-serif"/>
                <w:b w:val="false"/>
                <w:color w:val="000000"/>
                <w:sz w:val="20"/>
              </w:rPr>
              <w:t>D. Randall Winn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rFonts w:ascii="Lato;sans-serif" w:hAnsi="Lato;sans-serif"/>
                <w:b w:val="false"/>
                <w:color w:val="000000"/>
                <w:sz w:val="20"/>
              </w:rPr>
            </w:pPr>
            <w:r>
              <w:rPr>
                <w:rFonts w:ascii="Lato;sans-serif" w:hAnsi="Lato;sans-serif"/>
                <w:b w:val="false"/>
                <w:color w:val="000000"/>
                <w:sz w:val="20"/>
              </w:rPr>
              <w:t>X</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ind w:left="0" w:right="0" w:hanging="200"/>
              <w:jc w:val="center"/>
              <w:rPr>
                <w:rFonts w:ascii="Lato;sans-serif" w:hAnsi="Lato;sans-serif"/>
                <w:b w:val="false"/>
                <w:color w:val="000000"/>
                <w:sz w:val="20"/>
              </w:rPr>
            </w:pPr>
            <w:r>
              <w:rPr>
                <w:rFonts w:ascii="Lato;sans-serif" w:hAnsi="Lato;sans-serif"/>
                <w:b w:val="false"/>
                <w:color w:val="000000"/>
                <w:sz w:val="20"/>
              </w:rPr>
              <w:t>X</w:t>
            </w:r>
          </w:p>
        </w:tc>
      </w:tr>
      <w:tr>
        <w:trPr/>
        <w:tc>
          <w:tcPr>
            <w:tcW w:w="1746"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left"/>
              <w:rPr>
                <w:rFonts w:ascii="Lato;sans-serif" w:hAnsi="Lato;sans-serif"/>
                <w:b w:val="false"/>
                <w:color w:val="000000"/>
                <w:sz w:val="20"/>
              </w:rPr>
            </w:pPr>
            <w:r>
              <w:rPr>
                <w:rFonts w:ascii="Lato;sans-serif" w:hAnsi="Lato;sans-serif"/>
                <w:b w:val="false"/>
                <w:color w:val="000000"/>
                <w:sz w:val="20"/>
              </w:rPr>
              <w:t>Owen Wurzbacher</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1" w:type="dxa"/>
            <w:gridSpan w:val="3"/>
            <w:tcBorders/>
            <w:shd w:fill="DBDBDB" w:val="clear"/>
            <w:tcMar>
              <w:top w:w="0" w:type="dxa"/>
              <w:left w:w="0" w:type="dxa"/>
              <w:bottom w:w="0" w:type="dxa"/>
              <w:right w:w="0" w:type="dxa"/>
            </w:tcMar>
            <w:vAlign w:val="center"/>
          </w:tcPr>
          <w:p>
            <w:pPr>
              <w:pStyle w:val="TableContents"/>
              <w:bidi w:val="0"/>
              <w:spacing w:lineRule="auto" w:line="288" w:before="0" w:after="0"/>
              <w:jc w:val="center"/>
              <w:rPr>
                <w:rFonts w:ascii="Lato;sans-serif" w:hAnsi="Lato;sans-serif"/>
                <w:b w:val="false"/>
                <w:color w:val="000000"/>
                <w:sz w:val="20"/>
              </w:rPr>
            </w:pPr>
            <w:r>
              <w:rPr>
                <w:rFonts w:ascii="Lato;sans-serif" w:hAnsi="Lato;sans-serif"/>
                <w:b w:val="false"/>
                <w:color w:val="000000"/>
                <w:sz w:val="20"/>
              </w:rPr>
              <w:t>Chair</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6" w:type="dxa"/>
            <w:gridSpan w:val="3"/>
            <w:tcBorders/>
            <w:shd w:fill="DBDBDB" w:val="clear"/>
            <w:tcMar>
              <w:top w:w="0" w:type="dxa"/>
              <w:left w:w="0" w:type="dxa"/>
              <w:bottom w:w="0" w:type="dxa"/>
              <w:right w:w="0" w:type="dxa"/>
            </w:tcMar>
            <w:vAlign w:val="center"/>
          </w:tcPr>
          <w:p>
            <w:pPr>
              <w:pStyle w:val="TableContents"/>
              <w:bidi w:val="0"/>
              <w:spacing w:lineRule="auto" w:line="288" w:before="0" w:after="0"/>
              <w:jc w:val="center"/>
              <w:rPr>
                <w:rFonts w:ascii="Lato;sans-serif" w:hAnsi="Lato;sans-serif"/>
                <w:b w:val="false"/>
                <w:color w:val="000000"/>
                <w:sz w:val="20"/>
              </w:rPr>
            </w:pPr>
            <w:r>
              <w:rPr>
                <w:rFonts w:ascii="Lato;sans-serif" w:hAnsi="Lato;sans-serif"/>
                <w:b w:val="false"/>
                <w:color w:val="000000"/>
                <w:sz w:val="20"/>
              </w:rPr>
              <w:t>X</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3"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6"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200"/>
              <w:jc w:val="left"/>
              <w:rPr>
                <w:rFonts w:ascii="Lato;sans-serif" w:hAnsi="Lato;sans-serif"/>
                <w:b w:val="false"/>
                <w:color w:val="000000"/>
                <w:sz w:val="20"/>
              </w:rPr>
            </w:pPr>
            <w:r>
              <w:rPr>
                <w:rFonts w:ascii="Lato;sans-serif" w:hAnsi="Lato;sans-serif"/>
                <w:b w:val="false"/>
                <w:color w:val="000000"/>
                <w:sz w:val="20"/>
              </w:rPr>
              <w:t>Number of meetings held in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Lato;sans-serif" w:hAnsi="Lato;sans-serif"/>
                <w:b w:val="false"/>
                <w:color w:val="000000"/>
                <w:sz w:val="20"/>
              </w:rPr>
            </w:pPr>
            <w:r>
              <w:rPr>
                <w:rFonts w:ascii="Lato;sans-serif" w:hAnsi="Lato;sans-serif"/>
                <w:b w:val="false"/>
                <w:color w:val="000000"/>
                <w:sz w:val="20"/>
              </w:rPr>
              <w:t>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Lato;sans-serif" w:hAnsi="Lato;sans-serif"/>
                <w:b w:val="false"/>
                <w:color w:val="000000"/>
                <w:sz w:val="20"/>
              </w:rPr>
            </w:pPr>
            <w:r>
              <w:rPr>
                <w:rFonts w:ascii="Lato;sans-serif" w:hAnsi="Lato;sans-serif"/>
                <w:b w:val="false"/>
                <w:color w:val="000000"/>
                <w:sz w:val="20"/>
              </w:rPr>
              <w:t>16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Lato;sans-serif" w:hAnsi="Lato;sans-serif"/>
                <w:b w:val="false"/>
                <w:color w:val="000000"/>
                <w:sz w:val="20"/>
              </w:rPr>
            </w:pPr>
            <w:r>
              <w:rPr>
                <w:rFonts w:ascii="Lato;sans-serif" w:hAnsi="Lato;sans-serif"/>
                <w:b w:val="false"/>
                <w:color w:val="000000"/>
                <w:sz w:val="20"/>
              </w:rPr>
              <w:t>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Lato;sans-serif" w:hAnsi="Lato;sans-serif"/>
                <w:b w:val="false"/>
                <w:color w:val="000000"/>
                <w:sz w:val="20"/>
              </w:rPr>
            </w:pPr>
            <w:r>
              <w:rPr>
                <w:rFonts w:ascii="Lato;sans-serif" w:hAnsi="Lato;sans-serif"/>
                <w:b w:val="false"/>
                <w:color w:val="000000"/>
                <w:sz w:val="20"/>
              </w:rPr>
              <w:t>4</w:t>
            </w:r>
          </w:p>
        </w:tc>
      </w:tr>
    </w:tbl>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__________________</w:t>
      </w:r>
    </w:p>
    <w:p>
      <w:pPr>
        <w:pStyle w:val="TextBody"/>
        <w:bidi w:val="0"/>
        <w:spacing w:lineRule="auto" w:line="288" w:before="0" w:after="0"/>
        <w:ind w:left="0" w:right="0" w:hanging="360"/>
        <w:jc w:val="both"/>
        <w:rPr>
          <w:rFonts w:ascii="Lato;sans-serif" w:hAnsi="Lato;sans-serif"/>
          <w:b w:val="false"/>
          <w:color w:val="000000"/>
          <w:sz w:val="16"/>
        </w:rPr>
      </w:pPr>
      <w:r>
        <w:rPr>
          <w:rFonts w:ascii="Lato;sans-serif" w:hAnsi="Lato;sans-serif"/>
          <w:b w:val="false"/>
          <w:color w:val="000000"/>
          <w:sz w:val="16"/>
        </w:rPr>
        <w:t xml:space="preserve">(1)The information above and the discussion of the committees of the Board below excludes Patrick McCarter, a former member of the Board, who also served on our Compensation Committee and as chair of our Nominating and Corporate Governance Committee, including for a portion of 2025, from January 1, 2025 through February 28, 2025. </w:t>
      </w:r>
    </w:p>
    <w:p>
      <w:pPr>
        <w:pStyle w:val="TextBody"/>
        <w:bidi w:val="0"/>
        <w:spacing w:lineRule="auto" w:line="288" w:before="0" w:after="0"/>
        <w:ind w:left="0" w:right="0" w:hanging="360"/>
        <w:jc w:val="both"/>
        <w:rPr>
          <w:rFonts w:ascii="Lato;sans-serif" w:hAnsi="Lato;sans-serif"/>
          <w:b w:val="false"/>
          <w:color w:val="000000"/>
          <w:sz w:val="16"/>
        </w:rPr>
      </w:pPr>
      <w:r>
        <w:rPr>
          <w:rFonts w:ascii="Lato;sans-serif" w:hAnsi="Lato;sans-serif"/>
          <w:b w:val="false"/>
          <w:color w:val="000000"/>
          <w:sz w:val="16"/>
        </w:rPr>
        <w:t>(2)Effective February 1, 2025, Ms. Rooney became a member of the Audit Committee, and subsequently on July 31, 2025, Ms. Rooney was appointed as chair of the Audit Committee. Ms. Evans, the prior chair of the Audit Committee, continues to serve as a member of the Audit Committee.</w:t>
      </w:r>
    </w:p>
    <w:p>
      <w:pPr>
        <w:pStyle w:val="TextBody"/>
        <w:bidi w:val="0"/>
        <w:spacing w:lineRule="auto" w:line="288" w:before="0" w:after="0"/>
        <w:ind w:left="0" w:right="0" w:hanging="360"/>
        <w:jc w:val="both"/>
        <w:rPr>
          <w:rFonts w:ascii="Lato;sans-serif" w:hAnsi="Lato;sans-serif"/>
          <w:b w:val="false"/>
          <w:color w:val="000000"/>
          <w:sz w:val="16"/>
        </w:rPr>
      </w:pPr>
      <w:r>
        <w:rPr>
          <w:rFonts w:ascii="Lato;sans-serif" w:hAnsi="Lato;sans-serif"/>
          <w:b w:val="false"/>
          <w:color w:val="000000"/>
          <w:sz w:val="16"/>
        </w:rPr>
        <w:t>(3)Effective February 28, 2025, Ms. Gleeson replaced Mr. McCarter, a former member of the Board, who also served on our Compensation Committee. Effective October 28, 2025, Mr. Wurzbacher was appointed as chair of the Compensation Committee. Mr. Winn, the prior chair of the Compensation Committee, continues to serve as a member of the Compensation Committee.</w:t>
      </w:r>
    </w:p>
    <w:p>
      <w:pPr>
        <w:pStyle w:val="TextBody"/>
        <w:bidi w:val="0"/>
        <w:spacing w:lineRule="auto" w:line="288" w:before="0" w:after="0"/>
        <w:ind w:left="0" w:right="0" w:hanging="360"/>
        <w:jc w:val="both"/>
        <w:rPr>
          <w:rFonts w:ascii="Lato;sans-serif" w:hAnsi="Lato;sans-serif"/>
          <w:b w:val="false"/>
          <w:color w:val="000000"/>
          <w:sz w:val="16"/>
        </w:rPr>
      </w:pPr>
      <w:r>
        <w:rPr>
          <w:rFonts w:ascii="Lato;sans-serif" w:hAnsi="Lato;sans-serif"/>
          <w:b w:val="false"/>
          <w:color w:val="000000"/>
          <w:sz w:val="16"/>
        </w:rPr>
        <w:t>(4)Effective February 1, 2025, Ms. Rooney became a member of the Nominating and Corporate Governance Committee. Effective February 28, 2025, Ms. Gleeson replaced Mr. McCarter, a former member of the Board, as chairperson of our Nominating and Corporate Governance Committee, and Mr. Giglio became a member of the Nominating and Corporate Governance Committee.</w:t>
      </w:r>
    </w:p>
    <w:p>
      <w:pPr>
        <w:pStyle w:val="TextBody"/>
        <w:bidi w:val="0"/>
        <w:spacing w:lineRule="auto" w:line="288" w:before="180" w:after="180"/>
        <w:jc w:val="both"/>
        <w:rPr>
          <w:rFonts w:ascii="Lato;sans-serif" w:hAnsi="Lato;sans-serif"/>
          <w:b w:val="false"/>
          <w:color w:val="000000"/>
          <w:sz w:val="20"/>
        </w:rPr>
      </w:pPr>
      <w:r>
        <w:rPr>
          <w:rFonts w:ascii="Lato;sans-serif" w:hAnsi="Lato;sans-serif"/>
          <w:b w:val="false"/>
          <w:color w:val="000000"/>
          <w:sz w:val="20"/>
        </w:rPr>
        <w:t>Directors are encouraged to attend our annual meetings of stockholders. Six of our ten serving directors attended the annual meeting of stockholders in 2025. During the year ending December 31, 2025, the Board held six meetings. In 2025, all of our directors attended at least 75% of the meetings of the Board and committees during the time in which they served as a member of the Board or such committee.</w:t>
      </w:r>
    </w:p>
    <w:p>
      <w:pPr>
        <w:pStyle w:val="TextBody"/>
        <w:bidi w:val="0"/>
        <w:spacing w:lineRule="auto" w:line="288" w:before="300" w:after="180"/>
        <w:jc w:val="both"/>
        <w:rPr>
          <w:rFonts w:ascii="Lato;sans-serif" w:hAnsi="Lato;sans-serif"/>
          <w:b/>
          <w:i/>
          <w:color w:val="000000"/>
          <w:sz w:val="20"/>
        </w:rPr>
      </w:pPr>
      <w:r>
        <w:rPr>
          <w:rFonts w:ascii="Lato;sans-serif" w:hAnsi="Lato;sans-serif"/>
          <w:b/>
          <w:i/>
          <w:color w:val="000000"/>
          <w:sz w:val="20"/>
        </w:rPr>
        <w:t>Audit Committee</w:t>
      </w:r>
    </w:p>
    <w:p>
      <w:pPr>
        <w:pStyle w:val="TextBody"/>
        <w:bidi w:val="0"/>
        <w:spacing w:lineRule="auto" w:line="288" w:before="180" w:after="180"/>
        <w:jc w:val="both"/>
        <w:rPr/>
      </w:pPr>
      <w:r>
        <w:rPr>
          <w:rFonts w:ascii="Lato;sans-serif" w:hAnsi="Lato;sans-serif"/>
          <w:b w:val="false"/>
          <w:color w:val="000000"/>
          <w:sz w:val="20"/>
        </w:rPr>
        <w:t>Our Audit Committee consists of Mses. Evans and Rooney and Messrs. Enright and Mader, with Ms. Rooney serving as chair. All members of the Audit Committee, including Ms. Rooney, have been determined to be “independent,” consistent with our Audit Committee charter, Corporate Governance Guidelines and the Nasdaq listing standards applicable to boards of directors in general and audit committees in particular. Our Board of Directors also has determined that each of Ms. Evans and Ms. Rooney qualifies as an audit committee financial expert as defined by applicable Securities and Exchange Commission (“</w:t>
      </w:r>
      <w:r>
        <w:rPr>
          <w:rFonts w:ascii="Lato;sans-serif" w:hAnsi="Lato;sans-serif"/>
          <w:b/>
          <w:i/>
          <w:color w:val="000000"/>
          <w:sz w:val="20"/>
        </w:rPr>
        <w:t>SEC</w:t>
      </w:r>
      <w:r>
        <w:rPr>
          <w:color w:val="000000"/>
        </w:rPr>
        <w:t>”</w:t>
      </w:r>
      <w:r>
        <w:rPr>
          <w:rFonts w:ascii="Lato;sans-serif" w:hAnsi="Lato;sans-serif"/>
          <w:b w:val="false"/>
          <w:color w:val="000000"/>
          <w:sz w:val="20"/>
        </w:rPr>
        <w:t>) regulations.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352425"/>
                <wp:effectExtent l="0" t="0" r="0" b="0"/>
                <wp:wrapNone/>
                <wp:docPr id="41" name="Frame27"/>
                <a:graphic xmlns:a="http://schemas.openxmlformats.org/drawingml/2006/main">
                  <a:graphicData uri="http://schemas.microsoft.com/office/word/2010/wordprocessingShape">
                    <wps:wsp>
                      <wps:cNvSpPr txBox="1"/>
                      <wps:spPr>
                        <a:xfrm>
                          <a:off x="0" y="0"/>
                          <a:ext cx="6480175" cy="352425"/>
                        </a:xfrm>
                        <a:prstGeom prst="rect"/>
                        <a:solidFill>
                          <a:srgbClr val="FFFFFF"/>
                        </a:solidFill>
                      </wps:spPr>
                      <wps:txbx>
                        <w:txbxContent>
                          <w:p>
                            <w:pPr>
                              <w:pStyle w:val="TextBody"/>
                              <w:bidi w:val="0"/>
                              <w:spacing w:lineRule="auto" w:line="288" w:before="0" w:after="0"/>
                              <w:jc w:val="center"/>
                              <w:rPr>
                                <w:rFonts w:ascii="Lato;sans-serif" w:hAnsi="Lato;sans-serif"/>
                                <w:b w:val="false"/>
                                <w:color w:val="000000"/>
                                <w:sz w:val="20"/>
                              </w:rPr>
                            </w:pPr>
                            <w:r>
                              <w:rPr>
                                <w:rFonts w:ascii="Lato;sans-serif" w:hAnsi="Lato;sans-serif"/>
                                <w:b w:val="false"/>
                                <w:color w:val="000000"/>
                                <w:sz w:val="20"/>
                              </w:rPr>
                              <w:t>21</w:t>
                            </w:r>
                          </w:p>
                          <w:p>
                            <w:pPr>
                              <w:pStyle w:val="TextBody"/>
                              <w:bidi w:val="0"/>
                              <w:spacing w:lineRule="auto" w:line="288" w:before="0" w:after="0"/>
                              <w:jc w:val="left"/>
                              <w:rPr>
                                <w:color w:val="000000"/>
                              </w:rPr>
                            </w:pPr>
                            <w:r>
                              <w:rPr>
                                <w:color w:val="000000"/>
                              </w:rPr>
                              <w:t>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Lato;sans-serif" w:hAnsi="Lato;sans-serif"/>
                          <w:b w:val="false"/>
                          <w:color w:val="000000"/>
                          <w:sz w:val="20"/>
                        </w:rPr>
                      </w:pPr>
                      <w:r>
                        <w:rPr>
                          <w:rFonts w:ascii="Lato;sans-serif" w:hAnsi="Lato;sans-serif"/>
                          <w:b w:val="false"/>
                          <w:color w:val="000000"/>
                          <w:sz w:val="20"/>
                        </w:rPr>
                        <w:t>21</w:t>
                      </w:r>
                    </w:p>
                    <w:p>
                      <w:pPr>
                        <w:pStyle w:val="TextBody"/>
                        <w:bidi w:val="0"/>
                        <w:spacing w:lineRule="auto" w:line="288" w:before="0" w:after="0"/>
                        <w:jc w:val="left"/>
                        <w:rPr>
                          <w:color w:val="000000"/>
                        </w:rPr>
                      </w:pPr>
                      <w:r>
                        <w:rPr>
                          <w:color w:val="000000"/>
                        </w:rPr>
                        <w:t>        </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80" w:after="180"/>
        <w:jc w:val="both"/>
        <w:rPr/>
      </w:pPr>
      <w:r>
        <w:rPr>
          <w:rFonts w:ascii="Lato;sans-serif" w:hAnsi="Lato;sans-serif"/>
          <w:b w:val="false"/>
          <w:color w:val="000000"/>
          <w:sz w:val="20"/>
        </w:rPr>
        <w:t xml:space="preserve">The duties and responsibilities of the Audit Committee are set forth in its charter, which may be found at </w:t>
      </w:r>
      <w:r>
        <w:rPr>
          <w:rFonts w:ascii="Lato;sans-serif" w:hAnsi="Lato;sans-serif"/>
          <w:b w:val="false"/>
          <w:i/>
          <w:color w:val="000000"/>
          <w:sz w:val="20"/>
        </w:rPr>
        <w:t>ir.zoominfo.com</w:t>
      </w:r>
      <w:r>
        <w:rPr>
          <w:color w:val="000000"/>
        </w:rPr>
        <w:t xml:space="preserve"> </w:t>
      </w:r>
      <w:r>
        <w:rPr>
          <w:rFonts w:ascii="Lato;sans-serif" w:hAnsi="Lato;sans-serif"/>
          <w:b w:val="false"/>
          <w:color w:val="000000"/>
          <w:sz w:val="20"/>
        </w:rPr>
        <w:t>under Governance → Governance Highlights → Committee Charters → Audit Committee Charter, and include providing assistance to the Board with respect to its oversight of the following:</w:t>
      </w:r>
    </w:p>
    <w:p>
      <w:pPr>
        <w:pStyle w:val="TextBody"/>
        <w:bidi w:val="0"/>
        <w:spacing w:lineRule="auto" w:line="288" w:before="0" w:after="100"/>
        <w:ind w:left="0" w:right="0" w:hanging="360"/>
        <w:jc w:val="left"/>
        <w:rPr/>
      </w:pPr>
      <w:r>
        <w:rPr>
          <w:color w:val="000000"/>
        </w:rPr>
        <w:t>•</w:t>
      </w:r>
      <w:r>
        <w:rPr>
          <w:rFonts w:ascii="Lato;sans-serif" w:hAnsi="Lato;sans-serif"/>
          <w:b w:val="false"/>
          <w:color w:val="000000"/>
          <w:sz w:val="20"/>
        </w:rPr>
        <w:t>the quality and integrity of our financial statements, including oversight of our financial reporting processes and financial statement audits;</w:t>
      </w:r>
    </w:p>
    <w:p>
      <w:pPr>
        <w:pStyle w:val="TextBody"/>
        <w:bidi w:val="0"/>
        <w:spacing w:lineRule="auto" w:line="288" w:before="0" w:after="100"/>
        <w:ind w:left="0" w:right="0" w:hanging="360"/>
        <w:jc w:val="left"/>
        <w:rPr/>
      </w:pPr>
      <w:r>
        <w:rPr>
          <w:color w:val="000000"/>
        </w:rPr>
        <w:t>•</w:t>
      </w:r>
      <w:r>
        <w:rPr>
          <w:rFonts w:ascii="Lato;sans-serif" w:hAnsi="Lato;sans-serif"/>
          <w:b w:val="false"/>
          <w:color w:val="000000"/>
          <w:sz w:val="20"/>
        </w:rPr>
        <w:t>our compliance with legal and regulatory requirements applicable to financial statements and accounting and financial reporting processes;</w:t>
      </w:r>
    </w:p>
    <w:p>
      <w:pPr>
        <w:pStyle w:val="TextBody"/>
        <w:bidi w:val="0"/>
        <w:spacing w:lineRule="auto" w:line="288" w:before="0" w:after="100"/>
        <w:ind w:left="0" w:right="0" w:hanging="360"/>
        <w:jc w:val="left"/>
        <w:rPr/>
      </w:pPr>
      <w:r>
        <w:rPr>
          <w:color w:val="000000"/>
        </w:rPr>
        <w:t>•</w:t>
      </w:r>
      <w:r>
        <w:rPr>
          <w:rFonts w:ascii="Lato;sans-serif" w:hAnsi="Lato;sans-serif"/>
          <w:b w:val="false"/>
          <w:color w:val="000000"/>
          <w:sz w:val="20"/>
        </w:rPr>
        <w:t>the independent registered public accounting firm’s qualifications, performance and independence;</w:t>
      </w:r>
    </w:p>
    <w:p>
      <w:pPr>
        <w:pStyle w:val="TextBody"/>
        <w:bidi w:val="0"/>
        <w:spacing w:lineRule="auto" w:line="288" w:before="0" w:after="100"/>
        <w:ind w:left="0" w:right="0" w:hanging="360"/>
        <w:jc w:val="left"/>
        <w:rPr/>
      </w:pPr>
      <w:r>
        <w:rPr>
          <w:color w:val="000000"/>
        </w:rPr>
        <w:t>•</w:t>
      </w:r>
      <w:r>
        <w:rPr>
          <w:rFonts w:ascii="Lato;sans-serif" w:hAnsi="Lato;sans-serif"/>
          <w:b w:val="false"/>
          <w:color w:val="000000"/>
          <w:sz w:val="20"/>
        </w:rPr>
        <w:t>the performance of our internal audit function;</w:t>
      </w:r>
    </w:p>
    <w:p>
      <w:pPr>
        <w:pStyle w:val="TextBody"/>
        <w:bidi w:val="0"/>
        <w:spacing w:lineRule="auto" w:line="288" w:before="0" w:after="100"/>
        <w:ind w:left="0" w:right="0" w:hanging="360"/>
        <w:jc w:val="left"/>
        <w:rPr/>
      </w:pPr>
      <w:r>
        <w:rPr>
          <w:color w:val="000000"/>
        </w:rPr>
        <w:t>•</w:t>
      </w:r>
      <w:r>
        <w:rPr>
          <w:rFonts w:ascii="Lato;sans-serif" w:hAnsi="Lato;sans-serif"/>
          <w:b w:val="false"/>
          <w:color w:val="000000"/>
          <w:sz w:val="20"/>
        </w:rPr>
        <w:t>risk assessment and management, particularly with respect to financial risk exposure; and</w:t>
      </w:r>
    </w:p>
    <w:p>
      <w:pPr>
        <w:pStyle w:val="TextBody"/>
        <w:bidi w:val="0"/>
        <w:spacing w:lineRule="auto" w:line="288" w:before="0" w:after="100"/>
        <w:ind w:left="0" w:right="0" w:hanging="360"/>
        <w:jc w:val="left"/>
        <w:rPr/>
      </w:pPr>
      <w:r>
        <w:rPr>
          <w:color w:val="000000"/>
        </w:rPr>
        <w:t>•</w:t>
      </w:r>
      <w:r>
        <w:rPr>
          <w:rFonts w:ascii="Lato;sans-serif" w:hAnsi="Lato;sans-serif"/>
          <w:b w:val="false"/>
          <w:color w:val="000000"/>
          <w:sz w:val="20"/>
        </w:rPr>
        <w:t>our environmental, social and governance related strategy, policies, practices, risk assessment and management, and public disclosures.</w:t>
      </w:r>
    </w:p>
    <w:p>
      <w:pPr>
        <w:pStyle w:val="TextBody"/>
        <w:bidi w:val="0"/>
        <w:spacing w:lineRule="auto" w:line="288" w:before="180" w:after="180"/>
        <w:jc w:val="both"/>
        <w:rPr>
          <w:rFonts w:ascii="Lato;sans-serif" w:hAnsi="Lato;sans-serif"/>
          <w:b w:val="false"/>
          <w:color w:val="000000"/>
          <w:sz w:val="20"/>
        </w:rPr>
      </w:pPr>
      <w:r>
        <w:rPr>
          <w:rFonts w:ascii="Lato;sans-serif" w:hAnsi="Lato;sans-serif"/>
          <w:b w:val="false"/>
          <w:color w:val="000000"/>
          <w:sz w:val="20"/>
        </w:rPr>
        <w:t>The Audit Committee also prepares the report of the committee required by the rules and regulations of the SEC to be included in our annual proxy statement.</w:t>
      </w:r>
    </w:p>
    <w:p>
      <w:pPr>
        <w:pStyle w:val="TextBody"/>
        <w:bidi w:val="0"/>
        <w:spacing w:lineRule="auto" w:line="288" w:before="180" w:after="180"/>
        <w:jc w:val="both"/>
        <w:rPr>
          <w:rFonts w:ascii="Lato;sans-serif" w:hAnsi="Lato;sans-serif"/>
          <w:b w:val="false"/>
          <w:color w:val="000000"/>
          <w:sz w:val="20"/>
        </w:rPr>
      </w:pPr>
      <w:r>
        <w:rPr>
          <w:rFonts w:ascii="Lato;sans-serif" w:hAnsi="Lato;sans-serif"/>
          <w:b w:val="false"/>
          <w:color w:val="000000"/>
          <w:sz w:val="20"/>
        </w:rPr>
        <w:t>With respect to our reporting and disclosure matters, the responsibilities and duties of the Audit Committee include reviewing and discussing with management and the independent registered public accounting firm our annual audited financial statements and quarterly financial statements prior to inclusion in our Annual Report on Form 10-K, Quarterly Reports on Form 10-Q or other public filings in accordance with applicable rules and regulations of the SEC.</w:t>
      </w:r>
    </w:p>
    <w:p>
      <w:pPr>
        <w:pStyle w:val="TextBody"/>
        <w:bidi w:val="0"/>
        <w:spacing w:lineRule="auto" w:line="288" w:before="180" w:after="180"/>
        <w:jc w:val="both"/>
        <w:rPr>
          <w:rFonts w:ascii="Lato;sans-serif" w:hAnsi="Lato;sans-serif"/>
          <w:b w:val="false"/>
          <w:color w:val="000000"/>
          <w:sz w:val="20"/>
        </w:rPr>
      </w:pPr>
      <w:r>
        <w:rPr>
          <w:rFonts w:ascii="Lato;sans-serif" w:hAnsi="Lato;sans-serif"/>
          <w:b w:val="false"/>
          <w:color w:val="000000"/>
          <w:sz w:val="20"/>
        </w:rPr>
        <w:t>The charter of the Audit Committee permits the committee to delegate any or all of its authority to one or more subcommittees. In addition, the Audit Committee has the authority under its charter to engage independent counsel and other advisors as it deems necessary or advisable.</w:t>
      </w:r>
    </w:p>
    <w:p>
      <w:pPr>
        <w:pStyle w:val="TextBody"/>
        <w:bidi w:val="0"/>
        <w:spacing w:lineRule="auto" w:line="288" w:before="300" w:after="180"/>
        <w:jc w:val="both"/>
        <w:rPr>
          <w:rFonts w:ascii="Lato;sans-serif" w:hAnsi="Lato;sans-serif"/>
          <w:b/>
          <w:i/>
          <w:color w:val="000000"/>
          <w:sz w:val="20"/>
        </w:rPr>
      </w:pPr>
      <w:r>
        <w:rPr>
          <w:rFonts w:ascii="Lato;sans-serif" w:hAnsi="Lato;sans-serif"/>
          <w:b/>
          <w:i/>
          <w:color w:val="000000"/>
          <w:sz w:val="20"/>
        </w:rPr>
        <w:t>Compensation Committee</w:t>
      </w:r>
    </w:p>
    <w:p>
      <w:pPr>
        <w:pStyle w:val="TextBody"/>
        <w:bidi w:val="0"/>
        <w:spacing w:lineRule="auto" w:line="288" w:before="180" w:after="180"/>
        <w:jc w:val="both"/>
        <w:rPr>
          <w:rFonts w:ascii="Lato;sans-serif" w:hAnsi="Lato;sans-serif"/>
          <w:b w:val="false"/>
          <w:color w:val="000000"/>
          <w:sz w:val="20"/>
        </w:rPr>
      </w:pPr>
      <w:r>
        <w:rPr>
          <w:rFonts w:ascii="Lato;sans-serif" w:hAnsi="Lato;sans-serif"/>
          <w:b w:val="false"/>
          <w:color w:val="000000"/>
          <w:sz w:val="20"/>
        </w:rPr>
        <w:t>Our Compensation Committee consists of Mses. Evans and Gleeson, and Messrs. Winn and Wurzbacher, with Mr. Wurzbacher serving as chair. All members of the Compensation Committee have been determined to be “independent” as defined by our Corporate Governance Guidelines and the Nasdaq listing standards applicable to boards of directors in general and compensation committees in particular.</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352425"/>
                <wp:effectExtent l="0" t="0" r="0" b="0"/>
                <wp:wrapNone/>
                <wp:docPr id="42" name="Frame28"/>
                <a:graphic xmlns:a="http://schemas.openxmlformats.org/drawingml/2006/main">
                  <a:graphicData uri="http://schemas.microsoft.com/office/word/2010/wordprocessingShape">
                    <wps:wsp>
                      <wps:cNvSpPr txBox="1"/>
                      <wps:spPr>
                        <a:xfrm>
                          <a:off x="0" y="0"/>
                          <a:ext cx="6480175" cy="352425"/>
                        </a:xfrm>
                        <a:prstGeom prst="rect"/>
                        <a:solidFill>
                          <a:srgbClr val="FFFFFF"/>
                        </a:solidFill>
                      </wps:spPr>
                      <wps:txbx>
                        <w:txbxContent>
                          <w:p>
                            <w:pPr>
                              <w:pStyle w:val="TextBody"/>
                              <w:bidi w:val="0"/>
                              <w:spacing w:lineRule="auto" w:line="288" w:before="0" w:after="0"/>
                              <w:jc w:val="center"/>
                              <w:rPr>
                                <w:rFonts w:ascii="Lato;sans-serif" w:hAnsi="Lato;sans-serif"/>
                                <w:b w:val="false"/>
                                <w:color w:val="000000"/>
                                <w:sz w:val="20"/>
                              </w:rPr>
                            </w:pPr>
                            <w:r>
                              <w:rPr>
                                <w:rFonts w:ascii="Lato;sans-serif" w:hAnsi="Lato;sans-serif"/>
                                <w:b w:val="false"/>
                                <w:color w:val="000000"/>
                                <w:sz w:val="20"/>
                              </w:rPr>
                              <w:t>22</w:t>
                            </w:r>
                          </w:p>
                          <w:p>
                            <w:pPr>
                              <w:pStyle w:val="TextBody"/>
                              <w:bidi w:val="0"/>
                              <w:spacing w:lineRule="auto" w:line="288" w:before="0" w:after="0"/>
                              <w:jc w:val="left"/>
                              <w:rPr>
                                <w:color w:val="000000"/>
                              </w:rPr>
                            </w:pPr>
                            <w:r>
                              <w:rPr>
                                <w:color w:val="000000"/>
                              </w:rPr>
                              <w:t>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Lato;sans-serif" w:hAnsi="Lato;sans-serif"/>
                          <w:b w:val="false"/>
                          <w:color w:val="000000"/>
                          <w:sz w:val="20"/>
                        </w:rPr>
                      </w:pPr>
                      <w:r>
                        <w:rPr>
                          <w:rFonts w:ascii="Lato;sans-serif" w:hAnsi="Lato;sans-serif"/>
                          <w:b w:val="false"/>
                          <w:color w:val="000000"/>
                          <w:sz w:val="20"/>
                        </w:rPr>
                        <w:t>22</w:t>
                      </w:r>
                    </w:p>
                    <w:p>
                      <w:pPr>
                        <w:pStyle w:val="TextBody"/>
                        <w:bidi w:val="0"/>
                        <w:spacing w:lineRule="auto" w:line="288" w:before="0" w:after="0"/>
                        <w:jc w:val="left"/>
                        <w:rPr>
                          <w:color w:val="000000"/>
                        </w:rPr>
                      </w:pPr>
                      <w:r>
                        <w:rPr>
                          <w:color w:val="000000"/>
                        </w:rPr>
                        <w:t>        </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80" w:after="180"/>
        <w:jc w:val="both"/>
        <w:rPr/>
      </w:pPr>
      <w:r>
        <w:rPr>
          <w:rFonts w:ascii="Lato;sans-serif" w:hAnsi="Lato;sans-serif"/>
          <w:b w:val="false"/>
          <w:color w:val="000000"/>
          <w:sz w:val="20"/>
        </w:rPr>
        <w:t xml:space="preserve">The duties and responsibilities of the Compensation Committee are set forth in its charter, which may be found at </w:t>
      </w:r>
      <w:r>
        <w:rPr>
          <w:rFonts w:ascii="Lato;sans-serif" w:hAnsi="Lato;sans-serif"/>
          <w:b w:val="false"/>
          <w:i/>
          <w:color w:val="000000"/>
          <w:sz w:val="20"/>
        </w:rPr>
        <w:t>ir.zoominfo.com</w:t>
      </w:r>
      <w:r>
        <w:rPr>
          <w:color w:val="000000"/>
        </w:rPr>
        <w:t xml:space="preserve"> </w:t>
      </w:r>
      <w:r>
        <w:rPr>
          <w:rFonts w:ascii="Lato;sans-serif" w:hAnsi="Lato;sans-serif"/>
          <w:b w:val="false"/>
          <w:color w:val="000000"/>
          <w:sz w:val="20"/>
        </w:rPr>
        <w:t>under Governance → Governance Highlights → Committee Charters → Compensation Committee Charter. The Compensation Committee’s key functions include the following:</w:t>
      </w:r>
    </w:p>
    <w:p>
      <w:pPr>
        <w:pStyle w:val="TextBody"/>
        <w:bidi w:val="0"/>
        <w:spacing w:lineRule="auto" w:line="288" w:before="0" w:after="100"/>
        <w:ind w:left="0" w:right="0" w:hanging="360"/>
        <w:jc w:val="both"/>
        <w:rPr/>
      </w:pPr>
      <w:r>
        <w:rPr>
          <w:color w:val="000000"/>
        </w:rPr>
        <w:t>•</w:t>
      </w:r>
      <w:r>
        <w:rPr>
          <w:rFonts w:ascii="Lato;sans-serif" w:hAnsi="Lato;sans-serif"/>
          <w:b w:val="false"/>
          <w:color w:val="000000"/>
          <w:sz w:val="20"/>
        </w:rPr>
        <w:t>establishing and reviewing our overall compensation philosophy;</w:t>
      </w:r>
    </w:p>
    <w:p>
      <w:pPr>
        <w:pStyle w:val="TextBody"/>
        <w:bidi w:val="0"/>
        <w:spacing w:lineRule="auto" w:line="288" w:before="0" w:after="100"/>
        <w:ind w:left="0" w:right="0" w:hanging="360"/>
        <w:jc w:val="both"/>
        <w:rPr/>
      </w:pPr>
      <w:r>
        <w:rPr>
          <w:color w:val="000000"/>
        </w:rPr>
        <w:t>•</w:t>
      </w:r>
      <w:r>
        <w:rPr>
          <w:rFonts w:ascii="Lato;sans-serif" w:hAnsi="Lato;sans-serif"/>
          <w:b w:val="false"/>
          <w:color w:val="000000"/>
          <w:sz w:val="20"/>
        </w:rPr>
        <w:t>reviewing and approving the corporate goals and objectives relevant to the compensation of our CEO and other executive officers, including annual performance objectives, as applicable, and evaluating the performance of our CEO in light of such goals and objectives and, either as a committee or together with the other independent directors (as directed by the Board), determine and approve or recommend to the Board, the annual salary, bonus, equity-based incentives and other benefits, direct and indirect, of our CEO;</w:t>
      </w:r>
    </w:p>
    <w:p>
      <w:pPr>
        <w:pStyle w:val="TextBody"/>
        <w:bidi w:val="0"/>
        <w:spacing w:lineRule="auto" w:line="288" w:before="0" w:after="100"/>
        <w:ind w:left="0" w:right="0" w:hanging="360"/>
        <w:jc w:val="both"/>
        <w:rPr/>
      </w:pPr>
      <w:r>
        <w:rPr>
          <w:color w:val="000000"/>
        </w:rPr>
        <w:t>•</w:t>
      </w:r>
      <w:r>
        <w:rPr>
          <w:rFonts w:ascii="Lato;sans-serif" w:hAnsi="Lato;sans-serif"/>
          <w:b w:val="false"/>
          <w:color w:val="000000"/>
          <w:sz w:val="20"/>
        </w:rPr>
        <w:t>reviewing and approving, or making recommendations to the Board with respect to, the compensation of our other executive officers, including annual base salary, bonus and equity-based incentives, and other benefits, whether direct and/or indirect;</w:t>
      </w:r>
    </w:p>
    <w:p>
      <w:pPr>
        <w:pStyle w:val="TextBody"/>
        <w:bidi w:val="0"/>
        <w:spacing w:lineRule="auto" w:line="288" w:before="0" w:after="100"/>
        <w:ind w:left="0" w:right="0" w:hanging="360"/>
        <w:jc w:val="both"/>
        <w:rPr/>
      </w:pPr>
      <w:r>
        <w:rPr>
          <w:color w:val="000000"/>
        </w:rPr>
        <w:t>•</w:t>
      </w:r>
      <w:r>
        <w:rPr>
          <w:rFonts w:ascii="Lato;sans-serif" w:hAnsi="Lato;sans-serif"/>
          <w:b w:val="false"/>
          <w:color w:val="000000"/>
          <w:sz w:val="20"/>
        </w:rPr>
        <w:t>reviewing and recommending the compensation of our directors;</w:t>
      </w:r>
    </w:p>
    <w:p>
      <w:pPr>
        <w:pStyle w:val="TextBody"/>
        <w:bidi w:val="0"/>
        <w:spacing w:lineRule="auto" w:line="288" w:before="0" w:after="100"/>
        <w:ind w:left="0" w:right="0" w:hanging="360"/>
        <w:jc w:val="both"/>
        <w:rPr/>
      </w:pPr>
      <w:r>
        <w:rPr>
          <w:color w:val="000000"/>
        </w:rPr>
        <w:t>•</w:t>
      </w:r>
      <w:r>
        <w:rPr>
          <w:rFonts w:ascii="Lato;sans-serif" w:hAnsi="Lato;sans-serif"/>
          <w:b w:val="false"/>
          <w:color w:val="000000"/>
          <w:sz w:val="20"/>
        </w:rPr>
        <w:t>reviewing and making recommendations with respect to our equity compensation plans; and</w:t>
      </w:r>
    </w:p>
    <w:p>
      <w:pPr>
        <w:pStyle w:val="TextBody"/>
        <w:bidi w:val="0"/>
        <w:spacing w:lineRule="auto" w:line="288" w:before="0" w:after="100"/>
        <w:ind w:left="0" w:right="0" w:hanging="360"/>
        <w:jc w:val="both"/>
        <w:rPr/>
      </w:pPr>
      <w:r>
        <w:rPr>
          <w:color w:val="000000"/>
        </w:rPr>
        <w:t>•</w:t>
      </w:r>
      <w:r>
        <w:rPr>
          <w:rFonts w:ascii="Lato;sans-serif" w:hAnsi="Lato;sans-serif"/>
          <w:b w:val="false"/>
          <w:color w:val="000000"/>
          <w:sz w:val="20"/>
        </w:rPr>
        <w:t>monitoring our regulatory compliance with respect to compensation matters.</w:t>
      </w:r>
    </w:p>
    <w:p>
      <w:pPr>
        <w:pStyle w:val="TextBody"/>
        <w:bidi w:val="0"/>
        <w:spacing w:lineRule="auto" w:line="288" w:before="180" w:after="180"/>
        <w:jc w:val="both"/>
        <w:rPr>
          <w:rFonts w:ascii="Lato;sans-serif" w:hAnsi="Lato;sans-serif"/>
          <w:b w:val="false"/>
          <w:color w:val="000000"/>
          <w:sz w:val="20"/>
        </w:rPr>
      </w:pPr>
      <w:r>
        <w:rPr>
          <w:rFonts w:ascii="Lato;sans-serif" w:hAnsi="Lato;sans-serif"/>
          <w:b w:val="false"/>
          <w:color w:val="000000"/>
          <w:sz w:val="20"/>
        </w:rPr>
        <w:t>Additionally, the Compensation Committee reviews and approves the Executive Compensation Discussion and Analysis for inclusion in the annual proxy statement.</w:t>
      </w:r>
    </w:p>
    <w:p>
      <w:pPr>
        <w:pStyle w:val="TextBody"/>
        <w:bidi w:val="0"/>
        <w:spacing w:lineRule="auto" w:line="288" w:before="0" w:after="0"/>
        <w:jc w:val="both"/>
        <w:rPr>
          <w:rFonts w:ascii="Lato;sans-serif" w:hAnsi="Lato;sans-serif"/>
          <w:b w:val="false"/>
          <w:color w:val="000000"/>
          <w:sz w:val="20"/>
        </w:rPr>
      </w:pPr>
      <w:r>
        <w:rPr>
          <w:rFonts w:ascii="Lato;sans-serif" w:hAnsi="Lato;sans-serif"/>
          <w:b w:val="false"/>
          <w:color w:val="000000"/>
          <w:sz w:val="20"/>
        </w:rPr>
        <w:t xml:space="preserve">The charter of the Compensation Committee permits the committee to delegate any or all of its authority to one or more subcommittees and to delegate to one or more of our officers the authority to make awards to persons other than any Section 16 officer under our incentive compensation or other equity-based plan, subject to compliance with applicable plan terms and the laws of our state of incorporation. In addition, the Compensation Committee has the authority under its charter to retain outside consultants or advisors, as it deems necessary or advisable. </w:t>
      </w:r>
    </w:p>
    <w:p>
      <w:pPr>
        <w:pStyle w:val="TextBody"/>
        <w:bidi w:val="0"/>
        <w:spacing w:lineRule="auto" w:line="288" w:before="300" w:after="180"/>
        <w:jc w:val="both"/>
        <w:rPr>
          <w:rFonts w:ascii="Lato;sans-serif" w:hAnsi="Lato;sans-serif"/>
          <w:b/>
          <w:i/>
          <w:color w:val="000000"/>
          <w:sz w:val="20"/>
        </w:rPr>
      </w:pPr>
      <w:r>
        <w:rPr>
          <w:rFonts w:ascii="Lato;sans-serif" w:hAnsi="Lato;sans-serif"/>
          <w:b/>
          <w:i/>
          <w:color w:val="000000"/>
          <w:sz w:val="20"/>
        </w:rPr>
        <w:t>Nominating and Corporate Governance Committee</w:t>
      </w:r>
    </w:p>
    <w:p>
      <w:pPr>
        <w:pStyle w:val="TextBody"/>
        <w:bidi w:val="0"/>
        <w:spacing w:lineRule="auto" w:line="288" w:before="180" w:after="180"/>
        <w:jc w:val="both"/>
        <w:rPr>
          <w:rFonts w:ascii="Lato;sans-serif" w:hAnsi="Lato;sans-serif"/>
          <w:b w:val="false"/>
          <w:color w:val="000000"/>
          <w:sz w:val="20"/>
        </w:rPr>
      </w:pPr>
      <w:r>
        <w:rPr>
          <w:rFonts w:ascii="Lato;sans-serif" w:hAnsi="Lato;sans-serif"/>
          <w:b w:val="false"/>
          <w:color w:val="000000"/>
          <w:sz w:val="20"/>
        </w:rPr>
        <w:t>Our Nominating and Corporate Governance Committee consists of Mses. Gleeson and Rooney, and Messrs. Giglio and Wurzbacher, with Ms. Gleeson serving as chair. All members of the Nominating and Corporate Governance Committee have been determined to be “independent” as defined by our Corporate Governance Guidelines and the Nasdaq listing standards applicable to boards of directors in general.</w:t>
      </w:r>
    </w:p>
    <w:p>
      <w:pPr>
        <w:pStyle w:val="TextBody"/>
        <w:bidi w:val="0"/>
        <w:spacing w:lineRule="auto" w:line="288" w:before="180" w:after="180"/>
        <w:jc w:val="both"/>
        <w:rPr/>
      </w:pPr>
      <w:r>
        <w:rPr>
          <w:rFonts w:ascii="Lato;sans-serif" w:hAnsi="Lato;sans-serif"/>
          <w:b w:val="false"/>
          <w:color w:val="000000"/>
          <w:sz w:val="20"/>
        </w:rPr>
        <w:t xml:space="preserve">The duties and responsibilities of the Nominating and Corporate Governance Committee are set forth in its charter, which may be found at </w:t>
      </w:r>
      <w:r>
        <w:rPr>
          <w:rFonts w:ascii="Lato;sans-serif" w:hAnsi="Lato;sans-serif"/>
          <w:b w:val="false"/>
          <w:i/>
          <w:color w:val="000000"/>
          <w:sz w:val="20"/>
        </w:rPr>
        <w:t>ir.zoominfo.com</w:t>
      </w:r>
      <w:r>
        <w:rPr>
          <w:color w:val="000000"/>
        </w:rPr>
        <w:t xml:space="preserve"> </w:t>
      </w:r>
      <w:r>
        <w:rPr>
          <w:rFonts w:ascii="Lato;sans-serif" w:hAnsi="Lato;sans-serif"/>
          <w:b w:val="false"/>
          <w:color w:val="000000"/>
          <w:sz w:val="20"/>
        </w:rPr>
        <w:t>under Governance → Governance Highlights → Committee Charters → Nominating and Corporate Governance Committee Charter. The Nominating and Corporate Governance Committee’s key functions include providing assistance to the Board with respect to the following:</w:t>
      </w:r>
    </w:p>
    <w:p>
      <w:pPr>
        <w:pStyle w:val="TextBody"/>
        <w:bidi w:val="0"/>
        <w:spacing w:lineRule="auto" w:line="288" w:before="0" w:after="100"/>
        <w:ind w:left="0" w:right="0" w:hanging="360"/>
        <w:jc w:val="both"/>
        <w:rPr/>
      </w:pPr>
      <w:r>
        <w:rPr>
          <w:color w:val="000000"/>
        </w:rPr>
        <w:t>•</w:t>
      </w:r>
      <w:r>
        <w:rPr>
          <w:rFonts w:ascii="Lato;sans-serif" w:hAnsi="Lato;sans-serif"/>
          <w:b w:val="false"/>
          <w:color w:val="000000"/>
          <w:sz w:val="20"/>
        </w:rPr>
        <w:t>identifying individuals qualified to become directors, consistent with the criteria approved by the Board, from time to time, and selecting, or recommending that the Board select, the director nominees for the next annual meeting of stockholders or to fill vacancies or newly created directorships that may occur between such meetings;</w:t>
      </w:r>
    </w:p>
    <w:p>
      <w:pPr>
        <w:pStyle w:val="TextBody"/>
        <w:bidi w:val="0"/>
        <w:spacing w:lineRule="auto" w:line="288" w:before="0" w:after="100"/>
        <w:ind w:left="0" w:right="0" w:hanging="360"/>
        <w:jc w:val="both"/>
        <w:rPr/>
      </w:pPr>
      <w:r>
        <w:rPr>
          <w:color w:val="000000"/>
        </w:rPr>
        <w:t>•</w:t>
      </w:r>
      <w:r>
        <w:rPr>
          <w:rFonts w:ascii="Lato;sans-serif" w:hAnsi="Lato;sans-serif"/>
          <w:b w:val="false"/>
          <w:color w:val="000000"/>
          <w:sz w:val="20"/>
        </w:rPr>
        <w:t>developing and recommending to the Board a set of corporate governance principles applicable to the Company and assisting the Board in complying with them;</w:t>
      </w:r>
    </w:p>
    <w:p>
      <w:pPr>
        <w:pStyle w:val="TextBody"/>
        <w:bidi w:val="0"/>
        <w:spacing w:lineRule="auto" w:line="288" w:before="0" w:after="100"/>
        <w:ind w:left="0" w:right="0" w:hanging="360"/>
        <w:jc w:val="both"/>
        <w:rPr/>
      </w:pPr>
      <w:r>
        <w:rPr>
          <w:color w:val="000000"/>
        </w:rPr>
        <w:t>•</w:t>
      </w:r>
      <w:r>
        <w:rPr>
          <w:rFonts w:ascii="Lato;sans-serif" w:hAnsi="Lato;sans-serif"/>
          <w:b w:val="false"/>
          <w:color w:val="000000"/>
          <w:sz w:val="20"/>
        </w:rPr>
        <w:t>overseeing the evaluation of the Board;</w:t>
      </w:r>
    </w:p>
    <w:p>
      <w:pPr>
        <w:pStyle w:val="TextBody"/>
        <w:bidi w:val="0"/>
        <w:spacing w:lineRule="auto" w:line="288" w:before="0" w:after="100"/>
        <w:ind w:left="0" w:right="0" w:hanging="360"/>
        <w:jc w:val="both"/>
        <w:rPr/>
      </w:pPr>
      <w:r>
        <w:rPr>
          <w:color w:val="000000"/>
        </w:rPr>
        <w:t>•</w:t>
      </w:r>
      <w:r>
        <w:rPr>
          <w:rFonts w:ascii="Lato;sans-serif" w:hAnsi="Lato;sans-serif"/>
          <w:b w:val="false"/>
          <w:color w:val="000000"/>
          <w:sz w:val="20"/>
        </w:rPr>
        <w:t>recommending members of the Board to serve on the various committees of the Board and evaluating the functions and performance of such committees; and</w:t>
      </w:r>
    </w:p>
    <w:p>
      <w:pPr>
        <w:pStyle w:val="TextBody"/>
        <w:bidi w:val="0"/>
        <w:spacing w:lineRule="auto" w:line="288" w:before="0" w:after="180"/>
        <w:ind w:left="0" w:right="0" w:hanging="360"/>
        <w:jc w:val="both"/>
        <w:rPr/>
      </w:pPr>
      <w:r>
        <w:rPr>
          <w:color w:val="000000"/>
        </w:rPr>
        <w:t>•</w:t>
      </w:r>
      <w:r>
        <w:rPr>
          <w:rFonts w:ascii="Lato;sans-serif" w:hAnsi="Lato;sans-serif"/>
          <w:b w:val="false"/>
          <w:color w:val="000000"/>
          <w:sz w:val="20"/>
        </w:rPr>
        <w:t>otherwise taking a leadership role in shaping the corporate governance of the Company.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352425"/>
                <wp:effectExtent l="0" t="0" r="0" b="0"/>
                <wp:wrapNone/>
                <wp:docPr id="43" name="Frame29"/>
                <a:graphic xmlns:a="http://schemas.openxmlformats.org/drawingml/2006/main">
                  <a:graphicData uri="http://schemas.microsoft.com/office/word/2010/wordprocessingShape">
                    <wps:wsp>
                      <wps:cNvSpPr txBox="1"/>
                      <wps:spPr>
                        <a:xfrm>
                          <a:off x="0" y="0"/>
                          <a:ext cx="6480175" cy="352425"/>
                        </a:xfrm>
                        <a:prstGeom prst="rect"/>
                        <a:solidFill>
                          <a:srgbClr val="FFFFFF"/>
                        </a:solidFill>
                      </wps:spPr>
                      <wps:txbx>
                        <w:txbxContent>
                          <w:p>
                            <w:pPr>
                              <w:pStyle w:val="TextBody"/>
                              <w:bidi w:val="0"/>
                              <w:spacing w:lineRule="auto" w:line="288" w:before="0" w:after="0"/>
                              <w:jc w:val="center"/>
                              <w:rPr>
                                <w:rFonts w:ascii="Lato;sans-serif" w:hAnsi="Lato;sans-serif"/>
                                <w:b w:val="false"/>
                                <w:color w:val="000000"/>
                                <w:sz w:val="20"/>
                              </w:rPr>
                            </w:pPr>
                            <w:r>
                              <w:rPr>
                                <w:rFonts w:ascii="Lato;sans-serif" w:hAnsi="Lato;sans-serif"/>
                                <w:b w:val="false"/>
                                <w:color w:val="000000"/>
                                <w:sz w:val="20"/>
                              </w:rPr>
                              <w:t>23</w:t>
                            </w:r>
                          </w:p>
                          <w:p>
                            <w:pPr>
                              <w:pStyle w:val="TextBody"/>
                              <w:bidi w:val="0"/>
                              <w:spacing w:lineRule="auto" w:line="288" w:before="0" w:after="0"/>
                              <w:jc w:val="left"/>
                              <w:rPr>
                                <w:color w:val="000000"/>
                              </w:rPr>
                            </w:pPr>
                            <w:r>
                              <w:rPr>
                                <w:color w:val="000000"/>
                              </w:rPr>
                              <w:t>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Lato;sans-serif" w:hAnsi="Lato;sans-serif"/>
                          <w:b w:val="false"/>
                          <w:color w:val="000000"/>
                          <w:sz w:val="20"/>
                        </w:rPr>
                      </w:pPr>
                      <w:r>
                        <w:rPr>
                          <w:rFonts w:ascii="Lato;sans-serif" w:hAnsi="Lato;sans-serif"/>
                          <w:b w:val="false"/>
                          <w:color w:val="000000"/>
                          <w:sz w:val="20"/>
                        </w:rPr>
                        <w:t>23</w:t>
                      </w:r>
                    </w:p>
                    <w:p>
                      <w:pPr>
                        <w:pStyle w:val="TextBody"/>
                        <w:bidi w:val="0"/>
                        <w:spacing w:lineRule="auto" w:line="288" w:before="0" w:after="0"/>
                        <w:jc w:val="left"/>
                        <w:rPr>
                          <w:color w:val="000000"/>
                        </w:rPr>
                      </w:pPr>
                      <w:r>
                        <w:rPr>
                          <w:color w:val="000000"/>
                        </w:rPr>
                        <w:t>        </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rFonts w:ascii="Lato;sans-serif" w:hAnsi="Lato;sans-serif"/>
          <w:b w:val="false"/>
          <w:color w:val="000000"/>
          <w:sz w:val="20"/>
        </w:rPr>
      </w:pPr>
      <w:r>
        <w:rPr>
          <w:rFonts w:ascii="Lato;sans-serif" w:hAnsi="Lato;sans-serif"/>
          <w:b w:val="false"/>
          <w:color w:val="000000"/>
          <w:sz w:val="20"/>
        </w:rPr>
        <w:t>The charter of the Nominating and Corporate Governance Committee permits the committee to delegate any or all of its authority to one or more subcommittees. In addition, the Nominating and Corporate Governance Committee has the authority under its charter to retain outside counsel or other experts as it deems necessary or advisable.</w:t>
      </w:r>
    </w:p>
    <w:p>
      <w:pPr>
        <w:pStyle w:val="TextBody"/>
        <w:bidi w:val="0"/>
        <w:spacing w:lineRule="auto" w:line="288" w:before="300" w:after="180"/>
        <w:jc w:val="both"/>
        <w:rPr>
          <w:rFonts w:ascii="Lato;sans-serif" w:hAnsi="Lato;sans-serif"/>
          <w:b/>
          <w:i/>
          <w:color w:val="000000"/>
          <w:sz w:val="20"/>
        </w:rPr>
      </w:pPr>
      <w:r>
        <w:rPr>
          <w:rFonts w:ascii="Lato;sans-serif" w:hAnsi="Lato;sans-serif"/>
          <w:b/>
          <w:i/>
          <w:color w:val="000000"/>
          <w:sz w:val="20"/>
        </w:rPr>
        <w:t>Privacy, Security, and Technology Committee</w:t>
      </w:r>
    </w:p>
    <w:p>
      <w:pPr>
        <w:pStyle w:val="TextBody"/>
        <w:bidi w:val="0"/>
        <w:spacing w:lineRule="auto" w:line="288" w:before="180" w:after="180"/>
        <w:jc w:val="both"/>
        <w:rPr/>
      </w:pPr>
      <w:r>
        <w:rPr>
          <w:rFonts w:ascii="Lato;sans-serif" w:hAnsi="Lato;sans-serif"/>
          <w:b w:val="false"/>
          <w:color w:val="000000"/>
          <w:sz w:val="20"/>
        </w:rPr>
        <w:t xml:space="preserve">Our Privacy, Security, and Technology Committee consists of Messrs. Enright, Maida, and Winn, with Mr. Enright serving as chair. The purpose and responsibilities of the Privacy, Security, and Technology Committee are set forth in its charter, which may be found at </w:t>
      </w:r>
      <w:r>
        <w:rPr>
          <w:rFonts w:ascii="Lato;sans-serif" w:hAnsi="Lato;sans-serif"/>
          <w:b w:val="false"/>
          <w:i/>
          <w:color w:val="000000"/>
          <w:sz w:val="20"/>
        </w:rPr>
        <w:t>ir.zoominfo.com</w:t>
      </w:r>
      <w:r>
        <w:rPr>
          <w:color w:val="000000"/>
        </w:rPr>
        <w:t xml:space="preserve"> </w:t>
      </w:r>
      <w:r>
        <w:rPr>
          <w:rFonts w:ascii="Lato;sans-serif" w:hAnsi="Lato;sans-serif"/>
          <w:b w:val="false"/>
          <w:color w:val="000000"/>
          <w:sz w:val="20"/>
        </w:rPr>
        <w:t>under Governance → Governance Highlights → Committee Charters → Privacy, Security, and Technology Committee Charter. Our Privacy, Security, and Technology Committee’s key functions include periodically providing assistance to the Board with respect to the following:</w:t>
      </w:r>
    </w:p>
    <w:p>
      <w:pPr>
        <w:pStyle w:val="TextBody"/>
        <w:bidi w:val="0"/>
        <w:spacing w:lineRule="auto" w:line="288" w:before="0" w:after="100"/>
        <w:ind w:left="0" w:right="0" w:hanging="360"/>
        <w:jc w:val="both"/>
        <w:rPr/>
      </w:pPr>
      <w:r>
        <w:rPr>
          <w:color w:val="000000"/>
        </w:rPr>
        <w:t>•</w:t>
      </w:r>
      <w:r>
        <w:rPr>
          <w:rFonts w:ascii="Lato;sans-serif" w:hAnsi="Lato;sans-serif"/>
          <w:b w:val="false"/>
          <w:color w:val="000000"/>
          <w:sz w:val="20"/>
        </w:rPr>
        <w:t xml:space="preserve">reviewing our privacy practices and controls in light of applicable regulations and requirements, including as they relate to our products and services and the means by which we receive, collect, create, use, process, and maintain customer data and other information, as well as periodically reviewing our exposure to and management of privacy risks. </w:t>
      </w:r>
    </w:p>
    <w:p>
      <w:pPr>
        <w:pStyle w:val="TextBody"/>
        <w:bidi w:val="0"/>
        <w:spacing w:lineRule="auto" w:line="288" w:before="0" w:after="100"/>
        <w:ind w:left="0" w:right="0" w:hanging="360"/>
        <w:jc w:val="both"/>
        <w:rPr/>
      </w:pPr>
      <w:r>
        <w:rPr>
          <w:color w:val="000000"/>
        </w:rPr>
        <w:t>•</w:t>
      </w:r>
      <w:r>
        <w:rPr>
          <w:rFonts w:ascii="Lato;sans-serif" w:hAnsi="Lato;sans-serif"/>
          <w:b w:val="false"/>
          <w:color w:val="000000"/>
          <w:sz w:val="20"/>
        </w:rPr>
        <w:t>reviewing and discussing with management the effectiveness of our systems, controls, and procedures used to manage privacy risks and ensure compliance with applicable privacy regulations and requirements;</w:t>
      </w:r>
    </w:p>
    <w:p>
      <w:pPr>
        <w:pStyle w:val="TextBody"/>
        <w:bidi w:val="0"/>
        <w:spacing w:lineRule="auto" w:line="288" w:before="0" w:after="100"/>
        <w:ind w:left="0" w:right="0" w:hanging="360"/>
        <w:jc w:val="both"/>
        <w:rPr/>
      </w:pPr>
      <w:r>
        <w:rPr>
          <w:color w:val="000000"/>
        </w:rPr>
        <w:t>•</w:t>
      </w:r>
      <w:r>
        <w:rPr>
          <w:rFonts w:ascii="Lato;sans-serif" w:hAnsi="Lato;sans-serif"/>
          <w:b w:val="false"/>
          <w:color w:val="000000"/>
          <w:sz w:val="20"/>
        </w:rPr>
        <w:t>reviewing the quality and effectiveness of our information security framework, including capabilities, strategy, policies and controls, and methods for identifying, assessing and managing information and cyber security risks;</w:t>
      </w:r>
    </w:p>
    <w:p>
      <w:pPr>
        <w:pStyle w:val="TextBody"/>
        <w:bidi w:val="0"/>
        <w:spacing w:lineRule="auto" w:line="288" w:before="0" w:after="100"/>
        <w:ind w:left="0" w:right="0" w:hanging="360"/>
        <w:jc w:val="both"/>
        <w:rPr/>
      </w:pPr>
      <w:r>
        <w:rPr>
          <w:color w:val="000000"/>
        </w:rPr>
        <w:t>•</w:t>
      </w:r>
      <w:r>
        <w:rPr>
          <w:rFonts w:ascii="Lato;sans-serif" w:hAnsi="Lato;sans-serif"/>
          <w:b w:val="false"/>
          <w:color w:val="000000"/>
          <w:sz w:val="20"/>
        </w:rPr>
        <w:t>reviewing and discussing with management any critical security incidents, the effectiveness of our systems, controls, and procedures used to manage information security risks and ensure compliance with applicable security regulations and requirements, including our cyber incident response and recovery plan; and</w:t>
      </w:r>
    </w:p>
    <w:p>
      <w:pPr>
        <w:pStyle w:val="TextBody"/>
        <w:bidi w:val="0"/>
        <w:spacing w:lineRule="auto" w:line="288" w:before="0" w:after="100"/>
        <w:ind w:left="0" w:right="0" w:hanging="360"/>
        <w:jc w:val="both"/>
        <w:rPr/>
      </w:pPr>
      <w:r>
        <w:rPr>
          <w:color w:val="000000"/>
        </w:rPr>
        <w:t>•</w:t>
      </w:r>
      <w:r>
        <w:rPr>
          <w:rFonts w:ascii="Lato;sans-serif" w:hAnsi="Lato;sans-serif"/>
          <w:b w:val="false"/>
          <w:color w:val="000000"/>
          <w:sz w:val="20"/>
        </w:rPr>
        <w:t>reviewing our technology and innovation strategy and approach as it relates to our products and services, including the use,development and incorporation of artificial intelligence and other emerging technologies into our operations, products, and strategies, its impact on our performance, growth, and competitive position, and risk exposures and management.</w:t>
      </w:r>
    </w:p>
    <w:p>
      <w:pPr>
        <w:pStyle w:val="TextBody"/>
        <w:bidi w:val="0"/>
        <w:spacing w:lineRule="auto" w:line="288" w:before="180" w:after="283"/>
        <w:jc w:val="both"/>
        <w:rPr>
          <w:rFonts w:ascii="Lato;sans-serif" w:hAnsi="Lato;sans-serif"/>
          <w:b w:val="false"/>
          <w:color w:val="000000"/>
          <w:sz w:val="20"/>
        </w:rPr>
      </w:pPr>
      <w:r>
        <w:rPr>
          <w:rFonts w:ascii="Lato;sans-serif" w:hAnsi="Lato;sans-serif"/>
          <w:b w:val="false"/>
          <w:color w:val="000000"/>
          <w:sz w:val="20"/>
        </w:rPr>
        <w:t>The charter of the Privacy, Security, and Technology Committee permits the committee to delegate any or all of its authority to one or more subcommittees consisting of one or more independent members. In addition, the Privacy, Security, and Technology Committee has the authority under its charter to retain external consultants and other advisors as it deems appropriate to support its work. The charter of the Privacy, Security, and Technology Committee was most recently amended on October 28, 2025, following the recommendation of the Privacy, Security, and Technology Committee and the Board’s approval, to reflect, among other things, (i) the evolution of the Privacy, Security, and Technology Committee since the Company’s IPO, (ii) preferences for periodic reviews and practices, (iii) refinement of the applicable privacy language and (iv) eliminating certain duplicative responsibilities.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00" w:after="180"/>
        <w:jc w:val="both"/>
        <w:rPr>
          <w:rFonts w:ascii="Lato;sans-serif" w:hAnsi="Lato;sans-serif"/>
          <w:b/>
          <w:color w:val="000000"/>
          <w:sz w:val="20"/>
        </w:rPr>
      </w:pPr>
      <w:r>
        <w:rPr>
          <w:rFonts w:ascii="Lato;sans-serif" w:hAnsi="Lato;sans-serif"/>
          <w:b/>
          <w:color w:val="000000"/>
          <w:sz w:val="20"/>
        </w:rPr>
        <w:t>Committee Charters and Corporate Governance Guidelines</w:t>
      </w:r>
    </w:p>
    <w:p>
      <w:pPr>
        <w:pStyle w:val="TextBody"/>
        <w:bidi w:val="0"/>
        <w:spacing w:lineRule="auto" w:line="288" w:before="180" w:after="180"/>
        <w:jc w:val="both"/>
        <w:rPr>
          <w:rFonts w:ascii="Lato;sans-serif" w:hAnsi="Lato;sans-serif"/>
          <w:b w:val="false"/>
          <w:color w:val="000000"/>
          <w:sz w:val="20"/>
        </w:rPr>
      </w:pPr>
      <w:r>
        <w:rPr>
          <w:rFonts w:ascii="Lato;sans-serif" w:hAnsi="Lato;sans-serif"/>
          <w:b w:val="false"/>
          <w:color w:val="000000"/>
          <w:sz w:val="20"/>
        </w:rPr>
        <w:t xml:space="preserve">Our commitment to good corporate governance is reflected in our Corporate Governance Guidelines, which describe our Board’s views and policies on a wide range of governance topics. These Corporate Governance Guidelines are reviewed from time to time by our Nominating and Corporate Governance Committee and, to the extent deemed appropriate in light of emerging practices, revised accordingly, upon recommendation to and approval by our Board of Directors.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352425"/>
                <wp:effectExtent l="0" t="0" r="0" b="0"/>
                <wp:wrapNone/>
                <wp:docPr id="44" name="Frame30"/>
                <a:graphic xmlns:a="http://schemas.openxmlformats.org/drawingml/2006/main">
                  <a:graphicData uri="http://schemas.microsoft.com/office/word/2010/wordprocessingShape">
                    <wps:wsp>
                      <wps:cNvSpPr txBox="1"/>
                      <wps:spPr>
                        <a:xfrm>
                          <a:off x="0" y="0"/>
                          <a:ext cx="6480175" cy="352425"/>
                        </a:xfrm>
                        <a:prstGeom prst="rect"/>
                        <a:solidFill>
                          <a:srgbClr val="FFFFFF"/>
                        </a:solidFill>
                      </wps:spPr>
                      <wps:txbx>
                        <w:txbxContent>
                          <w:p>
                            <w:pPr>
                              <w:pStyle w:val="TextBody"/>
                              <w:bidi w:val="0"/>
                              <w:spacing w:lineRule="auto" w:line="288" w:before="0" w:after="0"/>
                              <w:jc w:val="center"/>
                              <w:rPr>
                                <w:rFonts w:ascii="Lato;sans-serif" w:hAnsi="Lato;sans-serif"/>
                                <w:b w:val="false"/>
                                <w:color w:val="000000"/>
                                <w:sz w:val="20"/>
                              </w:rPr>
                            </w:pPr>
                            <w:r>
                              <w:rPr>
                                <w:rFonts w:ascii="Lato;sans-serif" w:hAnsi="Lato;sans-serif"/>
                                <w:b w:val="false"/>
                                <w:color w:val="000000"/>
                                <w:sz w:val="20"/>
                              </w:rPr>
                              <w:t>24</w:t>
                            </w:r>
                          </w:p>
                          <w:p>
                            <w:pPr>
                              <w:pStyle w:val="TextBody"/>
                              <w:bidi w:val="0"/>
                              <w:spacing w:lineRule="auto" w:line="288" w:before="0" w:after="0"/>
                              <w:jc w:val="left"/>
                              <w:rPr>
                                <w:color w:val="000000"/>
                              </w:rPr>
                            </w:pPr>
                            <w:r>
                              <w:rPr>
                                <w:color w:val="000000"/>
                              </w:rPr>
                              <w:t>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Lato;sans-serif" w:hAnsi="Lato;sans-serif"/>
                          <w:b w:val="false"/>
                          <w:color w:val="000000"/>
                          <w:sz w:val="20"/>
                        </w:rPr>
                      </w:pPr>
                      <w:r>
                        <w:rPr>
                          <w:rFonts w:ascii="Lato;sans-serif" w:hAnsi="Lato;sans-serif"/>
                          <w:b w:val="false"/>
                          <w:color w:val="000000"/>
                          <w:sz w:val="20"/>
                        </w:rPr>
                        <w:t>24</w:t>
                      </w:r>
                    </w:p>
                    <w:p>
                      <w:pPr>
                        <w:pStyle w:val="TextBody"/>
                        <w:bidi w:val="0"/>
                        <w:spacing w:lineRule="auto" w:line="288" w:before="0" w:after="0"/>
                        <w:jc w:val="left"/>
                        <w:rPr>
                          <w:color w:val="000000"/>
                        </w:rPr>
                      </w:pPr>
                      <w:r>
                        <w:rPr>
                          <w:color w:val="000000"/>
                        </w:rPr>
                        <w:t>        </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80" w:after="180"/>
        <w:jc w:val="both"/>
        <w:rPr/>
      </w:pPr>
      <w:r>
        <w:rPr>
          <w:rFonts w:ascii="Lato;sans-serif" w:hAnsi="Lato;sans-serif"/>
          <w:b w:val="false"/>
          <w:color w:val="000000"/>
          <w:sz w:val="20"/>
        </w:rPr>
        <w:t xml:space="preserve">Our Corporate Governance Guidelines, Audit Committee, Compensation Committee, Nominating and Corporate Governance Committee, and Privacy, Security, and Technology Committee charters, and other corporate governance information are available on our website at </w:t>
      </w:r>
      <w:r>
        <w:rPr>
          <w:rFonts w:ascii="Lato;sans-serif" w:hAnsi="Lato;sans-serif"/>
          <w:b w:val="false"/>
          <w:i/>
          <w:color w:val="000000"/>
          <w:sz w:val="20"/>
        </w:rPr>
        <w:t>ir.zoominfo.com</w:t>
      </w:r>
      <w:r>
        <w:rPr>
          <w:color w:val="000000"/>
        </w:rPr>
        <w:t xml:space="preserve"> </w:t>
      </w:r>
      <w:r>
        <w:rPr>
          <w:rFonts w:ascii="Lato;sans-serif" w:hAnsi="Lato;sans-serif"/>
          <w:b w:val="false"/>
          <w:color w:val="000000"/>
          <w:sz w:val="20"/>
        </w:rPr>
        <w:t>under Governance. Any stockholder also may request them in print, without charge, by contacting the Secretary of ZoomInfo Technologies Inc., at 330 W Columbia Way, Floor 8, Vancouver, Washington 98660.</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00" w:after="180"/>
        <w:jc w:val="both"/>
        <w:rPr>
          <w:rFonts w:ascii="Lato;sans-serif" w:hAnsi="Lato;sans-serif"/>
          <w:b/>
          <w:color w:val="000000"/>
          <w:sz w:val="20"/>
        </w:rPr>
      </w:pPr>
      <w:r>
        <w:rPr>
          <w:rFonts w:ascii="Lato;sans-serif" w:hAnsi="Lato;sans-serif"/>
          <w:b/>
          <w:color w:val="000000"/>
          <w:sz w:val="20"/>
        </w:rPr>
        <w:t>Code of Business Conduct and Ethics</w:t>
      </w:r>
    </w:p>
    <w:p>
      <w:pPr>
        <w:pStyle w:val="TextBody"/>
        <w:bidi w:val="0"/>
        <w:spacing w:lineRule="auto" w:line="288" w:before="180" w:after="180"/>
        <w:jc w:val="both"/>
        <w:rPr/>
      </w:pPr>
      <w:r>
        <w:rPr>
          <w:rFonts w:ascii="Lato;sans-serif" w:hAnsi="Lato;sans-serif"/>
          <w:b w:val="false"/>
          <w:color w:val="000000"/>
          <w:sz w:val="20"/>
        </w:rPr>
        <w:t xml:space="preserve">We maintain a Code of Business Conduct and Ethics that is applicable to all of our directors, officers and employees, including our Chairman and Chief Executive Officer, Chief Financial Officer, Controller &amp; Vice President of Accounting and other employees of the Company. The Code of Business Conduct &amp; Ethics sets forth our policies and expectations on a number of topics, including conflicts of interest, corporate opportunities, confidentiality, compliance with laws (including insider trading laws), use of our assets and business conduct and fair dealing. Our Code of Business Conduct and Ethics also satisfies the requirements for a code of ethics, as defined by Item 406 of Regulation S-K promulgated by the SEC. The Code of Business Conduct and Ethics may be found on our website at </w:t>
      </w:r>
      <w:r>
        <w:rPr>
          <w:rFonts w:ascii="Lato;sans-serif" w:hAnsi="Lato;sans-serif"/>
          <w:b w:val="false"/>
          <w:i/>
          <w:color w:val="000000"/>
          <w:sz w:val="20"/>
        </w:rPr>
        <w:t>ir.zoominfo.com</w:t>
      </w:r>
      <w:r>
        <w:rPr>
          <w:color w:val="000000"/>
        </w:rPr>
        <w:t xml:space="preserve"> </w:t>
      </w:r>
      <w:r>
        <w:rPr>
          <w:rFonts w:ascii="Lato;sans-serif" w:hAnsi="Lato;sans-serif"/>
          <w:b w:val="false"/>
          <w:color w:val="000000"/>
          <w:sz w:val="20"/>
        </w:rPr>
        <w:t>under Governance → Governance Highlights → Governance Documents → Code of Business Conduct and Ethics.</w:t>
      </w:r>
    </w:p>
    <w:p>
      <w:pPr>
        <w:pStyle w:val="TextBody"/>
        <w:bidi w:val="0"/>
        <w:spacing w:lineRule="auto" w:line="288" w:before="180" w:after="180"/>
        <w:jc w:val="both"/>
        <w:rPr>
          <w:rFonts w:ascii="Lato;sans-serif" w:hAnsi="Lato;sans-serif"/>
          <w:b w:val="false"/>
          <w:color w:val="000000"/>
          <w:sz w:val="20"/>
        </w:rPr>
      </w:pPr>
      <w:r>
        <w:rPr>
          <w:rFonts w:ascii="Lato;sans-serif" w:hAnsi="Lato;sans-serif"/>
          <w:b w:val="false"/>
          <w:color w:val="000000"/>
          <w:sz w:val="20"/>
        </w:rPr>
        <w:t>We will disclose within four business days any substantive changes in or waivers of the Code of Business Conduct and Ethics granted to our principal executive officer, principal financial officer, principal accounting officer or controller, or persons performing similar functions, by posting such information on our website as set forth above rather than by filing a Form 8-K. In the case of a waiver for an executive officer or a director, the required disclosure also will be made available on our website within four business days of the date of such waiver.</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00" w:after="180"/>
        <w:jc w:val="both"/>
        <w:rPr>
          <w:rFonts w:ascii="Lato;sans-serif" w:hAnsi="Lato;sans-serif"/>
          <w:b/>
          <w:color w:val="000000"/>
          <w:sz w:val="20"/>
        </w:rPr>
      </w:pPr>
      <w:r>
        <w:rPr>
          <w:rFonts w:ascii="Lato;sans-serif" w:hAnsi="Lato;sans-serif"/>
          <w:b/>
          <w:color w:val="000000"/>
          <w:sz w:val="20"/>
        </w:rPr>
        <w:t>Oversight of Risk Management</w:t>
      </w:r>
    </w:p>
    <w:p>
      <w:pPr>
        <w:pStyle w:val="TextBody"/>
        <w:bidi w:val="0"/>
        <w:spacing w:lineRule="auto" w:line="288" w:before="180" w:after="180"/>
        <w:jc w:val="both"/>
        <w:rPr>
          <w:rFonts w:ascii="Lato;sans-serif" w:hAnsi="Lato;sans-serif"/>
          <w:b w:val="false"/>
          <w:color w:val="000000"/>
          <w:sz w:val="20"/>
        </w:rPr>
      </w:pPr>
      <w:r>
        <w:rPr>
          <w:rFonts w:ascii="Lato;sans-serif" w:hAnsi="Lato;sans-serif"/>
          <w:b w:val="false"/>
          <w:color w:val="000000"/>
          <w:sz w:val="20"/>
        </w:rPr>
        <w:t>The Board has extensive involvement in the oversight of risk management related to us and our business. The Board accomplishes this oversight both directly and through its Audit Committee, Compensation Committee, Nominating and Corporate Governance Committee, and Privacy, Security, and Technology Committee, each of which assists the Board in overseeing a part of our overall risk management and regularly reports to the Board. The Audit Committee, acting on behalf of the Board, periodically reviews our accounting, reporting and financial practices, including the integrity of our financial statements, the oversight of administrative and financial controls, our compliance with legal and regulatory requirements and our policies with respect to risk assessment and risk management. Through its regular meetings with management, including the finance, legal and internal audit functions, the Audit Committee reviews and discusses significant areas of our business and related risks and summarizes for the Board areas of risk and any mitigating factors. The Compensation Committee considers, and discusses with management, management’s assessment of certain risks, including whether any risks arising from our compensation policies and practices for our employees are reasonably likely to have a material adverse effect on us. The Nominating and Corporate Governance Committee oversees and evaluates programs and risks associated with Board organization, membership and structure, succession planning and corporate governance. In addition, our Board receives periodic detailed operating performance reviews from management. The Privacy, Security, and Technology Committee, represents the Board by periodically reviewing and discussing with Company management the Company’s major risk exposures relating to privacy, cybersecurity, and technology, including AI, and the steps the Company takes to detect, monitor, and actively manage such exposures.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352425"/>
                <wp:effectExtent l="0" t="0" r="0" b="0"/>
                <wp:wrapNone/>
                <wp:docPr id="45" name="Frame31"/>
                <a:graphic xmlns:a="http://schemas.openxmlformats.org/drawingml/2006/main">
                  <a:graphicData uri="http://schemas.microsoft.com/office/word/2010/wordprocessingShape">
                    <wps:wsp>
                      <wps:cNvSpPr txBox="1"/>
                      <wps:spPr>
                        <a:xfrm>
                          <a:off x="0" y="0"/>
                          <a:ext cx="6480175" cy="352425"/>
                        </a:xfrm>
                        <a:prstGeom prst="rect"/>
                        <a:solidFill>
                          <a:srgbClr val="FFFFFF"/>
                        </a:solidFill>
                      </wps:spPr>
                      <wps:txbx>
                        <w:txbxContent>
                          <w:p>
                            <w:pPr>
                              <w:pStyle w:val="TextBody"/>
                              <w:bidi w:val="0"/>
                              <w:spacing w:lineRule="auto" w:line="288" w:before="0" w:after="0"/>
                              <w:jc w:val="center"/>
                              <w:rPr>
                                <w:rFonts w:ascii="Lato;sans-serif" w:hAnsi="Lato;sans-serif"/>
                                <w:b w:val="false"/>
                                <w:color w:val="000000"/>
                                <w:sz w:val="20"/>
                              </w:rPr>
                            </w:pPr>
                            <w:r>
                              <w:rPr>
                                <w:rFonts w:ascii="Lato;sans-serif" w:hAnsi="Lato;sans-serif"/>
                                <w:b w:val="false"/>
                                <w:color w:val="000000"/>
                                <w:sz w:val="20"/>
                              </w:rPr>
                              <w:t>25</w:t>
                            </w:r>
                          </w:p>
                          <w:p>
                            <w:pPr>
                              <w:pStyle w:val="TextBody"/>
                              <w:bidi w:val="0"/>
                              <w:spacing w:lineRule="auto" w:line="288" w:before="0" w:after="0"/>
                              <w:jc w:val="left"/>
                              <w:rPr>
                                <w:color w:val="000000"/>
                              </w:rPr>
                            </w:pPr>
                            <w:r>
                              <w:rPr>
                                <w:color w:val="000000"/>
                              </w:rPr>
                              <w:t>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Lato;sans-serif" w:hAnsi="Lato;sans-serif"/>
                          <w:b w:val="false"/>
                          <w:color w:val="000000"/>
                          <w:sz w:val="20"/>
                        </w:rPr>
                      </w:pPr>
                      <w:r>
                        <w:rPr>
                          <w:rFonts w:ascii="Lato;sans-serif" w:hAnsi="Lato;sans-serif"/>
                          <w:b w:val="false"/>
                          <w:color w:val="000000"/>
                          <w:sz w:val="20"/>
                        </w:rPr>
                        <w:t>25</w:t>
                      </w:r>
                    </w:p>
                    <w:p>
                      <w:pPr>
                        <w:pStyle w:val="TextBody"/>
                        <w:bidi w:val="0"/>
                        <w:spacing w:lineRule="auto" w:line="288" w:before="0" w:after="0"/>
                        <w:jc w:val="left"/>
                        <w:rPr>
                          <w:color w:val="000000"/>
                        </w:rPr>
                      </w:pPr>
                      <w:r>
                        <w:rPr>
                          <w:color w:val="000000"/>
                        </w:rPr>
                        <w:t>        </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300" w:after="180"/>
        <w:jc w:val="both"/>
        <w:rPr>
          <w:rFonts w:ascii="Lato;sans-serif" w:hAnsi="Lato;sans-serif"/>
          <w:b/>
          <w:i/>
          <w:color w:val="000000"/>
          <w:sz w:val="20"/>
        </w:rPr>
      </w:pPr>
      <w:r>
        <w:rPr>
          <w:rFonts w:ascii="Lato;sans-serif" w:hAnsi="Lato;sans-serif"/>
          <w:b/>
          <w:i/>
          <w:color w:val="000000"/>
          <w:sz w:val="20"/>
        </w:rPr>
        <w:t>Board Oversight of Privacy, Cybersecurity and Technology Risks</w:t>
      </w:r>
    </w:p>
    <w:p>
      <w:pPr>
        <w:pStyle w:val="TextBody"/>
        <w:bidi w:val="0"/>
        <w:spacing w:lineRule="auto" w:line="288" w:before="180" w:after="180"/>
        <w:jc w:val="both"/>
        <w:rPr>
          <w:rFonts w:ascii="Lato;sans-serif" w:hAnsi="Lato;sans-serif"/>
          <w:b w:val="false"/>
          <w:color w:val="000000"/>
          <w:sz w:val="20"/>
        </w:rPr>
      </w:pPr>
      <w:r>
        <w:rPr>
          <w:rFonts w:ascii="Lato;sans-serif" w:hAnsi="Lato;sans-serif"/>
          <w:b w:val="false"/>
          <w:color w:val="000000"/>
          <w:sz w:val="20"/>
        </w:rPr>
        <w:t>Our Board recognizes the importance of maintaining the trust and confidence of our clients and employees. As a part of its independent oversight of the key risks facing our company, the Board, primarily through its Privacy, Security, and Technology Committee, devotes significant time and attention to the oversight of privacy, cybersecurity and technology risks. The Privacy, Security, and Technology Committee oversees management’s approach to staffing, policies, processes, and practices to gauge and address privacy, cybersecurity, and technology risks. The Privacy, Security, and Technology Committee regularly reports to the full Board and discusses the significant privacy, cybersecurity and technology issues at the Board level.</w:t>
      </w:r>
    </w:p>
    <w:p>
      <w:pPr>
        <w:pStyle w:val="TextBody"/>
        <w:bidi w:val="0"/>
        <w:spacing w:lineRule="auto" w:line="288" w:before="180" w:after="180"/>
        <w:jc w:val="both"/>
        <w:rPr>
          <w:rFonts w:ascii="Lato;sans-serif" w:hAnsi="Lato;sans-serif"/>
          <w:b w:val="false"/>
          <w:color w:val="000000"/>
          <w:sz w:val="20"/>
        </w:rPr>
      </w:pPr>
      <w:r>
        <w:rPr>
          <w:rFonts w:ascii="Lato;sans-serif" w:hAnsi="Lato;sans-serif"/>
          <w:b w:val="false"/>
          <w:color w:val="000000"/>
          <w:sz w:val="20"/>
        </w:rPr>
        <w:t>Our Privacy, Security, and Technology Committee receives regular presentations and reports throughout the year on privacy, cybersecurity and technology risks. Our Chief Strategist of Privacy and Compliance, Chief Information Security Officer, Chief Technology Officer, General Counsel and other members of management provide updates and analyses regarding data privacy and security topics to the Privacy, Security, and Technology Committee at each meeting. These updates address a broad range of topics throughout the year, including but not limited to: cybersecurity threats, vulnerabilities and preparedness; technology trends, including as it relates to AI; regulatory developments; legal issues; policies and practices; information governance and security; product security; other potential threats and vulnerabilities; and efforts to plan for and mitigate threats and vulnerabilities.</w:t>
      </w:r>
    </w:p>
    <w:p>
      <w:pPr>
        <w:pStyle w:val="TextBody"/>
        <w:bidi w:val="0"/>
        <w:spacing w:lineRule="auto" w:line="288" w:before="300" w:after="180"/>
        <w:jc w:val="both"/>
        <w:rPr>
          <w:rFonts w:ascii="Lato;sans-serif" w:hAnsi="Lato;sans-serif"/>
          <w:b/>
          <w:i/>
          <w:color w:val="000000"/>
          <w:sz w:val="20"/>
        </w:rPr>
      </w:pPr>
      <w:r>
        <w:rPr>
          <w:rFonts w:ascii="Lato;sans-serif" w:hAnsi="Lato;sans-serif"/>
          <w:b/>
          <w:i/>
          <w:color w:val="000000"/>
          <w:sz w:val="20"/>
        </w:rPr>
        <w:t>Board Oversight of Environmental, Social, and Governance Risks</w:t>
      </w:r>
    </w:p>
    <w:p>
      <w:pPr>
        <w:pStyle w:val="TextBody"/>
        <w:bidi w:val="0"/>
        <w:spacing w:lineRule="auto" w:line="288" w:before="180" w:after="180"/>
        <w:jc w:val="both"/>
        <w:rPr>
          <w:rFonts w:ascii="Lato;sans-serif" w:hAnsi="Lato;sans-serif"/>
          <w:b w:val="false"/>
          <w:color w:val="000000"/>
          <w:sz w:val="20"/>
        </w:rPr>
      </w:pPr>
      <w:r>
        <w:rPr>
          <w:rFonts w:ascii="Lato;sans-serif" w:hAnsi="Lato;sans-serif"/>
          <w:b w:val="false"/>
          <w:color w:val="000000"/>
          <w:sz w:val="20"/>
        </w:rPr>
        <w:t>Our Board recognizes the importance of sustainability to our organization. As a part of its independent oversight of the key risks facing our company, the Board, primarily through its Audit Committee, provides oversight of sustainability initiatives, evaluation and management of environmental, social and governance risks, and related public reporting.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6" w:before="0" w:after="0"/>
        <w:jc w:val="both"/>
        <w:rPr>
          <w:rFonts w:ascii="Lato;sans-serif" w:hAnsi="Lato;sans-serif"/>
          <w:b/>
          <w:color w:val="000000"/>
          <w:sz w:val="20"/>
        </w:rPr>
      </w:pPr>
      <w:r>
        <w:rPr>
          <w:rFonts w:ascii="Lato;sans-serif" w:hAnsi="Lato;sans-serif"/>
          <w:b/>
          <w:color w:val="000000"/>
          <w:sz w:val="20"/>
        </w:rPr>
        <w:t>Insider Trading Policies and Procedures and Anti-Hedging Policy</w:t>
      </w:r>
    </w:p>
    <w:p>
      <w:pPr>
        <w:pStyle w:val="TextBody"/>
        <w:bidi w:val="0"/>
        <w:spacing w:before="0" w:after="0"/>
        <w:jc w:val="left"/>
        <w:rPr/>
      </w:pPr>
      <w:r>
        <w:rPr/>
      </w:r>
    </w:p>
    <w:p>
      <w:pPr>
        <w:pStyle w:val="TextBody"/>
        <w:bidi w:val="0"/>
        <w:spacing w:lineRule="auto" w:line="268" w:before="0" w:after="180"/>
        <w:jc w:val="both"/>
        <w:rPr/>
      </w:pPr>
      <w:r>
        <w:rPr>
          <w:rFonts w:ascii="Lato;sans-serif" w:hAnsi="Lato;sans-serif"/>
          <w:b w:val="false"/>
          <w:color w:val="000000"/>
          <w:sz w:val="20"/>
        </w:rPr>
        <w:t>The Company has adopted insider trading policies and procedures governing the purchase, sale, and other dispositions of its securities by directors, officers, and employees that the Company believes are reasonably designed to promote compliance with insider trading laws, rules and regulations, and applicable Nasdaq listing standards (the “</w:t>
      </w:r>
      <w:r>
        <w:rPr>
          <w:rFonts w:ascii="Lato;sans-serif" w:hAnsi="Lato;sans-serif"/>
          <w:b/>
          <w:i/>
          <w:color w:val="000000"/>
          <w:sz w:val="20"/>
        </w:rPr>
        <w:t>Securities Trading Policy</w:t>
      </w:r>
      <w:r>
        <w:rPr>
          <w:color w:val="000000"/>
        </w:rPr>
        <w:t>”</w:t>
      </w:r>
      <w:r>
        <w:rPr>
          <w:rFonts w:ascii="Lato;sans-serif" w:hAnsi="Lato;sans-serif"/>
          <w:b w:val="false"/>
          <w:color w:val="000000"/>
          <w:sz w:val="20"/>
        </w:rPr>
        <w:t>). The Company’s Securities Trading Policy states, among other things, that its directors, officers, and employees (and entities controlled by such persons as well as family members) are prohibited from trading in such securities while in possession of material, nonpublic information. The Company is also prohibited from trading its publicly listed securities while in possession of material, nonpublic information related to the Company unless such trading activity complies with all applicable securities laws. The foregoing summary does not purport to be complete and is qualified by reference to the Securities Trading Policy, which is filed as Exhibit 19.1 to the Company’s 2025 10-K, filed with the SEC on February 12, 2026.</w:t>
      </w:r>
    </w:p>
    <w:p>
      <w:pPr>
        <w:pStyle w:val="TextBody"/>
        <w:bidi w:val="0"/>
        <w:spacing w:lineRule="auto" w:line="288" w:before="0" w:after="0"/>
        <w:jc w:val="both"/>
        <w:rPr>
          <w:rFonts w:ascii="Lato;sans-serif" w:hAnsi="Lato;sans-serif"/>
          <w:b w:val="false"/>
          <w:color w:val="000000"/>
          <w:sz w:val="20"/>
        </w:rPr>
      </w:pPr>
      <w:r>
        <w:rPr>
          <w:rFonts w:ascii="Lato;sans-serif" w:hAnsi="Lato;sans-serif"/>
          <w:b w:val="false"/>
          <w:color w:val="000000"/>
          <w:sz w:val="20"/>
        </w:rPr>
        <w:t>The Company’s Securities Trading Policy also requires executive officers and directors to consult the Company’s Office of the General Counsel prior to engaging in transactions involving the Company’s securities. In order to protect the Company from exposure under insider trading laws, executive officers and directors are encouraged to enter into pre-set trading plans under Exchange Act Rule 10b5-1. The Company’s Securities Trading Policy prohibits directors and employees (including officers) from trading in options and warrants of, and puts and calls or similar instruments on, the Company’s securities or selling such securities short. In addition, directors and employees (including officers) are prohibited from purchasing financial instruments or otherwise engaging in any transactions (including variable forward contracts, equity swaps, collars and exchange funds) that are designed to hedge or offset any decrease in the market value of the Company’s equity securities.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352425"/>
                <wp:effectExtent l="0" t="0" r="0" b="0"/>
                <wp:wrapNone/>
                <wp:docPr id="46" name="Frame32"/>
                <a:graphic xmlns:a="http://schemas.openxmlformats.org/drawingml/2006/main">
                  <a:graphicData uri="http://schemas.microsoft.com/office/word/2010/wordprocessingShape">
                    <wps:wsp>
                      <wps:cNvSpPr txBox="1"/>
                      <wps:spPr>
                        <a:xfrm>
                          <a:off x="0" y="0"/>
                          <a:ext cx="6480175" cy="352425"/>
                        </a:xfrm>
                        <a:prstGeom prst="rect"/>
                        <a:solidFill>
                          <a:srgbClr val="FFFFFF"/>
                        </a:solidFill>
                      </wps:spPr>
                      <wps:txbx>
                        <w:txbxContent>
                          <w:p>
                            <w:pPr>
                              <w:pStyle w:val="TextBody"/>
                              <w:bidi w:val="0"/>
                              <w:spacing w:lineRule="auto" w:line="288" w:before="0" w:after="0"/>
                              <w:jc w:val="center"/>
                              <w:rPr>
                                <w:rFonts w:ascii="Lato;sans-serif" w:hAnsi="Lato;sans-serif"/>
                                <w:b w:val="false"/>
                                <w:color w:val="000000"/>
                                <w:sz w:val="20"/>
                              </w:rPr>
                            </w:pPr>
                            <w:r>
                              <w:rPr>
                                <w:rFonts w:ascii="Lato;sans-serif" w:hAnsi="Lato;sans-serif"/>
                                <w:b w:val="false"/>
                                <w:color w:val="000000"/>
                                <w:sz w:val="20"/>
                              </w:rPr>
                              <w:t>26</w:t>
                            </w:r>
                          </w:p>
                          <w:p>
                            <w:pPr>
                              <w:pStyle w:val="TextBody"/>
                              <w:bidi w:val="0"/>
                              <w:spacing w:lineRule="auto" w:line="288" w:before="0" w:after="0"/>
                              <w:jc w:val="left"/>
                              <w:rPr>
                                <w:color w:val="000000"/>
                              </w:rPr>
                            </w:pPr>
                            <w:r>
                              <w:rPr>
                                <w:color w:val="000000"/>
                              </w:rPr>
                              <w:t>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Lato;sans-serif" w:hAnsi="Lato;sans-serif"/>
                          <w:b w:val="false"/>
                          <w:color w:val="000000"/>
                          <w:sz w:val="20"/>
                        </w:rPr>
                      </w:pPr>
                      <w:r>
                        <w:rPr>
                          <w:rFonts w:ascii="Lato;sans-serif" w:hAnsi="Lato;sans-serif"/>
                          <w:b w:val="false"/>
                          <w:color w:val="000000"/>
                          <w:sz w:val="20"/>
                        </w:rPr>
                        <w:t>26</w:t>
                      </w:r>
                    </w:p>
                    <w:p>
                      <w:pPr>
                        <w:pStyle w:val="TextBody"/>
                        <w:bidi w:val="0"/>
                        <w:spacing w:lineRule="auto" w:line="288" w:before="0" w:after="0"/>
                        <w:jc w:val="left"/>
                        <w:rPr>
                          <w:color w:val="000000"/>
                        </w:rPr>
                      </w:pPr>
                      <w:r>
                        <w:rPr>
                          <w:color w:val="000000"/>
                        </w:rPr>
                        <w:t>        </w:t>
                      </w:r>
                    </w:p>
                  </w:txbxContent>
                </v:textbox>
                <w10:wrap type="none"/>
              </v:rect>
            </w:pict>
          </mc:Fallback>
        </mc:AlternateContent>
      </w:r>
    </w:p>
    <w:p>
      <w:pPr>
        <w:pStyle w:val="TextBody"/>
        <w:bidi w:val="0"/>
        <w:spacing w:before="0" w:after="0"/>
        <w:jc w:val="left"/>
        <w:rPr/>
      </w:pPr>
      <w:r>
        <w:rPr/>
      </w:r>
    </w:p>
    <w:p>
      <w:pPr>
        <w:pStyle w:val="TextBody"/>
        <w:bidi w:val="0"/>
        <w:spacing w:lineRule="auto" w:line="333" w:before="300" w:after="180"/>
        <w:jc w:val="left"/>
        <w:rPr>
          <w:rFonts w:ascii="Lato;sans-serif" w:hAnsi="Lato;sans-serif"/>
          <w:b/>
          <w:color w:val="000000"/>
          <w:sz w:val="20"/>
        </w:rPr>
      </w:pPr>
      <w:r>
        <w:rPr>
          <w:rFonts w:ascii="Lato;sans-serif" w:hAnsi="Lato;sans-serif"/>
          <w:b/>
          <w:color w:val="000000"/>
          <w:sz w:val="20"/>
        </w:rPr>
        <w:t>Director Compensation in 2025</w:t>
      </w:r>
    </w:p>
    <w:p>
      <w:pPr>
        <w:pStyle w:val="TextBody"/>
        <w:bidi w:val="0"/>
        <w:spacing w:lineRule="auto" w:line="288" w:before="180" w:after="180"/>
        <w:jc w:val="both"/>
        <w:rPr>
          <w:rFonts w:ascii="Lato;sans-serif" w:hAnsi="Lato;sans-serif"/>
          <w:b w:val="false"/>
          <w:color w:val="000000"/>
          <w:sz w:val="20"/>
        </w:rPr>
      </w:pPr>
      <w:r>
        <w:rPr>
          <w:rFonts w:ascii="Lato;sans-serif" w:hAnsi="Lato;sans-serif"/>
          <w:b w:val="false"/>
          <w:color w:val="000000"/>
          <w:sz w:val="20"/>
        </w:rPr>
        <w:t>The table below sets forth information regarding non-employee director compensation for the fiscal year ended December 31, 2025.</w:t>
      </w:r>
    </w:p>
    <w:tbl>
      <w:tblPr>
        <w:tblW w:w="9651" w:type="dxa"/>
        <w:jc w:val="left"/>
        <w:tblInd w:w="0" w:type="dxa"/>
        <w:tblLayout w:type="fixed"/>
        <w:tblCellMar>
          <w:top w:w="28" w:type="dxa"/>
          <w:left w:w="28" w:type="dxa"/>
          <w:bottom w:w="28" w:type="dxa"/>
          <w:right w:w="28" w:type="dxa"/>
        </w:tblCellMar>
      </w:tblPr>
      <w:tblGrid>
        <w:gridCol w:w="761"/>
        <w:gridCol w:w="669"/>
        <w:gridCol w:w="670"/>
        <w:gridCol w:w="1198"/>
        <w:gridCol w:w="1198"/>
        <w:gridCol w:w="1203"/>
        <w:gridCol w:w="109"/>
        <w:gridCol w:w="109"/>
        <w:gridCol w:w="109"/>
        <w:gridCol w:w="734"/>
        <w:gridCol w:w="734"/>
        <w:gridCol w:w="736"/>
        <w:gridCol w:w="109"/>
        <w:gridCol w:w="109"/>
        <w:gridCol w:w="109"/>
        <w:gridCol w:w="319"/>
        <w:gridCol w:w="319"/>
        <w:gridCol w:w="456"/>
      </w:tblGrid>
      <w:tr>
        <w:trPr/>
        <w:tc>
          <w:tcPr>
            <w:tcW w:w="761" w:type="dxa"/>
            <w:tcBorders/>
            <w:vAlign w:val="center"/>
          </w:tcPr>
          <w:p>
            <w:pPr>
              <w:pStyle w:val="TableContents"/>
              <w:bidi w:val="0"/>
              <w:spacing w:before="0" w:after="283"/>
              <w:jc w:val="left"/>
              <w:rPr>
                <w:sz w:val="4"/>
                <w:szCs w:val="4"/>
              </w:rPr>
            </w:pPr>
            <w:r>
              <w:rPr>
                <w:sz w:val="4"/>
                <w:szCs w:val="4"/>
              </w:rPr>
            </w:r>
          </w:p>
        </w:tc>
        <w:tc>
          <w:tcPr>
            <w:tcW w:w="669" w:type="dxa"/>
            <w:tcBorders/>
            <w:vAlign w:val="center"/>
          </w:tcPr>
          <w:p>
            <w:pPr>
              <w:pStyle w:val="TableContents"/>
              <w:bidi w:val="0"/>
              <w:spacing w:before="0" w:after="283"/>
              <w:jc w:val="left"/>
              <w:rPr>
                <w:sz w:val="4"/>
                <w:szCs w:val="4"/>
              </w:rPr>
            </w:pPr>
            <w:r>
              <w:rPr>
                <w:sz w:val="4"/>
                <w:szCs w:val="4"/>
              </w:rPr>
            </w:r>
          </w:p>
        </w:tc>
        <w:tc>
          <w:tcPr>
            <w:tcW w:w="670" w:type="dxa"/>
            <w:tcBorders/>
            <w:vAlign w:val="center"/>
          </w:tcPr>
          <w:p>
            <w:pPr>
              <w:pStyle w:val="TableContents"/>
              <w:bidi w:val="0"/>
              <w:spacing w:before="0" w:after="283"/>
              <w:jc w:val="left"/>
              <w:rPr>
                <w:sz w:val="4"/>
                <w:szCs w:val="4"/>
              </w:rPr>
            </w:pPr>
            <w:r>
              <w:rPr>
                <w:sz w:val="4"/>
                <w:szCs w:val="4"/>
              </w:rPr>
            </w:r>
          </w:p>
        </w:tc>
        <w:tc>
          <w:tcPr>
            <w:tcW w:w="1198" w:type="dxa"/>
            <w:tcBorders/>
            <w:vAlign w:val="center"/>
          </w:tcPr>
          <w:p>
            <w:pPr>
              <w:pStyle w:val="TableContents"/>
              <w:bidi w:val="0"/>
              <w:spacing w:before="0" w:after="283"/>
              <w:jc w:val="left"/>
              <w:rPr>
                <w:sz w:val="4"/>
                <w:szCs w:val="4"/>
              </w:rPr>
            </w:pPr>
            <w:r>
              <w:rPr>
                <w:sz w:val="4"/>
                <w:szCs w:val="4"/>
              </w:rPr>
            </w:r>
          </w:p>
        </w:tc>
        <w:tc>
          <w:tcPr>
            <w:tcW w:w="1198" w:type="dxa"/>
            <w:tcBorders/>
            <w:vAlign w:val="center"/>
          </w:tcPr>
          <w:p>
            <w:pPr>
              <w:pStyle w:val="TableContents"/>
              <w:bidi w:val="0"/>
              <w:spacing w:before="0" w:after="283"/>
              <w:jc w:val="left"/>
              <w:rPr>
                <w:sz w:val="4"/>
                <w:szCs w:val="4"/>
              </w:rPr>
            </w:pPr>
            <w:r>
              <w:rPr>
                <w:sz w:val="4"/>
                <w:szCs w:val="4"/>
              </w:rPr>
            </w:r>
          </w:p>
        </w:tc>
        <w:tc>
          <w:tcPr>
            <w:tcW w:w="12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r>
      <w:tr>
        <w:trPr/>
        <w:tc>
          <w:tcPr>
            <w:tcW w:w="2100" w:type="dxa"/>
            <w:gridSpan w:val="3"/>
            <w:tcBorders/>
            <w:shd w:fill="F44238" w:val="clear"/>
            <w:tcMar>
              <w:top w:w="0" w:type="dxa"/>
              <w:left w:w="0" w:type="dxa"/>
              <w:bottom w:w="0" w:type="dxa"/>
              <w:right w:w="0" w:type="dxa"/>
            </w:tcMar>
            <w:vAlign w:val="center"/>
          </w:tcPr>
          <w:p>
            <w:pPr>
              <w:pStyle w:val="TableContents"/>
              <w:bidi w:val="0"/>
              <w:spacing w:lineRule="auto" w:line="240" w:before="0" w:after="0"/>
              <w:jc w:val="left"/>
              <w:rPr/>
            </w:pPr>
            <w:r>
              <w:rPr>
                <w:rFonts w:ascii="Lato;sans-serif" w:hAnsi="Lato;sans-serif"/>
                <w:b/>
                <w:color w:val="FFFFFF"/>
                <w:sz w:val="20"/>
              </w:rPr>
              <w:t>Name</w:t>
            </w:r>
            <w:r>
              <w:rPr>
                <w:rFonts w:ascii="Lato;sans-serif" w:hAnsi="Lato;sans-serif"/>
                <w:b/>
                <w:color w:val="FFFFFF"/>
                <w:sz w:val="13"/>
              </w:rPr>
              <w:t>(1)</w:t>
            </w:r>
          </w:p>
        </w:tc>
        <w:tc>
          <w:tcPr>
            <w:tcW w:w="3599" w:type="dxa"/>
            <w:gridSpan w:val="3"/>
            <w:tcBorders/>
            <w:shd w:fill="F44238" w:val="clear"/>
            <w:tcMar>
              <w:top w:w="0" w:type="dxa"/>
              <w:left w:w="0" w:type="dxa"/>
              <w:bottom w:w="0" w:type="dxa"/>
              <w:right w:w="0" w:type="dxa"/>
            </w:tcMar>
            <w:vAlign w:val="center"/>
          </w:tcPr>
          <w:p>
            <w:pPr>
              <w:pStyle w:val="TableContents"/>
              <w:bidi w:val="0"/>
              <w:spacing w:lineRule="auto" w:line="240" w:before="0" w:after="283"/>
              <w:jc w:val="center"/>
              <w:rPr>
                <w:rFonts w:ascii="Lato;sans-serif" w:hAnsi="Lato;sans-serif"/>
                <w:b/>
                <w:color w:val="FFFFFF"/>
                <w:sz w:val="20"/>
              </w:rPr>
            </w:pPr>
            <w:r>
              <w:rPr>
                <w:rFonts w:ascii="Lato;sans-serif" w:hAnsi="Lato;sans-serif"/>
                <w:b/>
                <w:color w:val="FFFFFF"/>
                <w:sz w:val="20"/>
              </w:rPr>
              <w:t>Fees Earned or Paid in Cash ($)</w:t>
            </w:r>
          </w:p>
        </w:tc>
        <w:tc>
          <w:tcPr>
            <w:tcW w:w="327" w:type="dxa"/>
            <w:gridSpan w:val="3"/>
            <w:tcBorders/>
            <w:shd w:fill="F4423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4" w:type="dxa"/>
            <w:gridSpan w:val="3"/>
            <w:tcBorders/>
            <w:shd w:fill="F44238" w:val="clear"/>
            <w:tcMar>
              <w:top w:w="0" w:type="dxa"/>
              <w:left w:w="0" w:type="dxa"/>
              <w:bottom w:w="0" w:type="dxa"/>
              <w:right w:w="0" w:type="dxa"/>
            </w:tcMar>
            <w:vAlign w:val="center"/>
          </w:tcPr>
          <w:p>
            <w:pPr>
              <w:pStyle w:val="TableContents"/>
              <w:bidi w:val="0"/>
              <w:spacing w:lineRule="auto" w:line="240" w:before="0" w:after="0"/>
              <w:jc w:val="center"/>
              <w:rPr/>
            </w:pPr>
            <w:r>
              <w:rPr>
                <w:rFonts w:ascii="Lato;sans-serif" w:hAnsi="Lato;sans-serif"/>
                <w:b/>
                <w:color w:val="FFFFFF"/>
                <w:sz w:val="20"/>
              </w:rPr>
              <w:t>Stock Awards ($)</w:t>
            </w:r>
            <w:r>
              <w:rPr>
                <w:rFonts w:ascii="Lato;sans-serif" w:hAnsi="Lato;sans-serif"/>
                <w:b/>
                <w:color w:val="FFFFFF"/>
                <w:sz w:val="13"/>
              </w:rPr>
              <w:t>(2)</w:t>
            </w:r>
          </w:p>
        </w:tc>
        <w:tc>
          <w:tcPr>
            <w:tcW w:w="327" w:type="dxa"/>
            <w:gridSpan w:val="3"/>
            <w:tcBorders/>
            <w:shd w:fill="F4423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shd w:fill="F44238" w:val="clear"/>
            <w:tcMar>
              <w:top w:w="0" w:type="dxa"/>
              <w:left w:w="0" w:type="dxa"/>
              <w:bottom w:w="0" w:type="dxa"/>
              <w:right w:w="0" w:type="dxa"/>
            </w:tcMar>
            <w:vAlign w:val="center"/>
          </w:tcPr>
          <w:p>
            <w:pPr>
              <w:pStyle w:val="TableContents"/>
              <w:bidi w:val="0"/>
              <w:spacing w:lineRule="auto" w:line="240" w:before="0" w:after="283"/>
              <w:jc w:val="center"/>
              <w:rPr>
                <w:rFonts w:ascii="Lato;sans-serif" w:hAnsi="Lato;sans-serif"/>
                <w:b/>
                <w:color w:val="FFFFFF"/>
                <w:sz w:val="20"/>
              </w:rPr>
            </w:pPr>
            <w:r>
              <w:rPr>
                <w:rFonts w:ascii="Lato;sans-serif" w:hAnsi="Lato;sans-serif"/>
                <w:b/>
                <w:color w:val="FFFFFF"/>
                <w:sz w:val="20"/>
              </w:rPr>
              <w:t>Total ($)</w:t>
            </w:r>
          </w:p>
        </w:tc>
      </w:tr>
      <w:tr>
        <w:trPr/>
        <w:tc>
          <w:tcPr>
            <w:tcW w:w="2100"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333" w:before="0" w:after="283"/>
              <w:jc w:val="both"/>
              <w:rPr>
                <w:rFonts w:ascii="Lato;sans-serif" w:hAnsi="Lato;sans-serif"/>
                <w:b w:val="false"/>
                <w:color w:val="000000"/>
                <w:sz w:val="20"/>
              </w:rPr>
            </w:pPr>
            <w:r>
              <w:rPr>
                <w:rFonts w:ascii="Lato;sans-serif" w:hAnsi="Lato;sans-serif"/>
                <w:b w:val="false"/>
                <w:color w:val="000000"/>
                <w:sz w:val="20"/>
              </w:rPr>
              <w:t>Keith Enright</w:t>
            </w:r>
          </w:p>
        </w:tc>
        <w:tc>
          <w:tcPr>
            <w:tcW w:w="3599"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Lato;sans-serif" w:hAnsi="Lato;sans-serif"/>
                <w:b w:val="false"/>
                <w:color w:val="000000"/>
                <w:sz w:val="20"/>
              </w:rPr>
            </w:pPr>
            <w:r>
              <w:rPr>
                <w:rFonts w:ascii="Lato;sans-serif" w:hAnsi="Lato;sans-serif"/>
                <w:b w:val="false"/>
                <w:color w:val="000000"/>
                <w:sz w:val="20"/>
              </w:rPr>
              <w:t>75,000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4"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Lato;sans-serif" w:hAnsi="Lato;sans-serif"/>
                <w:b w:val="false"/>
                <w:color w:val="000000"/>
                <w:sz w:val="20"/>
              </w:rPr>
            </w:pPr>
            <w:r>
              <w:rPr>
                <w:rFonts w:ascii="Lato;sans-serif" w:hAnsi="Lato;sans-serif"/>
                <w:b w:val="false"/>
                <w:color w:val="000000"/>
                <w:sz w:val="20"/>
              </w:rPr>
              <w:t>200,000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Lato;sans-serif" w:hAnsi="Lato;sans-serif"/>
                <w:b w:val="false"/>
                <w:color w:val="000000"/>
                <w:sz w:val="20"/>
              </w:rPr>
            </w:pPr>
            <w:r>
              <w:rPr>
                <w:rFonts w:ascii="Lato;sans-serif" w:hAnsi="Lato;sans-serif"/>
                <w:b w:val="false"/>
                <w:color w:val="000000"/>
                <w:sz w:val="20"/>
              </w:rPr>
              <w:t>275,000</w:t>
            </w:r>
          </w:p>
        </w:tc>
      </w:tr>
      <w:tr>
        <w:trPr/>
        <w:tc>
          <w:tcPr>
            <w:tcW w:w="2100" w:type="dxa"/>
            <w:gridSpan w:val="3"/>
            <w:tcBorders/>
            <w:shd w:fill="DBDBDB" w:val="clear"/>
            <w:tcMar>
              <w:top w:w="0" w:type="dxa"/>
              <w:left w:w="0" w:type="dxa"/>
              <w:bottom w:w="0" w:type="dxa"/>
              <w:right w:w="0" w:type="dxa"/>
            </w:tcMar>
            <w:vAlign w:val="center"/>
          </w:tcPr>
          <w:p>
            <w:pPr>
              <w:pStyle w:val="TableContents"/>
              <w:bidi w:val="0"/>
              <w:spacing w:lineRule="auto" w:line="333" w:before="0" w:after="0"/>
              <w:jc w:val="both"/>
              <w:rPr/>
            </w:pPr>
            <w:r>
              <w:rPr>
                <w:rFonts w:ascii="Lato;sans-serif" w:hAnsi="Lato;sans-serif"/>
                <w:b w:val="false"/>
                <w:color w:val="000000"/>
                <w:sz w:val="20"/>
              </w:rPr>
              <w:t>Ashley S. Evans</w:t>
            </w:r>
            <w:r>
              <w:rPr>
                <w:rFonts w:ascii="Lato;sans-serif" w:hAnsi="Lato;sans-serif"/>
                <w:b w:val="false"/>
                <w:color w:val="000000"/>
                <w:sz w:val="13"/>
              </w:rPr>
              <w:t>(3)</w:t>
            </w:r>
          </w:p>
        </w:tc>
        <w:tc>
          <w:tcPr>
            <w:tcW w:w="3599"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Lato;sans-serif" w:hAnsi="Lato;sans-serif"/>
                <w:b w:val="false"/>
                <w:color w:val="000000"/>
                <w:sz w:val="20"/>
              </w:rPr>
            </w:pPr>
            <w:r>
              <w:rPr>
                <w:rFonts w:ascii="Lato;sans-serif" w:hAnsi="Lato;sans-serif"/>
                <w:b w:val="false"/>
                <w:color w:val="000000"/>
                <w:sz w:val="20"/>
              </w:rPr>
              <w:t>73,342</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Lato;sans-serif" w:hAnsi="Lato;sans-serif"/>
                <w:b w:val="false"/>
                <w:color w:val="000000"/>
                <w:sz w:val="20"/>
              </w:rPr>
            </w:pPr>
            <w:r>
              <w:rPr>
                <w:rFonts w:ascii="Lato;sans-serif" w:hAnsi="Lato;sans-serif"/>
                <w:b w:val="false"/>
                <w:color w:val="000000"/>
                <w:sz w:val="20"/>
              </w:rPr>
              <w:t>200,000</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Lato;sans-serif" w:hAnsi="Lato;sans-serif"/>
                <w:b w:val="false"/>
                <w:color w:val="000000"/>
                <w:sz w:val="20"/>
              </w:rPr>
            </w:pPr>
            <w:r>
              <w:rPr>
                <w:rFonts w:ascii="Lato;sans-serif" w:hAnsi="Lato;sans-serif"/>
                <w:b w:val="false"/>
                <w:color w:val="000000"/>
                <w:sz w:val="20"/>
              </w:rPr>
              <w:t>273,342</w:t>
            </w:r>
          </w:p>
        </w:tc>
      </w:tr>
      <w:tr>
        <w:trPr/>
        <w:tc>
          <w:tcPr>
            <w:tcW w:w="2100" w:type="dxa"/>
            <w:gridSpan w:val="3"/>
            <w:tcBorders/>
            <w:shd w:fill="FFFFFF" w:val="clear"/>
            <w:tcMar>
              <w:top w:w="0" w:type="dxa"/>
              <w:left w:w="0" w:type="dxa"/>
              <w:bottom w:w="0" w:type="dxa"/>
              <w:right w:w="0" w:type="dxa"/>
            </w:tcMar>
            <w:vAlign w:val="center"/>
          </w:tcPr>
          <w:p>
            <w:pPr>
              <w:pStyle w:val="TableContents"/>
              <w:bidi w:val="0"/>
              <w:spacing w:lineRule="auto" w:line="333" w:before="0" w:after="0"/>
              <w:jc w:val="both"/>
              <w:rPr/>
            </w:pPr>
            <w:r>
              <w:rPr>
                <w:rFonts w:ascii="Lato;sans-serif" w:hAnsi="Lato;sans-serif"/>
                <w:b w:val="false"/>
                <w:color w:val="000000"/>
                <w:sz w:val="20"/>
              </w:rPr>
              <w:t>Robert Giglio</w:t>
            </w:r>
            <w:r>
              <w:rPr>
                <w:rFonts w:ascii="Lato;sans-serif" w:hAnsi="Lato;sans-serif"/>
                <w:b w:val="false"/>
                <w:color w:val="000000"/>
                <w:sz w:val="13"/>
              </w:rPr>
              <w:t>(3)(4)</w:t>
            </w:r>
          </w:p>
        </w:tc>
        <w:tc>
          <w:tcPr>
            <w:tcW w:w="35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Lato;sans-serif" w:hAnsi="Lato;sans-serif"/>
                <w:b w:val="false"/>
                <w:color w:val="000000"/>
                <w:sz w:val="20"/>
              </w:rPr>
            </w:pPr>
            <w:r>
              <w:rPr>
                <w:rFonts w:ascii="Lato;sans-serif" w:hAnsi="Lato;sans-serif"/>
                <w:b w:val="false"/>
                <w:color w:val="000000"/>
                <w:sz w:val="20"/>
              </w:rPr>
              <w:t>45,150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Lato;sans-serif" w:hAnsi="Lato;sans-serif"/>
                <w:b w:val="false"/>
                <w:color w:val="000000"/>
                <w:sz w:val="20"/>
              </w:rPr>
            </w:pPr>
            <w:r>
              <w:rPr>
                <w:rFonts w:ascii="Lato;sans-serif" w:hAnsi="Lato;sans-serif"/>
                <w:b w:val="false"/>
                <w:color w:val="000000"/>
                <w:sz w:val="20"/>
              </w:rPr>
              <w:t>241,101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Lato;sans-serif" w:hAnsi="Lato;sans-serif"/>
                <w:b w:val="false"/>
                <w:color w:val="000000"/>
                <w:sz w:val="20"/>
              </w:rPr>
            </w:pPr>
            <w:r>
              <w:rPr>
                <w:rFonts w:ascii="Lato;sans-serif" w:hAnsi="Lato;sans-serif"/>
                <w:b w:val="false"/>
                <w:color w:val="000000"/>
                <w:sz w:val="20"/>
              </w:rPr>
              <w:t>286,251</w:t>
            </w:r>
          </w:p>
        </w:tc>
      </w:tr>
      <w:tr>
        <w:trPr/>
        <w:tc>
          <w:tcPr>
            <w:tcW w:w="2100" w:type="dxa"/>
            <w:gridSpan w:val="3"/>
            <w:tcBorders/>
            <w:shd w:fill="DBDBDB" w:val="clear"/>
            <w:tcMar>
              <w:top w:w="0" w:type="dxa"/>
              <w:left w:w="0" w:type="dxa"/>
              <w:bottom w:w="0" w:type="dxa"/>
              <w:right w:w="0" w:type="dxa"/>
            </w:tcMar>
            <w:vAlign w:val="center"/>
          </w:tcPr>
          <w:p>
            <w:pPr>
              <w:pStyle w:val="TableContents"/>
              <w:bidi w:val="0"/>
              <w:spacing w:lineRule="auto" w:line="333" w:before="0" w:after="0"/>
              <w:jc w:val="left"/>
              <w:rPr/>
            </w:pPr>
            <w:r>
              <w:rPr>
                <w:rFonts w:ascii="Lato;sans-serif" w:hAnsi="Lato;sans-serif"/>
                <w:b w:val="false"/>
                <w:color w:val="000000"/>
                <w:sz w:val="20"/>
              </w:rPr>
              <w:t>Alison Gleeson</w:t>
            </w:r>
            <w:r>
              <w:rPr>
                <w:rFonts w:ascii="Lato;sans-serif" w:hAnsi="Lato;sans-serif"/>
                <w:b w:val="false"/>
                <w:color w:val="000000"/>
                <w:sz w:val="13"/>
              </w:rPr>
              <w:t>(3)</w:t>
            </w:r>
          </w:p>
        </w:tc>
        <w:tc>
          <w:tcPr>
            <w:tcW w:w="3599"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Lato;sans-serif" w:hAnsi="Lato;sans-serif"/>
                <w:b w:val="false"/>
                <w:color w:val="000000"/>
                <w:sz w:val="20"/>
              </w:rPr>
            </w:pPr>
            <w:r>
              <w:rPr>
                <w:rFonts w:ascii="Lato;sans-serif" w:hAnsi="Lato;sans-serif"/>
                <w:b w:val="false"/>
                <w:color w:val="000000"/>
                <w:sz w:val="20"/>
              </w:rPr>
              <w:t>63,615</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Lato;sans-serif" w:hAnsi="Lato;sans-serif"/>
                <w:b w:val="false"/>
                <w:color w:val="000000"/>
                <w:sz w:val="20"/>
              </w:rPr>
            </w:pPr>
            <w:r>
              <w:rPr>
                <w:rFonts w:ascii="Lato;sans-serif" w:hAnsi="Lato;sans-serif"/>
                <w:b w:val="false"/>
                <w:color w:val="000000"/>
                <w:sz w:val="20"/>
              </w:rPr>
              <w:t>200,000</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Lato;sans-serif" w:hAnsi="Lato;sans-serif"/>
                <w:b w:val="false"/>
                <w:color w:val="000000"/>
                <w:sz w:val="20"/>
              </w:rPr>
            </w:pPr>
            <w:r>
              <w:rPr>
                <w:rFonts w:ascii="Lato;sans-serif" w:hAnsi="Lato;sans-serif"/>
                <w:b w:val="false"/>
                <w:color w:val="000000"/>
                <w:sz w:val="20"/>
              </w:rPr>
              <w:t>263,615</w:t>
            </w:r>
          </w:p>
        </w:tc>
      </w:tr>
      <w:tr>
        <w:trPr/>
        <w:tc>
          <w:tcPr>
            <w:tcW w:w="210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Lato;sans-serif" w:hAnsi="Lato;sans-serif"/>
                <w:b w:val="false"/>
                <w:color w:val="000000"/>
                <w:sz w:val="20"/>
              </w:rPr>
            </w:pPr>
            <w:r>
              <w:rPr>
                <w:rFonts w:ascii="Lato;sans-serif" w:hAnsi="Lato;sans-serif"/>
                <w:b w:val="false"/>
                <w:color w:val="000000"/>
                <w:sz w:val="20"/>
              </w:rPr>
              <w:t>Mark Mader</w:t>
            </w:r>
          </w:p>
        </w:tc>
        <w:tc>
          <w:tcPr>
            <w:tcW w:w="35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Lato;sans-serif" w:hAnsi="Lato;sans-serif"/>
                <w:b w:val="false"/>
                <w:color w:val="000000"/>
                <w:sz w:val="20"/>
              </w:rPr>
            </w:pPr>
            <w:r>
              <w:rPr>
                <w:rFonts w:ascii="Lato;sans-serif" w:hAnsi="Lato;sans-serif"/>
                <w:b w:val="false"/>
                <w:color w:val="000000"/>
                <w:sz w:val="20"/>
              </w:rPr>
              <w:t>60,000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Lato;sans-serif" w:hAnsi="Lato;sans-serif"/>
                <w:b w:val="false"/>
                <w:color w:val="000000"/>
                <w:sz w:val="20"/>
              </w:rPr>
            </w:pPr>
            <w:r>
              <w:rPr>
                <w:rFonts w:ascii="Lato;sans-serif" w:hAnsi="Lato;sans-serif"/>
                <w:b w:val="false"/>
                <w:color w:val="000000"/>
                <w:sz w:val="20"/>
              </w:rPr>
              <w:t>200,000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Lato;sans-serif" w:hAnsi="Lato;sans-serif"/>
                <w:b w:val="false"/>
                <w:color w:val="000000"/>
                <w:sz w:val="20"/>
              </w:rPr>
            </w:pPr>
            <w:r>
              <w:rPr>
                <w:rFonts w:ascii="Lato;sans-serif" w:hAnsi="Lato;sans-serif"/>
                <w:b w:val="false"/>
                <w:color w:val="000000"/>
                <w:sz w:val="20"/>
              </w:rPr>
              <w:t>260,000</w:t>
            </w:r>
          </w:p>
        </w:tc>
      </w:tr>
      <w:tr>
        <w:trPr/>
        <w:tc>
          <w:tcPr>
            <w:tcW w:w="2100" w:type="dxa"/>
            <w:gridSpan w:val="3"/>
            <w:tcBorders/>
            <w:shd w:fill="DBDBDB" w:val="clear"/>
            <w:tcMar>
              <w:top w:w="0" w:type="dxa"/>
              <w:left w:w="0" w:type="dxa"/>
              <w:bottom w:w="0" w:type="dxa"/>
              <w:right w:w="0" w:type="dxa"/>
            </w:tcMar>
            <w:vAlign w:val="center"/>
          </w:tcPr>
          <w:p>
            <w:pPr>
              <w:pStyle w:val="TableContents"/>
              <w:bidi w:val="0"/>
              <w:spacing w:lineRule="auto" w:line="240" w:before="0" w:after="0"/>
              <w:jc w:val="left"/>
              <w:rPr>
                <w:rFonts w:ascii="Lato;sans-serif" w:hAnsi="Lato;sans-serif"/>
                <w:b w:val="false"/>
                <w:color w:val="000000"/>
                <w:sz w:val="20"/>
              </w:rPr>
            </w:pPr>
            <w:r>
              <w:rPr>
                <w:rFonts w:ascii="Lato;sans-serif" w:hAnsi="Lato;sans-serif"/>
                <w:b w:val="false"/>
                <w:color w:val="000000"/>
                <w:sz w:val="20"/>
              </w:rPr>
              <w:t>Domenic J. Maida</w:t>
            </w:r>
          </w:p>
        </w:tc>
        <w:tc>
          <w:tcPr>
            <w:tcW w:w="3599"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Lato;sans-serif" w:hAnsi="Lato;sans-serif"/>
                <w:b w:val="false"/>
                <w:color w:val="000000"/>
                <w:sz w:val="20"/>
              </w:rPr>
            </w:pPr>
            <w:r>
              <w:rPr>
                <w:rFonts w:ascii="Lato;sans-serif" w:hAnsi="Lato;sans-serif"/>
                <w:b w:val="false"/>
                <w:color w:val="000000"/>
                <w:sz w:val="20"/>
              </w:rPr>
              <w:t>57,500</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Lato;sans-serif" w:hAnsi="Lato;sans-serif"/>
                <w:b w:val="false"/>
                <w:color w:val="000000"/>
                <w:sz w:val="20"/>
              </w:rPr>
            </w:pPr>
            <w:r>
              <w:rPr>
                <w:rFonts w:ascii="Lato;sans-serif" w:hAnsi="Lato;sans-serif"/>
                <w:b w:val="false"/>
                <w:color w:val="000000"/>
                <w:sz w:val="20"/>
              </w:rPr>
              <w:t>200,000</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Lato;sans-serif" w:hAnsi="Lato;sans-serif"/>
                <w:b w:val="false"/>
                <w:color w:val="000000"/>
                <w:sz w:val="20"/>
              </w:rPr>
            </w:pPr>
            <w:r>
              <w:rPr>
                <w:rFonts w:ascii="Lato;sans-serif" w:hAnsi="Lato;sans-serif"/>
                <w:b w:val="false"/>
                <w:color w:val="000000"/>
                <w:sz w:val="20"/>
              </w:rPr>
              <w:t>257,500</w:t>
            </w:r>
          </w:p>
        </w:tc>
      </w:tr>
      <w:tr>
        <w:trPr/>
        <w:tc>
          <w:tcPr>
            <w:tcW w:w="210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Lato;sans-serif" w:hAnsi="Lato;sans-serif"/>
                <w:b w:val="false"/>
                <w:color w:val="000000"/>
                <w:sz w:val="20"/>
              </w:rPr>
              <w:t>Katie Rooney</w:t>
            </w:r>
            <w:r>
              <w:rPr>
                <w:rFonts w:ascii="Lato;sans-serif" w:hAnsi="Lato;sans-serif"/>
                <w:b w:val="false"/>
                <w:color w:val="000000"/>
                <w:sz w:val="13"/>
              </w:rPr>
              <w:t>(3)(4)</w:t>
            </w:r>
          </w:p>
        </w:tc>
        <w:tc>
          <w:tcPr>
            <w:tcW w:w="35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Lato;sans-serif" w:hAnsi="Lato;sans-serif"/>
                <w:b w:val="false"/>
                <w:color w:val="000000"/>
                <w:sz w:val="20"/>
              </w:rPr>
            </w:pPr>
            <w:r>
              <w:rPr>
                <w:rFonts w:ascii="Lato;sans-serif" w:hAnsi="Lato;sans-serif"/>
                <w:b w:val="false"/>
                <w:color w:val="000000"/>
                <w:sz w:val="20"/>
              </w:rPr>
              <w:t>62,647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Lato;sans-serif" w:hAnsi="Lato;sans-serif"/>
                <w:b w:val="false"/>
                <w:color w:val="000000"/>
                <w:sz w:val="20"/>
              </w:rPr>
            </w:pPr>
            <w:r>
              <w:rPr>
                <w:rFonts w:ascii="Lato;sans-serif" w:hAnsi="Lato;sans-serif"/>
                <w:b w:val="false"/>
                <w:color w:val="000000"/>
                <w:sz w:val="20"/>
              </w:rPr>
              <w:t>256,996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Lato;sans-serif" w:hAnsi="Lato;sans-serif"/>
                <w:b w:val="false"/>
                <w:color w:val="000000"/>
                <w:sz w:val="20"/>
              </w:rPr>
            </w:pPr>
            <w:r>
              <w:rPr>
                <w:rFonts w:ascii="Lato;sans-serif" w:hAnsi="Lato;sans-serif"/>
                <w:b w:val="false"/>
                <w:color w:val="000000"/>
                <w:sz w:val="20"/>
              </w:rPr>
              <w:t>319,643</w:t>
            </w:r>
          </w:p>
        </w:tc>
      </w:tr>
      <w:tr>
        <w:trPr/>
        <w:tc>
          <w:tcPr>
            <w:tcW w:w="2100" w:type="dxa"/>
            <w:gridSpan w:val="3"/>
            <w:tcBorders/>
            <w:shd w:fill="DBDBDB" w:val="clear"/>
            <w:tcMar>
              <w:top w:w="0" w:type="dxa"/>
              <w:left w:w="0" w:type="dxa"/>
              <w:bottom w:w="0" w:type="dxa"/>
              <w:right w:w="0" w:type="dxa"/>
            </w:tcMar>
            <w:vAlign w:val="center"/>
          </w:tcPr>
          <w:p>
            <w:pPr>
              <w:pStyle w:val="TableContents"/>
              <w:bidi w:val="0"/>
              <w:spacing w:lineRule="auto" w:line="333" w:before="0" w:after="0"/>
              <w:jc w:val="both"/>
              <w:rPr/>
            </w:pPr>
            <w:r>
              <w:rPr>
                <w:rFonts w:ascii="Lato;sans-serif" w:hAnsi="Lato;sans-serif"/>
                <w:b w:val="false"/>
                <w:color w:val="000000"/>
                <w:sz w:val="20"/>
              </w:rPr>
              <w:t>D. Randall Winn</w:t>
            </w:r>
            <w:r>
              <w:rPr>
                <w:rFonts w:ascii="Lato;sans-serif" w:hAnsi="Lato;sans-serif"/>
                <w:b w:val="false"/>
                <w:color w:val="000000"/>
                <w:sz w:val="13"/>
              </w:rPr>
              <w:t>(3)</w:t>
            </w:r>
          </w:p>
        </w:tc>
        <w:tc>
          <w:tcPr>
            <w:tcW w:w="3599"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Lato;sans-serif" w:hAnsi="Lato;sans-serif"/>
                <w:b w:val="false"/>
                <w:color w:val="000000"/>
                <w:sz w:val="20"/>
              </w:rPr>
            </w:pPr>
            <w:r>
              <w:rPr>
                <w:rFonts w:ascii="Lato;sans-serif" w:hAnsi="Lato;sans-serif"/>
                <w:b w:val="false"/>
                <w:color w:val="000000"/>
                <w:sz w:val="20"/>
              </w:rPr>
              <w:t>71,175</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Lato;sans-serif" w:hAnsi="Lato;sans-serif"/>
                <w:b w:val="false"/>
                <w:color w:val="000000"/>
                <w:sz w:val="20"/>
              </w:rPr>
            </w:pPr>
            <w:r>
              <w:rPr>
                <w:rFonts w:ascii="Lato;sans-serif" w:hAnsi="Lato;sans-serif"/>
                <w:b w:val="false"/>
                <w:color w:val="000000"/>
                <w:sz w:val="20"/>
              </w:rPr>
              <w:t>200,000</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Lato;sans-serif" w:hAnsi="Lato;sans-serif"/>
                <w:b w:val="false"/>
                <w:color w:val="000000"/>
                <w:sz w:val="20"/>
              </w:rPr>
            </w:pPr>
            <w:r>
              <w:rPr>
                <w:rFonts w:ascii="Lato;sans-serif" w:hAnsi="Lato;sans-serif"/>
                <w:b w:val="false"/>
                <w:color w:val="000000"/>
                <w:sz w:val="20"/>
              </w:rPr>
              <w:t>271,175</w:t>
            </w:r>
          </w:p>
        </w:tc>
      </w:tr>
      <w:tr>
        <w:trPr/>
        <w:tc>
          <w:tcPr>
            <w:tcW w:w="210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Lato;sans-serif" w:hAnsi="Lato;sans-serif"/>
                <w:b w:val="false"/>
                <w:color w:val="000000"/>
                <w:sz w:val="20"/>
              </w:rPr>
              <w:t>Owen Wurzbacher</w:t>
            </w:r>
            <w:r>
              <w:rPr>
                <w:rFonts w:ascii="Lato;sans-serif" w:hAnsi="Lato;sans-serif"/>
                <w:b w:val="false"/>
                <w:color w:val="000000"/>
                <w:sz w:val="13"/>
              </w:rPr>
              <w:t>(3)</w:t>
            </w:r>
          </w:p>
        </w:tc>
        <w:tc>
          <w:tcPr>
            <w:tcW w:w="35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Lato;sans-serif" w:hAnsi="Lato;sans-serif"/>
                <w:b w:val="false"/>
                <w:color w:val="000000"/>
                <w:sz w:val="20"/>
              </w:rPr>
            </w:pPr>
            <w:r>
              <w:rPr>
                <w:rFonts w:ascii="Lato;sans-serif" w:hAnsi="Lato;sans-serif"/>
                <w:b w:val="false"/>
                <w:color w:val="000000"/>
                <w:sz w:val="20"/>
              </w:rPr>
              <w:t>62,825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Lato;sans-serif" w:hAnsi="Lato;sans-serif"/>
                <w:b w:val="false"/>
                <w:color w:val="000000"/>
                <w:sz w:val="20"/>
              </w:rPr>
            </w:pPr>
            <w:r>
              <w:rPr>
                <w:rFonts w:ascii="Lato;sans-serif" w:hAnsi="Lato;sans-serif"/>
                <w:b w:val="false"/>
                <w:color w:val="000000"/>
                <w:sz w:val="20"/>
              </w:rPr>
              <w:t>200,000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Lato;sans-serif" w:hAnsi="Lato;sans-serif"/>
                <w:b w:val="false"/>
                <w:color w:val="000000"/>
                <w:sz w:val="20"/>
              </w:rPr>
            </w:pPr>
            <w:r>
              <w:rPr>
                <w:rFonts w:ascii="Lato;sans-serif" w:hAnsi="Lato;sans-serif"/>
                <w:b w:val="false"/>
                <w:color w:val="000000"/>
                <w:sz w:val="20"/>
              </w:rPr>
              <w:t>262,825</w:t>
            </w:r>
          </w:p>
        </w:tc>
      </w:tr>
    </w:tbl>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__________________</w:t>
      </w:r>
    </w:p>
    <w:p>
      <w:pPr>
        <w:pStyle w:val="TextBody"/>
        <w:bidi w:val="0"/>
        <w:spacing w:lineRule="auto" w:line="288" w:before="0" w:after="0"/>
        <w:ind w:left="0" w:right="0" w:hanging="360"/>
        <w:jc w:val="both"/>
        <w:rPr>
          <w:rFonts w:ascii="Lato;sans-serif" w:hAnsi="Lato;sans-serif"/>
          <w:b w:val="false"/>
          <w:color w:val="000000"/>
          <w:sz w:val="16"/>
        </w:rPr>
      </w:pPr>
      <w:r>
        <w:rPr>
          <w:rFonts w:ascii="Lato;sans-serif" w:hAnsi="Lato;sans-serif"/>
          <w:b w:val="false"/>
          <w:color w:val="000000"/>
          <w:sz w:val="16"/>
        </w:rPr>
        <w:t>(1)The information in the table above excludes Patrick McCarter, a former member of the Board, who also served on our Compensation Committee and as chair of our Nominating and Corporate Governance Committee, who served in such capacities for a portion of 2025, from January 1, 2025 through February 28, 2025. In addition, Mr. McCarter did not receive any compensation from the Company for his service as a Board and committee member due to his role as a Board designee of the Carlyle Group, an affiliated sponsor of the Company, pursuant to our Stockholders Agreement.</w:t>
      </w:r>
    </w:p>
    <w:p>
      <w:pPr>
        <w:pStyle w:val="TextBody"/>
        <w:bidi w:val="0"/>
        <w:spacing w:lineRule="auto" w:line="288" w:before="0" w:after="0"/>
        <w:ind w:left="0" w:right="0" w:hanging="360"/>
        <w:jc w:val="both"/>
        <w:rPr/>
      </w:pPr>
      <w:r>
        <w:rPr>
          <w:rFonts w:ascii="Lato;sans-serif" w:hAnsi="Lato;sans-serif"/>
          <w:b w:val="false"/>
          <w:color w:val="000000"/>
          <w:sz w:val="16"/>
        </w:rPr>
        <w:t>(2)Represents the aggregate grant date fair value of restricted stock units granted during 2025 computed in accordance with Topic 718 without taking into account estimated forfeitures. The assumptions used in the valuation are discussed in Note 13: “</w:t>
      </w:r>
      <w:r>
        <w:rPr>
          <w:rFonts w:ascii="Lato;sans-serif" w:hAnsi="Lato;sans-serif"/>
          <w:b w:val="false"/>
          <w:i/>
          <w:color w:val="000000"/>
          <w:sz w:val="16"/>
        </w:rPr>
        <w:t>Equity-based Compensation</w:t>
      </w:r>
      <w:r>
        <w:rPr>
          <w:color w:val="000000"/>
        </w:rPr>
        <w:t xml:space="preserve">” </w:t>
      </w:r>
      <w:r>
        <w:rPr>
          <w:rFonts w:ascii="Lato;sans-serif" w:hAnsi="Lato;sans-serif"/>
          <w:b w:val="false"/>
          <w:color w:val="000000"/>
          <w:sz w:val="16"/>
        </w:rPr>
        <w:t>to our Consolidated Financial Statements in Part II, Item 8 of our 2025 10-K. The aggregate number of unvested restricted stock units outstanding as of December 31, 2025 for each of our non-employee directors who received compensation was 19,551.</w:t>
      </w:r>
    </w:p>
    <w:p>
      <w:pPr>
        <w:pStyle w:val="TextBody"/>
        <w:bidi w:val="0"/>
        <w:spacing w:lineRule="auto" w:line="288" w:before="0" w:after="0"/>
        <w:ind w:left="0" w:right="0" w:hanging="360"/>
        <w:jc w:val="both"/>
        <w:rPr>
          <w:rFonts w:ascii="Lato;sans-serif" w:hAnsi="Lato;sans-serif"/>
          <w:b w:val="false"/>
          <w:color w:val="000000"/>
          <w:sz w:val="16"/>
        </w:rPr>
      </w:pPr>
      <w:r>
        <w:rPr>
          <w:rFonts w:ascii="Lato;sans-serif" w:hAnsi="Lato;sans-serif"/>
          <w:b w:val="false"/>
          <w:color w:val="000000"/>
          <w:sz w:val="16"/>
        </w:rPr>
        <w:t>(3)Ms. Rooney was appointed Chair of the Audit Committee on July 31, 2025, and Ms. Evans, the prior chair of the Audit Committee, continues to serve as a member of the Audit Committee. Mr. Wurzbacher was appointed Chair of the Compensation Committee on October 28, 2025, and Mr. Winn, the prior chair of the Compensation Committee continues to serve as a member of the Compensation Committee. As a result of such committee leadership changes, each of their cash and total compensation amounts are commensurate on a pro-rata basis to their time served in such capacities during 2025.</w:t>
      </w:r>
    </w:p>
    <w:p>
      <w:pPr>
        <w:pStyle w:val="TextBody"/>
        <w:bidi w:val="0"/>
        <w:spacing w:lineRule="auto" w:line="288" w:before="0" w:after="0"/>
        <w:ind w:left="0" w:right="0" w:hanging="360"/>
        <w:jc w:val="both"/>
        <w:rPr>
          <w:rFonts w:ascii="Lato;sans-serif" w:hAnsi="Lato;sans-serif"/>
          <w:b w:val="false"/>
          <w:color w:val="000000"/>
          <w:sz w:val="16"/>
        </w:rPr>
      </w:pPr>
      <w:r>
        <w:rPr>
          <w:rFonts w:ascii="Lato;sans-serif" w:hAnsi="Lato;sans-serif"/>
          <w:b w:val="false"/>
          <w:color w:val="000000"/>
          <w:sz w:val="16"/>
        </w:rPr>
        <w:t>(4)Ms. Rooney and Mr. Giglio became members of our Board as of February 1, 2025 and March 1, 2025, respectively, and as a result, each of their cash, stock and total compensation amounts are commensurate on a pro-rata basis to their time served on our Board, including any committees, as applicable. In addition, as a result of Ms. Rooney and Mr. Giglio joining our Board on February 1, 2025 and March 1, 2025, respectively, each of Ms. Rooney and Mr. Giglio received a pro-rated initial grant in 2025 upon becoming members of our Board, which was in addition to the annual grants made to all of our non-employee directors in May 2025. Accordingly, their total stock award compensation for 2025 reflects the aggregate of two awards granted in 2025 as a result of the timing of their appointment to the Board.</w:t>
      </w:r>
    </w:p>
    <w:p>
      <w:pPr>
        <w:pStyle w:val="TextBody"/>
        <w:bidi w:val="0"/>
        <w:spacing w:lineRule="auto" w:line="333" w:before="300" w:after="180"/>
        <w:jc w:val="left"/>
        <w:rPr>
          <w:rFonts w:ascii="Lato;sans-serif" w:hAnsi="Lato;sans-serif"/>
          <w:b/>
          <w:i/>
          <w:color w:val="000000"/>
          <w:sz w:val="20"/>
        </w:rPr>
      </w:pPr>
      <w:r>
        <w:rPr>
          <w:rFonts w:ascii="Lato;sans-serif" w:hAnsi="Lato;sans-serif"/>
          <w:b/>
          <w:i/>
          <w:color w:val="000000"/>
          <w:sz w:val="20"/>
        </w:rPr>
        <w:t>Board and Committee Fees in 2025</w:t>
      </w:r>
    </w:p>
    <w:p>
      <w:pPr>
        <w:pStyle w:val="TextBody"/>
        <w:bidi w:val="0"/>
        <w:spacing w:lineRule="auto" w:line="256" w:before="180" w:after="180"/>
        <w:jc w:val="both"/>
        <w:rPr>
          <w:rFonts w:ascii="Lato;sans-serif" w:hAnsi="Lato;sans-serif"/>
          <w:b w:val="false"/>
          <w:color w:val="000000"/>
          <w:sz w:val="20"/>
        </w:rPr>
      </w:pPr>
      <w:r>
        <w:rPr>
          <w:rFonts w:ascii="Lato;sans-serif" w:hAnsi="Lato;sans-serif"/>
          <w:b w:val="false"/>
          <w:color w:val="000000"/>
          <w:sz w:val="20"/>
        </w:rPr>
        <w:t>For 2025, pursuant to our non-employee director pay policy, each non-employee director was entitled to the following compensation:</w:t>
      </w:r>
    </w:p>
    <w:p>
      <w:pPr>
        <w:pStyle w:val="TextBody"/>
        <w:bidi w:val="0"/>
        <w:spacing w:lineRule="auto" w:line="288" w:before="0" w:after="0"/>
        <w:ind w:left="0" w:right="0" w:hanging="360"/>
        <w:jc w:val="left"/>
        <w:rPr/>
      </w:pPr>
      <w:r>
        <w:rPr>
          <w:color w:val="000000"/>
        </w:rPr>
        <w:t>•</w:t>
      </w:r>
      <w:r>
        <w:rPr>
          <w:rFonts w:ascii="Lato;sans-serif" w:hAnsi="Lato;sans-serif"/>
          <w:b w:val="false"/>
          <w:color w:val="000000"/>
          <w:sz w:val="20"/>
        </w:rPr>
        <w:t>$50,000 annual cash retainer, payable quarterly in arrears, for service on the Board; plus</w:t>
      </w:r>
    </w:p>
    <w:p>
      <w:pPr>
        <w:pStyle w:val="TextBody"/>
        <w:bidi w:val="0"/>
        <w:spacing w:lineRule="auto" w:line="288" w:before="0" w:after="0"/>
        <w:ind w:left="0" w:right="0" w:hanging="360"/>
        <w:jc w:val="left"/>
        <w:rPr/>
      </w:pPr>
      <w:r>
        <w:rPr>
          <w:color w:val="000000"/>
        </w:rPr>
        <w:t>•</w:t>
      </w:r>
      <w:r>
        <w:rPr>
          <w:rFonts w:ascii="Lato;sans-serif" w:hAnsi="Lato;sans-serif"/>
          <w:b w:val="false"/>
          <w:color w:val="000000"/>
          <w:sz w:val="20"/>
        </w:rPr>
        <w:t>Annual cash retainers for committee service, payable quarterly in arrears, as follows:</w:t>
      </w:r>
    </w:p>
    <w:p>
      <w:pPr>
        <w:pStyle w:val="TextBody"/>
        <w:bidi w:val="0"/>
        <w:spacing w:lineRule="auto" w:line="288" w:before="0" w:after="0"/>
        <w:ind w:left="0" w:right="0" w:hanging="360"/>
        <w:jc w:val="left"/>
        <w:rPr/>
      </w:pPr>
      <w:r>
        <w:rPr>
          <w:color w:val="000000"/>
        </w:rPr>
        <w:t>▪</w:t>
      </w:r>
      <w:r>
        <w:rPr>
          <w:rFonts w:ascii="Lato;sans-serif" w:hAnsi="Lato;sans-serif"/>
          <w:b w:val="false"/>
          <w:color w:val="000000"/>
          <w:sz w:val="20"/>
        </w:rPr>
        <w:t>Chairperson of the Audit Committee: $20,000.</w:t>
      </w:r>
    </w:p>
    <w:p>
      <w:pPr>
        <w:pStyle w:val="TextBody"/>
        <w:bidi w:val="0"/>
        <w:spacing w:lineRule="auto" w:line="288" w:before="0" w:after="0"/>
        <w:ind w:left="0" w:right="0" w:hanging="360"/>
        <w:jc w:val="left"/>
        <w:rPr/>
      </w:pPr>
      <w:r>
        <w:rPr>
          <w:color w:val="000000"/>
        </w:rPr>
        <w:t>▪</w:t>
      </w:r>
      <w:r>
        <w:rPr>
          <w:rFonts w:ascii="Lato;sans-serif" w:hAnsi="Lato;sans-serif"/>
          <w:b w:val="false"/>
          <w:color w:val="000000"/>
          <w:sz w:val="20"/>
        </w:rPr>
        <w:t>Chairperson of the Compensation Committee: $15,000.</w:t>
      </w:r>
    </w:p>
    <w:p>
      <w:pPr>
        <w:pStyle w:val="TextBody"/>
        <w:bidi w:val="0"/>
        <w:spacing w:lineRule="auto" w:line="288" w:before="0" w:after="0"/>
        <w:ind w:left="0" w:right="0" w:hanging="360"/>
        <w:jc w:val="left"/>
        <w:rPr/>
      </w:pPr>
      <w:r>
        <w:rPr>
          <w:color w:val="000000"/>
        </w:rPr>
        <w:t>▪</w:t>
      </w:r>
      <w:r>
        <w:rPr>
          <w:rFonts w:ascii="Lato;sans-serif" w:hAnsi="Lato;sans-serif"/>
          <w:b w:val="false"/>
          <w:color w:val="000000"/>
          <w:sz w:val="20"/>
        </w:rPr>
        <w:t>Chairperson of the Privacy, Security, and Technology Committee: $15,000.</w:t>
      </w:r>
    </w:p>
    <w:p>
      <w:pPr>
        <w:pStyle w:val="TextBody"/>
        <w:bidi w:val="0"/>
        <w:spacing w:lineRule="auto" w:line="288" w:before="0" w:after="0"/>
        <w:ind w:left="0" w:right="0" w:hanging="360"/>
        <w:jc w:val="left"/>
        <w:rPr/>
      </w:pPr>
      <w:r>
        <w:rPr>
          <w:color w:val="000000"/>
        </w:rPr>
        <w:t>▪</w:t>
      </w:r>
      <w:r>
        <w:rPr>
          <w:rFonts w:ascii="Lato;sans-serif" w:hAnsi="Lato;sans-serif"/>
          <w:b w:val="false"/>
          <w:color w:val="000000"/>
          <w:sz w:val="20"/>
        </w:rPr>
        <w:t>Chairperson of the Nominating and Corporate Governance Committee: $8,000.</w:t>
      </w:r>
    </w:p>
    <w:p>
      <w:pPr>
        <w:pStyle w:val="TextBody"/>
        <w:bidi w:val="0"/>
        <w:spacing w:lineRule="auto" w:line="288" w:before="0" w:after="0"/>
        <w:ind w:left="0" w:right="0" w:hanging="360"/>
        <w:jc w:val="left"/>
        <w:rPr/>
      </w:pPr>
      <w:r>
        <w:rPr>
          <w:color w:val="000000"/>
        </w:rPr>
        <w:t>▪</w:t>
      </w:r>
      <w:r>
        <w:rPr>
          <w:rFonts w:ascii="Lato;sans-serif" w:hAnsi="Lato;sans-serif"/>
          <w:b w:val="false"/>
          <w:color w:val="000000"/>
          <w:sz w:val="20"/>
        </w:rPr>
        <w:t>Member of the Audit Committee (other than the Chairperson): $10,000.</w:t>
      </w:r>
    </w:p>
    <w:p>
      <w:pPr>
        <w:pStyle w:val="TextBody"/>
        <w:bidi w:val="0"/>
        <w:spacing w:lineRule="auto" w:line="288" w:before="0" w:after="0"/>
        <w:ind w:left="0" w:right="0" w:hanging="360"/>
        <w:jc w:val="left"/>
        <w:rPr/>
      </w:pPr>
      <w:r>
        <w:rPr>
          <w:color w:val="000000"/>
        </w:rPr>
        <w:t>▪</w:t>
      </w:r>
      <w:r>
        <w:rPr>
          <w:rFonts w:ascii="Lato;sans-serif" w:hAnsi="Lato;sans-serif"/>
          <w:b w:val="false"/>
          <w:color w:val="000000"/>
          <w:sz w:val="20"/>
        </w:rPr>
        <w:t>Member of the Compensation Committee (other than the Chairperson): $7,500.</w:t>
      </w:r>
    </w:p>
    <w:p>
      <w:pPr>
        <w:pStyle w:val="TextBody"/>
        <w:bidi w:val="0"/>
        <w:spacing w:lineRule="auto" w:line="288" w:before="0" w:after="0"/>
        <w:ind w:left="0" w:right="0" w:hanging="360"/>
        <w:jc w:val="left"/>
        <w:rPr/>
      </w:pPr>
      <w:r>
        <w:rPr>
          <w:color w:val="000000"/>
        </w:rPr>
        <w:t>▪</w:t>
      </w:r>
      <w:r>
        <w:rPr>
          <w:rFonts w:ascii="Lato;sans-serif" w:hAnsi="Lato;sans-serif"/>
          <w:b w:val="false"/>
          <w:color w:val="000000"/>
          <w:sz w:val="20"/>
        </w:rPr>
        <w:t>Member of the Privacy, Security, and Technology Committee (other than the Chairperson): $7,500.</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352425"/>
                <wp:effectExtent l="0" t="0" r="0" b="0"/>
                <wp:wrapNone/>
                <wp:docPr id="47" name="Frame33"/>
                <a:graphic xmlns:a="http://schemas.openxmlformats.org/drawingml/2006/main">
                  <a:graphicData uri="http://schemas.microsoft.com/office/word/2010/wordprocessingShape">
                    <wps:wsp>
                      <wps:cNvSpPr txBox="1"/>
                      <wps:spPr>
                        <a:xfrm>
                          <a:off x="0" y="0"/>
                          <a:ext cx="6480175" cy="352425"/>
                        </a:xfrm>
                        <a:prstGeom prst="rect"/>
                        <a:solidFill>
                          <a:srgbClr val="FFFFFF"/>
                        </a:solidFill>
                      </wps:spPr>
                      <wps:txbx>
                        <w:txbxContent>
                          <w:p>
                            <w:pPr>
                              <w:pStyle w:val="TextBody"/>
                              <w:bidi w:val="0"/>
                              <w:spacing w:lineRule="auto" w:line="288" w:before="0" w:after="0"/>
                              <w:jc w:val="center"/>
                              <w:rPr>
                                <w:rFonts w:ascii="Lato;sans-serif" w:hAnsi="Lato;sans-serif"/>
                                <w:b w:val="false"/>
                                <w:color w:val="000000"/>
                                <w:sz w:val="20"/>
                              </w:rPr>
                            </w:pPr>
                            <w:r>
                              <w:rPr>
                                <w:rFonts w:ascii="Lato;sans-serif" w:hAnsi="Lato;sans-serif"/>
                                <w:b w:val="false"/>
                                <w:color w:val="000000"/>
                                <w:sz w:val="20"/>
                              </w:rPr>
                              <w:t>27</w:t>
                            </w:r>
                          </w:p>
                          <w:p>
                            <w:pPr>
                              <w:pStyle w:val="TextBody"/>
                              <w:bidi w:val="0"/>
                              <w:spacing w:lineRule="auto" w:line="288" w:before="0" w:after="0"/>
                              <w:jc w:val="left"/>
                              <w:rPr>
                                <w:color w:val="000000"/>
                              </w:rPr>
                            </w:pPr>
                            <w:r>
                              <w:rPr>
                                <w:color w:val="000000"/>
                              </w:rPr>
                              <w:t>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Lato;sans-serif" w:hAnsi="Lato;sans-serif"/>
                          <w:b w:val="false"/>
                          <w:color w:val="000000"/>
                          <w:sz w:val="20"/>
                        </w:rPr>
                      </w:pPr>
                      <w:r>
                        <w:rPr>
                          <w:rFonts w:ascii="Lato;sans-serif" w:hAnsi="Lato;sans-serif"/>
                          <w:b w:val="false"/>
                          <w:color w:val="000000"/>
                          <w:sz w:val="20"/>
                        </w:rPr>
                        <w:t>27</w:t>
                      </w:r>
                    </w:p>
                    <w:p>
                      <w:pPr>
                        <w:pStyle w:val="TextBody"/>
                        <w:bidi w:val="0"/>
                        <w:spacing w:lineRule="auto" w:line="288" w:before="0" w:after="0"/>
                        <w:jc w:val="left"/>
                        <w:rPr>
                          <w:color w:val="000000"/>
                        </w:rPr>
                      </w:pPr>
                      <w:r>
                        <w:rPr>
                          <w:color w:val="000000"/>
                        </w:rPr>
                        <w:t>        </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80"/>
        <w:ind w:left="0" w:right="0" w:hanging="360"/>
        <w:jc w:val="left"/>
        <w:rPr/>
      </w:pPr>
      <w:r>
        <w:rPr>
          <w:color w:val="000000"/>
        </w:rPr>
        <w:t>▪</w:t>
      </w:r>
      <w:r>
        <w:rPr>
          <w:rFonts w:ascii="Lato;sans-serif" w:hAnsi="Lato;sans-serif"/>
          <w:b w:val="false"/>
          <w:color w:val="000000"/>
          <w:sz w:val="20"/>
        </w:rPr>
        <w:t>Member of the Nominating and Corporate Governance Committee (other than the Chairperson): $4,000.</w:t>
      </w:r>
    </w:p>
    <w:p>
      <w:pPr>
        <w:pStyle w:val="TextBody"/>
        <w:bidi w:val="0"/>
        <w:spacing w:lineRule="auto" w:line="288" w:before="0" w:after="180"/>
        <w:jc w:val="both"/>
        <w:rPr>
          <w:rFonts w:ascii="Lato;sans-serif" w:hAnsi="Lato;sans-serif"/>
          <w:b w:val="false"/>
          <w:color w:val="000000"/>
          <w:sz w:val="20"/>
        </w:rPr>
      </w:pPr>
      <w:r>
        <w:rPr>
          <w:rFonts w:ascii="Lato;sans-serif" w:hAnsi="Lato;sans-serif"/>
          <w:b w:val="false"/>
          <w:color w:val="000000"/>
          <w:sz w:val="20"/>
        </w:rPr>
        <w:t>In addition, in connection with the Board’s appointment of a Lead Independent Director, upon the Compensation Committee’s recommendation, on February 5, 2026, the Board approved an amendment to our non-employee director pay policy, providing for additional annual cash retainer of $30,000 for any non-employee director serving as the Lead Independent Director.</w:t>
      </w:r>
    </w:p>
    <w:p>
      <w:pPr>
        <w:pStyle w:val="TextBody"/>
        <w:bidi w:val="0"/>
        <w:spacing w:lineRule="auto" w:line="288" w:before="180" w:after="180"/>
        <w:jc w:val="both"/>
        <w:rPr/>
      </w:pPr>
      <w:r>
        <w:rPr>
          <w:rFonts w:ascii="Lato;sans-serif" w:hAnsi="Lato;sans-serif"/>
          <w:b w:val="false"/>
          <w:color w:val="000000"/>
          <w:sz w:val="20"/>
        </w:rPr>
        <w:t>Further, each non-employee director received and will continue to receive an annual grant of restricted stock units (“</w:t>
      </w:r>
      <w:r>
        <w:rPr>
          <w:rFonts w:ascii="Lato;sans-serif" w:hAnsi="Lato;sans-serif"/>
          <w:b/>
          <w:i/>
          <w:color w:val="000000"/>
          <w:sz w:val="20"/>
        </w:rPr>
        <w:t>RSUs</w:t>
      </w:r>
      <w:r>
        <w:rPr>
          <w:color w:val="000000"/>
        </w:rPr>
        <w:t>”</w:t>
      </w:r>
      <w:r>
        <w:rPr>
          <w:rFonts w:ascii="Lato;sans-serif" w:hAnsi="Lato;sans-serif"/>
          <w:b w:val="false"/>
          <w:color w:val="000000"/>
          <w:sz w:val="20"/>
        </w:rPr>
        <w:t>), denominated in shares of the Company’s common stock issued under the ZoomInfo 2020 Omnibus Incentive Plan (the “</w:t>
      </w:r>
      <w:r>
        <w:rPr>
          <w:rFonts w:ascii="Lato;sans-serif" w:hAnsi="Lato;sans-serif"/>
          <w:b/>
          <w:i/>
          <w:color w:val="000000"/>
          <w:sz w:val="20"/>
        </w:rPr>
        <w:t>Plan</w:t>
      </w:r>
      <w:r>
        <w:rPr>
          <w:color w:val="000000"/>
        </w:rPr>
        <w:t>”</w:t>
      </w:r>
      <w:r>
        <w:rPr>
          <w:rFonts w:ascii="Lato;sans-serif" w:hAnsi="Lato;sans-serif"/>
          <w:b w:val="false"/>
          <w:color w:val="000000"/>
          <w:sz w:val="20"/>
        </w:rPr>
        <w:t>). On the close of business on the date of each regular annual meeting of the Company’s stockholders, without further action by the Board, each non-employee director then in office shall be granted $200,000 in RSUs, and the number of RSUs will be determined by dividing $200,000 by our closing stock price on the grant date, rounded up to the nearest whole share. Each annual grant of RSUs vests in full on the earlier of (x) the first anniversary of the vesting commencement date and (y) the date of the Company’s first regular annual meeting of stockholders held after the grant date.</w:t>
      </w:r>
    </w:p>
    <w:p>
      <w:pPr>
        <w:pStyle w:val="TextBody"/>
        <w:bidi w:val="0"/>
        <w:spacing w:lineRule="auto" w:line="288" w:before="180" w:after="180"/>
        <w:jc w:val="both"/>
        <w:rPr>
          <w:rFonts w:ascii="Lato;sans-serif" w:hAnsi="Lato;sans-serif"/>
          <w:b w:val="false"/>
          <w:color w:val="000000"/>
          <w:sz w:val="20"/>
        </w:rPr>
      </w:pPr>
      <w:r>
        <w:rPr>
          <w:rFonts w:ascii="Lato;sans-serif" w:hAnsi="Lato;sans-serif"/>
          <w:b w:val="false"/>
          <w:color w:val="000000"/>
          <w:sz w:val="20"/>
        </w:rPr>
        <w:t>Any non-employee director who serves on the Board or a committee for less than a full quarterly period shall receive a prorated portion of the applicable annual cash retainer(s) for that quarterly period, prorated using the number of days served during the quarterly period, including the date of appointment. Each non-employee director who is appointed to the Board during the year is entitled to a pro-rated annual RSU award, determined based on the number of days between the date the non-employee director joins the Board and the anticipated date of the Company’s next annual meeting of stockholders.</w:t>
      </w:r>
    </w:p>
    <w:p>
      <w:pPr>
        <w:pStyle w:val="TextBody"/>
        <w:bidi w:val="0"/>
        <w:spacing w:lineRule="auto" w:line="288" w:before="0" w:after="0"/>
        <w:jc w:val="both"/>
        <w:rPr>
          <w:rFonts w:ascii="Lato;sans-serif" w:hAnsi="Lato;sans-serif"/>
          <w:b w:val="false"/>
          <w:color w:val="000000"/>
          <w:sz w:val="20"/>
        </w:rPr>
      </w:pPr>
      <w:r>
        <w:rPr>
          <w:rFonts w:ascii="Lato;sans-serif" w:hAnsi="Lato;sans-serif"/>
          <w:b w:val="false"/>
          <w:color w:val="000000"/>
          <w:sz w:val="20"/>
        </w:rPr>
        <w:t>Additionally, all of our directors will continue to be reimbursed for their reasonable out-of-pocket expenses related to their board service.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352425"/>
                <wp:effectExtent l="0" t="0" r="0" b="0"/>
                <wp:wrapNone/>
                <wp:docPr id="48" name="Frame34"/>
                <a:graphic xmlns:a="http://schemas.openxmlformats.org/drawingml/2006/main">
                  <a:graphicData uri="http://schemas.microsoft.com/office/word/2010/wordprocessingShape">
                    <wps:wsp>
                      <wps:cNvSpPr txBox="1"/>
                      <wps:spPr>
                        <a:xfrm>
                          <a:off x="0" y="0"/>
                          <a:ext cx="6480175" cy="352425"/>
                        </a:xfrm>
                        <a:prstGeom prst="rect"/>
                        <a:solidFill>
                          <a:srgbClr val="FFFFFF"/>
                        </a:solidFill>
                      </wps:spPr>
                      <wps:txbx>
                        <w:txbxContent>
                          <w:p>
                            <w:pPr>
                              <w:pStyle w:val="TextBody"/>
                              <w:bidi w:val="0"/>
                              <w:spacing w:lineRule="auto" w:line="288" w:before="0" w:after="0"/>
                              <w:jc w:val="center"/>
                              <w:rPr>
                                <w:rFonts w:ascii="Lato;sans-serif" w:hAnsi="Lato;sans-serif"/>
                                <w:b w:val="false"/>
                                <w:color w:val="000000"/>
                                <w:sz w:val="20"/>
                              </w:rPr>
                            </w:pPr>
                            <w:r>
                              <w:rPr>
                                <w:rFonts w:ascii="Lato;sans-serif" w:hAnsi="Lato;sans-serif"/>
                                <w:b w:val="false"/>
                                <w:color w:val="000000"/>
                                <w:sz w:val="20"/>
                              </w:rPr>
                              <w:t>28</w:t>
                            </w:r>
                          </w:p>
                          <w:p>
                            <w:pPr>
                              <w:pStyle w:val="TextBody"/>
                              <w:bidi w:val="0"/>
                              <w:spacing w:lineRule="auto" w:line="288" w:before="0" w:after="0"/>
                              <w:jc w:val="left"/>
                              <w:rPr>
                                <w:color w:val="000000"/>
                              </w:rPr>
                            </w:pPr>
                            <w:r>
                              <w:rPr>
                                <w:color w:val="000000"/>
                              </w:rPr>
                              <w:t>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Lato;sans-serif" w:hAnsi="Lato;sans-serif"/>
                          <w:b w:val="false"/>
                          <w:color w:val="000000"/>
                          <w:sz w:val="20"/>
                        </w:rPr>
                      </w:pPr>
                      <w:r>
                        <w:rPr>
                          <w:rFonts w:ascii="Lato;sans-serif" w:hAnsi="Lato;sans-serif"/>
                          <w:b w:val="false"/>
                          <w:color w:val="000000"/>
                          <w:sz w:val="20"/>
                        </w:rPr>
                        <w:t>28</w:t>
                      </w:r>
                    </w:p>
                    <w:p>
                      <w:pPr>
                        <w:pStyle w:val="TextBody"/>
                        <w:bidi w:val="0"/>
                        <w:spacing w:lineRule="auto" w:line="288" w:before="0" w:after="0"/>
                        <w:jc w:val="left"/>
                        <w:rPr>
                          <w:color w:val="000000"/>
                        </w:rPr>
                      </w:pPr>
                      <w:r>
                        <w:rPr>
                          <w:color w:val="000000"/>
                        </w:rPr>
                        <w:t>        </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300" w:after="180"/>
        <w:jc w:val="center"/>
        <w:rPr>
          <w:rFonts w:ascii="Lato;sans-serif" w:hAnsi="Lato;sans-serif"/>
          <w:b/>
          <w:color w:val="000000"/>
          <w:sz w:val="20"/>
        </w:rPr>
      </w:pPr>
      <w:r>
        <w:rPr>
          <w:rFonts w:ascii="Lato;sans-serif" w:hAnsi="Lato;sans-serif"/>
          <w:b/>
          <w:color w:val="000000"/>
          <w:sz w:val="20"/>
        </w:rPr>
        <w:t>PROPOSAL NO. 2—RATIFICATION OF INDEPENDENT REGISTERED PUBLIC ACCOUNTING FIRM</w:t>
      </w:r>
    </w:p>
    <w:p>
      <w:pPr>
        <w:pStyle w:val="TextBody"/>
        <w:bidi w:val="0"/>
        <w:spacing w:lineRule="auto" w:line="288" w:before="180" w:after="180"/>
        <w:jc w:val="both"/>
        <w:rPr>
          <w:rFonts w:ascii="Lato;sans-serif" w:hAnsi="Lato;sans-serif"/>
          <w:b w:val="false"/>
          <w:color w:val="000000"/>
          <w:sz w:val="20"/>
        </w:rPr>
      </w:pPr>
      <w:r>
        <w:rPr>
          <w:rFonts w:ascii="Lato;sans-serif" w:hAnsi="Lato;sans-serif"/>
          <w:b w:val="false"/>
          <w:color w:val="000000"/>
          <w:sz w:val="20"/>
        </w:rPr>
        <w:t>The Audit Committee has appointed KPMG LLP to serve as our independent registered public accounting firm for 2026.</w:t>
      </w:r>
    </w:p>
    <w:p>
      <w:pPr>
        <w:pStyle w:val="TextBody"/>
        <w:bidi w:val="0"/>
        <w:spacing w:lineRule="auto" w:line="288" w:before="180" w:after="180"/>
        <w:jc w:val="both"/>
        <w:rPr>
          <w:rFonts w:ascii="Lato;sans-serif" w:hAnsi="Lato;sans-serif"/>
          <w:b w:val="false"/>
          <w:color w:val="000000"/>
          <w:sz w:val="20"/>
        </w:rPr>
      </w:pPr>
      <w:r>
        <w:rPr>
          <w:rFonts w:ascii="Lato;sans-serif" w:hAnsi="Lato;sans-serif"/>
          <w:b w:val="false"/>
          <w:color w:val="000000"/>
          <w:sz w:val="20"/>
        </w:rPr>
        <w:t>Although ratification is not required by our Bylaws or otherwise, the Board is submitting the selection of KPMG LLP to our stockholders for ratification because we value our stockholders’ views on the Company’s independent registered public accounting firm. If our stockholders fail to ratify the selection, it will be considered as notice to the Board and the Audit Committee to consider the selection of a different firm. Even if the selection is ratified, the Audit Committee, in its discretion, may select a different independent registered public accounting firm at any time if it determines that such a change would be in the best interests of the Company and our stockholders.</w:t>
      </w:r>
    </w:p>
    <w:p>
      <w:pPr>
        <w:pStyle w:val="TextBody"/>
        <w:bidi w:val="0"/>
        <w:spacing w:lineRule="auto" w:line="288" w:before="180" w:after="180"/>
        <w:jc w:val="both"/>
        <w:rPr>
          <w:rFonts w:ascii="Lato;sans-serif" w:hAnsi="Lato;sans-serif"/>
          <w:b w:val="false"/>
          <w:color w:val="000000"/>
          <w:sz w:val="20"/>
        </w:rPr>
      </w:pPr>
      <w:r>
        <w:rPr>
          <w:rFonts w:ascii="Lato;sans-serif" w:hAnsi="Lato;sans-serif"/>
          <w:b w:val="false"/>
          <w:color w:val="000000"/>
          <w:sz w:val="20"/>
        </w:rPr>
        <w:t>A representative of KPMG LLP is expected to attend the Annual Meeting. The representative will also have the opportunity to make a statement if he or she desires to do so, and the representative is expected to be available to respond to appropriate questions.</w:t>
      </w:r>
    </w:p>
    <w:p>
      <w:pPr>
        <w:pStyle w:val="TextBody"/>
        <w:bidi w:val="0"/>
        <w:spacing w:lineRule="auto" w:line="288" w:before="180" w:after="180"/>
        <w:jc w:val="both"/>
        <w:rPr>
          <w:rFonts w:ascii="Lato;sans-serif" w:hAnsi="Lato;sans-serif"/>
          <w:b w:val="false"/>
          <w:color w:val="000000"/>
          <w:sz w:val="20"/>
        </w:rPr>
      </w:pPr>
      <w:r>
        <w:rPr>
          <w:rFonts w:ascii="Lato;sans-serif" w:hAnsi="Lato;sans-serif"/>
          <w:b w:val="false"/>
          <w:color w:val="000000"/>
          <w:sz w:val="20"/>
        </w:rPr>
        <w:t>The shares represented by your proxy will be voted “FOR” the ratification of the selection of KPMG LLP unless you specify otherwise.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00" w:after="120"/>
        <w:jc w:val="both"/>
        <w:rPr>
          <w:rFonts w:ascii="Lato;sans-serif" w:hAnsi="Lato;sans-serif"/>
          <w:b/>
          <w:color w:val="000000"/>
          <w:sz w:val="20"/>
        </w:rPr>
      </w:pPr>
      <w:r>
        <w:rPr>
          <w:rFonts w:ascii="Lato;sans-serif" w:hAnsi="Lato;sans-serif"/>
          <w:b/>
          <w:color w:val="000000"/>
          <w:sz w:val="20"/>
        </w:rPr>
        <w:t>Audit and Non-Audit Fees</w:t>
      </w:r>
    </w:p>
    <w:p>
      <w:pPr>
        <w:pStyle w:val="TextBody"/>
        <w:bidi w:val="0"/>
        <w:spacing w:lineRule="auto" w:line="288" w:before="120" w:after="120"/>
        <w:jc w:val="both"/>
        <w:rPr>
          <w:rFonts w:ascii="Lato;sans-serif" w:hAnsi="Lato;sans-serif"/>
          <w:b w:val="false"/>
          <w:color w:val="000000"/>
          <w:sz w:val="20"/>
        </w:rPr>
      </w:pPr>
      <w:r>
        <w:rPr>
          <w:rFonts w:ascii="Lato;sans-serif" w:hAnsi="Lato;sans-serif"/>
          <w:b w:val="false"/>
          <w:color w:val="000000"/>
          <w:sz w:val="20"/>
        </w:rPr>
        <w:t>In connection with the audit of the 2025 financial statements, we entered into an agreement with KPMG LLP that sets forth the terms by which KPMG LLP will perform audit services for the Company.</w:t>
      </w:r>
    </w:p>
    <w:p>
      <w:pPr>
        <w:pStyle w:val="TextBody"/>
        <w:bidi w:val="0"/>
        <w:spacing w:lineRule="auto" w:line="288" w:before="120" w:after="120"/>
        <w:jc w:val="both"/>
        <w:rPr>
          <w:rFonts w:ascii="Lato;sans-serif" w:hAnsi="Lato;sans-serif"/>
          <w:b w:val="false"/>
          <w:color w:val="000000"/>
          <w:sz w:val="20"/>
        </w:rPr>
      </w:pPr>
      <w:r>
        <w:rPr>
          <w:rFonts w:ascii="Lato;sans-serif" w:hAnsi="Lato;sans-serif"/>
          <w:b w:val="false"/>
          <w:color w:val="000000"/>
          <w:sz w:val="20"/>
        </w:rPr>
        <w:t>The following table summarizes fees for professional services rendered by our independent registered public accounting firm, KPMG LLP for the audits of our annual consolidated financial statements for the years ended December 31, 2025 and 2024:</w:t>
      </w:r>
    </w:p>
    <w:tbl>
      <w:tblPr>
        <w:tblW w:w="5318" w:type="dxa"/>
        <w:jc w:val="left"/>
        <w:tblInd w:w="0" w:type="dxa"/>
        <w:tblLayout w:type="fixed"/>
        <w:tblCellMar>
          <w:top w:w="28" w:type="dxa"/>
          <w:left w:w="28" w:type="dxa"/>
          <w:bottom w:w="28" w:type="dxa"/>
          <w:right w:w="28" w:type="dxa"/>
        </w:tblCellMar>
      </w:tblPr>
      <w:tblGrid>
        <w:gridCol w:w="733"/>
        <w:gridCol w:w="643"/>
        <w:gridCol w:w="648"/>
        <w:gridCol w:w="226"/>
        <w:gridCol w:w="1126"/>
        <w:gridCol w:w="109"/>
        <w:gridCol w:w="109"/>
        <w:gridCol w:w="109"/>
        <w:gridCol w:w="109"/>
        <w:gridCol w:w="226"/>
        <w:gridCol w:w="1126"/>
        <w:gridCol w:w="154"/>
      </w:tblGrid>
      <w:tr>
        <w:trPr/>
        <w:tc>
          <w:tcPr>
            <w:tcW w:w="733"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648"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24" w:type="dxa"/>
            <w:gridSpan w:val="3"/>
            <w:tcBorders/>
            <w:shd w:fill="F44238" w:val="clear"/>
            <w:tcMar>
              <w:top w:w="0" w:type="dxa"/>
              <w:left w:w="0" w:type="dxa"/>
              <w:bottom w:w="0" w:type="dxa"/>
              <w:right w:w="0" w:type="dxa"/>
            </w:tcMar>
            <w:vAlign w:val="center"/>
          </w:tcPr>
          <w:p>
            <w:pPr>
              <w:pStyle w:val="TableContents"/>
              <w:bidi w:val="0"/>
              <w:spacing w:lineRule="auto" w:line="240" w:before="0" w:after="283"/>
              <w:jc w:val="left"/>
              <w:rPr>
                <w:color w:val="FFFFFF"/>
              </w:rPr>
            </w:pPr>
            <w:r>
              <w:rPr>
                <w:color w:val="FFFFFF"/>
              </w:rPr>
              <w:t> </w:t>
            </w:r>
          </w:p>
        </w:tc>
        <w:tc>
          <w:tcPr>
            <w:tcW w:w="1461" w:type="dxa"/>
            <w:gridSpan w:val="3"/>
            <w:tcBorders/>
            <w:shd w:fill="F44238" w:val="clear"/>
            <w:tcMar>
              <w:top w:w="0" w:type="dxa"/>
              <w:left w:w="0" w:type="dxa"/>
              <w:bottom w:w="0" w:type="dxa"/>
              <w:right w:w="0" w:type="dxa"/>
            </w:tcMar>
            <w:vAlign w:val="center"/>
          </w:tcPr>
          <w:p>
            <w:pPr>
              <w:pStyle w:val="TableContents"/>
              <w:bidi w:val="0"/>
              <w:spacing w:lineRule="auto" w:line="240" w:before="0" w:after="283"/>
              <w:jc w:val="center"/>
              <w:rPr>
                <w:rFonts w:ascii="Lato;sans-serif" w:hAnsi="Lato;sans-serif"/>
                <w:b/>
                <w:color w:val="FFFFFF"/>
                <w:sz w:val="20"/>
              </w:rPr>
            </w:pPr>
            <w:r>
              <w:rPr>
                <w:rFonts w:ascii="Lato;sans-serif" w:hAnsi="Lato;sans-serif"/>
                <w:b/>
                <w:color w:val="FFFFFF"/>
                <w:sz w:val="20"/>
              </w:rPr>
              <w:t>2025</w:t>
            </w:r>
          </w:p>
        </w:tc>
        <w:tc>
          <w:tcPr>
            <w:tcW w:w="327" w:type="dxa"/>
            <w:gridSpan w:val="3"/>
            <w:tcBorders/>
            <w:shd w:fill="F44238" w:val="clear"/>
            <w:tcMar>
              <w:top w:w="0" w:type="dxa"/>
              <w:left w:w="0" w:type="dxa"/>
              <w:bottom w:w="0" w:type="dxa"/>
              <w:right w:w="0" w:type="dxa"/>
            </w:tcMar>
            <w:vAlign w:val="center"/>
          </w:tcPr>
          <w:p>
            <w:pPr>
              <w:pStyle w:val="TableContents"/>
              <w:bidi w:val="0"/>
              <w:spacing w:lineRule="auto" w:line="240" w:before="0" w:after="283"/>
              <w:jc w:val="left"/>
              <w:rPr>
                <w:color w:val="FFFFFF"/>
              </w:rPr>
            </w:pPr>
            <w:r>
              <w:rPr>
                <w:color w:val="FFFFFF"/>
              </w:rPr>
              <w:t> </w:t>
            </w:r>
          </w:p>
        </w:tc>
        <w:tc>
          <w:tcPr>
            <w:tcW w:w="1506" w:type="dxa"/>
            <w:gridSpan w:val="3"/>
            <w:tcBorders/>
            <w:shd w:fill="F44238" w:val="clear"/>
            <w:tcMar>
              <w:top w:w="0" w:type="dxa"/>
              <w:left w:w="0" w:type="dxa"/>
              <w:bottom w:w="0" w:type="dxa"/>
              <w:right w:w="0" w:type="dxa"/>
            </w:tcMar>
            <w:vAlign w:val="center"/>
          </w:tcPr>
          <w:p>
            <w:pPr>
              <w:pStyle w:val="TableContents"/>
              <w:bidi w:val="0"/>
              <w:spacing w:lineRule="auto" w:line="240" w:before="0" w:after="283"/>
              <w:jc w:val="center"/>
              <w:rPr>
                <w:rFonts w:ascii="Lato;sans-serif" w:hAnsi="Lato;sans-serif"/>
                <w:b/>
                <w:color w:val="FFFFFF"/>
                <w:sz w:val="20"/>
              </w:rPr>
            </w:pPr>
            <w:r>
              <w:rPr>
                <w:rFonts w:ascii="Lato;sans-serif" w:hAnsi="Lato;sans-serif"/>
                <w:b/>
                <w:color w:val="FFFFFF"/>
                <w:sz w:val="20"/>
              </w:rPr>
              <w:t>2024</w:t>
            </w:r>
          </w:p>
        </w:tc>
      </w:tr>
      <w:tr>
        <w:trPr/>
        <w:tc>
          <w:tcPr>
            <w:tcW w:w="2024"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200"/>
              <w:jc w:val="left"/>
              <w:rPr/>
            </w:pPr>
            <w:r>
              <w:rPr>
                <w:rFonts w:ascii="Lato;sans-serif" w:hAnsi="Lato;sans-serif"/>
                <w:b w:val="false"/>
                <w:color w:val="000000"/>
                <w:sz w:val="20"/>
              </w:rPr>
              <w:t>Audit fees</w:t>
            </w:r>
            <w:r>
              <w:rPr>
                <w:rFonts w:ascii="Lato;sans-serif" w:hAnsi="Lato;sans-serif"/>
                <w:b w:val="false"/>
                <w:color w:val="000000"/>
                <w:sz w:val="10"/>
              </w:rPr>
              <w:t>(1)</w:t>
            </w:r>
          </w:p>
        </w:tc>
        <w:tc>
          <w:tcPr>
            <w:tcW w:w="226"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20"/>
              </w:rPr>
            </w:pPr>
            <w:r>
              <w:rPr>
                <w:rFonts w:ascii="Lato;sans-serif" w:hAnsi="Lato;sans-serif"/>
                <w:b w:val="false"/>
                <w:color w:val="000000"/>
                <w:sz w:val="20"/>
              </w:rPr>
              <w:t>$</w:t>
            </w:r>
          </w:p>
        </w:tc>
        <w:tc>
          <w:tcPr>
            <w:tcW w:w="1126"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20"/>
              </w:rPr>
            </w:pPr>
            <w:r>
              <w:rPr>
                <w:rFonts w:ascii="Lato;sans-serif" w:hAnsi="Lato;sans-serif"/>
                <w:b w:val="false"/>
                <w:color w:val="000000"/>
                <w:sz w:val="20"/>
              </w:rPr>
              <w:t>2,392,632 </w:t>
            </w:r>
          </w:p>
        </w:tc>
        <w:tc>
          <w:tcPr>
            <w:tcW w:w="10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20"/>
              </w:rPr>
            </w:pPr>
            <w:r>
              <w:rPr>
                <w:rFonts w:ascii="Lato;sans-serif" w:hAnsi="Lato;sans-serif"/>
                <w:b w:val="false"/>
                <w:color w:val="000000"/>
                <w:sz w:val="20"/>
              </w:rPr>
              <w:t>$</w:t>
            </w:r>
          </w:p>
        </w:tc>
        <w:tc>
          <w:tcPr>
            <w:tcW w:w="1126"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20"/>
              </w:rPr>
            </w:pPr>
            <w:r>
              <w:rPr>
                <w:rFonts w:ascii="Lato;sans-serif" w:hAnsi="Lato;sans-serif"/>
                <w:b w:val="false"/>
                <w:color w:val="000000"/>
                <w:sz w:val="20"/>
              </w:rPr>
              <w:t>2,468,565 </w:t>
            </w:r>
          </w:p>
        </w:tc>
        <w:tc>
          <w:tcPr>
            <w:tcW w:w="154"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24" w:type="dxa"/>
            <w:gridSpan w:val="3"/>
            <w:tcBorders/>
            <w:shd w:fill="DBDBDB" w:val="clear"/>
            <w:tcMar>
              <w:top w:w="0" w:type="dxa"/>
              <w:left w:w="0" w:type="dxa"/>
              <w:bottom w:w="0" w:type="dxa"/>
              <w:right w:w="0" w:type="dxa"/>
            </w:tcMar>
            <w:vAlign w:val="center"/>
          </w:tcPr>
          <w:p>
            <w:pPr>
              <w:pStyle w:val="TableContents"/>
              <w:bidi w:val="0"/>
              <w:spacing w:lineRule="auto" w:line="288" w:before="0" w:after="0"/>
              <w:ind w:left="0" w:right="0" w:hanging="200"/>
              <w:jc w:val="left"/>
              <w:rPr/>
            </w:pPr>
            <w:r>
              <w:rPr>
                <w:rFonts w:ascii="Lato;sans-serif" w:hAnsi="Lato;sans-serif"/>
                <w:b w:val="false"/>
                <w:color w:val="000000"/>
                <w:sz w:val="20"/>
              </w:rPr>
              <w:t>Audit-related fees</w:t>
            </w:r>
            <w:r>
              <w:rPr>
                <w:rFonts w:ascii="Lato;sans-serif" w:hAnsi="Lato;sans-serif"/>
                <w:b w:val="false"/>
                <w:color w:val="000000"/>
                <w:sz w:val="10"/>
              </w:rPr>
              <w:t>(2)</w:t>
            </w:r>
          </w:p>
        </w:tc>
        <w:tc>
          <w:tcPr>
            <w:tcW w:w="135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24"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200"/>
              <w:jc w:val="left"/>
              <w:rPr/>
            </w:pPr>
            <w:r>
              <w:rPr>
                <w:rFonts w:ascii="Lato;sans-serif" w:hAnsi="Lato;sans-serif"/>
                <w:b w:val="false"/>
                <w:color w:val="000000"/>
                <w:sz w:val="20"/>
              </w:rPr>
              <w:t>Tax fees</w:t>
            </w:r>
            <w:r>
              <w:rPr>
                <w:rFonts w:ascii="Lato;sans-serif" w:hAnsi="Lato;sans-serif"/>
                <w:b w:val="false"/>
                <w:color w:val="000000"/>
                <w:sz w:val="10"/>
              </w:rPr>
              <w:t>(3)</w:t>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20"/>
              </w:rPr>
            </w:pPr>
            <w:r>
              <w:rPr>
                <w:rFonts w:ascii="Lato;sans-serif" w:hAnsi="Lato;sans-serif"/>
                <w:b w:val="false"/>
                <w:color w:val="000000"/>
                <w:sz w:val="20"/>
              </w:rPr>
              <w:t>340,181 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20"/>
              </w:rPr>
            </w:pPr>
            <w:r>
              <w:rPr>
                <w:rFonts w:ascii="Lato;sans-serif" w:hAnsi="Lato;sans-serif"/>
                <w:b w:val="false"/>
                <w:color w:val="000000"/>
                <w:sz w:val="20"/>
              </w:rPr>
              <w:t>416,790 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24" w:type="dxa"/>
            <w:gridSpan w:val="3"/>
            <w:tcBorders/>
            <w:shd w:fill="DBDBDB" w:val="clear"/>
            <w:tcMar>
              <w:top w:w="0" w:type="dxa"/>
              <w:left w:w="0" w:type="dxa"/>
              <w:bottom w:w="0" w:type="dxa"/>
              <w:right w:w="0" w:type="dxa"/>
            </w:tcMar>
            <w:vAlign w:val="center"/>
          </w:tcPr>
          <w:p>
            <w:pPr>
              <w:pStyle w:val="TableContents"/>
              <w:bidi w:val="0"/>
              <w:spacing w:lineRule="auto" w:line="288" w:before="0" w:after="0"/>
              <w:ind w:left="0" w:right="0" w:hanging="200"/>
              <w:jc w:val="left"/>
              <w:rPr/>
            </w:pPr>
            <w:r>
              <w:rPr>
                <w:rFonts w:ascii="Lato;sans-serif" w:hAnsi="Lato;sans-serif"/>
                <w:b w:val="false"/>
                <w:color w:val="000000"/>
                <w:sz w:val="20"/>
              </w:rPr>
              <w:t>All other fees</w:t>
            </w:r>
            <w:r>
              <w:rPr>
                <w:rFonts w:ascii="Lato;sans-serif" w:hAnsi="Lato;sans-serif"/>
                <w:b w:val="false"/>
                <w:color w:val="000000"/>
                <w:sz w:val="10"/>
              </w:rPr>
              <w:t>(4)</w:t>
            </w:r>
          </w:p>
        </w:tc>
        <w:tc>
          <w:tcPr>
            <w:tcW w:w="1461"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6"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r>
      <w:tr>
        <w:trPr/>
        <w:tc>
          <w:tcPr>
            <w:tcW w:w="20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20"/>
              </w:rPr>
            </w:pPr>
            <w:r>
              <w:rPr>
                <w:rFonts w:ascii="Lato;sans-serif" w:hAnsi="Lato;sans-serif"/>
                <w:b w:val="false"/>
                <w:color w:val="000000"/>
                <w:sz w:val="20"/>
              </w:rPr>
              <w:t>Total:</w:t>
            </w:r>
          </w:p>
        </w:tc>
        <w:tc>
          <w:tcPr>
            <w:tcW w:w="226"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Lato;sans-serif" w:hAnsi="Lato;sans-serif"/>
                <w:b w:val="false"/>
                <w:color w:val="000000"/>
                <w:sz w:val="20"/>
              </w:rPr>
            </w:pPr>
            <w:r>
              <w:rPr>
                <w:rFonts w:ascii="Lato;sans-serif" w:hAnsi="Lato;sans-serif"/>
                <w:b w:val="false"/>
                <w:color w:val="000000"/>
                <w:sz w:val="20"/>
              </w:rPr>
              <w:t>$</w:t>
            </w:r>
          </w:p>
        </w:tc>
        <w:tc>
          <w:tcPr>
            <w:tcW w:w="1126"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Lato;sans-serif" w:hAnsi="Lato;sans-serif"/>
                <w:b w:val="false"/>
                <w:color w:val="000000"/>
                <w:sz w:val="20"/>
              </w:rPr>
            </w:pPr>
            <w:r>
              <w:rPr>
                <w:rFonts w:ascii="Lato;sans-serif" w:hAnsi="Lato;sans-serif"/>
                <w:b w:val="false"/>
                <w:color w:val="000000"/>
                <w:sz w:val="20"/>
              </w:rPr>
              <w:t>2,732,813 </w:t>
            </w:r>
          </w:p>
        </w:tc>
        <w:tc>
          <w:tcPr>
            <w:tcW w:w="109"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Lato;sans-serif" w:hAnsi="Lato;sans-serif"/>
                <w:b w:val="false"/>
                <w:color w:val="000000"/>
                <w:sz w:val="20"/>
              </w:rPr>
            </w:pPr>
            <w:r>
              <w:rPr>
                <w:rFonts w:ascii="Lato;sans-serif" w:hAnsi="Lato;sans-serif"/>
                <w:b w:val="false"/>
                <w:color w:val="000000"/>
                <w:sz w:val="20"/>
              </w:rPr>
              <w:t>$</w:t>
            </w:r>
          </w:p>
        </w:tc>
        <w:tc>
          <w:tcPr>
            <w:tcW w:w="1126"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Lato;sans-serif" w:hAnsi="Lato;sans-serif"/>
                <w:b w:val="false"/>
                <w:color w:val="000000"/>
                <w:sz w:val="20"/>
              </w:rPr>
            </w:pPr>
            <w:r>
              <w:rPr>
                <w:rFonts w:ascii="Lato;sans-serif" w:hAnsi="Lato;sans-serif"/>
                <w:b w:val="false"/>
                <w:color w:val="000000"/>
                <w:sz w:val="20"/>
              </w:rPr>
              <w:t>2,885,355 </w:t>
            </w:r>
          </w:p>
        </w:tc>
        <w:tc>
          <w:tcPr>
            <w:tcW w:w="154"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__________________</w:t>
      </w:r>
    </w:p>
    <w:p>
      <w:pPr>
        <w:pStyle w:val="TextBody"/>
        <w:bidi w:val="0"/>
        <w:spacing w:lineRule="auto" w:line="288" w:before="0" w:after="0"/>
        <w:ind w:left="0" w:right="0" w:hanging="360"/>
        <w:jc w:val="both"/>
        <w:rPr>
          <w:rFonts w:ascii="Lato;sans-serif" w:hAnsi="Lato;sans-serif"/>
          <w:b w:val="false"/>
          <w:color w:val="000000"/>
          <w:sz w:val="16"/>
        </w:rPr>
      </w:pPr>
      <w:r>
        <w:rPr>
          <w:rFonts w:ascii="Lato;sans-serif" w:hAnsi="Lato;sans-serif"/>
          <w:b w:val="false"/>
          <w:color w:val="000000"/>
          <w:sz w:val="16"/>
        </w:rPr>
        <w:t>(1)Includes the aggregate fees recognized in each of the last two fiscal years for professional services rendered for the audit of the Company’s annual financial statements, reviews of financial statements and other services related to SEC matters. The fees are for services that are normally provided in connection with statutory or regulatory filings or engagements.</w:t>
      </w:r>
    </w:p>
    <w:p>
      <w:pPr>
        <w:pStyle w:val="TextBody"/>
        <w:bidi w:val="0"/>
        <w:spacing w:lineRule="auto" w:line="288" w:before="0" w:after="0"/>
        <w:ind w:left="0" w:right="0" w:hanging="360"/>
        <w:jc w:val="both"/>
        <w:rPr>
          <w:rFonts w:ascii="Lato;sans-serif" w:hAnsi="Lato;sans-serif"/>
          <w:b w:val="false"/>
          <w:color w:val="000000"/>
          <w:sz w:val="16"/>
        </w:rPr>
      </w:pPr>
      <w:r>
        <w:rPr>
          <w:rFonts w:ascii="Lato;sans-serif" w:hAnsi="Lato;sans-serif"/>
          <w:b w:val="false"/>
          <w:color w:val="000000"/>
          <w:sz w:val="16"/>
        </w:rPr>
        <w:t>(2)Includes fees billed for services performed that are related to the Company’s SEC filings (including costs relating to the review of SEC correspondence letters) and other research and consultation services.</w:t>
      </w:r>
    </w:p>
    <w:p>
      <w:pPr>
        <w:pStyle w:val="TextBody"/>
        <w:bidi w:val="0"/>
        <w:spacing w:lineRule="auto" w:line="288" w:before="0" w:after="0"/>
        <w:ind w:left="0" w:right="0" w:hanging="360"/>
        <w:jc w:val="both"/>
        <w:rPr>
          <w:rFonts w:ascii="Lato;sans-serif" w:hAnsi="Lato;sans-serif"/>
          <w:b w:val="false"/>
          <w:color w:val="000000"/>
          <w:sz w:val="16"/>
        </w:rPr>
      </w:pPr>
      <w:r>
        <w:rPr>
          <w:rFonts w:ascii="Lato;sans-serif" w:hAnsi="Lato;sans-serif"/>
          <w:b w:val="false"/>
          <w:color w:val="000000"/>
          <w:sz w:val="16"/>
        </w:rPr>
        <w:t>(3)Includes the aggregate fees recognized in each of the last two fiscal years for professional services rendered for tax compliance, tax advice and tax planning.</w:t>
      </w:r>
    </w:p>
    <w:p>
      <w:pPr>
        <w:pStyle w:val="TextBody"/>
        <w:bidi w:val="0"/>
        <w:spacing w:lineRule="auto" w:line="288" w:before="0" w:after="0"/>
        <w:ind w:left="0" w:right="0" w:hanging="360"/>
        <w:jc w:val="both"/>
        <w:rPr>
          <w:rFonts w:ascii="Lato;sans-serif" w:hAnsi="Lato;sans-serif"/>
          <w:b w:val="false"/>
          <w:color w:val="000000"/>
          <w:sz w:val="16"/>
        </w:rPr>
      </w:pPr>
      <w:r>
        <w:rPr>
          <w:rFonts w:ascii="Lato;sans-serif" w:hAnsi="Lato;sans-serif"/>
          <w:b w:val="false"/>
          <w:color w:val="000000"/>
          <w:sz w:val="16"/>
        </w:rPr>
        <w:t>(4)Includes fees for permitted services other than the services reported in audit fees, audit-related fees and tax fees.</w:t>
      </w:r>
    </w:p>
    <w:p>
      <w:pPr>
        <w:pStyle w:val="TextBody"/>
        <w:bidi w:val="0"/>
        <w:spacing w:lineRule="auto" w:line="288" w:before="180" w:after="180"/>
        <w:jc w:val="both"/>
        <w:rPr>
          <w:rFonts w:ascii="Lato;sans-serif" w:hAnsi="Lato;sans-serif"/>
          <w:b w:val="false"/>
          <w:color w:val="000000"/>
          <w:sz w:val="20"/>
        </w:rPr>
      </w:pPr>
      <w:r>
        <w:rPr>
          <w:rFonts w:ascii="Lato;sans-serif" w:hAnsi="Lato;sans-serif"/>
          <w:b w:val="false"/>
          <w:color w:val="000000"/>
          <w:sz w:val="20"/>
        </w:rPr>
        <w:t>All of the services shown in this table were pre-approved by the Audit Committee. The Audit Committee considered whether providing the non-audit services shown in this table was compatible with maintaining KPMG LLP’s independence and concluded that it was.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352425"/>
                <wp:effectExtent l="0" t="0" r="0" b="0"/>
                <wp:wrapNone/>
                <wp:docPr id="49" name="Frame35"/>
                <a:graphic xmlns:a="http://schemas.openxmlformats.org/drawingml/2006/main">
                  <a:graphicData uri="http://schemas.microsoft.com/office/word/2010/wordprocessingShape">
                    <wps:wsp>
                      <wps:cNvSpPr txBox="1"/>
                      <wps:spPr>
                        <a:xfrm>
                          <a:off x="0" y="0"/>
                          <a:ext cx="6480175" cy="352425"/>
                        </a:xfrm>
                        <a:prstGeom prst="rect"/>
                        <a:solidFill>
                          <a:srgbClr val="FFFFFF"/>
                        </a:solidFill>
                      </wps:spPr>
                      <wps:txbx>
                        <w:txbxContent>
                          <w:p>
                            <w:pPr>
                              <w:pStyle w:val="TextBody"/>
                              <w:bidi w:val="0"/>
                              <w:spacing w:lineRule="auto" w:line="288" w:before="0" w:after="0"/>
                              <w:jc w:val="center"/>
                              <w:rPr>
                                <w:rFonts w:ascii="Lato;sans-serif" w:hAnsi="Lato;sans-serif"/>
                                <w:b w:val="false"/>
                                <w:color w:val="000000"/>
                                <w:sz w:val="20"/>
                              </w:rPr>
                            </w:pPr>
                            <w:r>
                              <w:rPr>
                                <w:rFonts w:ascii="Lato;sans-serif" w:hAnsi="Lato;sans-serif"/>
                                <w:b w:val="false"/>
                                <w:color w:val="000000"/>
                                <w:sz w:val="20"/>
                              </w:rPr>
                              <w:t>29</w:t>
                            </w:r>
                          </w:p>
                          <w:p>
                            <w:pPr>
                              <w:pStyle w:val="TextBody"/>
                              <w:bidi w:val="0"/>
                              <w:spacing w:lineRule="auto" w:line="288" w:before="0" w:after="0"/>
                              <w:jc w:val="left"/>
                              <w:rPr>
                                <w:color w:val="000000"/>
                              </w:rPr>
                            </w:pPr>
                            <w:r>
                              <w:rPr>
                                <w:color w:val="000000"/>
                              </w:rPr>
                              <w:t>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Lato;sans-serif" w:hAnsi="Lato;sans-serif"/>
                          <w:b w:val="false"/>
                          <w:color w:val="000000"/>
                          <w:sz w:val="20"/>
                        </w:rPr>
                      </w:pPr>
                      <w:r>
                        <w:rPr>
                          <w:rFonts w:ascii="Lato;sans-serif" w:hAnsi="Lato;sans-serif"/>
                          <w:b w:val="false"/>
                          <w:color w:val="000000"/>
                          <w:sz w:val="20"/>
                        </w:rPr>
                        <w:t>29</w:t>
                      </w:r>
                    </w:p>
                    <w:p>
                      <w:pPr>
                        <w:pStyle w:val="TextBody"/>
                        <w:bidi w:val="0"/>
                        <w:spacing w:lineRule="auto" w:line="288" w:before="0" w:after="0"/>
                        <w:jc w:val="left"/>
                        <w:rPr>
                          <w:color w:val="000000"/>
                        </w:rPr>
                      </w:pPr>
                      <w:r>
                        <w:rPr>
                          <w:color w:val="000000"/>
                        </w:rPr>
                        <w:t>        </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300" w:after="180"/>
        <w:jc w:val="both"/>
        <w:rPr>
          <w:rFonts w:ascii="Lato;sans-serif" w:hAnsi="Lato;sans-serif"/>
          <w:b/>
          <w:color w:val="000000"/>
          <w:sz w:val="20"/>
        </w:rPr>
      </w:pPr>
      <w:r>
        <w:rPr>
          <w:rFonts w:ascii="Lato;sans-serif" w:hAnsi="Lato;sans-serif"/>
          <w:b/>
          <w:color w:val="000000"/>
          <w:sz w:val="20"/>
        </w:rPr>
        <w:t>Pre-Approval Policy for Services of Independent Registered Public Accounting Firm</w:t>
      </w:r>
    </w:p>
    <w:p>
      <w:pPr>
        <w:pStyle w:val="TextBody"/>
        <w:bidi w:val="0"/>
        <w:spacing w:lineRule="auto" w:line="288" w:before="180" w:after="180"/>
        <w:jc w:val="both"/>
        <w:rPr>
          <w:rFonts w:ascii="Lato;sans-serif" w:hAnsi="Lato;sans-serif"/>
          <w:b w:val="false"/>
          <w:color w:val="000000"/>
          <w:sz w:val="20"/>
        </w:rPr>
      </w:pPr>
      <w:r>
        <w:rPr>
          <w:rFonts w:ascii="Lato;sans-serif" w:hAnsi="Lato;sans-serif"/>
          <w:b w:val="false"/>
          <w:color w:val="000000"/>
          <w:sz w:val="20"/>
        </w:rPr>
        <w:t>Consistent with SEC policies regarding auditor independence and the Audit Committee’s charter, the Audit Committee has responsibility for engaging, setting compensation for and reviewing the performance of the independent registered public accounting firm. In exercising this responsibility, the Audit Committee has established procedures relating to the approval of all audit and non-audit services that are to be performed by our independent registered public accounting firm and pre-approves all audit and permitted non-audit services provided by any independent registered public accounting firm prior to each engagement.</w:t>
      </w:r>
    </w:p>
    <w:p>
      <w:pPr>
        <w:pStyle w:val="TextBody"/>
        <w:bidi w:val="0"/>
        <w:spacing w:lineRule="auto" w:line="288" w:before="480" w:after="283"/>
        <w:jc w:val="center"/>
        <w:rPr>
          <w:rFonts w:ascii="Lato;sans-serif" w:hAnsi="Lato;sans-serif"/>
          <w:b/>
          <w:color w:val="000000"/>
          <w:sz w:val="20"/>
        </w:rPr>
      </w:pPr>
      <w:r>
        <w:rPr>
          <w:rFonts w:ascii="Lato;sans-serif" w:hAnsi="Lato;sans-serif"/>
          <w:b/>
          <w:color w:val="000000"/>
          <w:sz w:val="20"/>
        </w:rPr>
        <w:t>THE BOARD OF DIRECTORS RECOMMENDS THAT YOU VOTE “FOR” THE RATIFICATION OF KPMG LLP AS OUR INDEPENDENT REGISTERED PUBLIC ACCOUNTING FIRM FOR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352425"/>
                <wp:effectExtent l="0" t="0" r="0" b="0"/>
                <wp:wrapNone/>
                <wp:docPr id="50" name="Frame36"/>
                <a:graphic xmlns:a="http://schemas.openxmlformats.org/drawingml/2006/main">
                  <a:graphicData uri="http://schemas.microsoft.com/office/word/2010/wordprocessingShape">
                    <wps:wsp>
                      <wps:cNvSpPr txBox="1"/>
                      <wps:spPr>
                        <a:xfrm>
                          <a:off x="0" y="0"/>
                          <a:ext cx="6480175" cy="352425"/>
                        </a:xfrm>
                        <a:prstGeom prst="rect"/>
                        <a:solidFill>
                          <a:srgbClr val="FFFFFF"/>
                        </a:solidFill>
                      </wps:spPr>
                      <wps:txbx>
                        <w:txbxContent>
                          <w:p>
                            <w:pPr>
                              <w:pStyle w:val="TextBody"/>
                              <w:bidi w:val="0"/>
                              <w:spacing w:lineRule="auto" w:line="288" w:before="0" w:after="0"/>
                              <w:jc w:val="center"/>
                              <w:rPr>
                                <w:rFonts w:ascii="Lato;sans-serif" w:hAnsi="Lato;sans-serif"/>
                                <w:b w:val="false"/>
                                <w:color w:val="000000"/>
                                <w:sz w:val="20"/>
                              </w:rPr>
                            </w:pPr>
                            <w:r>
                              <w:rPr>
                                <w:rFonts w:ascii="Lato;sans-serif" w:hAnsi="Lato;sans-serif"/>
                                <w:b w:val="false"/>
                                <w:color w:val="000000"/>
                                <w:sz w:val="20"/>
                              </w:rPr>
                              <w:t>30</w:t>
                            </w:r>
                          </w:p>
                          <w:p>
                            <w:pPr>
                              <w:pStyle w:val="TextBody"/>
                              <w:bidi w:val="0"/>
                              <w:spacing w:lineRule="auto" w:line="288" w:before="0" w:after="0"/>
                              <w:jc w:val="left"/>
                              <w:rPr>
                                <w:color w:val="000000"/>
                              </w:rPr>
                            </w:pPr>
                            <w:r>
                              <w:rPr>
                                <w:color w:val="000000"/>
                              </w:rPr>
                              <w:t>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Lato;sans-serif" w:hAnsi="Lato;sans-serif"/>
                          <w:b w:val="false"/>
                          <w:color w:val="000000"/>
                          <w:sz w:val="20"/>
                        </w:rPr>
                      </w:pPr>
                      <w:r>
                        <w:rPr>
                          <w:rFonts w:ascii="Lato;sans-serif" w:hAnsi="Lato;sans-serif"/>
                          <w:b w:val="false"/>
                          <w:color w:val="000000"/>
                          <w:sz w:val="20"/>
                        </w:rPr>
                        <w:t>30</w:t>
                      </w:r>
                    </w:p>
                    <w:p>
                      <w:pPr>
                        <w:pStyle w:val="TextBody"/>
                        <w:bidi w:val="0"/>
                        <w:spacing w:lineRule="auto" w:line="288" w:before="0" w:after="0"/>
                        <w:jc w:val="left"/>
                        <w:rPr>
                          <w:color w:val="000000"/>
                        </w:rPr>
                      </w:pPr>
                      <w:r>
                        <w:rPr>
                          <w:color w:val="000000"/>
                        </w:rPr>
                        <w:t>        </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300" w:after="180"/>
        <w:jc w:val="center"/>
        <w:rPr>
          <w:rFonts w:ascii="Lato;sans-serif" w:hAnsi="Lato;sans-serif"/>
          <w:b/>
          <w:color w:val="000000"/>
          <w:sz w:val="20"/>
        </w:rPr>
      </w:pPr>
      <w:r>
        <w:rPr>
          <w:rFonts w:ascii="Lato;sans-serif" w:hAnsi="Lato;sans-serif"/>
          <w:b/>
          <w:color w:val="000000"/>
          <w:sz w:val="20"/>
        </w:rPr>
        <w:t>REPORT OF THE AUDIT COMMITTEE</w:t>
      </w:r>
    </w:p>
    <w:p>
      <w:pPr>
        <w:pStyle w:val="TextBody"/>
        <w:bidi w:val="0"/>
        <w:spacing w:lineRule="auto" w:line="288" w:before="180" w:after="180"/>
        <w:jc w:val="both"/>
        <w:rPr/>
      </w:pPr>
      <w:r>
        <w:rPr>
          <w:rFonts w:ascii="Lato;sans-serif" w:hAnsi="Lato;sans-serif"/>
          <w:b w:val="false"/>
          <w:color w:val="000000"/>
          <w:sz w:val="20"/>
        </w:rPr>
        <w:t>The Audit Committee operates pursuant to a charter that is reviewed annually by the Audit Committee. Additionally, a brief description of the primary responsibilities of the Audit Committee is included in this Proxy Statement under “</w:t>
      </w:r>
      <w:r>
        <w:rPr>
          <w:rFonts w:ascii="Lato;sans-serif" w:hAnsi="Lato;sans-serif"/>
          <w:b w:val="false"/>
          <w:i/>
          <w:color w:val="000000"/>
          <w:sz w:val="20"/>
        </w:rPr>
        <w:t>The Board of Directors and Certain Governance Matters—Board Committees and Meetings—Audit Committee</w:t>
      </w:r>
      <w:r>
        <w:rPr>
          <w:rFonts w:ascii="Lato;sans-serif" w:hAnsi="Lato;sans-serif"/>
          <w:b w:val="false"/>
          <w:color w:val="000000"/>
          <w:sz w:val="20"/>
        </w:rPr>
        <w:t>.” Under the Audit Committee charter, our management is responsible for the preparation, presentation and integrity of our financial statements, the application of accounting and financial reporting principles and our internal controls and procedures designed to assure compliance with accounting standards and applicable laws and regulations. The independent registered public accounting firm is responsible for auditing our financial statements and expressing an opinion as to their conformity with accounting principles generally accepted in the United States of America.</w:t>
      </w:r>
    </w:p>
    <w:p>
      <w:pPr>
        <w:pStyle w:val="TextBody"/>
        <w:bidi w:val="0"/>
        <w:spacing w:lineRule="auto" w:line="288" w:before="180" w:after="180"/>
        <w:jc w:val="both"/>
        <w:rPr/>
      </w:pPr>
      <w:r>
        <w:rPr>
          <w:rFonts w:ascii="Lato;sans-serif" w:hAnsi="Lato;sans-serif"/>
          <w:b w:val="false"/>
          <w:color w:val="000000"/>
          <w:sz w:val="20"/>
        </w:rPr>
        <w:t>In the performance of its oversight function, the Audit Committee reviewed and discussed the audited financial statements of the Company with management and with the independent registered public accounting firm. The Audit Committee also discussed with the independent registered public accounting firm the matters required to be discussed by the applicable requirements of the Public Company Accounting Oversight Board (“</w:t>
      </w:r>
      <w:r>
        <w:rPr>
          <w:rFonts w:ascii="Lato;sans-serif" w:hAnsi="Lato;sans-serif"/>
          <w:b/>
          <w:i/>
          <w:color w:val="000000"/>
          <w:sz w:val="20"/>
        </w:rPr>
        <w:t>PCAOB</w:t>
      </w:r>
      <w:r>
        <w:rPr>
          <w:color w:val="000000"/>
        </w:rPr>
        <w:t>”</w:t>
      </w:r>
      <w:r>
        <w:rPr>
          <w:rFonts w:ascii="Lato;sans-serif" w:hAnsi="Lato;sans-serif"/>
          <w:b w:val="false"/>
          <w:color w:val="000000"/>
          <w:sz w:val="20"/>
        </w:rPr>
        <w:t>) and the SEC. In addition, the Audit Committee received the written disclosures and the letter from the independent registered public accounting firm required by applicable requirements of the PCAOB regarding the independent registered public accounting firm’s communications with the Audit Committee concerning independence, and discussed with the independent registered public accounting firm their independence.</w:t>
      </w:r>
    </w:p>
    <w:p>
      <w:pPr>
        <w:pStyle w:val="TextBody"/>
        <w:bidi w:val="0"/>
        <w:spacing w:lineRule="auto" w:line="288" w:before="180" w:after="180"/>
        <w:jc w:val="both"/>
        <w:rPr>
          <w:rFonts w:ascii="Lato;sans-serif" w:hAnsi="Lato;sans-serif"/>
          <w:b w:val="false"/>
          <w:color w:val="000000"/>
          <w:sz w:val="20"/>
        </w:rPr>
      </w:pPr>
      <w:r>
        <w:rPr>
          <w:rFonts w:ascii="Lato;sans-serif" w:hAnsi="Lato;sans-serif"/>
          <w:b w:val="false"/>
          <w:color w:val="000000"/>
          <w:sz w:val="20"/>
        </w:rPr>
        <w:t>Based upon the review and discussions described in the preceding paragraph, the Audit Committee recommended to the Board that the audited financial statements of the Company be included in the Annual Report on Form 10-K for the fiscal year ended December 31, 2025 filed with the SEC.</w:t>
      </w:r>
    </w:p>
    <w:p>
      <w:pPr>
        <w:pStyle w:val="TextBody"/>
        <w:bidi w:val="0"/>
        <w:spacing w:lineRule="auto" w:line="288" w:before="180" w:after="180"/>
        <w:jc w:val="both"/>
        <w:rPr>
          <w:rFonts w:ascii="Lato;sans-serif" w:hAnsi="Lato;sans-serif"/>
          <w:b w:val="false"/>
          <w:color w:val="000000"/>
          <w:sz w:val="20"/>
        </w:rPr>
      </w:pPr>
      <w:r>
        <w:rPr>
          <w:rFonts w:ascii="Lato;sans-serif" w:hAnsi="Lato;sans-serif"/>
          <w:b w:val="false"/>
          <w:color w:val="000000"/>
          <w:sz w:val="20"/>
        </w:rPr>
        <w:t>Submitted by the Audit Committee of the Company’s Board of Directors:</w:t>
      </w:r>
    </w:p>
    <w:p>
      <w:pPr>
        <w:pStyle w:val="TextBody"/>
        <w:bidi w:val="0"/>
        <w:spacing w:lineRule="auto" w:line="288" w:before="0" w:after="200"/>
        <w:jc w:val="both"/>
        <w:rPr>
          <w:rFonts w:ascii="Lato;sans-serif" w:hAnsi="Lato;sans-serif"/>
          <w:b w:val="false"/>
          <w:color w:val="000000"/>
          <w:sz w:val="20"/>
        </w:rPr>
      </w:pPr>
      <w:r>
        <w:rPr>
          <w:rFonts w:ascii="Lato;sans-serif" w:hAnsi="Lato;sans-serif"/>
          <w:b w:val="false"/>
          <w:color w:val="000000"/>
          <w:sz w:val="20"/>
        </w:rPr>
        <w:t>Katie Rooney, Chair</w:t>
      </w:r>
    </w:p>
    <w:p>
      <w:pPr>
        <w:pStyle w:val="TextBody"/>
        <w:bidi w:val="0"/>
        <w:spacing w:lineRule="auto" w:line="288" w:before="0" w:after="0"/>
        <w:jc w:val="both"/>
        <w:rPr>
          <w:rFonts w:ascii="Lato;sans-serif" w:hAnsi="Lato;sans-serif"/>
          <w:b w:val="false"/>
          <w:color w:val="000000"/>
          <w:sz w:val="20"/>
        </w:rPr>
      </w:pPr>
      <w:r>
        <w:rPr>
          <w:rFonts w:ascii="Lato;sans-serif" w:hAnsi="Lato;sans-serif"/>
          <w:b w:val="false"/>
          <w:color w:val="000000"/>
          <w:sz w:val="20"/>
        </w:rPr>
        <w:t>Keith Enright</w:t>
      </w:r>
    </w:p>
    <w:p>
      <w:pPr>
        <w:pStyle w:val="TextBody"/>
        <w:bidi w:val="0"/>
        <w:spacing w:lineRule="auto" w:line="288" w:before="0" w:after="0"/>
        <w:jc w:val="both"/>
        <w:rPr>
          <w:rFonts w:ascii="Lato;sans-serif" w:hAnsi="Lato;sans-serif"/>
          <w:b w:val="false"/>
          <w:color w:val="000000"/>
          <w:sz w:val="20"/>
        </w:rPr>
      </w:pPr>
      <w:r>
        <w:rPr>
          <w:rFonts w:ascii="Lato;sans-serif" w:hAnsi="Lato;sans-serif"/>
          <w:b w:val="false"/>
          <w:color w:val="000000"/>
          <w:sz w:val="20"/>
        </w:rPr>
        <w:t>Ashley S. Evans</w:t>
      </w:r>
    </w:p>
    <w:p>
      <w:pPr>
        <w:pStyle w:val="TextBody"/>
        <w:bidi w:val="0"/>
        <w:spacing w:lineRule="auto" w:line="288" w:before="0" w:after="0"/>
        <w:jc w:val="both"/>
        <w:rPr>
          <w:rFonts w:ascii="Lato;sans-serif" w:hAnsi="Lato;sans-serif"/>
          <w:b w:val="false"/>
          <w:color w:val="000000"/>
          <w:sz w:val="20"/>
        </w:rPr>
      </w:pPr>
      <w:r>
        <w:rPr>
          <w:rFonts w:ascii="Lato;sans-serif" w:hAnsi="Lato;sans-serif"/>
          <w:b w:val="false"/>
          <w:color w:val="000000"/>
          <w:sz w:val="20"/>
        </w:rPr>
        <w:t>Mark Mader</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352425"/>
                <wp:effectExtent l="0" t="0" r="0" b="0"/>
                <wp:wrapNone/>
                <wp:docPr id="51" name="Frame37"/>
                <a:graphic xmlns:a="http://schemas.openxmlformats.org/drawingml/2006/main">
                  <a:graphicData uri="http://schemas.microsoft.com/office/word/2010/wordprocessingShape">
                    <wps:wsp>
                      <wps:cNvSpPr txBox="1"/>
                      <wps:spPr>
                        <a:xfrm>
                          <a:off x="0" y="0"/>
                          <a:ext cx="6480175" cy="352425"/>
                        </a:xfrm>
                        <a:prstGeom prst="rect"/>
                        <a:solidFill>
                          <a:srgbClr val="FFFFFF"/>
                        </a:solidFill>
                      </wps:spPr>
                      <wps:txbx>
                        <w:txbxContent>
                          <w:p>
                            <w:pPr>
                              <w:pStyle w:val="TextBody"/>
                              <w:bidi w:val="0"/>
                              <w:spacing w:lineRule="auto" w:line="288" w:before="0" w:after="0"/>
                              <w:jc w:val="center"/>
                              <w:rPr>
                                <w:rFonts w:ascii="Lato;sans-serif" w:hAnsi="Lato;sans-serif"/>
                                <w:b w:val="false"/>
                                <w:color w:val="000000"/>
                                <w:sz w:val="20"/>
                              </w:rPr>
                            </w:pPr>
                            <w:r>
                              <w:rPr>
                                <w:rFonts w:ascii="Lato;sans-serif" w:hAnsi="Lato;sans-serif"/>
                                <w:b w:val="false"/>
                                <w:color w:val="000000"/>
                                <w:sz w:val="20"/>
                              </w:rPr>
                              <w:t>31</w:t>
                            </w:r>
                          </w:p>
                          <w:p>
                            <w:pPr>
                              <w:pStyle w:val="TextBody"/>
                              <w:bidi w:val="0"/>
                              <w:spacing w:lineRule="auto" w:line="288" w:before="0" w:after="0"/>
                              <w:jc w:val="left"/>
                              <w:rPr>
                                <w:color w:val="000000"/>
                              </w:rPr>
                            </w:pPr>
                            <w:r>
                              <w:rPr>
                                <w:color w:val="000000"/>
                              </w:rPr>
                              <w:t>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Lato;sans-serif" w:hAnsi="Lato;sans-serif"/>
                          <w:b w:val="false"/>
                          <w:color w:val="000000"/>
                          <w:sz w:val="20"/>
                        </w:rPr>
                      </w:pPr>
                      <w:r>
                        <w:rPr>
                          <w:rFonts w:ascii="Lato;sans-serif" w:hAnsi="Lato;sans-serif"/>
                          <w:b w:val="false"/>
                          <w:color w:val="000000"/>
                          <w:sz w:val="20"/>
                        </w:rPr>
                        <w:t>31</w:t>
                      </w:r>
                    </w:p>
                    <w:p>
                      <w:pPr>
                        <w:pStyle w:val="TextBody"/>
                        <w:bidi w:val="0"/>
                        <w:spacing w:lineRule="auto" w:line="288" w:before="0" w:after="0"/>
                        <w:jc w:val="left"/>
                        <w:rPr>
                          <w:color w:val="000000"/>
                        </w:rPr>
                      </w:pPr>
                      <w:r>
                        <w:rPr>
                          <w:color w:val="000000"/>
                        </w:rPr>
                        <w:t>        </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300" w:after="180"/>
        <w:jc w:val="center"/>
        <w:rPr>
          <w:rFonts w:ascii="Lato;sans-serif" w:hAnsi="Lato;sans-serif"/>
          <w:b/>
          <w:color w:val="000000"/>
          <w:sz w:val="20"/>
        </w:rPr>
      </w:pPr>
      <w:r>
        <w:rPr>
          <w:rFonts w:ascii="Lato;sans-serif" w:hAnsi="Lato;sans-serif"/>
          <w:b/>
          <w:color w:val="000000"/>
          <w:sz w:val="20"/>
        </w:rPr>
        <w:t>PROPOSAL NO. 3—ADVISORY NON-BINDING VOTE ON COMPENSATION OF NAMED EXECUTIVE OFFICERS</w:t>
      </w:r>
    </w:p>
    <w:p>
      <w:pPr>
        <w:pStyle w:val="TextBody"/>
        <w:bidi w:val="0"/>
        <w:spacing w:lineRule="auto" w:line="288" w:before="180" w:after="180"/>
        <w:jc w:val="both"/>
        <w:rPr>
          <w:rFonts w:ascii="Lato;sans-serif" w:hAnsi="Lato;sans-serif"/>
          <w:b w:val="false"/>
          <w:color w:val="000000"/>
          <w:sz w:val="20"/>
        </w:rPr>
      </w:pPr>
      <w:r>
        <w:rPr>
          <w:rFonts w:ascii="Lato;sans-serif" w:hAnsi="Lato;sans-serif"/>
          <w:b w:val="false"/>
          <w:color w:val="000000"/>
          <w:sz w:val="20"/>
        </w:rPr>
        <w:t>As required by Section 14A of the Exchange Act, we are providing our stockholders with the opportunity to cast a non-binding advisory vote to approve the compensation of our named executive officers as described in this proxy statement. This proposal provides our stockholders with the opportunity to express their views on the design and effectiveness of our executive compensation program.</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00" w:after="180"/>
        <w:jc w:val="both"/>
        <w:rPr>
          <w:rFonts w:ascii="Lato;sans-serif" w:hAnsi="Lato;sans-serif"/>
          <w:b/>
          <w:color w:val="000000"/>
          <w:sz w:val="20"/>
        </w:rPr>
      </w:pPr>
      <w:r>
        <w:rPr>
          <w:rFonts w:ascii="Lato;sans-serif" w:hAnsi="Lato;sans-serif"/>
          <w:b/>
          <w:color w:val="000000"/>
          <w:sz w:val="20"/>
        </w:rPr>
        <w:t>Advisory Non-Binding Vote on Compensation of Named Executive Officers</w:t>
      </w:r>
    </w:p>
    <w:p>
      <w:pPr>
        <w:pStyle w:val="TextBody"/>
        <w:bidi w:val="0"/>
        <w:spacing w:lineRule="auto" w:line="288" w:before="180" w:after="180"/>
        <w:jc w:val="both"/>
        <w:rPr/>
      </w:pPr>
      <w:r>
        <w:rPr>
          <w:rFonts w:ascii="Lato;sans-serif" w:hAnsi="Lato;sans-serif"/>
          <w:b w:val="false"/>
          <w:color w:val="000000"/>
          <w:sz w:val="20"/>
        </w:rPr>
        <w:t>We believe that our executive compensation philosophy and program, as described below in the “</w:t>
      </w:r>
      <w:hyperlink w:anchor="ib09e1ad647de4075ad613c1a43ff4b94_94">
        <w:r>
          <w:rPr>
            <w:rStyle w:val="InternetLink"/>
            <w:rFonts w:ascii="Lato;sans-serif" w:hAnsi="Lato;sans-serif"/>
            <w:b w:val="false"/>
            <w:i/>
            <w:color w:val="0000FF"/>
            <w:sz w:val="20"/>
            <w:u w:val="single"/>
          </w:rPr>
          <w:t>Executive Compensation Discussion and Analysis</w:t>
        </w:r>
      </w:hyperlink>
      <w:r>
        <w:rPr>
          <w:color w:val="000000"/>
        </w:rPr>
        <w:t xml:space="preserve">” </w:t>
      </w:r>
      <w:r>
        <w:rPr>
          <w:rFonts w:ascii="Lato;sans-serif" w:hAnsi="Lato;sans-serif"/>
          <w:b w:val="false"/>
          <w:color w:val="000000"/>
          <w:sz w:val="20"/>
        </w:rPr>
        <w:t>section of this proxy statement, are effective in achieving our goals, and that the executive compensation reported in this proxy statement is appropriate, competitive, and aligned with both short-term and long-term business strategy and outcomes. The compensation program for our named executive officers is focused on pay-for-performance principles. The program is designed to attract, motivate, and retain executive officers in a highly competitive market for executive talent, reward and align the executive officers’ interests with the interests of our stockholders to create long-term value, while at the same time avoiding the encouragement of excessive risk-taking.</w:t>
      </w:r>
    </w:p>
    <w:p>
      <w:pPr>
        <w:pStyle w:val="TextBody"/>
        <w:bidi w:val="0"/>
        <w:spacing w:lineRule="auto" w:line="288" w:before="180" w:after="180"/>
        <w:jc w:val="both"/>
        <w:rPr/>
      </w:pPr>
      <w:r>
        <w:rPr>
          <w:rFonts w:ascii="Lato;sans-serif" w:hAnsi="Lato;sans-serif"/>
          <w:b w:val="false"/>
          <w:color w:val="000000"/>
          <w:sz w:val="20"/>
        </w:rPr>
        <w:t>For a more detailed discussion of our compensation philosophy, objectives, principles, and programs, we strongly encourage our stockholders to review this proxy statement, and in particular the information contained in “</w:t>
      </w:r>
      <w:hyperlink w:anchor="ib09e1ad647de4075ad613c1a43ff4b94_94">
        <w:r>
          <w:rPr>
            <w:rStyle w:val="InternetLink"/>
            <w:rFonts w:ascii="Lato;sans-serif" w:hAnsi="Lato;sans-serif"/>
            <w:b w:val="false"/>
            <w:i/>
            <w:color w:val="0000FF"/>
            <w:sz w:val="20"/>
            <w:u w:val="single"/>
          </w:rPr>
          <w:t>Executive Compensation Discussion and Analysis</w:t>
        </w:r>
      </w:hyperlink>
      <w:r>
        <w:rPr>
          <w:color w:val="000000"/>
        </w:rPr>
        <w:t xml:space="preserve">” </w:t>
      </w:r>
      <w:r>
        <w:rPr>
          <w:rFonts w:ascii="Lato;sans-serif" w:hAnsi="Lato;sans-serif"/>
          <w:b w:val="false"/>
          <w:color w:val="000000"/>
          <w:sz w:val="20"/>
        </w:rPr>
        <w:t>and in the compensation tables and narrative that follow it in the “</w:t>
      </w:r>
      <w:hyperlink w:anchor="ib09e1ad647de4075ad613c1a43ff4b94_121">
        <w:r>
          <w:rPr>
            <w:rStyle w:val="InternetLink"/>
            <w:rFonts w:ascii="Lato;sans-serif" w:hAnsi="Lato;sans-serif"/>
            <w:b w:val="false"/>
            <w:i/>
            <w:color w:val="0000FF"/>
            <w:sz w:val="20"/>
            <w:u w:val="single"/>
          </w:rPr>
          <w:t>Executive Compensation Tables</w:t>
        </w:r>
      </w:hyperlink>
      <w:r>
        <w:rPr>
          <w:color w:val="000000"/>
        </w:rPr>
        <w:t xml:space="preserve">” </w:t>
      </w:r>
      <w:r>
        <w:rPr>
          <w:rFonts w:ascii="Lato;sans-serif" w:hAnsi="Lato;sans-serif"/>
          <w:b w:val="false"/>
          <w:color w:val="000000"/>
          <w:sz w:val="20"/>
        </w:rPr>
        <w:t>section of this proxy statement.</w:t>
      </w:r>
    </w:p>
    <w:p>
      <w:pPr>
        <w:pStyle w:val="TextBody"/>
        <w:bidi w:val="0"/>
        <w:spacing w:lineRule="auto" w:line="288" w:before="180" w:after="180"/>
        <w:jc w:val="both"/>
        <w:rPr>
          <w:rFonts w:ascii="Lato;sans-serif" w:hAnsi="Lato;sans-serif"/>
          <w:b w:val="false"/>
          <w:color w:val="000000"/>
          <w:sz w:val="20"/>
        </w:rPr>
      </w:pPr>
      <w:r>
        <w:rPr>
          <w:rFonts w:ascii="Lato;sans-serif" w:hAnsi="Lato;sans-serif"/>
          <w:b w:val="false"/>
          <w:color w:val="000000"/>
          <w:sz w:val="20"/>
        </w:rPr>
        <w:t>The vote on executive compensation is not intended to address any specific element of compensation or any specific named executive officer, but rather the overall compensation of all of our named executive officers and the philosophy, policies and practices described in this proxy statement.</w:t>
      </w:r>
    </w:p>
    <w:p>
      <w:pPr>
        <w:pStyle w:val="TextBody"/>
        <w:bidi w:val="0"/>
        <w:spacing w:lineRule="auto" w:line="288" w:before="180" w:after="180"/>
        <w:jc w:val="both"/>
        <w:rPr>
          <w:rFonts w:ascii="Lato;sans-serif" w:hAnsi="Lato;sans-serif"/>
          <w:b w:val="false"/>
          <w:color w:val="000000"/>
          <w:sz w:val="20"/>
        </w:rPr>
      </w:pPr>
      <w:r>
        <w:rPr>
          <w:rFonts w:ascii="Lato;sans-serif" w:hAnsi="Lato;sans-serif"/>
          <w:b w:val="false"/>
          <w:color w:val="000000"/>
          <w:sz w:val="20"/>
        </w:rPr>
        <w:t>Because this vote is advisory in nature, it will not affect any compensation already paid to our named executive officers, and will not be binding on us, the Compensation Committee, or the Board. Although the vote is non-binding, the Compensation Committee and the Board value the opinions of our stockholders and will consider the outcome of the vote in making future executive compensation decisions.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00" w:after="180"/>
        <w:jc w:val="both"/>
        <w:rPr>
          <w:rFonts w:ascii="Lato;sans-serif" w:hAnsi="Lato;sans-serif"/>
          <w:b/>
          <w:color w:val="000000"/>
          <w:sz w:val="20"/>
        </w:rPr>
      </w:pPr>
      <w:r>
        <w:rPr>
          <w:rFonts w:ascii="Lato;sans-serif" w:hAnsi="Lato;sans-serif"/>
          <w:b/>
          <w:color w:val="000000"/>
          <w:sz w:val="20"/>
        </w:rPr>
        <w:t>Vote Required</w:t>
      </w:r>
    </w:p>
    <w:p>
      <w:pPr>
        <w:pStyle w:val="TextBody"/>
        <w:bidi w:val="0"/>
        <w:spacing w:lineRule="auto" w:line="288" w:before="180" w:after="180"/>
        <w:jc w:val="both"/>
        <w:rPr>
          <w:rFonts w:ascii="Lato;sans-serif" w:hAnsi="Lato;sans-serif"/>
          <w:b w:val="false"/>
          <w:color w:val="000000"/>
          <w:sz w:val="20"/>
        </w:rPr>
      </w:pPr>
      <w:r>
        <w:rPr>
          <w:rFonts w:ascii="Lato;sans-serif" w:hAnsi="Lato;sans-serif"/>
          <w:b w:val="false"/>
          <w:color w:val="000000"/>
          <w:sz w:val="20"/>
        </w:rPr>
        <w:t>Approval of the compensation of our named executive officers requires the affirmative vote of the holders of a majority of the voting power of the shares of stock present virtually or represented by proxy and entitled to vote on the proposal. Abstentions will have the effect of a vote “AGAINST” this proposal and broker non-votes will have no effect on this proposal.</w:t>
      </w:r>
    </w:p>
    <w:p>
      <w:pPr>
        <w:pStyle w:val="TextBody"/>
        <w:bidi w:val="0"/>
        <w:spacing w:lineRule="auto" w:line="288" w:before="480" w:after="283"/>
        <w:jc w:val="center"/>
        <w:rPr>
          <w:rFonts w:ascii="Lato;sans-serif" w:hAnsi="Lato;sans-serif"/>
          <w:b/>
          <w:color w:val="000000"/>
          <w:sz w:val="20"/>
        </w:rPr>
      </w:pPr>
      <w:r>
        <w:rPr>
          <w:rFonts w:ascii="Lato;sans-serif" w:hAnsi="Lato;sans-serif"/>
          <w:b/>
          <w:color w:val="000000"/>
          <w:sz w:val="20"/>
        </w:rPr>
        <w:t>THE BOARD OF DIRECTORS RECOMMENDS A VOTE “FOR” THE APPROVAL OF THE COMPENSATION OF OUR NAMED EXECUTIVE OFFICERS.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352425"/>
                <wp:effectExtent l="0" t="0" r="0" b="0"/>
                <wp:wrapNone/>
                <wp:docPr id="52" name="Frame38"/>
                <a:graphic xmlns:a="http://schemas.openxmlformats.org/drawingml/2006/main">
                  <a:graphicData uri="http://schemas.microsoft.com/office/word/2010/wordprocessingShape">
                    <wps:wsp>
                      <wps:cNvSpPr txBox="1"/>
                      <wps:spPr>
                        <a:xfrm>
                          <a:off x="0" y="0"/>
                          <a:ext cx="6480175" cy="352425"/>
                        </a:xfrm>
                        <a:prstGeom prst="rect"/>
                        <a:solidFill>
                          <a:srgbClr val="FFFFFF"/>
                        </a:solidFill>
                      </wps:spPr>
                      <wps:txbx>
                        <w:txbxContent>
                          <w:p>
                            <w:pPr>
                              <w:pStyle w:val="TextBody"/>
                              <w:bidi w:val="0"/>
                              <w:spacing w:lineRule="auto" w:line="288" w:before="0" w:after="0"/>
                              <w:jc w:val="center"/>
                              <w:rPr>
                                <w:rFonts w:ascii="Lato;sans-serif" w:hAnsi="Lato;sans-serif"/>
                                <w:b w:val="false"/>
                                <w:color w:val="000000"/>
                                <w:sz w:val="20"/>
                              </w:rPr>
                            </w:pPr>
                            <w:r>
                              <w:rPr>
                                <w:rFonts w:ascii="Lato;sans-serif" w:hAnsi="Lato;sans-serif"/>
                                <w:b w:val="false"/>
                                <w:color w:val="000000"/>
                                <w:sz w:val="20"/>
                              </w:rPr>
                              <w:t>32</w:t>
                            </w:r>
                          </w:p>
                          <w:p>
                            <w:pPr>
                              <w:pStyle w:val="TextBody"/>
                              <w:bidi w:val="0"/>
                              <w:spacing w:lineRule="auto" w:line="288" w:before="0" w:after="0"/>
                              <w:jc w:val="left"/>
                              <w:rPr>
                                <w:color w:val="000000"/>
                              </w:rPr>
                            </w:pPr>
                            <w:r>
                              <w:rPr>
                                <w:color w:val="000000"/>
                              </w:rPr>
                              <w:t>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Lato;sans-serif" w:hAnsi="Lato;sans-serif"/>
                          <w:b w:val="false"/>
                          <w:color w:val="000000"/>
                          <w:sz w:val="20"/>
                        </w:rPr>
                      </w:pPr>
                      <w:r>
                        <w:rPr>
                          <w:rFonts w:ascii="Lato;sans-serif" w:hAnsi="Lato;sans-serif"/>
                          <w:b w:val="false"/>
                          <w:color w:val="000000"/>
                          <w:sz w:val="20"/>
                        </w:rPr>
                        <w:t>32</w:t>
                      </w:r>
                    </w:p>
                    <w:p>
                      <w:pPr>
                        <w:pStyle w:val="TextBody"/>
                        <w:bidi w:val="0"/>
                        <w:spacing w:lineRule="auto" w:line="288" w:before="0" w:after="0"/>
                        <w:jc w:val="left"/>
                        <w:rPr>
                          <w:color w:val="000000"/>
                        </w:rPr>
                      </w:pPr>
                      <w:r>
                        <w:rPr>
                          <w:color w:val="000000"/>
                        </w:rPr>
                        <w:t>        </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300" w:after="180"/>
        <w:jc w:val="center"/>
        <w:rPr>
          <w:rFonts w:ascii="Lato;sans-serif" w:hAnsi="Lato;sans-serif"/>
          <w:b/>
          <w:color w:val="000000"/>
          <w:sz w:val="20"/>
        </w:rPr>
      </w:pPr>
      <w:r>
        <w:rPr>
          <w:rFonts w:ascii="Lato;sans-serif" w:hAnsi="Lato;sans-serif"/>
          <w:b/>
          <w:color w:val="000000"/>
          <w:sz w:val="20"/>
        </w:rPr>
        <w:t>EXECUTIVE OFFICERS OF THE COMPANY</w:t>
      </w:r>
    </w:p>
    <w:p>
      <w:pPr>
        <w:pStyle w:val="TextBody"/>
        <w:bidi w:val="0"/>
        <w:spacing w:lineRule="auto" w:line="268" w:before="0" w:after="180"/>
        <w:jc w:val="both"/>
        <w:rPr>
          <w:rFonts w:ascii="Lato;sans-serif" w:hAnsi="Lato;sans-serif"/>
          <w:b w:val="false"/>
          <w:color w:val="000000"/>
          <w:sz w:val="20"/>
        </w:rPr>
      </w:pPr>
      <w:r>
        <w:rPr>
          <w:rFonts w:ascii="Lato;sans-serif" w:hAnsi="Lato;sans-serif"/>
          <w:b w:val="false"/>
          <w:color w:val="000000"/>
          <w:sz w:val="20"/>
        </w:rPr>
        <w:t>The following table presents summary information regarding each of our executive officers as of the date of this Proxy Statement, including: our Chief Executive Officer, Henry L. Schuck; our Chief Financial Officer, Michael Graham O’Brien; our Chief Revenue Officer, James Roth; and our EVP, General Counsel &amp; Corporate Secretary, Ashley McGrane. The Board determined that Mr. Roth and Ms. McGrane were executive officers beginning in 2025. Our executive officers are appointed by, and serve at the discretion of, our Board of Directors. There are no family relationships among any of our directors or executive officers.</w:t>
      </w:r>
    </w:p>
    <w:tbl>
      <w:tblPr>
        <w:tblW w:w="10205" w:type="dxa"/>
        <w:jc w:val="left"/>
        <w:tblInd w:w="0" w:type="dxa"/>
        <w:tblLayout w:type="fixed"/>
        <w:tblCellMar>
          <w:top w:w="28" w:type="dxa"/>
          <w:left w:w="28" w:type="dxa"/>
          <w:bottom w:w="28" w:type="dxa"/>
          <w:right w:w="28" w:type="dxa"/>
        </w:tblCellMar>
      </w:tblPr>
      <w:tblGrid>
        <w:gridCol w:w="488"/>
        <w:gridCol w:w="294"/>
        <w:gridCol w:w="296"/>
        <w:gridCol w:w="175"/>
        <w:gridCol w:w="175"/>
        <w:gridCol w:w="176"/>
        <w:gridCol w:w="2742"/>
        <w:gridCol w:w="2420"/>
        <w:gridCol w:w="3439"/>
      </w:tblGrid>
      <w:tr>
        <w:trPr/>
        <w:tc>
          <w:tcPr>
            <w:tcW w:w="488"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2742" w:type="dxa"/>
            <w:tcBorders/>
            <w:vAlign w:val="center"/>
          </w:tcPr>
          <w:p>
            <w:pPr>
              <w:pStyle w:val="TableContents"/>
              <w:bidi w:val="0"/>
              <w:spacing w:before="0" w:after="283"/>
              <w:jc w:val="left"/>
              <w:rPr>
                <w:sz w:val="4"/>
                <w:szCs w:val="4"/>
              </w:rPr>
            </w:pPr>
            <w:r>
              <w:rPr>
                <w:sz w:val="4"/>
                <w:szCs w:val="4"/>
              </w:rPr>
            </w:r>
          </w:p>
        </w:tc>
        <w:tc>
          <w:tcPr>
            <w:tcW w:w="2420" w:type="dxa"/>
            <w:tcBorders/>
            <w:vAlign w:val="center"/>
          </w:tcPr>
          <w:p>
            <w:pPr>
              <w:pStyle w:val="TableContents"/>
              <w:bidi w:val="0"/>
              <w:spacing w:before="0" w:after="283"/>
              <w:jc w:val="left"/>
              <w:rPr>
                <w:sz w:val="4"/>
                <w:szCs w:val="4"/>
              </w:rPr>
            </w:pPr>
            <w:r>
              <w:rPr>
                <w:sz w:val="4"/>
                <w:szCs w:val="4"/>
              </w:rPr>
            </w:r>
          </w:p>
        </w:tc>
        <w:tc>
          <w:tcPr>
            <w:tcW w:w="3439" w:type="dxa"/>
            <w:tcBorders/>
            <w:vAlign w:val="center"/>
          </w:tcPr>
          <w:p>
            <w:pPr>
              <w:pStyle w:val="TableContents"/>
              <w:bidi w:val="0"/>
              <w:spacing w:before="0" w:after="283"/>
              <w:jc w:val="left"/>
              <w:rPr>
                <w:sz w:val="4"/>
                <w:szCs w:val="4"/>
              </w:rPr>
            </w:pPr>
            <w:r>
              <w:rPr>
                <w:sz w:val="4"/>
                <w:szCs w:val="4"/>
              </w:rPr>
            </w:r>
          </w:p>
        </w:tc>
      </w:tr>
      <w:tr>
        <w:trPr/>
        <w:tc>
          <w:tcPr>
            <w:tcW w:w="1078" w:type="dxa"/>
            <w:gridSpan w:val="3"/>
            <w:tcBorders/>
            <w:shd w:fill="F44238"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color w:val="FFFFFF"/>
                <w:sz w:val="20"/>
              </w:rPr>
            </w:pPr>
            <w:r>
              <w:rPr>
                <w:rFonts w:ascii="Lato;sans-serif" w:hAnsi="Lato;sans-serif"/>
                <w:b/>
                <w:color w:val="FFFFFF"/>
                <w:sz w:val="20"/>
              </w:rPr>
              <w:t>Name</w:t>
            </w:r>
          </w:p>
        </w:tc>
        <w:tc>
          <w:tcPr>
            <w:tcW w:w="526" w:type="dxa"/>
            <w:gridSpan w:val="3"/>
            <w:tcBorders/>
            <w:shd w:fill="F44238" w:val="clear"/>
            <w:tcMar>
              <w:top w:w="0" w:type="dxa"/>
              <w:left w:w="0" w:type="dxa"/>
              <w:bottom w:w="0" w:type="dxa"/>
              <w:right w:w="0" w:type="dxa"/>
            </w:tcMar>
            <w:vAlign w:val="center"/>
          </w:tcPr>
          <w:p>
            <w:pPr>
              <w:pStyle w:val="TableContents"/>
              <w:bidi w:val="0"/>
              <w:spacing w:lineRule="auto" w:line="240" w:before="0" w:after="283"/>
              <w:jc w:val="center"/>
              <w:rPr>
                <w:rFonts w:ascii="Lato;sans-serif" w:hAnsi="Lato;sans-serif"/>
                <w:b/>
                <w:color w:val="FFFFFF"/>
                <w:sz w:val="20"/>
              </w:rPr>
            </w:pPr>
            <w:r>
              <w:rPr>
                <w:rFonts w:ascii="Lato;sans-serif" w:hAnsi="Lato;sans-serif"/>
                <w:b/>
                <w:color w:val="FFFFFF"/>
                <w:sz w:val="20"/>
              </w:rPr>
              <w:t>Age</w:t>
            </w:r>
          </w:p>
        </w:tc>
        <w:tc>
          <w:tcPr>
            <w:tcW w:w="8601" w:type="dxa"/>
            <w:gridSpan w:val="3"/>
            <w:tcBorders/>
            <w:shd w:fill="F44238"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color w:val="FFFFFF"/>
                <w:sz w:val="20"/>
              </w:rPr>
            </w:pPr>
            <w:r>
              <w:rPr>
                <w:rFonts w:ascii="Lato;sans-serif" w:hAnsi="Lato;sans-serif"/>
                <w:b/>
                <w:color w:val="FFFFFF"/>
                <w:sz w:val="20"/>
              </w:rPr>
              <w:t>Principal occupation and other information</w:t>
            </w:r>
          </w:p>
        </w:tc>
      </w:tr>
      <w:tr>
        <w:trPr/>
        <w:tc>
          <w:tcPr>
            <w:tcW w:w="1078"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0"/>
              <w:jc w:val="left"/>
              <w:rPr>
                <w:rFonts w:ascii="Lato;sans-serif" w:hAnsi="Lato;sans-serif"/>
                <w:b w:val="false"/>
                <w:color w:val="000000"/>
                <w:sz w:val="20"/>
              </w:rPr>
            </w:pPr>
            <w:r>
              <w:rPr>
                <w:rFonts w:ascii="Lato;sans-serif" w:hAnsi="Lato;sans-serif"/>
                <w:b w:val="false"/>
                <w:color w:val="000000"/>
                <w:sz w:val="20"/>
              </w:rPr>
              <w:t>Henry L. Schuck</w:t>
            </w:r>
          </w:p>
        </w:tc>
        <w:tc>
          <w:tcPr>
            <w:tcW w:w="526"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Lato;sans-serif" w:hAnsi="Lato;sans-serif"/>
                <w:b w:val="false"/>
                <w:color w:val="000000"/>
                <w:sz w:val="20"/>
              </w:rPr>
            </w:pPr>
            <w:r>
              <w:rPr>
                <w:rFonts w:ascii="Lato;sans-serif" w:hAnsi="Lato;sans-serif"/>
                <w:b w:val="false"/>
                <w:color w:val="000000"/>
                <w:sz w:val="20"/>
              </w:rPr>
              <w:t>42</w:t>
            </w:r>
          </w:p>
        </w:tc>
        <w:tc>
          <w:tcPr>
            <w:tcW w:w="8601"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0"/>
              <w:jc w:val="both"/>
              <w:rPr>
                <w:rFonts w:ascii="Lato;sans-serif" w:hAnsi="Lato;sans-serif"/>
                <w:b w:val="false"/>
                <w:color w:val="000000"/>
                <w:sz w:val="20"/>
              </w:rPr>
            </w:pPr>
            <w:r>
              <w:rPr>
                <w:rFonts w:ascii="Lato;sans-serif" w:hAnsi="Lato;sans-serif"/>
                <w:b w:val="false"/>
                <w:color w:val="000000"/>
                <w:sz w:val="20"/>
              </w:rPr>
              <w:t>Mr. Schuck has served as Chief Executive Officer, Chairman of the Board and a director of ZoomInfo Technologies Inc. since its formation in November 2019 and served as Chief Executive Officer and a director of ZoomInfo Holdings LLC (formerly known as DiscoverOrg Holdings, LLC) since founding it in 2007. Prior to founding ZoomInfo Holdings LLC, Mr. Schuck was VP of Research &amp; Marketing at iProfile, a sales intelligence firm focused on the IT market. Mr. Schuck is a cum laude graduate of the University of Nevada, Las Vegas with a B.S. in Business Administration and a B.S. in Hospitality Management with Honors and holds a J.D., cum laude, from The Ohio State University Moritz College of Law. Mr. Schuck is a licensed attorney in Nevada and Washington. Mr. Schuck currently serves on the Board of Directors for YipitData, a market research and alternative data analytics firm, and Fetch, a mobile rewards application. He served on the Board of Directors of Tegus, a financial data platform that was acquired by AlphaSense in 2024.</w:t>
            </w:r>
          </w:p>
        </w:tc>
      </w:tr>
      <w:tr>
        <w:trPr/>
        <w:tc>
          <w:tcPr>
            <w:tcW w:w="1078" w:type="dxa"/>
            <w:gridSpan w:val="3"/>
            <w:tcBorders/>
            <w:shd w:fill="DBDBDB" w:val="clear"/>
            <w:tcMar>
              <w:top w:w="0" w:type="dxa"/>
              <w:left w:w="0" w:type="dxa"/>
              <w:bottom w:w="0" w:type="dxa"/>
              <w:right w:w="0" w:type="dxa"/>
            </w:tcMar>
            <w:vAlign w:val="center"/>
          </w:tcPr>
          <w:p>
            <w:pPr>
              <w:pStyle w:val="TableContents"/>
              <w:bidi w:val="0"/>
              <w:spacing w:lineRule="auto" w:line="240" w:before="0" w:after="0"/>
              <w:jc w:val="left"/>
              <w:rPr>
                <w:rFonts w:ascii="Lato;sans-serif" w:hAnsi="Lato;sans-serif"/>
                <w:b w:val="false"/>
                <w:color w:val="000000"/>
                <w:sz w:val="20"/>
              </w:rPr>
            </w:pPr>
            <w:r>
              <w:rPr>
                <w:rFonts w:ascii="Lato;sans-serif" w:hAnsi="Lato;sans-serif"/>
                <w:b w:val="false"/>
                <w:color w:val="000000"/>
                <w:sz w:val="20"/>
              </w:rPr>
              <w:t>Michael Graham O’Brien</w:t>
            </w:r>
          </w:p>
        </w:tc>
        <w:tc>
          <w:tcPr>
            <w:tcW w:w="526"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Lato;sans-serif" w:hAnsi="Lato;sans-serif"/>
                <w:b w:val="false"/>
                <w:color w:val="000000"/>
                <w:sz w:val="20"/>
              </w:rPr>
            </w:pPr>
            <w:r>
              <w:rPr>
                <w:rFonts w:ascii="Lato;sans-serif" w:hAnsi="Lato;sans-serif"/>
                <w:b w:val="false"/>
                <w:color w:val="000000"/>
                <w:sz w:val="20"/>
              </w:rPr>
              <w:t>40</w:t>
            </w:r>
          </w:p>
        </w:tc>
        <w:tc>
          <w:tcPr>
            <w:tcW w:w="8601"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both"/>
              <w:rPr>
                <w:rFonts w:ascii="Lato;sans-serif" w:hAnsi="Lato;sans-serif"/>
                <w:b w:val="false"/>
                <w:color w:val="000000"/>
                <w:sz w:val="20"/>
              </w:rPr>
            </w:pPr>
            <w:r>
              <w:rPr>
                <w:rFonts w:ascii="Lato;sans-serif" w:hAnsi="Lato;sans-serif"/>
                <w:b w:val="false"/>
                <w:color w:val="000000"/>
                <w:sz w:val="20"/>
              </w:rPr>
              <w:t>Mr. O’Brien has served as our Chief Financial Officer since July 2025. He previously served as our Interim Chief Financial Officer from September 2024 to July 2025. He has also held roles with increasing levels of responsibility at ZoomInfo since December 2017, previously serving as Vice President of Financial Planning &amp; Analysis from January 2023 to September 2024. Prior to joining the Company, Mr. O’Brien held accounting positions at Rainking Solutions from 2016 to 2017, and with Kaseya from 2008 to 2016. Mr. O’Brien holds a B.S. in Accounting from Lehigh University and is a CPA registered with the District of Columbia Board of Accountancy.</w:t>
            </w:r>
          </w:p>
        </w:tc>
      </w:tr>
      <w:tr>
        <w:trPr/>
        <w:tc>
          <w:tcPr>
            <w:tcW w:w="107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Lato;sans-serif" w:hAnsi="Lato;sans-serif"/>
                <w:b w:val="false"/>
                <w:color w:val="000000"/>
                <w:sz w:val="20"/>
              </w:rPr>
            </w:pPr>
            <w:r>
              <w:rPr>
                <w:rFonts w:ascii="Lato;sans-serif" w:hAnsi="Lato;sans-serif"/>
                <w:b w:val="false"/>
                <w:color w:val="000000"/>
                <w:sz w:val="20"/>
              </w:rPr>
              <w:t>James Roth</w:t>
            </w:r>
          </w:p>
        </w:tc>
        <w:tc>
          <w:tcPr>
            <w:tcW w:w="5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Lato;sans-serif" w:hAnsi="Lato;sans-serif"/>
                <w:b w:val="false"/>
                <w:color w:val="000000"/>
                <w:sz w:val="20"/>
              </w:rPr>
            </w:pPr>
            <w:r>
              <w:rPr>
                <w:rFonts w:ascii="Lato;sans-serif" w:hAnsi="Lato;sans-serif"/>
                <w:b w:val="false"/>
                <w:color w:val="000000"/>
                <w:sz w:val="20"/>
              </w:rPr>
              <w:t>39</w:t>
            </w:r>
          </w:p>
        </w:tc>
        <w:tc>
          <w:tcPr>
            <w:tcW w:w="86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Lato;sans-serif" w:hAnsi="Lato;sans-serif"/>
                <w:b w:val="false"/>
                <w:color w:val="000000"/>
                <w:sz w:val="20"/>
              </w:rPr>
            </w:pPr>
            <w:r>
              <w:rPr>
                <w:rFonts w:ascii="Lato;sans-serif" w:hAnsi="Lato;sans-serif"/>
                <w:b w:val="false"/>
                <w:color w:val="000000"/>
                <w:sz w:val="20"/>
              </w:rPr>
              <w:t>Mr. Roth has served as our Chief Revenue Officer since October 2023, overseeing the revenue organization, including the global sales, account management, customer experience, partnerships, and solutions engineering teams. Mr. Roth joined ZoomInfo in January 2022 and previously served as our Senior Vice President of Retention. Prior to joining ZoomInfo, Mr. Roth most recently held the position of SVP, Head of Field and Enterprise Sales at Vonage, where he worked for eight years following Vonage’s acquisition of iCore Networks, a cloud services company where he led the company’s go-to-market strategy. Mr. Roth led Vonage’s successful transition from a consumer VoIP provider into an enterprise communications platform. Mr. Roth holds a B.A. from Amherst College, where he studied political science and economics.</w:t>
            </w:r>
          </w:p>
        </w:tc>
      </w:tr>
      <w:tr>
        <w:trPr/>
        <w:tc>
          <w:tcPr>
            <w:tcW w:w="1078"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20"/>
              </w:rPr>
            </w:pPr>
            <w:r>
              <w:rPr>
                <w:rFonts w:ascii="Lato;sans-serif" w:hAnsi="Lato;sans-serif"/>
                <w:b w:val="false"/>
                <w:color w:val="000000"/>
                <w:sz w:val="20"/>
              </w:rPr>
              <w:t>Ashley McGrane</w:t>
            </w:r>
          </w:p>
        </w:tc>
        <w:tc>
          <w:tcPr>
            <w:tcW w:w="526"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Lato;sans-serif" w:hAnsi="Lato;sans-serif"/>
                <w:b w:val="false"/>
                <w:color w:val="000000"/>
                <w:sz w:val="20"/>
              </w:rPr>
            </w:pPr>
            <w:r>
              <w:rPr>
                <w:rFonts w:ascii="Lato;sans-serif" w:hAnsi="Lato;sans-serif"/>
                <w:b w:val="false"/>
                <w:color w:val="000000"/>
                <w:sz w:val="20"/>
              </w:rPr>
              <w:t>42</w:t>
            </w:r>
          </w:p>
        </w:tc>
        <w:tc>
          <w:tcPr>
            <w:tcW w:w="8601"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both"/>
              <w:rPr>
                <w:rFonts w:ascii="Lato;sans-serif" w:hAnsi="Lato;sans-serif"/>
                <w:b w:val="false"/>
                <w:color w:val="000000"/>
                <w:sz w:val="20"/>
              </w:rPr>
            </w:pPr>
            <w:r>
              <w:rPr>
                <w:rFonts w:ascii="Lato;sans-serif" w:hAnsi="Lato;sans-serif"/>
                <w:b w:val="false"/>
                <w:color w:val="000000"/>
                <w:sz w:val="20"/>
              </w:rPr>
              <w:t>Ms. McGrane has served as our Executive Vice President, General Counsel and Corporate Secretary since May 2024, where she oversees the Company’s legal matters, including matters relating to compliance, data privacy, government relations and strategic transactions. Prior to this, Ms. McGrane served as the Company’s Deputy General Counsel and Assistant Corporate Secretary from June 2021 to May 2024, where she led the corporate legal function, including the oversight of corporate governance, securities law compliance, and mergers and acquisitions. Prior to joining ZoomInfo, Ms. McGrane served as securities and governance counsel at Boston Scientific Corporation from 2015 to 2021. Prior to that, Ms. McGrane was an associate at several leading national law firms. Ms. McGrane holds a J.D. from Cornell Law School, and a B.S. in Business Administration and a B.A. in Mathematics from Susquehanna University.</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352425"/>
                <wp:effectExtent l="0" t="0" r="0" b="0"/>
                <wp:wrapNone/>
                <wp:docPr id="53" name="Frame39"/>
                <a:graphic xmlns:a="http://schemas.openxmlformats.org/drawingml/2006/main">
                  <a:graphicData uri="http://schemas.microsoft.com/office/word/2010/wordprocessingShape">
                    <wps:wsp>
                      <wps:cNvSpPr txBox="1"/>
                      <wps:spPr>
                        <a:xfrm>
                          <a:off x="0" y="0"/>
                          <a:ext cx="6480175" cy="352425"/>
                        </a:xfrm>
                        <a:prstGeom prst="rect"/>
                        <a:solidFill>
                          <a:srgbClr val="FFFFFF"/>
                        </a:solidFill>
                      </wps:spPr>
                      <wps:txbx>
                        <w:txbxContent>
                          <w:p>
                            <w:pPr>
                              <w:pStyle w:val="TextBody"/>
                              <w:bidi w:val="0"/>
                              <w:spacing w:lineRule="auto" w:line="288" w:before="0" w:after="0"/>
                              <w:jc w:val="center"/>
                              <w:rPr>
                                <w:rFonts w:ascii="Lato;sans-serif" w:hAnsi="Lato;sans-serif"/>
                                <w:b w:val="false"/>
                                <w:color w:val="000000"/>
                                <w:sz w:val="20"/>
                              </w:rPr>
                            </w:pPr>
                            <w:r>
                              <w:rPr>
                                <w:rFonts w:ascii="Lato;sans-serif" w:hAnsi="Lato;sans-serif"/>
                                <w:b w:val="false"/>
                                <w:color w:val="000000"/>
                                <w:sz w:val="20"/>
                              </w:rPr>
                              <w:t>33</w:t>
                            </w:r>
                          </w:p>
                          <w:p>
                            <w:pPr>
                              <w:pStyle w:val="TextBody"/>
                              <w:bidi w:val="0"/>
                              <w:spacing w:lineRule="auto" w:line="288" w:before="0" w:after="0"/>
                              <w:jc w:val="left"/>
                              <w:rPr>
                                <w:color w:val="000000"/>
                              </w:rPr>
                            </w:pPr>
                            <w:r>
                              <w:rPr>
                                <w:color w:val="000000"/>
                              </w:rPr>
                              <w:t>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Lato;sans-serif" w:hAnsi="Lato;sans-serif"/>
                          <w:b w:val="false"/>
                          <w:color w:val="000000"/>
                          <w:sz w:val="20"/>
                        </w:rPr>
                      </w:pPr>
                      <w:r>
                        <w:rPr>
                          <w:rFonts w:ascii="Lato;sans-serif" w:hAnsi="Lato;sans-serif"/>
                          <w:b w:val="false"/>
                          <w:color w:val="000000"/>
                          <w:sz w:val="20"/>
                        </w:rPr>
                        <w:t>33</w:t>
                      </w:r>
                    </w:p>
                    <w:p>
                      <w:pPr>
                        <w:pStyle w:val="TextBody"/>
                        <w:bidi w:val="0"/>
                        <w:spacing w:lineRule="auto" w:line="288" w:before="0" w:after="0"/>
                        <w:jc w:val="left"/>
                        <w:rPr>
                          <w:color w:val="000000"/>
                        </w:rPr>
                      </w:pPr>
                      <w:r>
                        <w:rPr>
                          <w:color w:val="000000"/>
                        </w:rPr>
                        <w:t>        </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300" w:after="180"/>
        <w:jc w:val="center"/>
        <w:rPr>
          <w:rFonts w:ascii="Lato;sans-serif" w:hAnsi="Lato;sans-serif"/>
          <w:b/>
          <w:color w:val="000000"/>
          <w:sz w:val="20"/>
        </w:rPr>
      </w:pPr>
      <w:r>
        <w:rPr>
          <w:rFonts w:ascii="Lato;sans-serif" w:hAnsi="Lato;sans-serif"/>
          <w:b/>
          <w:color w:val="000000"/>
          <w:sz w:val="20"/>
        </w:rPr>
        <w:t>EXECUTIVE COMPENSATION DISCUSSION AND ANALYSIS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333" w:before="300" w:after="180"/>
        <w:jc w:val="both"/>
        <w:rPr>
          <w:rFonts w:ascii="Lato;sans-serif" w:hAnsi="Lato;sans-serif"/>
          <w:b/>
          <w:color w:val="000000"/>
          <w:sz w:val="20"/>
        </w:rPr>
      </w:pPr>
      <w:r>
        <w:rPr>
          <w:rFonts w:ascii="Lato;sans-serif" w:hAnsi="Lato;sans-serif"/>
          <w:b/>
          <w:color w:val="000000"/>
          <w:sz w:val="20"/>
        </w:rPr>
        <w:t>Executive Summary</w:t>
      </w:r>
    </w:p>
    <w:p>
      <w:pPr>
        <w:pStyle w:val="TextBody"/>
        <w:bidi w:val="0"/>
        <w:spacing w:lineRule="auto" w:line="288" w:before="180" w:after="180"/>
        <w:jc w:val="both"/>
        <w:rPr>
          <w:rFonts w:ascii="Lato;sans-serif" w:hAnsi="Lato;sans-serif"/>
          <w:b w:val="false"/>
          <w:color w:val="000000"/>
          <w:sz w:val="20"/>
        </w:rPr>
      </w:pPr>
      <w:r>
        <w:rPr>
          <w:rFonts w:ascii="Lato;sans-serif" w:hAnsi="Lato;sans-serif"/>
          <w:b w:val="false"/>
          <w:color w:val="000000"/>
          <w:sz w:val="20"/>
        </w:rPr>
        <w:t>This compensation discussion and analysis describes our compensation philosophy, objectives, and program structure for our named executive officers listed below. It also analyzes how and why our Compensation Committee arrived at specific compensation decisions during 2025 for our named executive officers.</w:t>
      </w:r>
    </w:p>
    <w:p>
      <w:pPr>
        <w:pStyle w:val="TextBody"/>
        <w:bidi w:val="0"/>
        <w:spacing w:lineRule="auto" w:line="288" w:before="180" w:after="180"/>
        <w:jc w:val="both"/>
        <w:rPr>
          <w:rFonts w:ascii="Lato;sans-serif" w:hAnsi="Lato;sans-serif"/>
          <w:b w:val="false"/>
          <w:color w:val="000000"/>
          <w:sz w:val="20"/>
        </w:rPr>
      </w:pPr>
      <w:r>
        <w:rPr>
          <w:rFonts w:ascii="Lato;sans-serif" w:hAnsi="Lato;sans-serif"/>
          <w:b w:val="false"/>
          <w:color w:val="000000"/>
          <w:sz w:val="20"/>
        </w:rPr>
        <w:t>Our only named executive officers during 2025 are listed in the table below. We refer to them as our “Named Executive Officers” or “NEOs.”</w:t>
      </w:r>
    </w:p>
    <w:tbl>
      <w:tblPr>
        <w:tblW w:w="7170" w:type="dxa"/>
        <w:jc w:val="left"/>
        <w:tblInd w:w="0" w:type="dxa"/>
        <w:tblLayout w:type="fixed"/>
        <w:tblCellMar>
          <w:top w:w="28" w:type="dxa"/>
          <w:left w:w="28" w:type="dxa"/>
          <w:bottom w:w="28" w:type="dxa"/>
          <w:right w:w="28" w:type="dxa"/>
        </w:tblCellMar>
      </w:tblPr>
      <w:tblGrid>
        <w:gridCol w:w="976"/>
        <w:gridCol w:w="859"/>
        <w:gridCol w:w="865"/>
        <w:gridCol w:w="1308"/>
        <w:gridCol w:w="1308"/>
        <w:gridCol w:w="1854"/>
      </w:tblGrid>
      <w:tr>
        <w:trPr/>
        <w:tc>
          <w:tcPr>
            <w:tcW w:w="976" w:type="dxa"/>
            <w:tcBorders/>
            <w:vAlign w:val="center"/>
          </w:tcPr>
          <w:p>
            <w:pPr>
              <w:pStyle w:val="TableContents"/>
              <w:bidi w:val="0"/>
              <w:spacing w:before="0" w:after="283"/>
              <w:jc w:val="left"/>
              <w:rPr>
                <w:sz w:val="4"/>
                <w:szCs w:val="4"/>
              </w:rPr>
            </w:pPr>
            <w:r>
              <w:rPr>
                <w:sz w:val="4"/>
                <w:szCs w:val="4"/>
              </w:rPr>
            </w:r>
          </w:p>
        </w:tc>
        <w:tc>
          <w:tcPr>
            <w:tcW w:w="859" w:type="dxa"/>
            <w:tcBorders/>
            <w:vAlign w:val="center"/>
          </w:tcPr>
          <w:p>
            <w:pPr>
              <w:pStyle w:val="TableContents"/>
              <w:bidi w:val="0"/>
              <w:spacing w:before="0" w:after="283"/>
              <w:jc w:val="left"/>
              <w:rPr>
                <w:sz w:val="4"/>
                <w:szCs w:val="4"/>
              </w:rPr>
            </w:pPr>
            <w:r>
              <w:rPr>
                <w:sz w:val="4"/>
                <w:szCs w:val="4"/>
              </w:rPr>
            </w:r>
          </w:p>
        </w:tc>
        <w:tc>
          <w:tcPr>
            <w:tcW w:w="865" w:type="dxa"/>
            <w:tcBorders/>
            <w:vAlign w:val="center"/>
          </w:tcPr>
          <w:p>
            <w:pPr>
              <w:pStyle w:val="TableContents"/>
              <w:bidi w:val="0"/>
              <w:spacing w:before="0" w:after="283"/>
              <w:jc w:val="left"/>
              <w:rPr>
                <w:sz w:val="4"/>
                <w:szCs w:val="4"/>
              </w:rPr>
            </w:pPr>
            <w:r>
              <w:rPr>
                <w:sz w:val="4"/>
                <w:szCs w:val="4"/>
              </w:rPr>
            </w:r>
          </w:p>
        </w:tc>
        <w:tc>
          <w:tcPr>
            <w:tcW w:w="1308" w:type="dxa"/>
            <w:tcBorders/>
            <w:vAlign w:val="center"/>
          </w:tcPr>
          <w:p>
            <w:pPr>
              <w:pStyle w:val="TableContents"/>
              <w:bidi w:val="0"/>
              <w:spacing w:before="0" w:after="283"/>
              <w:jc w:val="left"/>
              <w:rPr>
                <w:sz w:val="4"/>
                <w:szCs w:val="4"/>
              </w:rPr>
            </w:pPr>
            <w:r>
              <w:rPr>
                <w:sz w:val="4"/>
                <w:szCs w:val="4"/>
              </w:rPr>
            </w:r>
          </w:p>
        </w:tc>
        <w:tc>
          <w:tcPr>
            <w:tcW w:w="1308" w:type="dxa"/>
            <w:tcBorders/>
            <w:vAlign w:val="center"/>
          </w:tcPr>
          <w:p>
            <w:pPr>
              <w:pStyle w:val="TableContents"/>
              <w:bidi w:val="0"/>
              <w:spacing w:before="0" w:after="283"/>
              <w:jc w:val="left"/>
              <w:rPr>
                <w:sz w:val="4"/>
                <w:szCs w:val="4"/>
              </w:rPr>
            </w:pPr>
            <w:r>
              <w:rPr>
                <w:sz w:val="4"/>
                <w:szCs w:val="4"/>
              </w:rPr>
            </w:r>
          </w:p>
        </w:tc>
        <w:tc>
          <w:tcPr>
            <w:tcW w:w="1854" w:type="dxa"/>
            <w:tcBorders/>
            <w:vAlign w:val="center"/>
          </w:tcPr>
          <w:p>
            <w:pPr>
              <w:pStyle w:val="TableContents"/>
              <w:bidi w:val="0"/>
              <w:spacing w:before="0" w:after="283"/>
              <w:jc w:val="left"/>
              <w:rPr>
                <w:sz w:val="4"/>
                <w:szCs w:val="4"/>
              </w:rPr>
            </w:pPr>
            <w:r>
              <w:rPr>
                <w:sz w:val="4"/>
                <w:szCs w:val="4"/>
              </w:rPr>
            </w:r>
          </w:p>
        </w:tc>
      </w:tr>
      <w:tr>
        <w:trPr/>
        <w:tc>
          <w:tcPr>
            <w:tcW w:w="2700" w:type="dxa"/>
            <w:gridSpan w:val="3"/>
            <w:tcBorders/>
            <w:shd w:fill="F44238"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color w:val="FFFFFF"/>
                <w:sz w:val="20"/>
              </w:rPr>
            </w:pPr>
            <w:r>
              <w:rPr>
                <w:rFonts w:ascii="Lato;sans-serif" w:hAnsi="Lato;sans-serif"/>
                <w:b/>
                <w:color w:val="FFFFFF"/>
                <w:sz w:val="20"/>
              </w:rPr>
              <w:t>Name</w:t>
            </w:r>
          </w:p>
        </w:tc>
        <w:tc>
          <w:tcPr>
            <w:tcW w:w="4470" w:type="dxa"/>
            <w:gridSpan w:val="3"/>
            <w:tcBorders/>
            <w:shd w:fill="F44238" w:val="clear"/>
            <w:tcMar>
              <w:top w:w="0" w:type="dxa"/>
              <w:left w:w="0" w:type="dxa"/>
              <w:bottom w:w="0" w:type="dxa"/>
              <w:right w:w="0" w:type="dxa"/>
            </w:tcMar>
            <w:vAlign w:val="center"/>
          </w:tcPr>
          <w:p>
            <w:pPr>
              <w:pStyle w:val="TableContents"/>
              <w:bidi w:val="0"/>
              <w:spacing w:lineRule="auto" w:line="240" w:before="0" w:after="0"/>
              <w:jc w:val="left"/>
              <w:rPr/>
            </w:pPr>
            <w:r>
              <w:rPr>
                <w:rFonts w:ascii="Lato;sans-serif" w:hAnsi="Lato;sans-serif"/>
                <w:b/>
                <w:color w:val="FFFFFF"/>
                <w:sz w:val="20"/>
              </w:rPr>
              <w:t>Position</w:t>
            </w:r>
            <w:r>
              <w:rPr>
                <w:rFonts w:ascii="Lato;sans-serif" w:hAnsi="Lato;sans-serif"/>
                <w:b/>
                <w:color w:val="FFFFFF"/>
                <w:sz w:val="13"/>
              </w:rPr>
              <w:t>(1)</w:t>
            </w:r>
          </w:p>
        </w:tc>
      </w:tr>
      <w:tr>
        <w:trPr/>
        <w:tc>
          <w:tcPr>
            <w:tcW w:w="2700"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0"/>
              <w:jc w:val="left"/>
              <w:rPr>
                <w:rFonts w:ascii="Lato;sans-serif" w:hAnsi="Lato;sans-serif"/>
                <w:b w:val="false"/>
                <w:color w:val="000000"/>
                <w:sz w:val="20"/>
              </w:rPr>
            </w:pPr>
            <w:r>
              <w:rPr>
                <w:rFonts w:ascii="Lato;sans-serif" w:hAnsi="Lato;sans-serif"/>
                <w:b w:val="false"/>
                <w:color w:val="000000"/>
                <w:sz w:val="20"/>
              </w:rPr>
              <w:t>Henry L. Schuck</w:t>
            </w:r>
          </w:p>
        </w:tc>
        <w:tc>
          <w:tcPr>
            <w:tcW w:w="4470"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20"/>
              </w:rPr>
            </w:pPr>
            <w:r>
              <w:rPr>
                <w:rFonts w:ascii="Lato;sans-serif" w:hAnsi="Lato;sans-serif"/>
                <w:b w:val="false"/>
                <w:color w:val="000000"/>
                <w:sz w:val="20"/>
              </w:rPr>
              <w:t>Chief Executive Officer</w:t>
            </w:r>
          </w:p>
        </w:tc>
      </w:tr>
      <w:tr>
        <w:trPr/>
        <w:tc>
          <w:tcPr>
            <w:tcW w:w="2700" w:type="dxa"/>
            <w:gridSpan w:val="3"/>
            <w:tcBorders/>
            <w:shd w:fill="DBDBDB" w:val="clear"/>
            <w:tcMar>
              <w:top w:w="0" w:type="dxa"/>
              <w:left w:w="0" w:type="dxa"/>
              <w:bottom w:w="0" w:type="dxa"/>
              <w:right w:w="0" w:type="dxa"/>
            </w:tcMar>
            <w:vAlign w:val="center"/>
          </w:tcPr>
          <w:p>
            <w:pPr>
              <w:pStyle w:val="TableContents"/>
              <w:bidi w:val="0"/>
              <w:spacing w:lineRule="auto" w:line="240" w:before="0" w:after="0"/>
              <w:jc w:val="left"/>
              <w:rPr/>
            </w:pPr>
            <w:r>
              <w:rPr>
                <w:rFonts w:ascii="Lato;sans-serif" w:hAnsi="Lato;sans-serif"/>
                <w:b w:val="false"/>
                <w:color w:val="000000"/>
                <w:sz w:val="20"/>
              </w:rPr>
              <w:t>Michael Graham O’Brien</w:t>
            </w:r>
            <w:r>
              <w:rPr>
                <w:rFonts w:ascii="Lato;sans-serif" w:hAnsi="Lato;sans-serif"/>
                <w:b w:val="false"/>
                <w:color w:val="000000"/>
                <w:sz w:val="13"/>
              </w:rPr>
              <w:t>(2)</w:t>
            </w:r>
          </w:p>
        </w:tc>
        <w:tc>
          <w:tcPr>
            <w:tcW w:w="4470" w:type="dxa"/>
            <w:gridSpan w:val="3"/>
            <w:tcBorders/>
            <w:shd w:fill="DBDBDB" w:val="clear"/>
            <w:tcMar>
              <w:top w:w="0" w:type="dxa"/>
              <w:left w:w="0" w:type="dxa"/>
              <w:bottom w:w="0" w:type="dxa"/>
              <w:right w:w="0" w:type="dxa"/>
            </w:tcMar>
            <w:vAlign w:val="center"/>
          </w:tcPr>
          <w:p>
            <w:pPr>
              <w:pStyle w:val="TableContents"/>
              <w:bidi w:val="0"/>
              <w:spacing w:lineRule="auto" w:line="240" w:before="0" w:after="0"/>
              <w:jc w:val="left"/>
              <w:rPr>
                <w:rFonts w:ascii="Lato;sans-serif" w:hAnsi="Lato;sans-serif"/>
                <w:b w:val="false"/>
                <w:color w:val="000000"/>
                <w:sz w:val="20"/>
              </w:rPr>
            </w:pPr>
            <w:r>
              <w:rPr>
                <w:rFonts w:ascii="Lato;sans-serif" w:hAnsi="Lato;sans-serif"/>
                <w:b w:val="false"/>
                <w:color w:val="000000"/>
                <w:sz w:val="20"/>
              </w:rPr>
              <w:t>Chief Financial Officer</w:t>
            </w:r>
          </w:p>
        </w:tc>
      </w:tr>
      <w:tr>
        <w:trPr/>
        <w:tc>
          <w:tcPr>
            <w:tcW w:w="270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Lato;sans-serif" w:hAnsi="Lato;sans-serif"/>
                <w:b w:val="false"/>
                <w:color w:val="000000"/>
                <w:sz w:val="20"/>
              </w:rPr>
              <w:t>James Roth</w:t>
            </w:r>
            <w:r>
              <w:rPr>
                <w:rFonts w:ascii="Lato;sans-serif" w:hAnsi="Lato;sans-serif"/>
                <w:b w:val="false"/>
                <w:color w:val="000000"/>
                <w:sz w:val="13"/>
              </w:rPr>
              <w:t>(3)</w:t>
            </w:r>
          </w:p>
        </w:tc>
        <w:tc>
          <w:tcPr>
            <w:tcW w:w="447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Lato;sans-serif" w:hAnsi="Lato;sans-serif"/>
                <w:b w:val="false"/>
                <w:color w:val="000000"/>
                <w:sz w:val="20"/>
              </w:rPr>
            </w:pPr>
            <w:r>
              <w:rPr>
                <w:rFonts w:ascii="Lato;sans-serif" w:hAnsi="Lato;sans-serif"/>
                <w:b w:val="false"/>
                <w:color w:val="000000"/>
                <w:sz w:val="20"/>
              </w:rPr>
              <w:t>Chief Revenue Officer</w:t>
            </w:r>
          </w:p>
        </w:tc>
      </w:tr>
      <w:tr>
        <w:trPr/>
        <w:tc>
          <w:tcPr>
            <w:tcW w:w="2700" w:type="dxa"/>
            <w:gridSpan w:val="3"/>
            <w:tcBorders/>
            <w:shd w:fill="DBDBDB" w:val="clear"/>
            <w:tcMar>
              <w:top w:w="0" w:type="dxa"/>
              <w:left w:w="0" w:type="dxa"/>
              <w:bottom w:w="0" w:type="dxa"/>
              <w:right w:w="0" w:type="dxa"/>
            </w:tcMar>
            <w:vAlign w:val="center"/>
          </w:tcPr>
          <w:p>
            <w:pPr>
              <w:pStyle w:val="TableContents"/>
              <w:bidi w:val="0"/>
              <w:spacing w:lineRule="auto" w:line="240" w:before="0" w:after="0"/>
              <w:jc w:val="left"/>
              <w:rPr/>
            </w:pPr>
            <w:r>
              <w:rPr>
                <w:rFonts w:ascii="Lato;sans-serif" w:hAnsi="Lato;sans-serif"/>
                <w:b w:val="false"/>
                <w:color w:val="000000"/>
                <w:sz w:val="20"/>
              </w:rPr>
              <w:t>Ashley McGrane</w:t>
            </w:r>
            <w:r>
              <w:rPr>
                <w:rFonts w:ascii="Lato;sans-serif" w:hAnsi="Lato;sans-serif"/>
                <w:b w:val="false"/>
                <w:color w:val="000000"/>
                <w:sz w:val="13"/>
              </w:rPr>
              <w:t>(3)</w:t>
            </w:r>
          </w:p>
        </w:tc>
        <w:tc>
          <w:tcPr>
            <w:tcW w:w="4470"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20"/>
              </w:rPr>
            </w:pPr>
            <w:r>
              <w:rPr>
                <w:rFonts w:ascii="Lato;sans-serif" w:hAnsi="Lato;sans-serif"/>
                <w:b w:val="false"/>
                <w:color w:val="000000"/>
                <w:sz w:val="20"/>
              </w:rPr>
              <w:t>EVP, General Counsel &amp; Corporate Secretary</w:t>
            </w:r>
          </w:p>
        </w:tc>
      </w:tr>
    </w:tbl>
    <w:p>
      <w:pPr>
        <w:pStyle w:val="TextBody"/>
        <w:bidi w:val="0"/>
        <w:spacing w:lineRule="auto" w:line="288" w:before="0" w:after="0"/>
        <w:jc w:val="both"/>
        <w:rPr>
          <w:rFonts w:ascii="Lato;sans-serif" w:hAnsi="Lato;sans-serif"/>
          <w:b w:val="false"/>
          <w:color w:val="000000"/>
          <w:sz w:val="16"/>
        </w:rPr>
      </w:pPr>
      <w:r>
        <w:rPr>
          <w:rFonts w:ascii="Lato;sans-serif" w:hAnsi="Lato;sans-serif"/>
          <w:b w:val="false"/>
          <w:color w:val="000000"/>
          <w:sz w:val="16"/>
        </w:rPr>
        <w:t>__________________</w:t>
      </w:r>
    </w:p>
    <w:p>
      <w:pPr>
        <w:pStyle w:val="TextBody"/>
        <w:bidi w:val="0"/>
        <w:spacing w:lineRule="auto" w:line="288" w:before="0" w:after="0"/>
        <w:ind w:left="0" w:right="0" w:hanging="360"/>
        <w:jc w:val="both"/>
        <w:rPr>
          <w:rFonts w:ascii="Lato;sans-serif" w:hAnsi="Lato;sans-serif"/>
          <w:b w:val="false"/>
          <w:color w:val="000000"/>
          <w:sz w:val="16"/>
        </w:rPr>
      </w:pPr>
      <w:r>
        <w:rPr>
          <w:rFonts w:ascii="Lato;sans-serif" w:hAnsi="Lato;sans-serif"/>
          <w:b w:val="false"/>
          <w:color w:val="000000"/>
          <w:sz w:val="16"/>
        </w:rPr>
        <w:t>(1)Pursuant to Instruction 1 to Item 402(a)(3) of Regulation S-K, we have excluded Ali Dasdan, our former Chief Technology Officer, from being designated as an NEO for 2025, and have similarly excluded the corresponding compensation disclosure that would have otherwise been required. Mr. Dasdan departed the Company on March 2, 2025, and his total compensation for the period between January 1, 2025 through March 2, 2025, did not exceed $100,000. Accordingly, we are relying on the exception provided under Instruction 1 to Item 402(a)(3), which permits the exclusion of a former executive officer whose total compensation for the applicable fiscal year does not exceed $100,000.</w:t>
      </w:r>
    </w:p>
    <w:p>
      <w:pPr>
        <w:pStyle w:val="TextBody"/>
        <w:bidi w:val="0"/>
        <w:spacing w:lineRule="auto" w:line="288" w:before="0" w:after="0"/>
        <w:ind w:left="0" w:right="0" w:hanging="360"/>
        <w:jc w:val="both"/>
        <w:rPr>
          <w:rFonts w:ascii="Lato;sans-serif" w:hAnsi="Lato;sans-serif"/>
          <w:b w:val="false"/>
          <w:color w:val="000000"/>
          <w:sz w:val="16"/>
        </w:rPr>
      </w:pPr>
      <w:r>
        <w:rPr>
          <w:rFonts w:ascii="Lato;sans-serif" w:hAnsi="Lato;sans-serif"/>
          <w:b w:val="false"/>
          <w:color w:val="000000"/>
          <w:sz w:val="16"/>
        </w:rPr>
        <w:t>(2)Graham O'Brien's compensation reported for fiscal year 2025 reflects amounts earned in his capacity as our Interim Chief Financial Officer from September 6, 2024 until July 31, 2025, at which time he was appointed as the Company's permanent Chief Financial Officer, effective August 1, 2025. Accordingly, pursuant to Item 402 of Regulation S-K, the amounts reflected in the Summary Compensation Table and elsewhere in this section for fiscal year 2025 include compensation earned by Mr. O'Brien in both his capacity as Interim Chief Financial Officer (January 1, 2025 through July 31, 2025) and as permanent Chief Financial Officer (August 1, 2025 through December 31, 2025).</w:t>
      </w:r>
    </w:p>
    <w:p>
      <w:pPr>
        <w:pStyle w:val="TextBody"/>
        <w:bidi w:val="0"/>
        <w:spacing w:lineRule="auto" w:line="288" w:before="0" w:after="0"/>
        <w:ind w:left="0" w:right="0" w:hanging="360"/>
        <w:jc w:val="both"/>
        <w:rPr>
          <w:rFonts w:ascii="Lato;sans-serif" w:hAnsi="Lato;sans-serif"/>
          <w:b w:val="false"/>
          <w:color w:val="000000"/>
          <w:sz w:val="16"/>
        </w:rPr>
      </w:pPr>
      <w:r>
        <w:rPr>
          <w:rFonts w:ascii="Lato;sans-serif" w:hAnsi="Lato;sans-serif"/>
          <w:b w:val="false"/>
          <w:color w:val="000000"/>
          <w:sz w:val="16"/>
        </w:rPr>
        <w:t>(3)James Roth, our Chief Revenue Officer, and Ashley McGrane, our General Counsel, were each designated as executive officers of the Company effective February 13, 2025, and each served in that capacity through December 31, 2025. Pursuant to Item 402 of Regulation S-K, total compensation for the full fiscal year ended December 31, 2025 (including amounts earned prior to their election as executive officers) was taken into account in determining their status as Named Executive Officers and is reflected in the compensation tables set forth herein.</w:t>
      </w:r>
    </w:p>
    <w:p>
      <w:pPr>
        <w:pStyle w:val="TextBody"/>
        <w:bidi w:val="0"/>
        <w:spacing w:lineRule="auto" w:line="288" w:before="300" w:after="283"/>
        <w:jc w:val="left"/>
        <w:rPr>
          <w:rFonts w:ascii="Lato;sans-serif" w:hAnsi="Lato;sans-serif"/>
          <w:b/>
          <w:color w:val="000000"/>
          <w:sz w:val="20"/>
        </w:rPr>
      </w:pPr>
      <w:r>
        <w:rPr>
          <w:rFonts w:ascii="Lato;sans-serif" w:hAnsi="Lato;sans-serif"/>
          <w:b/>
          <w:color w:val="000000"/>
          <w:sz w:val="20"/>
        </w:rPr>
        <w:t>Executive Compensation Objectives and Philosophy</w:t>
      </w:r>
    </w:p>
    <w:p>
      <w:pPr>
        <w:pStyle w:val="TextBody"/>
        <w:bidi w:val="0"/>
        <w:spacing w:lineRule="auto" w:line="288" w:before="180" w:after="180"/>
        <w:jc w:val="both"/>
        <w:rPr>
          <w:rFonts w:ascii="Lato;sans-serif" w:hAnsi="Lato;sans-serif"/>
          <w:b w:val="false"/>
          <w:color w:val="000000"/>
          <w:sz w:val="20"/>
        </w:rPr>
      </w:pPr>
      <w:r>
        <w:rPr>
          <w:rFonts w:ascii="Lato;sans-serif" w:hAnsi="Lato;sans-serif"/>
          <w:b w:val="false"/>
          <w:color w:val="000000"/>
          <w:sz w:val="20"/>
        </w:rPr>
        <w:t>We operate in a rapidly evolving business environment. We must actively compete with other companies in attracting and retaining a world class, skilled executive management team, particularly in our technology sector, where there are a number of rapidly expanding software and other technology companies competing for a pool of highly qualified candidates. Our executive compensation program is designed to attract, motivate, incentivize and retain talented and seasoned technology leaders to drive customer success, innovate and efficiently and effectively grow our business. To that end, we believe that executive compensation should:</w:t>
      </w:r>
    </w:p>
    <w:p>
      <w:pPr>
        <w:pStyle w:val="TextBody"/>
        <w:bidi w:val="0"/>
        <w:spacing w:lineRule="auto" w:line="288" w:before="0" w:after="0"/>
        <w:ind w:left="0" w:right="0" w:hanging="360"/>
        <w:jc w:val="both"/>
        <w:rPr/>
      </w:pPr>
      <w:r>
        <w:rPr>
          <w:color w:val="000000"/>
        </w:rPr>
        <w:t>•</w:t>
      </w:r>
      <w:r>
        <w:rPr>
          <w:rFonts w:ascii="Lato;sans-serif" w:hAnsi="Lato;sans-serif"/>
          <w:b w:val="false"/>
          <w:color w:val="000000"/>
          <w:sz w:val="20"/>
        </w:rPr>
        <w:t>Reinforce desired behaviors, with a strong linkage between pay and performance;</w:t>
      </w:r>
    </w:p>
    <w:p>
      <w:pPr>
        <w:pStyle w:val="TextBody"/>
        <w:bidi w:val="0"/>
        <w:spacing w:lineRule="auto" w:line="288" w:before="0" w:after="0"/>
        <w:ind w:left="0" w:right="0" w:hanging="360"/>
        <w:jc w:val="both"/>
        <w:rPr/>
      </w:pPr>
      <w:r>
        <w:rPr>
          <w:color w:val="000000"/>
        </w:rPr>
        <w:t>•</w:t>
      </w:r>
      <w:r>
        <w:rPr>
          <w:rFonts w:ascii="Lato;sans-serif" w:hAnsi="Lato;sans-serif"/>
          <w:b w:val="false"/>
          <w:color w:val="000000"/>
          <w:sz w:val="20"/>
        </w:rPr>
        <w:t>Align our Named Executive Officers’ interests with the long-term interests of our stockholders, with a focus on performance that drives value creation for our stockholders;</w:t>
      </w:r>
    </w:p>
    <w:p>
      <w:pPr>
        <w:pStyle w:val="TextBody"/>
        <w:bidi w:val="0"/>
        <w:spacing w:lineRule="auto" w:line="288" w:before="0" w:after="0"/>
        <w:ind w:left="0" w:right="0" w:hanging="360"/>
        <w:jc w:val="both"/>
        <w:rPr/>
      </w:pPr>
      <w:r>
        <w:rPr>
          <w:color w:val="000000"/>
        </w:rPr>
        <w:t>•</w:t>
      </w:r>
      <w:r>
        <w:rPr>
          <w:rFonts w:ascii="Lato;sans-serif" w:hAnsi="Lato;sans-serif"/>
          <w:b w:val="false"/>
          <w:color w:val="000000"/>
          <w:sz w:val="20"/>
        </w:rPr>
        <w:t>Be externally competitive and internally fair;</w:t>
      </w:r>
    </w:p>
    <w:p>
      <w:pPr>
        <w:pStyle w:val="TextBody"/>
        <w:bidi w:val="0"/>
        <w:spacing w:lineRule="auto" w:line="288" w:before="0" w:after="0"/>
        <w:ind w:left="0" w:right="0" w:hanging="360"/>
        <w:jc w:val="both"/>
        <w:rPr/>
      </w:pPr>
      <w:r>
        <w:rPr>
          <w:color w:val="000000"/>
        </w:rPr>
        <w:t>•</w:t>
      </w:r>
      <w:r>
        <w:rPr>
          <w:rFonts w:ascii="Lato;sans-serif" w:hAnsi="Lato;sans-serif"/>
          <w:b w:val="false"/>
          <w:color w:val="000000"/>
          <w:sz w:val="20"/>
        </w:rPr>
        <w:t>Support the Company’s structure, values, and culture;</w:t>
      </w:r>
    </w:p>
    <w:p>
      <w:pPr>
        <w:pStyle w:val="TextBody"/>
        <w:bidi w:val="0"/>
        <w:spacing w:lineRule="auto" w:line="288" w:before="0" w:after="0"/>
        <w:ind w:left="0" w:right="0" w:hanging="360"/>
        <w:jc w:val="both"/>
        <w:rPr/>
      </w:pPr>
      <w:r>
        <w:rPr>
          <w:color w:val="000000"/>
        </w:rPr>
        <w:t>•</w:t>
      </w:r>
      <w:r>
        <w:rPr>
          <w:rFonts w:ascii="Lato;sans-serif" w:hAnsi="Lato;sans-serif"/>
          <w:b w:val="false"/>
          <w:color w:val="000000"/>
          <w:sz w:val="20"/>
        </w:rPr>
        <w:t>Support and reinforce strong governance practices and organizational accountability; and</w:t>
      </w:r>
    </w:p>
    <w:p>
      <w:pPr>
        <w:pStyle w:val="TextBody"/>
        <w:bidi w:val="0"/>
        <w:spacing w:lineRule="auto" w:line="288" w:before="0" w:after="0"/>
        <w:ind w:left="0" w:right="0" w:hanging="360"/>
        <w:jc w:val="both"/>
        <w:rPr/>
      </w:pPr>
      <w:r>
        <w:rPr>
          <w:color w:val="000000"/>
        </w:rPr>
        <w:t>•</w:t>
      </w:r>
      <w:r>
        <w:rPr>
          <w:rFonts w:ascii="Lato;sans-serif" w:hAnsi="Lato;sans-serif"/>
          <w:b w:val="false"/>
          <w:color w:val="000000"/>
          <w:sz w:val="20"/>
        </w:rPr>
        <w:t>Adhere to principles of fiscal responsibility.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352425"/>
                <wp:effectExtent l="0" t="0" r="0" b="0"/>
                <wp:wrapNone/>
                <wp:docPr id="54" name="Frame40"/>
                <a:graphic xmlns:a="http://schemas.openxmlformats.org/drawingml/2006/main">
                  <a:graphicData uri="http://schemas.microsoft.com/office/word/2010/wordprocessingShape">
                    <wps:wsp>
                      <wps:cNvSpPr txBox="1"/>
                      <wps:spPr>
                        <a:xfrm>
                          <a:off x="0" y="0"/>
                          <a:ext cx="6480175" cy="352425"/>
                        </a:xfrm>
                        <a:prstGeom prst="rect"/>
                        <a:solidFill>
                          <a:srgbClr val="FFFFFF"/>
                        </a:solidFill>
                      </wps:spPr>
                      <wps:txbx>
                        <w:txbxContent>
                          <w:p>
                            <w:pPr>
                              <w:pStyle w:val="TextBody"/>
                              <w:bidi w:val="0"/>
                              <w:spacing w:lineRule="auto" w:line="288" w:before="0" w:after="0"/>
                              <w:jc w:val="center"/>
                              <w:rPr>
                                <w:rFonts w:ascii="Lato;sans-serif" w:hAnsi="Lato;sans-serif"/>
                                <w:b w:val="false"/>
                                <w:color w:val="000000"/>
                                <w:sz w:val="20"/>
                              </w:rPr>
                            </w:pPr>
                            <w:r>
                              <w:rPr>
                                <w:rFonts w:ascii="Lato;sans-serif" w:hAnsi="Lato;sans-serif"/>
                                <w:b w:val="false"/>
                                <w:color w:val="000000"/>
                                <w:sz w:val="20"/>
                              </w:rPr>
                              <w:t>34</w:t>
                            </w:r>
                          </w:p>
                          <w:p>
                            <w:pPr>
                              <w:pStyle w:val="TextBody"/>
                              <w:bidi w:val="0"/>
                              <w:spacing w:lineRule="auto" w:line="288" w:before="0" w:after="0"/>
                              <w:jc w:val="left"/>
                              <w:rPr>
                                <w:color w:val="000000"/>
                              </w:rPr>
                            </w:pPr>
                            <w:r>
                              <w:rPr>
                                <w:color w:val="000000"/>
                              </w:rPr>
                              <w:t>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Lato;sans-serif" w:hAnsi="Lato;sans-serif"/>
                          <w:b w:val="false"/>
                          <w:color w:val="000000"/>
                          <w:sz w:val="20"/>
                        </w:rPr>
                      </w:pPr>
                      <w:r>
                        <w:rPr>
                          <w:rFonts w:ascii="Lato;sans-serif" w:hAnsi="Lato;sans-serif"/>
                          <w:b w:val="false"/>
                          <w:color w:val="000000"/>
                          <w:sz w:val="20"/>
                        </w:rPr>
                        <w:t>34</w:t>
                      </w:r>
                    </w:p>
                    <w:p>
                      <w:pPr>
                        <w:pStyle w:val="TextBody"/>
                        <w:bidi w:val="0"/>
                        <w:spacing w:lineRule="auto" w:line="288" w:before="0" w:after="0"/>
                        <w:jc w:val="left"/>
                        <w:rPr>
                          <w:color w:val="000000"/>
                        </w:rPr>
                      </w:pPr>
                      <w:r>
                        <w:rPr>
                          <w:color w:val="000000"/>
                        </w:rPr>
                        <w:t>        </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80" w:after="180"/>
        <w:jc w:val="both"/>
        <w:rPr>
          <w:rFonts w:ascii="Lato;sans-serif" w:hAnsi="Lato;sans-serif"/>
          <w:b w:val="false"/>
          <w:color w:val="000000"/>
          <w:sz w:val="20"/>
        </w:rPr>
      </w:pPr>
      <w:r>
        <w:rPr>
          <w:rFonts w:ascii="Lato;sans-serif" w:hAnsi="Lato;sans-serif"/>
          <w:b w:val="false"/>
          <w:color w:val="000000"/>
          <w:sz w:val="20"/>
        </w:rPr>
        <w:t>We have implemented compensation practices designed to motivate our employees, including our NEOs, to pursue our corporate objectives while incentivizing them to create long-term value for our stockholders. Our executive compensation program combines short-term and long-term components, including salary, annual cash-based incentive awards, and longer-term equity awards. We believe we have found the proper mix of incentives that attracts, motivates and retains each NEO.</w:t>
      </w:r>
    </w:p>
    <w:p>
      <w:pPr>
        <w:pStyle w:val="TextBody"/>
        <w:bidi w:val="0"/>
        <w:spacing w:lineRule="auto" w:line="288" w:before="120" w:after="120"/>
        <w:jc w:val="both"/>
        <w:rPr>
          <w:rFonts w:ascii="Lato;sans-serif" w:hAnsi="Lato;sans-serif"/>
          <w:b w:val="false"/>
          <w:color w:val="000000"/>
          <w:sz w:val="20"/>
        </w:rPr>
      </w:pPr>
      <w:r>
        <w:rPr>
          <w:rFonts w:ascii="Lato;sans-serif" w:hAnsi="Lato;sans-serif"/>
          <w:b w:val="false"/>
          <w:color w:val="000000"/>
          <w:sz w:val="20"/>
        </w:rPr>
        <w:t>Our Compensation Committee regularly reviews and, if appropriate, adjusts our executive compensation program to match the size, scale, growth and other components of our business. Because our ability to compete and succeed in this dynamic environment is directly correlated to our ability to recruit, incentivize and retain talented and seasoned technology leaders, we expect to continue to adjust our approach to executive compensation to respond to our needs and market conditions as they evolve.</w:t>
      </w:r>
    </w:p>
    <w:p>
      <w:pPr>
        <w:pStyle w:val="TextBody"/>
        <w:bidi w:val="0"/>
        <w:spacing w:lineRule="auto" w:line="333" w:before="300" w:after="180"/>
        <w:jc w:val="both"/>
        <w:rPr>
          <w:rFonts w:ascii="Lato;sans-serif" w:hAnsi="Lato;sans-serif"/>
          <w:b/>
          <w:i/>
          <w:color w:val="000000"/>
          <w:sz w:val="20"/>
        </w:rPr>
      </w:pPr>
      <w:r>
        <w:rPr>
          <w:rFonts w:ascii="Lato;sans-serif" w:hAnsi="Lato;sans-serif"/>
          <w:b/>
          <w:i/>
          <w:color w:val="000000"/>
          <w:sz w:val="20"/>
        </w:rPr>
        <w:t>2025 Business Highlights</w:t>
      </w:r>
    </w:p>
    <w:p>
      <w:pPr>
        <w:pStyle w:val="TextBody"/>
        <w:bidi w:val="0"/>
        <w:spacing w:lineRule="auto" w:line="333" w:before="180" w:after="180"/>
        <w:jc w:val="both"/>
        <w:rPr>
          <w:rFonts w:ascii="Lato;sans-serif" w:hAnsi="Lato;sans-serif"/>
          <w:b w:val="false"/>
          <w:color w:val="000000"/>
          <w:sz w:val="20"/>
        </w:rPr>
      </w:pPr>
      <w:r>
        <w:rPr>
          <w:rFonts w:ascii="Lato;sans-serif" w:hAnsi="Lato;sans-serif"/>
          <w:b w:val="false"/>
          <w:color w:val="000000"/>
          <w:sz w:val="20"/>
        </w:rPr>
        <w:t>Our fiscal year 2025 business highlights included:</w:t>
      </w:r>
    </w:p>
    <w:p>
      <w:pPr>
        <w:pStyle w:val="TextBody"/>
        <w:bidi w:val="0"/>
        <w:spacing w:lineRule="auto" w:line="288" w:before="0" w:after="0"/>
        <w:ind w:left="0" w:right="0" w:firstLine="360"/>
        <w:jc w:val="both"/>
        <w:rPr/>
      </w:pPr>
      <w:r>
        <w:rPr>
          <w:color w:val="000000"/>
        </w:rPr>
        <w:t>•</w:t>
      </w:r>
      <w:r>
        <w:rPr>
          <w:rFonts w:ascii="Lato;sans-serif" w:hAnsi="Lato;sans-serif"/>
          <w:b w:val="false"/>
          <w:color w:val="000000"/>
          <w:sz w:val="20"/>
        </w:rPr>
        <w:t>Revenue of $1,249.5 million, an increase of 3% year-over-year.</w:t>
      </w:r>
    </w:p>
    <w:p>
      <w:pPr>
        <w:pStyle w:val="TextBody"/>
        <w:bidi w:val="0"/>
        <w:spacing w:lineRule="auto" w:line="288" w:before="0" w:after="0"/>
        <w:ind w:left="0" w:right="0" w:firstLine="360"/>
        <w:jc w:val="both"/>
        <w:rPr/>
      </w:pPr>
      <w:r>
        <w:rPr>
          <w:color w:val="000000"/>
        </w:rPr>
        <w:t>•</w:t>
      </w:r>
      <w:r>
        <w:rPr>
          <w:rFonts w:ascii="Lato;sans-serif" w:hAnsi="Lato;sans-serif"/>
          <w:b w:val="false"/>
          <w:color w:val="000000"/>
          <w:sz w:val="20"/>
        </w:rPr>
        <w:t>GAAP operating income of $225.7 million and Adjusted Operating Income of $445.9 million.</w:t>
      </w:r>
    </w:p>
    <w:p>
      <w:pPr>
        <w:pStyle w:val="TextBody"/>
        <w:bidi w:val="0"/>
        <w:spacing w:lineRule="auto" w:line="288" w:before="0" w:after="0"/>
        <w:ind w:left="0" w:right="0" w:firstLine="360"/>
        <w:jc w:val="both"/>
        <w:rPr/>
      </w:pPr>
      <w:r>
        <w:rPr>
          <w:color w:val="000000"/>
        </w:rPr>
        <w:t>•</w:t>
      </w:r>
      <w:r>
        <w:rPr>
          <w:rFonts w:ascii="Lato;sans-serif" w:hAnsi="Lato;sans-serif"/>
          <w:b w:val="false"/>
          <w:color w:val="000000"/>
          <w:sz w:val="20"/>
        </w:rPr>
        <w:t>GAAP operating income margin of 18% and Adjusted Operating Income Margin of 36%.</w:t>
      </w:r>
    </w:p>
    <w:p>
      <w:pPr>
        <w:pStyle w:val="TextBody"/>
        <w:bidi w:val="0"/>
        <w:spacing w:lineRule="auto" w:line="288" w:before="0" w:after="0"/>
        <w:ind w:left="0" w:right="0" w:hanging="360"/>
        <w:jc w:val="both"/>
        <w:rPr/>
      </w:pPr>
      <w:r>
        <w:rPr>
          <w:color w:val="000000"/>
        </w:rPr>
        <w:t>•</w:t>
      </w:r>
      <w:r>
        <w:rPr>
          <w:rFonts w:ascii="Lato;sans-serif" w:hAnsi="Lato;sans-serif"/>
          <w:b w:val="false"/>
          <w:color w:val="000000"/>
          <w:sz w:val="20"/>
        </w:rPr>
        <w:t>GAAP Cash Flow from Operations of $465.4 million and Unlevered Free Cash Flow of $454.9 million.</w:t>
      </w:r>
    </w:p>
    <w:p>
      <w:pPr>
        <w:pStyle w:val="TextBody"/>
        <w:bidi w:val="0"/>
        <w:spacing w:lineRule="auto" w:line="288" w:before="0" w:after="0"/>
        <w:ind w:left="0" w:right="0" w:hanging="360"/>
        <w:jc w:val="both"/>
        <w:rPr/>
      </w:pPr>
      <w:r>
        <w:rPr>
          <w:color w:val="000000"/>
        </w:rPr>
        <w:t>•</w:t>
      </w:r>
      <w:r>
        <w:rPr>
          <w:rFonts w:ascii="Lato;sans-serif" w:hAnsi="Lato;sans-serif"/>
          <w:b w:val="false"/>
          <w:color w:val="000000"/>
          <w:sz w:val="20"/>
        </w:rPr>
        <w:t>In 2025, the Company strengthened the core data engine that powers ZoomInfo by an additional 10.2 million contacts discoverable through enhanced title classification, expanded international mobile coverage by 1.8 million numbers across the UK, France, Germany, Italy, Spain, and the Netherlands, and verified location data for 160 million contacts, reflecting remote work realities.</w:t>
      </w:r>
    </w:p>
    <w:p>
      <w:pPr>
        <w:pStyle w:val="TextBody"/>
        <w:bidi w:val="0"/>
        <w:spacing w:lineRule="auto" w:line="288" w:before="0" w:after="0"/>
        <w:ind w:left="0" w:right="0" w:hanging="360"/>
        <w:jc w:val="both"/>
        <w:rPr/>
      </w:pPr>
      <w:r>
        <w:rPr>
          <w:color w:val="000000"/>
        </w:rPr>
        <w:t>•</w:t>
      </w:r>
      <w:r>
        <w:rPr>
          <w:rFonts w:ascii="Lato;sans-serif" w:hAnsi="Lato;sans-serif"/>
          <w:b w:val="false"/>
          <w:color w:val="000000"/>
          <w:sz w:val="20"/>
        </w:rPr>
        <w:t>Closed the year with 1,921 customers with $100,000 or greater in Annual Contract Value (“ACV”), and an increase of 54 such customers year-over-year. These customers now make up more than 50% of total Company ACV.</w:t>
      </w:r>
    </w:p>
    <w:p>
      <w:pPr>
        <w:pStyle w:val="TextBody"/>
        <w:bidi w:val="0"/>
        <w:spacing w:lineRule="auto" w:line="288" w:before="0" w:after="0"/>
        <w:ind w:left="0" w:right="0" w:hanging="360"/>
        <w:jc w:val="both"/>
        <w:rPr/>
      </w:pPr>
      <w:r>
        <w:rPr>
          <w:color w:val="000000"/>
        </w:rPr>
        <w:t>•</w:t>
      </w:r>
      <w:r>
        <w:rPr>
          <w:rFonts w:ascii="Lato;sans-serif" w:hAnsi="Lato;sans-serif"/>
          <w:b w:val="false"/>
          <w:color w:val="000000"/>
          <w:sz w:val="20"/>
        </w:rPr>
        <w:t>74% of the Company’s ACV was Upmarket, an increase of 6% year-over-year.</w:t>
      </w:r>
    </w:p>
    <w:p>
      <w:pPr>
        <w:pStyle w:val="TextBody"/>
        <w:bidi w:val="0"/>
        <w:spacing w:lineRule="auto" w:line="288" w:before="0" w:after="0"/>
        <w:ind w:left="0" w:right="0" w:hanging="360"/>
        <w:jc w:val="both"/>
        <w:rPr/>
      </w:pPr>
      <w:r>
        <w:rPr>
          <w:color w:val="000000"/>
        </w:rPr>
        <w:t>•</w:t>
      </w:r>
      <w:r>
        <w:rPr>
          <w:rFonts w:ascii="Lato;sans-serif" w:hAnsi="Lato;sans-serif"/>
          <w:b w:val="false"/>
          <w:color w:val="000000"/>
          <w:sz w:val="20"/>
        </w:rPr>
        <w:t>As of December 31, 2025, the Company’s net revenue retention rate was 90%.</w:t>
      </w:r>
      <w:r>
        <w:rPr>
          <w:rFonts w:ascii="Lato;sans-serif" w:hAnsi="Lato;sans-serif"/>
          <w:b w:val="false"/>
          <w:color w:val="000000"/>
          <w:sz w:val="13"/>
        </w:rPr>
        <w:t>1</w:t>
      </w:r>
    </w:p>
    <w:p>
      <w:pPr>
        <w:pStyle w:val="TextBody"/>
        <w:bidi w:val="0"/>
        <w:spacing w:lineRule="auto" w:line="288" w:before="0" w:after="0"/>
        <w:ind w:left="0" w:right="0" w:hanging="360"/>
        <w:jc w:val="both"/>
        <w:rPr/>
      </w:pPr>
      <w:r>
        <w:rPr>
          <w:color w:val="000000"/>
        </w:rPr>
        <w:t>•</w:t>
      </w:r>
      <w:r>
        <w:rPr>
          <w:rFonts w:ascii="Lato;sans-serif" w:hAnsi="Lato;sans-serif"/>
          <w:b w:val="false"/>
          <w:color w:val="000000"/>
          <w:sz w:val="20"/>
        </w:rPr>
        <w:t>Repurchased 40.5 million shares of our common stock, representing 12% of our total shares then outstanding, at an average price of $10.06 per share, for an aggregate of $407.0 million.</w:t>
      </w:r>
    </w:p>
    <w:p>
      <w:pPr>
        <w:pStyle w:val="TextBody"/>
        <w:bidi w:val="0"/>
        <w:spacing w:lineRule="auto" w:line="288" w:before="0" w:after="0"/>
        <w:ind w:left="0" w:right="0" w:hanging="360"/>
        <w:jc w:val="both"/>
        <w:rPr/>
      </w:pPr>
      <w:r>
        <w:rPr>
          <w:color w:val="000000"/>
        </w:rPr>
        <w:t>•</w:t>
      </w:r>
      <w:r>
        <w:rPr>
          <w:rFonts w:ascii="Lato;sans-serif" w:hAnsi="Lato;sans-serif"/>
          <w:b w:val="false"/>
          <w:color w:val="000000"/>
          <w:sz w:val="20"/>
        </w:rPr>
        <w:t>The Board of Directors of ZoomInfo approved an additional $1.0 billion share repurchase authorization in February 2026.</w:t>
      </w:r>
    </w:p>
    <w:p>
      <w:pPr>
        <w:pStyle w:val="TextBody"/>
        <w:bidi w:val="0"/>
        <w:spacing w:lineRule="auto" w:line="288" w:before="0" w:after="0"/>
        <w:ind w:left="0" w:right="0" w:hanging="360"/>
        <w:jc w:val="both"/>
        <w:rPr/>
      </w:pPr>
      <w:r>
        <w:rPr>
          <w:color w:val="000000"/>
        </w:rPr>
        <w:t>•</w:t>
      </w:r>
      <w:r>
        <w:rPr>
          <w:rFonts w:ascii="Lato;sans-serif" w:hAnsi="Lato;sans-serif"/>
          <w:b w:val="false"/>
          <w:color w:val="000000"/>
          <w:sz w:val="20"/>
        </w:rPr>
        <w:t>The Board of Directors of ZoomInfo appointed Owen Wurzbacher as its Lead Independent Director. Mr. Wurzbacher has served on the Board of Directors since August 2024. He chairs the Board's Compensation Committee and is a member of the Nominating and Corporate Governance Committee. See the section entitled “</w:t>
      </w:r>
      <w:r>
        <w:rPr>
          <w:rFonts w:ascii="Lato;sans-serif" w:hAnsi="Lato;sans-serif"/>
          <w:b w:val="false"/>
          <w:i/>
          <w:color w:val="000000"/>
          <w:sz w:val="20"/>
        </w:rPr>
        <w:t>The Board of Directors and Certain Governance Matters — Board Leadership Structure—lead Independent Director</w:t>
      </w:r>
      <w:r>
        <w:rPr>
          <w:color w:val="000000"/>
        </w:rPr>
        <w:t xml:space="preserve">” </w:t>
      </w:r>
      <w:r>
        <w:rPr>
          <w:rFonts w:ascii="Lato;sans-serif" w:hAnsi="Lato;sans-serif"/>
          <w:b w:val="false"/>
          <w:color w:val="000000"/>
          <w:sz w:val="20"/>
        </w:rPr>
        <w:t>for additional information</w:t>
      </w:r>
      <w:r>
        <w:rPr>
          <w:rFonts w:ascii="Lato;sans-serif" w:hAnsi="Lato;sans-serif"/>
          <w:b w:val="false"/>
          <w:i/>
          <w:color w:val="000000"/>
          <w:sz w:val="20"/>
        </w:rPr>
        <w:t>.</w:t>
      </w:r>
    </w:p>
    <w:p>
      <w:pPr>
        <w:pStyle w:val="TextBody"/>
        <w:bidi w:val="0"/>
        <w:spacing w:lineRule="auto" w:line="288" w:before="180" w:after="180"/>
        <w:jc w:val="both"/>
        <w:rPr>
          <w:rFonts w:ascii="Lato;sans-serif" w:hAnsi="Lato;sans-serif"/>
          <w:b w:val="false"/>
          <w:color w:val="000000"/>
          <w:sz w:val="20"/>
        </w:rPr>
      </w:pPr>
      <w:r>
        <w:rPr>
          <w:rFonts w:ascii="Lato;sans-serif" w:hAnsi="Lato;sans-serif"/>
          <w:b w:val="false"/>
          <w:color w:val="000000"/>
          <w:sz w:val="20"/>
        </w:rPr>
        <w:t>Please see Appendix A for information about our non-GAAP financial measurements, including reconciliations to the most directly comparable GAAP-based financial measurements.</w:t>
      </w:r>
    </w:p>
    <w:p>
      <w:pPr>
        <w:pStyle w:val="TextBody"/>
        <w:bidi w:val="0"/>
        <w:spacing w:lineRule="auto" w:line="288" w:before="0" w:after="0"/>
        <w:jc w:val="both"/>
        <w:rPr/>
      </w:pPr>
      <w:r>
        <w:rPr>
          <w:rFonts w:ascii="Lato;sans-serif" w:hAnsi="Lato;sans-serif"/>
          <w:b w:val="false"/>
          <w:color w:val="000000"/>
          <w:sz w:val="12"/>
        </w:rPr>
        <w:t>1</w:t>
      </w:r>
      <w:r>
        <w:rPr>
          <w:color w:val="000000"/>
        </w:rPr>
        <w:t xml:space="preserve"> </w:t>
      </w:r>
      <w:r>
        <w:rPr>
          <w:rFonts w:ascii="Lato;sans-serif" w:hAnsi="Lato;sans-serif"/>
          <w:b w:val="false"/>
          <w:color w:val="000000"/>
          <w:sz w:val="18"/>
        </w:rPr>
        <w:t>Net revenue retention is a metric that we calculate based on customers of ZoomInfo at the beginning of the twelve-month period, and is calculated as: (a) the total annual contract value (“</w:t>
      </w:r>
      <w:r>
        <w:rPr>
          <w:rFonts w:ascii="Lato;sans-serif" w:hAnsi="Lato;sans-serif"/>
          <w:b/>
          <w:i/>
          <w:color w:val="000000"/>
          <w:sz w:val="18"/>
        </w:rPr>
        <w:t>ACV</w:t>
      </w:r>
      <w:r>
        <w:rPr>
          <w:color w:val="000000"/>
        </w:rPr>
        <w:t>”</w:t>
      </w:r>
      <w:r>
        <w:rPr>
          <w:rFonts w:ascii="Lato;sans-serif" w:hAnsi="Lato;sans-serif"/>
          <w:b w:val="false"/>
          <w:color w:val="000000"/>
          <w:sz w:val="18"/>
        </w:rPr>
        <w:t>) for those customers at the end of the twelve-month period, divided by (b) the total ACV for those customers at the beginning of the twelve-month period.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352425"/>
                <wp:effectExtent l="0" t="0" r="0" b="0"/>
                <wp:wrapNone/>
                <wp:docPr id="55" name="Frame41"/>
                <a:graphic xmlns:a="http://schemas.openxmlformats.org/drawingml/2006/main">
                  <a:graphicData uri="http://schemas.microsoft.com/office/word/2010/wordprocessingShape">
                    <wps:wsp>
                      <wps:cNvSpPr txBox="1"/>
                      <wps:spPr>
                        <a:xfrm>
                          <a:off x="0" y="0"/>
                          <a:ext cx="6480175" cy="352425"/>
                        </a:xfrm>
                        <a:prstGeom prst="rect"/>
                        <a:solidFill>
                          <a:srgbClr val="FFFFFF"/>
                        </a:solidFill>
                      </wps:spPr>
                      <wps:txbx>
                        <w:txbxContent>
                          <w:p>
                            <w:pPr>
                              <w:pStyle w:val="TextBody"/>
                              <w:bidi w:val="0"/>
                              <w:spacing w:lineRule="auto" w:line="288" w:before="0" w:after="0"/>
                              <w:jc w:val="center"/>
                              <w:rPr>
                                <w:rFonts w:ascii="Lato;sans-serif" w:hAnsi="Lato;sans-serif"/>
                                <w:b w:val="false"/>
                                <w:color w:val="000000"/>
                                <w:sz w:val="20"/>
                              </w:rPr>
                            </w:pPr>
                            <w:r>
                              <w:rPr>
                                <w:rFonts w:ascii="Lato;sans-serif" w:hAnsi="Lato;sans-serif"/>
                                <w:b w:val="false"/>
                                <w:color w:val="000000"/>
                                <w:sz w:val="20"/>
                              </w:rPr>
                              <w:t>35</w:t>
                            </w:r>
                          </w:p>
                          <w:p>
                            <w:pPr>
                              <w:pStyle w:val="TextBody"/>
                              <w:bidi w:val="0"/>
                              <w:spacing w:lineRule="auto" w:line="288" w:before="0" w:after="0"/>
                              <w:jc w:val="left"/>
                              <w:rPr>
                                <w:color w:val="000000"/>
                              </w:rPr>
                            </w:pPr>
                            <w:r>
                              <w:rPr>
                                <w:color w:val="000000"/>
                              </w:rPr>
                              <w:t>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Lato;sans-serif" w:hAnsi="Lato;sans-serif"/>
                          <w:b w:val="false"/>
                          <w:color w:val="000000"/>
                          <w:sz w:val="20"/>
                        </w:rPr>
                      </w:pPr>
                      <w:r>
                        <w:rPr>
                          <w:rFonts w:ascii="Lato;sans-serif" w:hAnsi="Lato;sans-serif"/>
                          <w:b w:val="false"/>
                          <w:color w:val="000000"/>
                          <w:sz w:val="20"/>
                        </w:rPr>
                        <w:t>35</w:t>
                      </w:r>
                    </w:p>
                    <w:p>
                      <w:pPr>
                        <w:pStyle w:val="TextBody"/>
                        <w:bidi w:val="0"/>
                        <w:spacing w:lineRule="auto" w:line="288" w:before="0" w:after="0"/>
                        <w:jc w:val="left"/>
                        <w:rPr>
                          <w:color w:val="000000"/>
                        </w:rPr>
                      </w:pPr>
                      <w:r>
                        <w:rPr>
                          <w:color w:val="000000"/>
                        </w:rPr>
                        <w:t>        </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300" w:after="180"/>
        <w:jc w:val="left"/>
        <w:rPr>
          <w:rFonts w:ascii="Lato;sans-serif" w:hAnsi="Lato;sans-serif"/>
          <w:b/>
          <w:i/>
          <w:color w:val="000000"/>
          <w:sz w:val="20"/>
        </w:rPr>
      </w:pPr>
      <w:r>
        <w:rPr>
          <w:rFonts w:ascii="Lato;sans-serif" w:hAnsi="Lato;sans-serif"/>
          <w:b/>
          <w:i/>
          <w:color w:val="000000"/>
          <w:sz w:val="20"/>
        </w:rPr>
        <w:t>Recent Compensation Highlights</w:t>
      </w:r>
    </w:p>
    <w:p>
      <w:pPr>
        <w:pStyle w:val="TextBody"/>
        <w:bidi w:val="0"/>
        <w:spacing w:lineRule="auto" w:line="288" w:before="0" w:after="180"/>
        <w:jc w:val="both"/>
        <w:rPr/>
      </w:pPr>
      <w:r>
        <w:rPr>
          <w:rFonts w:ascii="Lato;sans-serif" w:hAnsi="Lato;sans-serif"/>
          <w:b w:val="false"/>
          <w:color w:val="000000"/>
          <w:sz w:val="20"/>
        </w:rPr>
        <w:t>Our executive compensation practices are designed around our executive compensation philosophy and objectives, including our pay-for-performance philosophy, and reflect the rapidly evolving business environment in which we operate and the highly competitive market for seasoned leaders. See “</w:t>
      </w:r>
      <w:r>
        <w:rPr>
          <w:rFonts w:ascii="Lato;sans-serif" w:hAnsi="Lato;sans-serif"/>
          <w:b w:val="false"/>
          <w:i/>
          <w:color w:val="000000"/>
          <w:sz w:val="20"/>
        </w:rPr>
        <w:t>Components of our Annual Compensation Program and 2025 Compensation</w:t>
      </w:r>
      <w:r>
        <w:rPr>
          <w:color w:val="000000"/>
        </w:rPr>
        <w:t xml:space="preserve">” </w:t>
      </w:r>
      <w:r>
        <w:rPr>
          <w:rFonts w:ascii="Lato;sans-serif" w:hAnsi="Lato;sans-serif"/>
          <w:b w:val="false"/>
          <w:color w:val="000000"/>
          <w:sz w:val="20"/>
        </w:rPr>
        <w:t>below for a more detailed discussion of our 2025 compensation program. Our 2025 compensation program highlights include:</w:t>
      </w:r>
    </w:p>
    <w:p>
      <w:pPr>
        <w:pStyle w:val="TextBody"/>
        <w:bidi w:val="0"/>
        <w:spacing w:lineRule="auto" w:line="288" w:before="0" w:after="100"/>
        <w:ind w:left="0" w:right="0" w:hanging="360"/>
        <w:jc w:val="both"/>
        <w:rPr/>
      </w:pPr>
      <w:r>
        <w:rPr>
          <w:color w:val="000000"/>
        </w:rPr>
        <w:t>•</w:t>
      </w:r>
      <w:r>
        <w:rPr>
          <w:rFonts w:ascii="Lato;sans-serif" w:hAnsi="Lato;sans-serif"/>
          <w:b/>
          <w:i/>
          <w:color w:val="000000"/>
          <w:sz w:val="20"/>
        </w:rPr>
        <w:t>A Significant Portion of our NEOs’ Compensation is “At-Risk”, and a Meaningful Portion is Tied to Performance</w:t>
      </w:r>
      <w:r>
        <w:rPr>
          <w:rFonts w:ascii="Lato;sans-serif" w:hAnsi="Lato;sans-serif"/>
          <w:b w:val="false"/>
          <w:color w:val="000000"/>
          <w:sz w:val="20"/>
        </w:rPr>
        <w:t>. As shown in the charts below, a significant portion of our NEOs’ compensation is “at-risk”, and a meaningful portion is tied to performance (consisting of cash incentive awards and long-term performance based equity awards).</w:t>
      </w:r>
    </w:p>
    <w:p>
      <w:pPr>
        <w:pStyle w:val="TextBody"/>
        <w:bidi w:val="0"/>
        <w:spacing w:before="0" w:after="0"/>
        <w:jc w:val="both"/>
        <w:rPr/>
      </w:pPr>
      <w:r>
        <w:rPr/>
        <w:drawing>
          <wp:inline distT="0" distB="0" distL="0" distR="0">
            <wp:extent cx="5838825" cy="3619500"/>
            <wp:effectExtent l="0" t="0" r="0" b="0"/>
            <wp:docPr id="56"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 name="Image15" descr=""/>
                    <pic:cNvPicPr>
                      <a:picLocks noChangeAspect="1" noChangeArrowheads="1"/>
                    </pic:cNvPicPr>
                  </pic:nvPicPr>
                  <pic:blipFill>
                    <a:blip r:embed="rId16"/>
                    <a:stretch>
                      <a:fillRect/>
                    </a:stretch>
                  </pic:blipFill>
                  <pic:spPr bwMode="auto">
                    <a:xfrm>
                      <a:off x="0" y="0"/>
                      <a:ext cx="5838825" cy="3619500"/>
                    </a:xfrm>
                    <a:prstGeom prst="rect">
                      <a:avLst/>
                    </a:prstGeom>
                  </pic:spPr>
                </pic:pic>
              </a:graphicData>
            </a:graphic>
          </wp:inline>
        </w:drawing>
      </w:r>
      <w:bookmarkStart w:id="14" w:name="i-15"/>
      <w:bookmarkEnd w:id="14"/>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352425"/>
                <wp:effectExtent l="0" t="0" r="0" b="0"/>
                <wp:wrapNone/>
                <wp:docPr id="57" name="Frame42"/>
                <a:graphic xmlns:a="http://schemas.openxmlformats.org/drawingml/2006/main">
                  <a:graphicData uri="http://schemas.microsoft.com/office/word/2010/wordprocessingShape">
                    <wps:wsp>
                      <wps:cNvSpPr txBox="1"/>
                      <wps:spPr>
                        <a:xfrm>
                          <a:off x="0" y="0"/>
                          <a:ext cx="6480175" cy="352425"/>
                        </a:xfrm>
                        <a:prstGeom prst="rect"/>
                        <a:solidFill>
                          <a:srgbClr val="FFFFFF"/>
                        </a:solidFill>
                      </wps:spPr>
                      <wps:txbx>
                        <w:txbxContent>
                          <w:p>
                            <w:pPr>
                              <w:pStyle w:val="TextBody"/>
                              <w:bidi w:val="0"/>
                              <w:spacing w:lineRule="auto" w:line="288" w:before="0" w:after="0"/>
                              <w:jc w:val="center"/>
                              <w:rPr>
                                <w:rFonts w:ascii="Lato;sans-serif" w:hAnsi="Lato;sans-serif"/>
                                <w:b w:val="false"/>
                                <w:color w:val="000000"/>
                                <w:sz w:val="20"/>
                              </w:rPr>
                            </w:pPr>
                            <w:r>
                              <w:rPr>
                                <w:rFonts w:ascii="Lato;sans-serif" w:hAnsi="Lato;sans-serif"/>
                                <w:b w:val="false"/>
                                <w:color w:val="000000"/>
                                <w:sz w:val="20"/>
                              </w:rPr>
                              <w:t>36</w:t>
                            </w:r>
                          </w:p>
                          <w:p>
                            <w:pPr>
                              <w:pStyle w:val="TextBody"/>
                              <w:bidi w:val="0"/>
                              <w:spacing w:lineRule="auto" w:line="288" w:before="0" w:after="0"/>
                              <w:jc w:val="left"/>
                              <w:rPr>
                                <w:color w:val="000000"/>
                              </w:rPr>
                            </w:pPr>
                            <w:r>
                              <w:rPr>
                                <w:color w:val="000000"/>
                              </w:rPr>
                              <w:t>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Lato;sans-serif" w:hAnsi="Lato;sans-serif"/>
                          <w:b w:val="false"/>
                          <w:color w:val="000000"/>
                          <w:sz w:val="20"/>
                        </w:rPr>
                      </w:pPr>
                      <w:r>
                        <w:rPr>
                          <w:rFonts w:ascii="Lato;sans-serif" w:hAnsi="Lato;sans-serif"/>
                          <w:b w:val="false"/>
                          <w:color w:val="000000"/>
                          <w:sz w:val="20"/>
                        </w:rPr>
                        <w:t>36</w:t>
                      </w:r>
                    </w:p>
                    <w:p>
                      <w:pPr>
                        <w:pStyle w:val="TextBody"/>
                        <w:bidi w:val="0"/>
                        <w:spacing w:lineRule="auto" w:line="288" w:before="0" w:after="0"/>
                        <w:jc w:val="left"/>
                        <w:rPr>
                          <w:color w:val="000000"/>
                        </w:rPr>
                      </w:pPr>
                      <w:r>
                        <w:rPr>
                          <w:color w:val="000000"/>
                        </w:rPr>
                        <w:t>        </w:t>
                      </w:r>
                    </w:p>
                  </w:txbxContent>
                </v:textbox>
                <w10:wrap type="none"/>
              </v:rect>
            </w:pict>
          </mc:Fallback>
        </mc:AlternateContent>
      </w:r>
    </w:p>
    <w:p>
      <w:pPr>
        <w:pStyle w:val="TextBody"/>
        <w:bidi w:val="0"/>
        <w:spacing w:before="0" w:after="0"/>
        <w:jc w:val="left"/>
        <w:rPr/>
      </w:pPr>
      <w:r>
        <w:rPr/>
      </w:r>
    </w:p>
    <w:p>
      <w:pPr>
        <w:pStyle w:val="TextBody"/>
        <w:bidi w:val="0"/>
        <w:spacing w:before="0" w:after="0"/>
        <w:jc w:val="both"/>
        <w:rPr/>
      </w:pPr>
      <w:r>
        <w:rPr/>
        <w:drawing>
          <wp:inline distT="0" distB="0" distL="0" distR="0">
            <wp:extent cx="5838825" cy="3619500"/>
            <wp:effectExtent l="0" t="0" r="0" b="0"/>
            <wp:docPr id="58"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 name="Image16" descr=""/>
                    <pic:cNvPicPr>
                      <a:picLocks noChangeAspect="1" noChangeArrowheads="1"/>
                    </pic:cNvPicPr>
                  </pic:nvPicPr>
                  <pic:blipFill>
                    <a:blip r:embed="rId17"/>
                    <a:stretch>
                      <a:fillRect/>
                    </a:stretch>
                  </pic:blipFill>
                  <pic:spPr bwMode="auto">
                    <a:xfrm>
                      <a:off x="0" y="0"/>
                      <a:ext cx="5838825" cy="3619500"/>
                    </a:xfrm>
                    <a:prstGeom prst="rect">
                      <a:avLst/>
                    </a:prstGeom>
                  </pic:spPr>
                </pic:pic>
              </a:graphicData>
            </a:graphic>
          </wp:inline>
        </w:drawing>
      </w:r>
      <w:bookmarkStart w:id="15" w:name="i-16"/>
      <w:bookmarkEnd w:id="15"/>
    </w:p>
    <w:tbl>
      <w:tblPr>
        <w:tblW w:w="10205" w:type="dxa"/>
        <w:jc w:val="left"/>
        <w:tblInd w:w="0" w:type="dxa"/>
        <w:tblLayout w:type="fixed"/>
        <w:tblCellMar>
          <w:top w:w="28" w:type="dxa"/>
          <w:left w:w="28" w:type="dxa"/>
          <w:bottom w:w="28" w:type="dxa"/>
          <w:right w:w="28" w:type="dxa"/>
        </w:tblCellMar>
      </w:tblPr>
      <w:tblGrid>
        <w:gridCol w:w="1142"/>
        <w:gridCol w:w="1000"/>
        <w:gridCol w:w="1015"/>
        <w:gridCol w:w="1136"/>
        <w:gridCol w:w="1136"/>
        <w:gridCol w:w="1138"/>
        <w:gridCol w:w="109"/>
        <w:gridCol w:w="109"/>
        <w:gridCol w:w="109"/>
        <w:gridCol w:w="967"/>
        <w:gridCol w:w="967"/>
        <w:gridCol w:w="1377"/>
      </w:tblGrid>
      <w:tr>
        <w:trPr/>
        <w:tc>
          <w:tcPr>
            <w:tcW w:w="1142" w:type="dxa"/>
            <w:tcBorders/>
            <w:vAlign w:val="center"/>
          </w:tcPr>
          <w:p>
            <w:pPr>
              <w:pStyle w:val="TableContents"/>
              <w:bidi w:val="0"/>
              <w:spacing w:before="0" w:after="283"/>
              <w:jc w:val="left"/>
              <w:rPr>
                <w:sz w:val="4"/>
                <w:szCs w:val="4"/>
              </w:rPr>
            </w:pPr>
            <w:r>
              <w:rPr>
                <w:sz w:val="4"/>
                <w:szCs w:val="4"/>
              </w:rPr>
            </w:r>
          </w:p>
        </w:tc>
        <w:tc>
          <w:tcPr>
            <w:tcW w:w="1000" w:type="dxa"/>
            <w:tcBorders/>
            <w:vAlign w:val="center"/>
          </w:tcPr>
          <w:p>
            <w:pPr>
              <w:pStyle w:val="TableContents"/>
              <w:bidi w:val="0"/>
              <w:spacing w:before="0" w:after="283"/>
              <w:jc w:val="left"/>
              <w:rPr>
                <w:sz w:val="4"/>
                <w:szCs w:val="4"/>
              </w:rPr>
            </w:pPr>
            <w:r>
              <w:rPr>
                <w:sz w:val="4"/>
                <w:szCs w:val="4"/>
              </w:rPr>
            </w:r>
          </w:p>
        </w:tc>
        <w:tc>
          <w:tcPr>
            <w:tcW w:w="1015" w:type="dxa"/>
            <w:tcBorders/>
            <w:vAlign w:val="center"/>
          </w:tcPr>
          <w:p>
            <w:pPr>
              <w:pStyle w:val="TableContents"/>
              <w:bidi w:val="0"/>
              <w:spacing w:before="0" w:after="283"/>
              <w:jc w:val="left"/>
              <w:rPr>
                <w:sz w:val="4"/>
                <w:szCs w:val="4"/>
              </w:rPr>
            </w:pPr>
            <w:r>
              <w:rPr>
                <w:sz w:val="4"/>
                <w:szCs w:val="4"/>
              </w:rPr>
            </w:r>
          </w:p>
        </w:tc>
        <w:tc>
          <w:tcPr>
            <w:tcW w:w="1136" w:type="dxa"/>
            <w:tcBorders/>
            <w:vAlign w:val="center"/>
          </w:tcPr>
          <w:p>
            <w:pPr>
              <w:pStyle w:val="TableContents"/>
              <w:bidi w:val="0"/>
              <w:spacing w:before="0" w:after="283"/>
              <w:jc w:val="left"/>
              <w:rPr>
                <w:sz w:val="4"/>
                <w:szCs w:val="4"/>
              </w:rPr>
            </w:pPr>
            <w:r>
              <w:rPr>
                <w:sz w:val="4"/>
                <w:szCs w:val="4"/>
              </w:rPr>
            </w:r>
          </w:p>
        </w:tc>
        <w:tc>
          <w:tcPr>
            <w:tcW w:w="1136" w:type="dxa"/>
            <w:tcBorders/>
            <w:vAlign w:val="center"/>
          </w:tcPr>
          <w:p>
            <w:pPr>
              <w:pStyle w:val="TableContents"/>
              <w:bidi w:val="0"/>
              <w:spacing w:before="0" w:after="283"/>
              <w:jc w:val="left"/>
              <w:rPr>
                <w:sz w:val="4"/>
                <w:szCs w:val="4"/>
              </w:rPr>
            </w:pPr>
            <w:r>
              <w:rPr>
                <w:sz w:val="4"/>
                <w:szCs w:val="4"/>
              </w:rPr>
            </w:r>
          </w:p>
        </w:tc>
        <w:tc>
          <w:tcPr>
            <w:tcW w:w="11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7" w:type="dxa"/>
            <w:tcBorders/>
            <w:vAlign w:val="center"/>
          </w:tcPr>
          <w:p>
            <w:pPr>
              <w:pStyle w:val="TableContents"/>
              <w:bidi w:val="0"/>
              <w:spacing w:before="0" w:after="283"/>
              <w:jc w:val="left"/>
              <w:rPr>
                <w:sz w:val="4"/>
                <w:szCs w:val="4"/>
              </w:rPr>
            </w:pPr>
            <w:r>
              <w:rPr>
                <w:sz w:val="4"/>
                <w:szCs w:val="4"/>
              </w:rPr>
            </w:r>
          </w:p>
        </w:tc>
        <w:tc>
          <w:tcPr>
            <w:tcW w:w="967" w:type="dxa"/>
            <w:tcBorders/>
            <w:vAlign w:val="center"/>
          </w:tcPr>
          <w:p>
            <w:pPr>
              <w:pStyle w:val="TableContents"/>
              <w:bidi w:val="0"/>
              <w:spacing w:before="0" w:after="283"/>
              <w:jc w:val="left"/>
              <w:rPr>
                <w:sz w:val="4"/>
                <w:szCs w:val="4"/>
              </w:rPr>
            </w:pPr>
            <w:r>
              <w:rPr>
                <w:sz w:val="4"/>
                <w:szCs w:val="4"/>
              </w:rPr>
            </w:r>
          </w:p>
        </w:tc>
        <w:tc>
          <w:tcPr>
            <w:tcW w:w="1377" w:type="dxa"/>
            <w:tcBorders/>
            <w:vAlign w:val="center"/>
          </w:tcPr>
          <w:p>
            <w:pPr>
              <w:pStyle w:val="TableContents"/>
              <w:bidi w:val="0"/>
              <w:spacing w:before="0" w:after="283"/>
              <w:jc w:val="left"/>
              <w:rPr>
                <w:sz w:val="4"/>
                <w:szCs w:val="4"/>
              </w:rPr>
            </w:pPr>
            <w:r>
              <w:rPr>
                <w:sz w:val="4"/>
                <w:szCs w:val="4"/>
              </w:rPr>
            </w:r>
          </w:p>
        </w:tc>
      </w:tr>
      <w:tr>
        <w:trPr/>
        <w:tc>
          <w:tcPr>
            <w:tcW w:w="31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Lato;sans-serif" w:hAnsi="Lato;sans-serif"/>
                <w:b/>
                <w:color w:val="000000"/>
                <w:sz w:val="20"/>
              </w:rPr>
            </w:pPr>
            <w:r>
              <w:rPr>
                <w:rFonts w:ascii="Lato;sans-serif" w:hAnsi="Lato;sans-serif"/>
                <w:b/>
                <w:color w:val="000000"/>
                <w:sz w:val="20"/>
              </w:rPr>
              <w:t>At-Risk Pay of Total Compensation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Lato;sans-serif" w:hAnsi="Lato;sans-serif"/>
                <w:b/>
                <w:color w:val="000000"/>
                <w:sz w:val="20"/>
              </w:rPr>
            </w:pPr>
            <w:r>
              <w:rPr>
                <w:rFonts w:ascii="Lato;sans-serif" w:hAnsi="Lato;sans-serif"/>
                <w:b/>
                <w:color w:val="000000"/>
                <w:sz w:val="20"/>
              </w:rPr>
              <w:t>Fixed Pay of Total Compensation</w:t>
            </w:r>
          </w:p>
        </w:tc>
      </w:tr>
      <w:tr>
        <w:trPr/>
        <w:tc>
          <w:tcPr>
            <w:tcW w:w="315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color w:val="000000"/>
                <w:sz w:val="20"/>
              </w:rPr>
            </w:pPr>
            <w:r>
              <w:rPr>
                <w:rFonts w:ascii="Lato;sans-serif" w:hAnsi="Lato;sans-serif"/>
                <w:b/>
                <w:color w:val="000000"/>
                <w:sz w:val="20"/>
              </w:rPr>
              <w:t>CEO</w:t>
            </w:r>
          </w:p>
        </w:tc>
        <w:tc>
          <w:tcPr>
            <w:tcW w:w="341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Lato;sans-serif" w:hAnsi="Lato;sans-serif"/>
                <w:b/>
                <w:color w:val="EE2724"/>
                <w:sz w:val="20"/>
              </w:rPr>
            </w:pPr>
            <w:r>
              <w:rPr>
                <w:rFonts w:ascii="Lato;sans-serif" w:hAnsi="Lato;sans-serif"/>
                <w:b/>
                <w:color w:val="EE2724"/>
                <w:sz w:val="20"/>
              </w:rPr>
              <w:t>98.2%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Lato;sans-serif" w:hAnsi="Lato;sans-serif"/>
                <w:b/>
                <w:color w:val="026DCE"/>
                <w:sz w:val="20"/>
              </w:rPr>
            </w:pPr>
            <w:r>
              <w:rPr>
                <w:rFonts w:ascii="Lato;sans-serif" w:hAnsi="Lato;sans-serif"/>
                <w:b/>
                <w:color w:val="026DCE"/>
                <w:sz w:val="20"/>
              </w:rPr>
              <w:t>1.8%</w:t>
            </w:r>
          </w:p>
        </w:tc>
      </w:tr>
      <w:tr>
        <w:trPr/>
        <w:tc>
          <w:tcPr>
            <w:tcW w:w="315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color w:val="000000"/>
                <w:sz w:val="20"/>
              </w:rPr>
            </w:pPr>
            <w:r>
              <w:rPr>
                <w:rFonts w:ascii="Lato;sans-serif" w:hAnsi="Lato;sans-serif"/>
                <w:b/>
                <w:color w:val="000000"/>
                <w:sz w:val="20"/>
              </w:rPr>
              <w:t>NEOs as a group (other than CEO)</w:t>
            </w:r>
          </w:p>
        </w:tc>
        <w:tc>
          <w:tcPr>
            <w:tcW w:w="34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Lato;sans-serif" w:hAnsi="Lato;sans-serif"/>
                <w:b/>
                <w:color w:val="EE2724"/>
                <w:sz w:val="20"/>
              </w:rPr>
            </w:pPr>
            <w:r>
              <w:rPr>
                <w:rFonts w:ascii="Lato;sans-serif" w:hAnsi="Lato;sans-serif"/>
                <w:b/>
                <w:color w:val="EE2724"/>
                <w:sz w:val="20"/>
              </w:rPr>
              <w:t>90.4%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Lato;sans-serif" w:hAnsi="Lato;sans-serif"/>
                <w:b/>
                <w:color w:val="026DCE"/>
                <w:sz w:val="20"/>
              </w:rPr>
            </w:pPr>
            <w:r>
              <w:rPr>
                <w:rFonts w:ascii="Lato;sans-serif" w:hAnsi="Lato;sans-serif"/>
                <w:b/>
                <w:color w:val="026DCE"/>
                <w:sz w:val="20"/>
              </w:rPr>
              <w:t>9.6%</w:t>
            </w:r>
          </w:p>
        </w:tc>
      </w:tr>
    </w:tbl>
    <w:p>
      <w:pPr>
        <w:pStyle w:val="TextBody"/>
        <w:bidi w:val="0"/>
        <w:spacing w:before="0" w:after="0"/>
        <w:jc w:val="left"/>
        <w:rPr/>
      </w:pPr>
      <w:r>
        <w:rPr/>
      </w:r>
    </w:p>
    <w:p>
      <w:pPr>
        <w:pStyle w:val="TextBody"/>
        <w:bidi w:val="0"/>
        <w:spacing w:lineRule="auto" w:line="288" w:before="0" w:after="100"/>
        <w:ind w:left="0" w:right="0" w:hanging="360"/>
        <w:jc w:val="both"/>
        <w:rPr/>
      </w:pPr>
      <w:r>
        <w:rPr>
          <w:color w:val="000000"/>
        </w:rPr>
        <w:t>•</w:t>
      </w:r>
      <w:r>
        <w:rPr>
          <w:rFonts w:ascii="Lato;sans-serif" w:hAnsi="Lato;sans-serif"/>
          <w:b/>
          <w:i/>
          <w:color w:val="000000"/>
          <w:sz w:val="20"/>
        </w:rPr>
        <w:t>Grant of Premium-Priced Performance Option to the CEO</w:t>
      </w:r>
      <w:r>
        <w:rPr>
          <w:rFonts w:ascii="Lato;sans-serif" w:hAnsi="Lato;sans-serif"/>
          <w:b w:val="false"/>
          <w:color w:val="000000"/>
          <w:sz w:val="20"/>
        </w:rPr>
        <w:t>. Our Compensation Committee believes that a mix of different types of equity awards provides a balance of incentives that promotes stockholder value creation, successful execution of the strategy set by Mr. Schuck, operational excellence and retention. In furtherance of our Compensation Committee’s continued emphasis on long-term equity incentives aligning compensation with performance, our Compensation Committee granted a one-time premium-priced performance-based stock option award to Mr. Schuck (the “</w:t>
      </w:r>
      <w:r>
        <w:rPr>
          <w:rFonts w:ascii="Lato;sans-serif" w:hAnsi="Lato;sans-serif"/>
          <w:b/>
          <w:i/>
          <w:color w:val="000000"/>
          <w:sz w:val="20"/>
        </w:rPr>
        <w:t>CEO Premium-Priced Performance Option</w:t>
      </w:r>
      <w:r>
        <w:rPr>
          <w:color w:val="000000"/>
        </w:rPr>
        <w:t>”</w:t>
      </w:r>
      <w:r>
        <w:rPr>
          <w:rFonts w:ascii="Lato;sans-serif" w:hAnsi="Lato;sans-serif"/>
          <w:b w:val="false"/>
          <w:color w:val="000000"/>
          <w:sz w:val="20"/>
        </w:rPr>
        <w:t>). The CEO Premium-Priced Performance Option reflected the culmination of a multi-month process overseen by our Compensation Committee, with the assistance of our Compensation Committee’s independent compensation consultant and outside legal advisors, to design a program that serves as a significant incentive and retentive vehicle at a strategic inflection point for the Company.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352425"/>
                <wp:effectExtent l="0" t="0" r="0" b="0"/>
                <wp:wrapNone/>
                <wp:docPr id="59" name="Frame43"/>
                <a:graphic xmlns:a="http://schemas.openxmlformats.org/drawingml/2006/main">
                  <a:graphicData uri="http://schemas.microsoft.com/office/word/2010/wordprocessingShape">
                    <wps:wsp>
                      <wps:cNvSpPr txBox="1"/>
                      <wps:spPr>
                        <a:xfrm>
                          <a:off x="0" y="0"/>
                          <a:ext cx="6480175" cy="352425"/>
                        </a:xfrm>
                        <a:prstGeom prst="rect"/>
                        <a:solidFill>
                          <a:srgbClr val="FFFFFF"/>
                        </a:solidFill>
                      </wps:spPr>
                      <wps:txbx>
                        <w:txbxContent>
                          <w:p>
                            <w:pPr>
                              <w:pStyle w:val="TextBody"/>
                              <w:bidi w:val="0"/>
                              <w:spacing w:lineRule="auto" w:line="288" w:before="0" w:after="0"/>
                              <w:jc w:val="center"/>
                              <w:rPr>
                                <w:rFonts w:ascii="Lato;sans-serif" w:hAnsi="Lato;sans-serif"/>
                                <w:b w:val="false"/>
                                <w:color w:val="000000"/>
                                <w:sz w:val="20"/>
                              </w:rPr>
                            </w:pPr>
                            <w:r>
                              <w:rPr>
                                <w:rFonts w:ascii="Lato;sans-serif" w:hAnsi="Lato;sans-serif"/>
                                <w:b w:val="false"/>
                                <w:color w:val="000000"/>
                                <w:sz w:val="20"/>
                              </w:rPr>
                              <w:t>37</w:t>
                            </w:r>
                          </w:p>
                          <w:p>
                            <w:pPr>
                              <w:pStyle w:val="TextBody"/>
                              <w:bidi w:val="0"/>
                              <w:spacing w:lineRule="auto" w:line="288" w:before="0" w:after="0"/>
                              <w:jc w:val="left"/>
                              <w:rPr>
                                <w:color w:val="000000"/>
                              </w:rPr>
                            </w:pPr>
                            <w:r>
                              <w:rPr>
                                <w:color w:val="000000"/>
                              </w:rPr>
                              <w:t>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Lato;sans-serif" w:hAnsi="Lato;sans-serif"/>
                          <w:b w:val="false"/>
                          <w:color w:val="000000"/>
                          <w:sz w:val="20"/>
                        </w:rPr>
                      </w:pPr>
                      <w:r>
                        <w:rPr>
                          <w:rFonts w:ascii="Lato;sans-serif" w:hAnsi="Lato;sans-serif"/>
                          <w:b w:val="false"/>
                          <w:color w:val="000000"/>
                          <w:sz w:val="20"/>
                        </w:rPr>
                        <w:t>37</w:t>
                      </w:r>
                    </w:p>
                    <w:p>
                      <w:pPr>
                        <w:pStyle w:val="TextBody"/>
                        <w:bidi w:val="0"/>
                        <w:spacing w:lineRule="auto" w:line="288" w:before="0" w:after="0"/>
                        <w:jc w:val="left"/>
                        <w:rPr>
                          <w:color w:val="000000"/>
                        </w:rPr>
                      </w:pPr>
                      <w:r>
                        <w:rPr>
                          <w:color w:val="000000"/>
                        </w:rPr>
                        <w:t>        </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00"/>
        <w:ind w:left="0" w:right="0" w:hanging="360"/>
        <w:jc w:val="both"/>
        <w:rPr/>
      </w:pPr>
      <w:r>
        <w:rPr>
          <w:color w:val="000000"/>
        </w:rPr>
        <w:t>◦</w:t>
      </w:r>
      <w:r>
        <w:rPr>
          <w:rFonts w:ascii="Lato;sans-serif" w:hAnsi="Lato;sans-serif"/>
          <w:b w:val="false"/>
          <w:color w:val="000000"/>
          <w:sz w:val="20"/>
        </w:rPr>
        <w:t>In structuring the CEO Premium-Priced Performance Option, our Compensation Committee considered the fact that we are at a strategic inflection point, with the potential to deliver significant value to our customers and stockholders with the continued use of AI powered applications. In designing the CEO Premium-Priced Performance Option award, our Compensation Committee sought to create an award that tightly aligns Mr. Schuck’s long-term compensation with sustained stockholder value creation. Specifically, the award was designed to (i) focus Mr. Schuck on durable, compounding free cash flow per share growth as the foundation of value creation, (ii) reward sustained stock performance through a twenty trading-day average closing price requirement, designed to help ensure that vesting is based on lasting results, rather than short-term volatility, (iii) require outperformance relative to the companies listed on the Russell 3000 index as of the date of grant to reinforce accountability to investors, and (iv) serve both as a long-term retention vehicle and a public signal of the Board’s confidence in Mr. Schuck and the strategy set by him, our operational execution and the Company’s future stock price appreciation.</w:t>
      </w:r>
    </w:p>
    <w:p>
      <w:pPr>
        <w:pStyle w:val="TextBody"/>
        <w:bidi w:val="0"/>
        <w:spacing w:lineRule="auto" w:line="288" w:before="0" w:after="100"/>
        <w:ind w:left="0" w:right="0" w:hanging="360"/>
        <w:jc w:val="both"/>
        <w:rPr/>
      </w:pPr>
      <w:r>
        <w:rPr>
          <w:color w:val="000000"/>
        </w:rPr>
        <w:t>◦</w:t>
      </w:r>
      <w:r>
        <w:rPr>
          <w:rFonts w:ascii="Lato;sans-serif" w:hAnsi="Lato;sans-serif"/>
          <w:b w:val="false"/>
          <w:color w:val="000000"/>
          <w:sz w:val="20"/>
        </w:rPr>
        <w:t>In order for the CEO Premium-Priced Performance Option to vest, the Company must achieve rigorous stock price and adjusted free cash flow per share goals. At the maximum vesting level, the Company would be required to deliver both adjusted free cash flow of $5.00 per share and a twenty-day average stock price of $100.00 per share, representing an increase of nearly 317% as compared to the Company’s adjusted free cash flow for 2025 and a stock price goal that is 414% of the fair market value of the stock price as of the grant date of the award. To ensure that vesting does not occur merely because the Company’s stock price appreciates due to broad market inflation, the CEO Premium-Priced Performance Option also includes a market share governor requiring our total shareholder return (“</w:t>
      </w:r>
      <w:r>
        <w:rPr>
          <w:rFonts w:ascii="Lato;sans-serif" w:hAnsi="Lato;sans-serif"/>
          <w:b/>
          <w:i/>
          <w:color w:val="000000"/>
          <w:sz w:val="20"/>
        </w:rPr>
        <w:t>TSR</w:t>
      </w:r>
      <w:r>
        <w:rPr>
          <w:color w:val="000000"/>
        </w:rPr>
        <w:t>”</w:t>
      </w:r>
      <w:r>
        <w:rPr>
          <w:rFonts w:ascii="Lato;sans-serif" w:hAnsi="Lato;sans-serif"/>
          <w:b w:val="false"/>
          <w:color w:val="000000"/>
          <w:sz w:val="20"/>
        </w:rPr>
        <w:t>) performance to be at or above the 25</w:t>
      </w:r>
      <w:r>
        <w:rPr>
          <w:rFonts w:ascii="Lato;sans-serif" w:hAnsi="Lato;sans-serif"/>
          <w:b w:val="false"/>
          <w:color w:val="000000"/>
          <w:sz w:val="13"/>
        </w:rPr>
        <w:t>th</w:t>
      </w:r>
      <w:r>
        <w:rPr>
          <w:color w:val="000000"/>
        </w:rPr>
        <w:t xml:space="preserve"> </w:t>
      </w:r>
      <w:r>
        <w:rPr>
          <w:rFonts w:ascii="Lato;sans-serif" w:hAnsi="Lato;sans-serif"/>
          <w:b w:val="false"/>
          <w:color w:val="000000"/>
          <w:sz w:val="20"/>
        </w:rPr>
        <w:t>percentile of all companies in the Russell 3000 Index (the “</w:t>
      </w:r>
      <w:r>
        <w:rPr>
          <w:rFonts w:ascii="Lato;sans-serif" w:hAnsi="Lato;sans-serif"/>
          <w:b/>
          <w:i/>
          <w:color w:val="000000"/>
          <w:sz w:val="20"/>
        </w:rPr>
        <w:t>Relative TSR Condition</w:t>
      </w:r>
      <w:r>
        <w:rPr>
          <w:color w:val="000000"/>
        </w:rPr>
        <w:t>”</w:t>
      </w:r>
      <w:r>
        <w:rPr>
          <w:rFonts w:ascii="Lato;sans-serif" w:hAnsi="Lato;sans-serif"/>
          <w:b w:val="false"/>
          <w:color w:val="000000"/>
          <w:sz w:val="20"/>
        </w:rPr>
        <w:t xml:space="preserve">) measured on a quarterly basis based on a 12-month look back period as of the grant date. </w:t>
      </w:r>
    </w:p>
    <w:p>
      <w:pPr>
        <w:pStyle w:val="TextBody"/>
        <w:bidi w:val="0"/>
        <w:spacing w:lineRule="auto" w:line="288" w:before="0" w:after="100"/>
        <w:ind w:left="0" w:right="0" w:hanging="360"/>
        <w:jc w:val="both"/>
        <w:rPr/>
      </w:pPr>
      <w:r>
        <w:rPr>
          <w:color w:val="000000"/>
        </w:rPr>
        <w:t>◦</w:t>
      </w:r>
      <w:r>
        <w:rPr>
          <w:rFonts w:ascii="Lato;sans-serif" w:hAnsi="Lato;sans-serif"/>
          <w:b w:val="false"/>
          <w:color w:val="000000"/>
          <w:sz w:val="20"/>
        </w:rPr>
        <w:t>To incentivize performance, the entire CEO Premium-Priced Performance Option is “at-risk,” with no portion of the award eligible for vesting unless these rigorous performance goals are satisfied. In addition, to further support alignment with stockholder interests, the award:</w:t>
      </w:r>
    </w:p>
    <w:p>
      <w:pPr>
        <w:pStyle w:val="TextBody"/>
        <w:bidi w:val="0"/>
        <w:spacing w:lineRule="auto" w:line="288" w:before="0" w:after="0"/>
        <w:ind w:left="0" w:right="0" w:hanging="360"/>
        <w:jc w:val="both"/>
        <w:rPr/>
      </w:pPr>
      <w:r>
        <w:rPr>
          <w:color w:val="000000"/>
        </w:rPr>
        <w:t>▪</w:t>
      </w:r>
      <w:r>
        <w:rPr>
          <w:rFonts w:ascii="Lato;sans-serif" w:hAnsi="Lato;sans-serif"/>
          <w:b w:val="false"/>
          <w:color w:val="000000"/>
          <w:sz w:val="20"/>
        </w:rPr>
        <w:t xml:space="preserve">supports the retention of Mr. Schuck by including a service-based vesting condition, which lapses in one-third annual installments on each of the three-year, four-year and five-year anniversaries of the grant date, subject to Mr. Schuck’s continued service as Chief Executive Officer or Executive Chairman; </w:t>
      </w:r>
    </w:p>
    <w:p>
      <w:pPr>
        <w:pStyle w:val="TextBody"/>
        <w:bidi w:val="0"/>
        <w:spacing w:lineRule="auto" w:line="288" w:before="0" w:after="0"/>
        <w:ind w:left="0" w:right="0" w:hanging="360"/>
        <w:jc w:val="both"/>
        <w:rPr/>
      </w:pPr>
      <w:r>
        <w:rPr>
          <w:color w:val="000000"/>
        </w:rPr>
        <w:t>▪</w:t>
      </w:r>
      <w:r>
        <w:rPr>
          <w:rFonts w:ascii="Lato;sans-serif" w:hAnsi="Lato;sans-serif"/>
          <w:b w:val="false"/>
          <w:color w:val="000000"/>
          <w:sz w:val="20"/>
        </w:rPr>
        <w:t xml:space="preserve">does not provide for vesting in the event of a termination of employment unless the underlying performance goals are achieved prior to or during a limited period following such termination of employment due to Mr. Schuck’s death, disability, resignation for good cause or by the Company without cause; </w:t>
      </w:r>
    </w:p>
    <w:p>
      <w:pPr>
        <w:pStyle w:val="TextBody"/>
        <w:bidi w:val="0"/>
        <w:spacing w:lineRule="auto" w:line="288" w:before="0" w:after="0"/>
        <w:ind w:left="0" w:right="0" w:hanging="360"/>
        <w:jc w:val="both"/>
        <w:rPr/>
      </w:pPr>
      <w:r>
        <w:rPr>
          <w:color w:val="000000"/>
        </w:rPr>
        <w:t>▪</w:t>
      </w:r>
      <w:r>
        <w:rPr>
          <w:rFonts w:ascii="Lato;sans-serif" w:hAnsi="Lato;sans-serif"/>
          <w:b w:val="false"/>
          <w:color w:val="000000"/>
          <w:sz w:val="20"/>
        </w:rPr>
        <w:t xml:space="preserve">in the event of a change in control, the award will only vest to the extent the underlying stock price goal is achieved in connection with such transaction, and the award will remain subject to the service-based vesting condition; </w:t>
      </w:r>
    </w:p>
    <w:p>
      <w:pPr>
        <w:pStyle w:val="TextBody"/>
        <w:bidi w:val="0"/>
        <w:spacing w:lineRule="auto" w:line="288" w:before="0" w:after="0"/>
        <w:ind w:left="0" w:right="0" w:hanging="360"/>
        <w:jc w:val="both"/>
        <w:rPr/>
      </w:pPr>
      <w:r>
        <w:rPr>
          <w:color w:val="000000"/>
        </w:rPr>
        <w:t>▪</w:t>
      </w:r>
      <w:r>
        <w:rPr>
          <w:rFonts w:ascii="Lato;sans-serif" w:hAnsi="Lato;sans-serif"/>
          <w:b w:val="false"/>
          <w:color w:val="000000"/>
          <w:sz w:val="20"/>
        </w:rPr>
        <w:t>includes non-competition and non-solicitation restrictive covenants; and</w:t>
      </w:r>
    </w:p>
    <w:p>
      <w:pPr>
        <w:pStyle w:val="TextBody"/>
        <w:bidi w:val="0"/>
        <w:spacing w:lineRule="auto" w:line="288" w:before="0" w:after="0"/>
        <w:ind w:left="0" w:right="0" w:hanging="360"/>
        <w:jc w:val="left"/>
        <w:rPr/>
      </w:pPr>
      <w:r>
        <w:rPr>
          <w:color w:val="000000"/>
        </w:rPr>
        <w:t>▪</w:t>
      </w:r>
      <w:r>
        <w:rPr>
          <w:rFonts w:ascii="Lato;sans-serif" w:hAnsi="Lato;sans-serif"/>
          <w:b w:val="false"/>
          <w:color w:val="000000"/>
          <w:sz w:val="20"/>
        </w:rPr>
        <w:t>is intended to serve as the sole equity award vehicle for Mr. Schuck during the 10-year term of the award, and therefore, represents an up-front equity award in lieu of annual participation in our long-term incentive program.</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352425"/>
                <wp:effectExtent l="0" t="0" r="0" b="0"/>
                <wp:wrapNone/>
                <wp:docPr id="60" name="Frame44"/>
                <a:graphic xmlns:a="http://schemas.openxmlformats.org/drawingml/2006/main">
                  <a:graphicData uri="http://schemas.microsoft.com/office/word/2010/wordprocessingShape">
                    <wps:wsp>
                      <wps:cNvSpPr txBox="1"/>
                      <wps:spPr>
                        <a:xfrm>
                          <a:off x="0" y="0"/>
                          <a:ext cx="6480175" cy="352425"/>
                        </a:xfrm>
                        <a:prstGeom prst="rect"/>
                        <a:solidFill>
                          <a:srgbClr val="FFFFFF"/>
                        </a:solidFill>
                      </wps:spPr>
                      <wps:txbx>
                        <w:txbxContent>
                          <w:p>
                            <w:pPr>
                              <w:pStyle w:val="TextBody"/>
                              <w:bidi w:val="0"/>
                              <w:spacing w:lineRule="auto" w:line="288" w:before="0" w:after="0"/>
                              <w:jc w:val="center"/>
                              <w:rPr>
                                <w:rFonts w:ascii="Lato;sans-serif" w:hAnsi="Lato;sans-serif"/>
                                <w:b w:val="false"/>
                                <w:color w:val="000000"/>
                                <w:sz w:val="20"/>
                              </w:rPr>
                            </w:pPr>
                            <w:r>
                              <w:rPr>
                                <w:rFonts w:ascii="Lato;sans-serif" w:hAnsi="Lato;sans-serif"/>
                                <w:b w:val="false"/>
                                <w:color w:val="000000"/>
                                <w:sz w:val="20"/>
                              </w:rPr>
                              <w:t>38</w:t>
                            </w:r>
                          </w:p>
                          <w:p>
                            <w:pPr>
                              <w:pStyle w:val="TextBody"/>
                              <w:bidi w:val="0"/>
                              <w:spacing w:lineRule="auto" w:line="288" w:before="0" w:after="0"/>
                              <w:jc w:val="left"/>
                              <w:rPr>
                                <w:color w:val="000000"/>
                              </w:rPr>
                            </w:pPr>
                            <w:r>
                              <w:rPr>
                                <w:color w:val="000000"/>
                              </w:rPr>
                              <w:t>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Lato;sans-serif" w:hAnsi="Lato;sans-serif"/>
                          <w:b w:val="false"/>
                          <w:color w:val="000000"/>
                          <w:sz w:val="20"/>
                        </w:rPr>
                      </w:pPr>
                      <w:r>
                        <w:rPr>
                          <w:rFonts w:ascii="Lato;sans-serif" w:hAnsi="Lato;sans-serif"/>
                          <w:b w:val="false"/>
                          <w:color w:val="000000"/>
                          <w:sz w:val="20"/>
                        </w:rPr>
                        <w:t>38</w:t>
                      </w:r>
                    </w:p>
                    <w:p>
                      <w:pPr>
                        <w:pStyle w:val="TextBody"/>
                        <w:bidi w:val="0"/>
                        <w:spacing w:lineRule="auto" w:line="288" w:before="0" w:after="0"/>
                        <w:jc w:val="left"/>
                        <w:rPr>
                          <w:color w:val="000000"/>
                        </w:rPr>
                      </w:pPr>
                      <w:r>
                        <w:rPr>
                          <w:color w:val="000000"/>
                        </w:rPr>
                        <w:t>        </w:t>
                      </w:r>
                    </w:p>
                  </w:txbxContent>
                </v:textbox>
                <w10:wrap type="none"/>
              </v:rect>
            </w:pict>
          </mc:Fallback>
        </mc:AlternateContent>
      </w:r>
    </w:p>
    <w:p>
      <w:pPr>
        <w:pStyle w:val="TextBody"/>
        <w:bidi w:val="0"/>
        <w:spacing w:before="0" w:after="0"/>
        <w:jc w:val="left"/>
        <w:rPr/>
      </w:pPr>
      <w:r>
        <w:rPr/>
      </w:r>
    </w:p>
    <w:p>
      <w:pPr>
        <w:pStyle w:val="TextBody"/>
        <w:bidi w:val="0"/>
        <w:spacing w:lineRule="auto" w:line="333" w:before="300" w:after="180"/>
        <w:jc w:val="left"/>
        <w:rPr>
          <w:rFonts w:ascii="Lato;sans-serif" w:hAnsi="Lato;sans-serif"/>
          <w:b/>
          <w:color w:val="000000"/>
          <w:sz w:val="20"/>
        </w:rPr>
      </w:pPr>
      <w:r>
        <w:rPr>
          <w:rFonts w:ascii="Lato;sans-serif" w:hAnsi="Lato;sans-serif"/>
          <w:b/>
          <w:color w:val="000000"/>
          <w:sz w:val="20"/>
        </w:rPr>
        <w:t>Executive Compensation Policies and Practices</w:t>
      </w:r>
    </w:p>
    <w:p>
      <w:pPr>
        <w:pStyle w:val="TextBody"/>
        <w:bidi w:val="0"/>
        <w:spacing w:lineRule="auto" w:line="333" w:before="180" w:after="180"/>
        <w:jc w:val="both"/>
        <w:rPr>
          <w:rFonts w:ascii="Lato;sans-serif" w:hAnsi="Lato;sans-serif"/>
          <w:b w:val="false"/>
          <w:color w:val="000000"/>
          <w:sz w:val="20"/>
        </w:rPr>
      </w:pPr>
      <w:r>
        <w:rPr>
          <w:rFonts w:ascii="Lato;sans-serif" w:hAnsi="Lato;sans-serif"/>
          <w:b w:val="false"/>
          <w:color w:val="000000"/>
          <w:sz w:val="20"/>
        </w:rPr>
        <w:t>Our executive compensation program adheres to the following practices:</w:t>
      </w:r>
    </w:p>
    <w:tbl>
      <w:tblPr>
        <w:tblW w:w="10205" w:type="dxa"/>
        <w:jc w:val="left"/>
        <w:tblInd w:w="0" w:type="dxa"/>
        <w:tblLayout w:type="fixed"/>
        <w:tblCellMar>
          <w:top w:w="28" w:type="dxa"/>
          <w:left w:w="28" w:type="dxa"/>
          <w:bottom w:w="28" w:type="dxa"/>
          <w:right w:w="28" w:type="dxa"/>
        </w:tblCellMar>
      </w:tblPr>
      <w:tblGrid>
        <w:gridCol w:w="2217"/>
        <w:gridCol w:w="1953"/>
        <w:gridCol w:w="1965"/>
        <w:gridCol w:w="1305"/>
        <w:gridCol w:w="1305"/>
        <w:gridCol w:w="1460"/>
      </w:tblGrid>
      <w:tr>
        <w:trPr/>
        <w:tc>
          <w:tcPr>
            <w:tcW w:w="2217" w:type="dxa"/>
            <w:tcBorders/>
            <w:vAlign w:val="center"/>
          </w:tcPr>
          <w:p>
            <w:pPr>
              <w:pStyle w:val="TableContents"/>
              <w:bidi w:val="0"/>
              <w:spacing w:before="0" w:after="283"/>
              <w:jc w:val="left"/>
              <w:rPr>
                <w:sz w:val="4"/>
                <w:szCs w:val="4"/>
              </w:rPr>
            </w:pPr>
            <w:r>
              <w:rPr>
                <w:sz w:val="4"/>
                <w:szCs w:val="4"/>
              </w:rPr>
            </w:r>
          </w:p>
        </w:tc>
        <w:tc>
          <w:tcPr>
            <w:tcW w:w="1953" w:type="dxa"/>
            <w:tcBorders/>
            <w:vAlign w:val="center"/>
          </w:tcPr>
          <w:p>
            <w:pPr>
              <w:pStyle w:val="TableContents"/>
              <w:bidi w:val="0"/>
              <w:spacing w:before="0" w:after="283"/>
              <w:jc w:val="left"/>
              <w:rPr>
                <w:sz w:val="4"/>
                <w:szCs w:val="4"/>
              </w:rPr>
            </w:pPr>
            <w:r>
              <w:rPr>
                <w:sz w:val="4"/>
                <w:szCs w:val="4"/>
              </w:rPr>
            </w:r>
          </w:p>
        </w:tc>
        <w:tc>
          <w:tcPr>
            <w:tcW w:w="1965" w:type="dxa"/>
            <w:tcBorders/>
            <w:vAlign w:val="center"/>
          </w:tcPr>
          <w:p>
            <w:pPr>
              <w:pStyle w:val="TableContents"/>
              <w:bidi w:val="0"/>
              <w:spacing w:before="0" w:after="283"/>
              <w:jc w:val="left"/>
              <w:rPr>
                <w:sz w:val="4"/>
                <w:szCs w:val="4"/>
              </w:rPr>
            </w:pPr>
            <w:r>
              <w:rPr>
                <w:sz w:val="4"/>
                <w:szCs w:val="4"/>
              </w:rPr>
            </w:r>
          </w:p>
        </w:tc>
        <w:tc>
          <w:tcPr>
            <w:tcW w:w="1305" w:type="dxa"/>
            <w:tcBorders/>
            <w:vAlign w:val="center"/>
          </w:tcPr>
          <w:p>
            <w:pPr>
              <w:pStyle w:val="TableContents"/>
              <w:bidi w:val="0"/>
              <w:spacing w:before="0" w:after="283"/>
              <w:jc w:val="left"/>
              <w:rPr>
                <w:sz w:val="4"/>
                <w:szCs w:val="4"/>
              </w:rPr>
            </w:pPr>
            <w:r>
              <w:rPr>
                <w:sz w:val="4"/>
                <w:szCs w:val="4"/>
              </w:rPr>
            </w:r>
          </w:p>
        </w:tc>
        <w:tc>
          <w:tcPr>
            <w:tcW w:w="1305" w:type="dxa"/>
            <w:tcBorders/>
            <w:vAlign w:val="center"/>
          </w:tcPr>
          <w:p>
            <w:pPr>
              <w:pStyle w:val="TableContents"/>
              <w:bidi w:val="0"/>
              <w:spacing w:before="0" w:after="283"/>
              <w:jc w:val="left"/>
              <w:rPr>
                <w:sz w:val="4"/>
                <w:szCs w:val="4"/>
              </w:rPr>
            </w:pPr>
            <w:r>
              <w:rPr>
                <w:sz w:val="4"/>
                <w:szCs w:val="4"/>
              </w:rPr>
            </w:r>
          </w:p>
        </w:tc>
        <w:tc>
          <w:tcPr>
            <w:tcW w:w="1460" w:type="dxa"/>
            <w:tcBorders/>
            <w:vAlign w:val="center"/>
          </w:tcPr>
          <w:p>
            <w:pPr>
              <w:pStyle w:val="TableContents"/>
              <w:bidi w:val="0"/>
              <w:spacing w:before="0" w:after="283"/>
              <w:jc w:val="left"/>
              <w:rPr>
                <w:sz w:val="4"/>
                <w:szCs w:val="4"/>
              </w:rPr>
            </w:pPr>
            <w:r>
              <w:rPr>
                <w:sz w:val="4"/>
                <w:szCs w:val="4"/>
              </w:rPr>
            </w:r>
          </w:p>
        </w:tc>
      </w:tr>
      <w:tr>
        <w:trPr/>
        <w:tc>
          <w:tcPr>
            <w:tcW w:w="6135" w:type="dxa"/>
            <w:gridSpan w:val="3"/>
            <w:tcBorders>
              <w:top w:val="single" w:sz="4" w:space="0" w:color="000000"/>
              <w:left w:val="single" w:sz="4" w:space="0" w:color="000000"/>
            </w:tcBorders>
            <w:shd w:fill="F44238" w:val="clear"/>
            <w:tcMar>
              <w:top w:w="30" w:type="dxa"/>
              <w:bottom w:w="0" w:type="dxa"/>
              <w:right w:w="0" w:type="dxa"/>
            </w:tcMar>
            <w:vAlign w:val="center"/>
          </w:tcPr>
          <w:p>
            <w:pPr>
              <w:pStyle w:val="TableContents"/>
              <w:bidi w:val="0"/>
              <w:spacing w:lineRule="auto" w:line="240" w:before="0" w:after="283"/>
              <w:jc w:val="center"/>
              <w:rPr>
                <w:rFonts w:ascii="Lato;sans-serif" w:hAnsi="Lato;sans-serif"/>
                <w:b/>
                <w:color w:val="FFFFFF"/>
                <w:sz w:val="20"/>
              </w:rPr>
            </w:pPr>
            <w:r>
              <w:rPr>
                <w:rFonts w:ascii="Lato;sans-serif" w:hAnsi="Lato;sans-serif"/>
                <w:b/>
                <w:color w:val="FFFFFF"/>
                <w:sz w:val="20"/>
              </w:rPr>
              <w:t>What We Do</w:t>
            </w:r>
          </w:p>
        </w:tc>
        <w:tc>
          <w:tcPr>
            <w:tcW w:w="4070" w:type="dxa"/>
            <w:gridSpan w:val="3"/>
            <w:tcBorders>
              <w:top w:val="single" w:sz="4" w:space="0" w:color="000000"/>
              <w:left w:val="single" w:sz="4" w:space="0" w:color="000000"/>
              <w:right w:val="single" w:sz="4" w:space="0" w:color="000000"/>
            </w:tcBorders>
            <w:shd w:fill="F44238" w:val="clear"/>
            <w:tcMar>
              <w:top w:w="30" w:type="dxa"/>
              <w:bottom w:w="0" w:type="dxa"/>
            </w:tcMar>
            <w:vAlign w:val="center"/>
          </w:tcPr>
          <w:p>
            <w:pPr>
              <w:pStyle w:val="TableContents"/>
              <w:bidi w:val="0"/>
              <w:spacing w:lineRule="auto" w:line="240" w:before="0" w:after="283"/>
              <w:jc w:val="center"/>
              <w:rPr>
                <w:rFonts w:ascii="Lato;sans-serif" w:hAnsi="Lato;sans-serif"/>
                <w:b/>
                <w:color w:val="FFFFFF"/>
                <w:sz w:val="20"/>
              </w:rPr>
            </w:pPr>
            <w:r>
              <w:rPr>
                <w:rFonts w:ascii="Lato;sans-serif" w:hAnsi="Lato;sans-serif"/>
                <w:b/>
                <w:color w:val="FFFFFF"/>
                <w:sz w:val="20"/>
              </w:rPr>
              <w:t>What We Don’t Do</w:t>
            </w:r>
          </w:p>
        </w:tc>
      </w:tr>
      <w:tr>
        <w:trPr/>
        <w:tc>
          <w:tcPr>
            <w:tcW w:w="6135" w:type="dxa"/>
            <w:gridSpan w:val="3"/>
            <w:tcBorders>
              <w:top w:val="single" w:sz="4" w:space="0" w:color="000000"/>
              <w:left w:val="single" w:sz="4" w:space="0" w:color="000000"/>
            </w:tcBorders>
            <w:shd w:fill="FFFFFF" w:val="clear"/>
            <w:tcMar>
              <w:top w:w="30" w:type="dxa"/>
              <w:bottom w:w="0" w:type="dxa"/>
              <w:right w:w="0" w:type="dxa"/>
            </w:tcMar>
            <w:vAlign w:val="center"/>
          </w:tcPr>
          <w:p>
            <w:pPr>
              <w:pStyle w:val="TableContents"/>
              <w:bidi w:val="0"/>
              <w:spacing w:lineRule="auto" w:line="288" w:before="120" w:after="283"/>
              <w:jc w:val="both"/>
              <w:rPr>
                <w:color w:val="000000"/>
              </w:rPr>
            </w:pPr>
            <w:r>
              <w:rPr>
                <w:color w:val="000000"/>
              </w:rPr>
              <w:t xml:space="preserve">☑ </w:t>
            </w:r>
            <w:r>
              <w:rPr>
                <w:rFonts w:ascii="Lato;sans-serif" w:hAnsi="Lato;sans-serif"/>
                <w:b w:val="false"/>
                <w:color w:val="000000"/>
                <w:sz w:val="20"/>
              </w:rPr>
              <w:t>Emphasize long-term equity incentives consisting of both time-based and performance-based awards</w:t>
            </w:r>
          </w:p>
        </w:tc>
        <w:tc>
          <w:tcPr>
            <w:tcW w:w="4070" w:type="dxa"/>
            <w:gridSpan w:val="3"/>
            <w:tcBorders>
              <w:top w:val="single" w:sz="4" w:space="0" w:color="000000"/>
              <w:left w:val="single" w:sz="4" w:space="0" w:color="000000"/>
              <w:right w:val="single" w:sz="4" w:space="0" w:color="000000"/>
            </w:tcBorders>
            <w:shd w:fill="FFFFFF" w:val="clear"/>
            <w:tcMar>
              <w:top w:w="30" w:type="dxa"/>
              <w:bottom w:w="0" w:type="dxa"/>
            </w:tcMar>
            <w:vAlign w:val="center"/>
          </w:tcPr>
          <w:p>
            <w:pPr>
              <w:pStyle w:val="TableContents"/>
              <w:bidi w:val="0"/>
              <w:spacing w:lineRule="auto" w:line="240" w:before="0" w:after="283"/>
              <w:jc w:val="left"/>
              <w:rPr>
                <w:color w:val="000000"/>
              </w:rPr>
            </w:pPr>
            <w:r>
              <w:rPr>
                <w:color w:val="000000"/>
              </w:rPr>
              <w:t xml:space="preserve">☒ </w:t>
            </w:r>
            <w:r>
              <w:rPr>
                <w:rFonts w:ascii="Lato;sans-serif" w:hAnsi="Lato;sans-serif"/>
                <w:b w:val="false"/>
                <w:color w:val="000000"/>
                <w:sz w:val="20"/>
              </w:rPr>
              <w:t>No guaranteed “single-trigger” change in control payments</w:t>
            </w:r>
          </w:p>
        </w:tc>
      </w:tr>
      <w:tr>
        <w:trPr/>
        <w:tc>
          <w:tcPr>
            <w:tcW w:w="6135" w:type="dxa"/>
            <w:gridSpan w:val="3"/>
            <w:tcBorders>
              <w:left w:val="single" w:sz="4" w:space="0" w:color="000000"/>
            </w:tcBorders>
            <w:shd w:fill="DBDBDB" w:val="clear"/>
            <w:tcMar>
              <w:top w:w="0" w:type="dxa"/>
              <w:bottom w:w="0" w:type="dxa"/>
              <w:right w:w="0" w:type="dxa"/>
            </w:tcMar>
            <w:vAlign w:val="center"/>
          </w:tcPr>
          <w:p>
            <w:pPr>
              <w:pStyle w:val="TableContents"/>
              <w:bidi w:val="0"/>
              <w:spacing w:lineRule="auto" w:line="288" w:before="120" w:after="283"/>
              <w:jc w:val="both"/>
              <w:rPr>
                <w:color w:val="000000"/>
              </w:rPr>
            </w:pPr>
            <w:r>
              <w:rPr>
                <w:color w:val="000000"/>
              </w:rPr>
              <w:t xml:space="preserve">☑ </w:t>
            </w:r>
            <w:r>
              <w:rPr>
                <w:rFonts w:ascii="Lato;sans-serif" w:hAnsi="Lato;sans-serif"/>
                <w:b w:val="false"/>
                <w:color w:val="000000"/>
                <w:sz w:val="20"/>
              </w:rPr>
              <w:t>Tie performance cash incentive opportunities to well-defined business objectives</w:t>
            </w:r>
          </w:p>
        </w:tc>
        <w:tc>
          <w:tcPr>
            <w:tcW w:w="4070" w:type="dxa"/>
            <w:gridSpan w:val="3"/>
            <w:tcBorders>
              <w:left w:val="single" w:sz="4" w:space="0" w:color="000000"/>
              <w:right w:val="single" w:sz="4" w:space="0" w:color="000000"/>
            </w:tcBorders>
            <w:shd w:fill="DBDBDB" w:val="clear"/>
            <w:tcMar>
              <w:top w:w="0" w:type="dxa"/>
              <w:bottom w:w="0" w:type="dxa"/>
            </w:tcMar>
            <w:vAlign w:val="center"/>
          </w:tcPr>
          <w:p>
            <w:pPr>
              <w:pStyle w:val="TableContents"/>
              <w:bidi w:val="0"/>
              <w:spacing w:lineRule="auto" w:line="240" w:before="0" w:after="283"/>
              <w:jc w:val="left"/>
              <w:rPr>
                <w:color w:val="000000"/>
              </w:rPr>
            </w:pPr>
            <w:r>
              <w:rPr>
                <w:color w:val="000000"/>
              </w:rPr>
              <w:t xml:space="preserve">☒ </w:t>
            </w:r>
            <w:r>
              <w:rPr>
                <w:rFonts w:ascii="Lato;sans-serif" w:hAnsi="Lato;sans-serif"/>
                <w:b w:val="false"/>
                <w:color w:val="000000"/>
                <w:sz w:val="20"/>
              </w:rPr>
              <w:t>No tax reimbursement or tax gross-ups on severance or change in control payments</w:t>
            </w:r>
          </w:p>
        </w:tc>
      </w:tr>
      <w:tr>
        <w:trPr/>
        <w:tc>
          <w:tcPr>
            <w:tcW w:w="6135" w:type="dxa"/>
            <w:gridSpan w:val="3"/>
            <w:tcBorders>
              <w:left w:val="single" w:sz="4" w:space="0" w:color="000000"/>
            </w:tcBorders>
            <w:shd w:fill="FFFFFF" w:val="clear"/>
            <w:tcMar>
              <w:top w:w="0" w:type="dxa"/>
              <w:bottom w:w="0" w:type="dxa"/>
              <w:right w:w="0" w:type="dxa"/>
            </w:tcMar>
            <w:vAlign w:val="center"/>
          </w:tcPr>
          <w:p>
            <w:pPr>
              <w:pStyle w:val="TableContents"/>
              <w:bidi w:val="0"/>
              <w:spacing w:lineRule="auto" w:line="240" w:before="0" w:after="283"/>
              <w:jc w:val="left"/>
              <w:rPr>
                <w:color w:val="000000"/>
              </w:rPr>
            </w:pPr>
            <w:r>
              <w:rPr>
                <w:color w:val="000000"/>
              </w:rPr>
              <w:t xml:space="preserve">☑ </w:t>
            </w:r>
            <w:r>
              <w:rPr>
                <w:rFonts w:ascii="Lato;sans-serif" w:hAnsi="Lato;sans-serif"/>
                <w:b w:val="false"/>
                <w:color w:val="000000"/>
                <w:sz w:val="20"/>
              </w:rPr>
              <w:t>Provide transparent disclosure of performance incentive targets and payout structure</w:t>
            </w:r>
          </w:p>
        </w:tc>
        <w:tc>
          <w:tcPr>
            <w:tcW w:w="4070" w:type="dxa"/>
            <w:gridSpan w:val="3"/>
            <w:tcBorders>
              <w:left w:val="single" w:sz="4" w:space="0" w:color="000000"/>
              <w:right w:val="single" w:sz="4" w:space="0" w:color="000000"/>
            </w:tcBorders>
            <w:shd w:fill="FFFFFF" w:val="clear"/>
            <w:tcMar>
              <w:top w:w="0" w:type="dxa"/>
              <w:bottom w:w="0" w:type="dxa"/>
            </w:tcMar>
            <w:vAlign w:val="center"/>
          </w:tcPr>
          <w:p>
            <w:pPr>
              <w:pStyle w:val="TableContents"/>
              <w:bidi w:val="0"/>
              <w:spacing w:lineRule="auto" w:line="240" w:before="0" w:after="283"/>
              <w:jc w:val="left"/>
              <w:rPr>
                <w:color w:val="000000"/>
              </w:rPr>
            </w:pPr>
            <w:r>
              <w:rPr>
                <w:color w:val="000000"/>
              </w:rPr>
              <w:t xml:space="preserve">☒ </w:t>
            </w:r>
            <w:r>
              <w:rPr>
                <w:rFonts w:ascii="Lato;sans-serif" w:hAnsi="Lato;sans-serif"/>
                <w:b w:val="false"/>
                <w:color w:val="000000"/>
                <w:sz w:val="20"/>
              </w:rPr>
              <w:t>No special executive welfare or health benefits, or retirement plans not available to our employees generally</w:t>
            </w:r>
          </w:p>
        </w:tc>
      </w:tr>
      <w:tr>
        <w:trPr/>
        <w:tc>
          <w:tcPr>
            <w:tcW w:w="6135" w:type="dxa"/>
            <w:gridSpan w:val="3"/>
            <w:tcBorders>
              <w:left w:val="single" w:sz="4" w:space="0" w:color="000000"/>
            </w:tcBorders>
            <w:shd w:fill="DBDBDB" w:val="clear"/>
            <w:tcMar>
              <w:top w:w="0" w:type="dxa"/>
              <w:bottom w:w="0" w:type="dxa"/>
              <w:right w:w="0" w:type="dxa"/>
            </w:tcMar>
            <w:vAlign w:val="center"/>
          </w:tcPr>
          <w:p>
            <w:pPr>
              <w:pStyle w:val="TableContents"/>
              <w:bidi w:val="0"/>
              <w:spacing w:lineRule="auto" w:line="240" w:before="0" w:after="283"/>
              <w:jc w:val="left"/>
              <w:rPr>
                <w:color w:val="000000"/>
              </w:rPr>
            </w:pPr>
            <w:r>
              <w:rPr>
                <w:color w:val="000000"/>
              </w:rPr>
              <w:t xml:space="preserve">☑ </w:t>
            </w:r>
            <w:r>
              <w:rPr>
                <w:rFonts w:ascii="Lato;sans-serif" w:hAnsi="Lato;sans-serif"/>
                <w:b w:val="false"/>
                <w:color w:val="000000"/>
                <w:sz w:val="20"/>
              </w:rPr>
              <w:t>Structure equity award acceleration linked to a change in control as “double triggered” requiring both a change in control and involuntary termination for accelerated vesting to apply</w:t>
            </w:r>
          </w:p>
        </w:tc>
        <w:tc>
          <w:tcPr>
            <w:tcW w:w="4070" w:type="dxa"/>
            <w:gridSpan w:val="3"/>
            <w:tcBorders>
              <w:left w:val="single" w:sz="4" w:space="0" w:color="000000"/>
              <w:right w:val="single" w:sz="4" w:space="0" w:color="000000"/>
            </w:tcBorders>
            <w:shd w:fill="DBDBDB" w:val="clear"/>
            <w:tcMar>
              <w:top w:w="0" w:type="dxa"/>
              <w:bottom w:w="0" w:type="dxa"/>
            </w:tcMar>
            <w:vAlign w:val="center"/>
          </w:tcPr>
          <w:p>
            <w:pPr>
              <w:pStyle w:val="TableContents"/>
              <w:bidi w:val="0"/>
              <w:spacing w:lineRule="auto" w:line="240" w:before="0" w:after="283"/>
              <w:jc w:val="left"/>
              <w:rPr>
                <w:color w:val="000000"/>
              </w:rPr>
            </w:pPr>
            <w:r>
              <w:rPr>
                <w:color w:val="000000"/>
              </w:rPr>
              <w:t xml:space="preserve">☒ </w:t>
            </w:r>
            <w:r>
              <w:rPr>
                <w:rFonts w:ascii="Lato;sans-serif" w:hAnsi="Lato;sans-serif"/>
                <w:b w:val="false"/>
                <w:color w:val="000000"/>
                <w:sz w:val="20"/>
              </w:rPr>
              <w:t>No guaranteed compensation increases</w:t>
            </w:r>
          </w:p>
        </w:tc>
      </w:tr>
      <w:tr>
        <w:trPr/>
        <w:tc>
          <w:tcPr>
            <w:tcW w:w="6135" w:type="dxa"/>
            <w:gridSpan w:val="3"/>
            <w:tcBorders>
              <w:left w:val="single" w:sz="4" w:space="0" w:color="000000"/>
            </w:tcBorders>
            <w:shd w:fill="FFFFFF" w:val="clear"/>
            <w:tcMar>
              <w:top w:w="0" w:type="dxa"/>
              <w:bottom w:w="0" w:type="dxa"/>
              <w:right w:w="0" w:type="dxa"/>
            </w:tcMar>
            <w:vAlign w:val="center"/>
          </w:tcPr>
          <w:p>
            <w:pPr>
              <w:pStyle w:val="TableContents"/>
              <w:bidi w:val="0"/>
              <w:spacing w:lineRule="auto" w:line="240" w:before="0" w:after="0"/>
              <w:jc w:val="left"/>
              <w:rPr>
                <w:color w:val="000000"/>
              </w:rPr>
            </w:pPr>
            <w:r>
              <w:rPr>
                <w:color w:val="000000"/>
              </w:rPr>
              <w:t xml:space="preserve">☑ </w:t>
            </w:r>
            <w:r>
              <w:rPr>
                <w:rFonts w:ascii="Lato;sans-serif" w:hAnsi="Lato;sans-serif"/>
                <w:b w:val="false"/>
                <w:color w:val="000000"/>
                <w:sz w:val="20"/>
              </w:rPr>
              <w:t>Provide for clawback of awards in the event of fraud, conduct contributing to a financial restatement or irregularity or other detrimental activities</w:t>
            </w:r>
          </w:p>
        </w:tc>
        <w:tc>
          <w:tcPr>
            <w:tcW w:w="4070" w:type="dxa"/>
            <w:gridSpan w:val="3"/>
            <w:tcBorders>
              <w:left w:val="single" w:sz="4" w:space="0" w:color="000000"/>
              <w:right w:val="single" w:sz="4" w:space="0" w:color="000000"/>
            </w:tcBorders>
            <w:shd w:fill="FFFFFF" w:val="clear"/>
            <w:tcMar>
              <w:top w:w="0" w:type="dxa"/>
              <w:bottom w:w="0" w:type="dxa"/>
            </w:tcMar>
            <w:vAlign w:val="center"/>
          </w:tcPr>
          <w:p>
            <w:pPr>
              <w:pStyle w:val="TableContents"/>
              <w:bidi w:val="0"/>
              <w:spacing w:lineRule="auto" w:line="240" w:before="0" w:after="283"/>
              <w:jc w:val="left"/>
              <w:rPr>
                <w:color w:val="000000"/>
              </w:rPr>
            </w:pPr>
            <w:r>
              <w:rPr>
                <w:color w:val="000000"/>
              </w:rPr>
              <w:t xml:space="preserve">☒ </w:t>
            </w:r>
            <w:r>
              <w:rPr>
                <w:rFonts w:ascii="Lato;sans-serif" w:hAnsi="Lato;sans-serif"/>
                <w:b w:val="false"/>
                <w:color w:val="000000"/>
                <w:sz w:val="20"/>
              </w:rPr>
              <w:t>No guaranteed payouts under our Cash Incentive Bonus Plans</w:t>
            </w:r>
          </w:p>
        </w:tc>
      </w:tr>
      <w:tr>
        <w:trPr/>
        <w:tc>
          <w:tcPr>
            <w:tcW w:w="6135" w:type="dxa"/>
            <w:gridSpan w:val="3"/>
            <w:tcBorders>
              <w:left w:val="single" w:sz="4" w:space="0" w:color="000000"/>
            </w:tcBorders>
            <w:shd w:fill="DBDBDB" w:val="clear"/>
            <w:tcMar>
              <w:top w:w="0" w:type="dxa"/>
              <w:bottom w:w="0" w:type="dxa"/>
              <w:right w:w="0" w:type="dxa"/>
            </w:tcMar>
            <w:vAlign w:val="center"/>
          </w:tcPr>
          <w:p>
            <w:pPr>
              <w:pStyle w:val="TableContents"/>
              <w:bidi w:val="0"/>
              <w:spacing w:lineRule="auto" w:line="240" w:before="0" w:after="283"/>
              <w:jc w:val="left"/>
              <w:rPr>
                <w:color w:val="000000"/>
              </w:rPr>
            </w:pPr>
            <w:r>
              <w:rPr>
                <w:color w:val="000000"/>
              </w:rPr>
              <w:t xml:space="preserve">☑ </w:t>
            </w:r>
            <w:r>
              <w:rPr>
                <w:rFonts w:ascii="Lato;sans-serif" w:hAnsi="Lato;sans-serif"/>
                <w:b w:val="false"/>
                <w:color w:val="000000"/>
                <w:sz w:val="20"/>
              </w:rPr>
              <w:t>Assess risks of our executive compensation program</w:t>
            </w:r>
          </w:p>
        </w:tc>
        <w:tc>
          <w:tcPr>
            <w:tcW w:w="4070" w:type="dxa"/>
            <w:gridSpan w:val="3"/>
            <w:tcBorders>
              <w:left w:val="single" w:sz="4" w:space="0" w:color="000000"/>
              <w:right w:val="single" w:sz="4" w:space="0" w:color="000000"/>
            </w:tcBorders>
            <w:shd w:fill="DBDBDB" w:val="clear"/>
            <w:tcMar>
              <w:top w:w="0" w:type="dxa"/>
              <w:bottom w:w="0" w:type="dxa"/>
            </w:tcMar>
            <w:vAlign w:val="center"/>
          </w:tcPr>
          <w:p>
            <w:pPr>
              <w:pStyle w:val="TableContents"/>
              <w:bidi w:val="0"/>
              <w:spacing w:lineRule="auto" w:line="240" w:before="0" w:after="283"/>
              <w:jc w:val="left"/>
              <w:rPr>
                <w:color w:val="000000"/>
              </w:rPr>
            </w:pPr>
            <w:r>
              <w:rPr>
                <w:color w:val="000000"/>
              </w:rPr>
              <w:t xml:space="preserve">☒ </w:t>
            </w:r>
            <w:r>
              <w:rPr>
                <w:rFonts w:ascii="Lato;sans-serif" w:hAnsi="Lato;sans-serif"/>
                <w:b w:val="false"/>
                <w:color w:val="000000"/>
                <w:sz w:val="20"/>
              </w:rPr>
              <w:t>No pledging of our stock</w:t>
            </w:r>
          </w:p>
        </w:tc>
      </w:tr>
      <w:tr>
        <w:trPr/>
        <w:tc>
          <w:tcPr>
            <w:tcW w:w="6135" w:type="dxa"/>
            <w:gridSpan w:val="3"/>
            <w:tcBorders>
              <w:left w:val="single" w:sz="4" w:space="0" w:color="000000"/>
            </w:tcBorders>
            <w:shd w:fill="FFFFFF" w:val="clear"/>
            <w:tcMar>
              <w:top w:w="0" w:type="dxa"/>
              <w:bottom w:w="0" w:type="dxa"/>
              <w:right w:w="0" w:type="dxa"/>
            </w:tcMar>
            <w:vAlign w:val="center"/>
          </w:tcPr>
          <w:p>
            <w:pPr>
              <w:pStyle w:val="TableContents"/>
              <w:bidi w:val="0"/>
              <w:spacing w:lineRule="auto" w:line="240" w:before="0" w:after="283"/>
              <w:jc w:val="left"/>
              <w:rPr>
                <w:color w:val="000000"/>
              </w:rPr>
            </w:pPr>
            <w:r>
              <w:rPr>
                <w:color w:val="000000"/>
              </w:rPr>
              <w:t xml:space="preserve">☑ </w:t>
            </w:r>
            <w:r>
              <w:rPr>
                <w:rFonts w:ascii="Lato;sans-serif" w:hAnsi="Lato;sans-serif"/>
                <w:b w:val="false"/>
                <w:color w:val="000000"/>
                <w:sz w:val="20"/>
              </w:rPr>
              <w:t>Maintain a Compensation Committee comprised entirely of independent directors</w:t>
            </w:r>
          </w:p>
        </w:tc>
        <w:tc>
          <w:tcPr>
            <w:tcW w:w="4070" w:type="dxa"/>
            <w:gridSpan w:val="3"/>
            <w:tcBorders>
              <w:left w:val="single" w:sz="4" w:space="0" w:color="000000"/>
              <w:right w:val="single" w:sz="4" w:space="0" w:color="000000"/>
            </w:tcBorders>
            <w:shd w:fill="FFFFFF" w:val="clear"/>
            <w:tcMar>
              <w:top w:w="0" w:type="dxa"/>
              <w:bottom w:w="0" w:type="dxa"/>
            </w:tcMar>
            <w:vAlign w:val="center"/>
          </w:tcPr>
          <w:p>
            <w:pPr>
              <w:pStyle w:val="TableContents"/>
              <w:bidi w:val="0"/>
              <w:spacing w:lineRule="auto" w:line="240" w:before="0" w:after="283"/>
              <w:jc w:val="left"/>
              <w:rPr>
                <w:color w:val="000000"/>
              </w:rPr>
            </w:pPr>
            <w:r>
              <w:rPr>
                <w:color w:val="000000"/>
              </w:rPr>
              <w:t xml:space="preserve">☒ </w:t>
            </w:r>
            <w:r>
              <w:rPr>
                <w:rFonts w:ascii="Lato;sans-serif" w:hAnsi="Lato;sans-serif"/>
                <w:b w:val="false"/>
                <w:color w:val="000000"/>
                <w:sz w:val="20"/>
              </w:rPr>
              <w:t>No hedging of our stock</w:t>
            </w:r>
          </w:p>
        </w:tc>
      </w:tr>
      <w:tr>
        <w:trPr/>
        <w:tc>
          <w:tcPr>
            <w:tcW w:w="6135" w:type="dxa"/>
            <w:gridSpan w:val="3"/>
            <w:tcBorders>
              <w:left w:val="single" w:sz="4" w:space="0" w:color="000000"/>
              <w:bottom w:val="single" w:sz="4" w:space="0" w:color="000000"/>
            </w:tcBorders>
            <w:shd w:fill="DBDBDB" w:val="clear"/>
            <w:tcMar>
              <w:top w:w="0" w:type="dxa"/>
              <w:bottom w:w="30" w:type="dxa"/>
              <w:right w:w="0" w:type="dxa"/>
            </w:tcMar>
            <w:vAlign w:val="center"/>
          </w:tcPr>
          <w:p>
            <w:pPr>
              <w:pStyle w:val="TableContents"/>
              <w:bidi w:val="0"/>
              <w:spacing w:lineRule="auto" w:line="240" w:before="0" w:after="283"/>
              <w:jc w:val="left"/>
              <w:rPr>
                <w:color w:val="000000"/>
              </w:rPr>
            </w:pPr>
            <w:r>
              <w:rPr>
                <w:color w:val="000000"/>
              </w:rPr>
              <w:t xml:space="preserve">☑ </w:t>
            </w:r>
            <w:r>
              <w:rPr>
                <w:rFonts w:ascii="Lato;sans-serif" w:hAnsi="Lato;sans-serif"/>
                <w:b w:val="false"/>
                <w:color w:val="000000"/>
                <w:sz w:val="20"/>
              </w:rPr>
              <w:t>Retain an independent compensation advisor</w:t>
            </w:r>
          </w:p>
        </w:tc>
        <w:tc>
          <w:tcPr>
            <w:tcW w:w="4070" w:type="dxa"/>
            <w:gridSpan w:val="3"/>
            <w:tcBorders>
              <w:left w:val="single" w:sz="4" w:space="0" w:color="000000"/>
              <w:bottom w:val="single" w:sz="4" w:space="0" w:color="000000"/>
              <w:right w:val="single" w:sz="4" w:space="0" w:color="000000"/>
            </w:tcBorders>
            <w:shd w:fill="DBDBDB" w:val="clear"/>
            <w:tcMar>
              <w:top w:w="0" w:type="dxa"/>
              <w:bottom w:w="30" w:type="dxa"/>
            </w:tcMar>
            <w:vAlign w:val="center"/>
          </w:tcPr>
          <w:p>
            <w:pPr>
              <w:pStyle w:val="TableContents"/>
              <w:bidi w:val="0"/>
              <w:spacing w:lineRule="auto" w:line="240" w:before="0" w:after="283"/>
              <w:jc w:val="left"/>
              <w:rPr>
                <w:color w:val="000000"/>
              </w:rPr>
            </w:pPr>
            <w:r>
              <w:rPr>
                <w:color w:val="000000"/>
              </w:rPr>
              <w:t xml:space="preserve">☒ </w:t>
            </w:r>
            <w:r>
              <w:rPr>
                <w:rFonts w:ascii="Lato;sans-serif" w:hAnsi="Lato;sans-serif"/>
                <w:b w:val="false"/>
                <w:color w:val="000000"/>
                <w:sz w:val="20"/>
              </w:rPr>
              <w:t>No strict benchmarking of compensation to a specific percentile or our peer group</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333" w:before="300" w:after="180"/>
        <w:jc w:val="left"/>
        <w:rPr>
          <w:rFonts w:ascii="Lato;sans-serif" w:hAnsi="Lato;sans-serif"/>
          <w:b/>
          <w:color w:val="000000"/>
          <w:sz w:val="20"/>
        </w:rPr>
      </w:pPr>
      <w:r>
        <w:rPr>
          <w:rFonts w:ascii="Lato;sans-serif" w:hAnsi="Lato;sans-serif"/>
          <w:b/>
          <w:color w:val="000000"/>
          <w:sz w:val="20"/>
        </w:rPr>
        <w:t>Compensation Process</w:t>
      </w:r>
    </w:p>
    <w:p>
      <w:pPr>
        <w:pStyle w:val="TextBody"/>
        <w:bidi w:val="0"/>
        <w:spacing w:lineRule="auto" w:line="333" w:before="300" w:after="180"/>
        <w:jc w:val="both"/>
        <w:rPr>
          <w:rFonts w:ascii="Lato;sans-serif" w:hAnsi="Lato;sans-serif"/>
          <w:b/>
          <w:i/>
          <w:color w:val="000000"/>
          <w:sz w:val="20"/>
        </w:rPr>
      </w:pPr>
      <w:r>
        <w:rPr>
          <w:rFonts w:ascii="Lato;sans-serif" w:hAnsi="Lato;sans-serif"/>
          <w:b/>
          <w:i/>
          <w:color w:val="000000"/>
          <w:sz w:val="20"/>
        </w:rPr>
        <w:t>Role of Stockholder Say on Pay Vote</w:t>
      </w:r>
    </w:p>
    <w:p>
      <w:pPr>
        <w:pStyle w:val="TextBody"/>
        <w:bidi w:val="0"/>
        <w:spacing w:lineRule="auto" w:line="288" w:before="0" w:after="0"/>
        <w:jc w:val="both"/>
        <w:rPr>
          <w:rFonts w:ascii="Lato;sans-serif" w:hAnsi="Lato;sans-serif"/>
          <w:b w:val="false"/>
          <w:color w:val="000000"/>
          <w:sz w:val="20"/>
        </w:rPr>
      </w:pPr>
      <w:r>
        <w:rPr>
          <w:rFonts w:ascii="Lato;sans-serif" w:hAnsi="Lato;sans-serif"/>
          <w:b w:val="false"/>
          <w:color w:val="000000"/>
          <w:sz w:val="20"/>
        </w:rPr>
        <w:t>We provide our stockholders with the opportunity to cast an annual advisory vote on executive compensation (a “say-on-pay vote”). At our 2025 annual meeting of the stockholders held in May 2025, approximately 98.6% of the votes cast approved of our executive compensation program on an advisory basis. While the Compensation Committee believes this outcome reflects that there is strong alignment between the goals of our executive compensation program and the interests of our stockholders, the Compensation Committee also determined that there were opportunities to update the program to be responsive to investor feedback and guidelines and proxy advisory firm recommendations. Based on this feedback, the Compensation Committee added additional performance-based vesting restricted stock units as a component of the long-term incentive compensation for our CEO and other executives. The Compensation Committee will continue to consider the outcome of say-on-pay votes and stockholder feedback in its design of our executive compensation program.</w:t>
      </w:r>
    </w:p>
    <w:p>
      <w:pPr>
        <w:pStyle w:val="TextBody"/>
        <w:bidi w:val="0"/>
        <w:spacing w:lineRule="auto" w:line="288" w:before="300" w:after="180"/>
        <w:jc w:val="both"/>
        <w:rPr>
          <w:rFonts w:ascii="Lato;sans-serif" w:hAnsi="Lato;sans-serif"/>
          <w:b/>
          <w:i/>
          <w:color w:val="000000"/>
          <w:sz w:val="20"/>
        </w:rPr>
      </w:pPr>
      <w:r>
        <w:rPr>
          <w:rFonts w:ascii="Lato;sans-serif" w:hAnsi="Lato;sans-serif"/>
          <w:b/>
          <w:i/>
          <w:color w:val="000000"/>
          <w:sz w:val="20"/>
        </w:rPr>
        <w:t>Role of Our Compensation Committee, Management and the Board</w:t>
      </w:r>
    </w:p>
    <w:p>
      <w:pPr>
        <w:pStyle w:val="TextBody"/>
        <w:bidi w:val="0"/>
        <w:spacing w:lineRule="auto" w:line="288" w:before="180" w:after="180"/>
        <w:jc w:val="both"/>
        <w:rPr>
          <w:rFonts w:ascii="Lato;sans-serif" w:hAnsi="Lato;sans-serif"/>
          <w:b w:val="false"/>
          <w:color w:val="000000"/>
          <w:sz w:val="20"/>
        </w:rPr>
      </w:pPr>
      <w:r>
        <w:rPr>
          <w:rFonts w:ascii="Lato;sans-serif" w:hAnsi="Lato;sans-serif"/>
          <w:b w:val="false"/>
          <w:color w:val="000000"/>
          <w:sz w:val="20"/>
        </w:rPr>
        <w:t>The Compensation Committee is appointed by our Board of Directors to assist with the Board’s oversight responsibilities with respect to the Company’s compensation and benefit plans, policies and programs, administration of Company equity plans and its responsibilities related to the compensation of the Company’s executive officers, directors, and senior management, as appropriate.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480175" cy="352425"/>
                <wp:effectExtent l="0" t="0" r="0" b="0"/>
                <wp:wrapNone/>
                <wp:docPr id="61" name="Frame45"/>
                <a:graphic xmlns:a="http://schemas.openxmlformats.org/drawingml/2006/main">
                  <a:graphicData uri="http://schemas.microsoft.com/office/word/2010/wordprocessingShape">
                    <wps:wsp>
                      <wps:cNvSpPr txBox="1"/>
                      <wps:spPr>
                        <a:xfrm>
                          <a:off x="0" y="0"/>
                          <a:ext cx="6480175" cy="352425"/>
                        </a:xfrm>
                        <a:prstGeom prst="rect"/>
                        <a:solidFill>
                          <a:srgbClr val="FFFFFF"/>
                        </a:solidFill>
                      </wps:spPr>
                      <wps:txbx>
                        <w:txbxContent>
                          <w:p>
                            <w:pPr>
                              <w:pStyle w:val="TextBody"/>
                              <w:bidi w:val="0"/>
                              <w:spacing w:lineRule="auto" w:line="288" w:before="0" w:after="0"/>
                              <w:jc w:val="center"/>
                              <w:rPr>
                                <w:rFonts w:ascii="Lato;sans-serif" w:hAnsi="Lato;sans-serif"/>
                                <w:b w:val="false"/>
                                <w:color w:val="000000"/>
                                <w:sz w:val="20"/>
                              </w:rPr>
                            </w:pPr>
                            <w:r>
                              <w:rPr>
                                <w:rFonts w:ascii="Lato;sans-serif" w:hAnsi="Lato;sans-serif"/>
                                <w:b w:val="false"/>
                                <w:color w:val="000000"/>
                                <w:sz w:val="20"/>
                              </w:rPr>
                              <w:t>39</w:t>
                            </w:r>
                          </w:p>
                          <w:p>
                            <w:pPr>
                              <w:pStyle w:val="TextBody"/>
                              <w:bidi w:val="0"/>
                              <w:spacing w:lineRule="auto" w:line="288" w:before="0" w:after="0"/>
                              <w:jc w:val="left"/>
                              <w:rPr>
                                <w:color w:val="000000"/>
                              </w:rPr>
                            </w:pPr>
                            <w:r>
                              <w:rPr>
                                <w:color w:val="000000"/>
                              </w:rPr>
                              <w:t>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Lato;sans-serif" w:hAnsi="Lato;sans-serif"/>
                          <w:b w:val="false"/>
                          <w:color w:val="000000"/>
                          <w:sz w:val="20"/>
                        </w:rPr>
                      </w:pPr>
                      <w:r>
                        <w:rPr>
                          <w:rFonts w:ascii="Lato;sans-serif" w:hAnsi="Lato;sans-serif"/>
                          <w:b w:val="false"/>
                          <w:color w:val="000000"/>
                          <w:sz w:val="20"/>
                        </w:rPr>
                        <w:t>39</w:t>
                      </w:r>
                    </w:p>
                    <w:p>
                      <w:pPr>
                        <w:pStyle w:val="TextBody"/>
                        <w:bidi w:val="0"/>
                        <w:spacing w:lineRule="auto" w:line="288" w:before="0" w:after="0"/>
                        <w:jc w:val="left"/>
                        <w:rPr>
                          <w:color w:val="000000"/>
                        </w:rPr>
                      </w:pPr>
                      <w:r>
                        <w:rPr>
                          <w:color w:val="000000"/>
                        </w:rPr>
                        <w:t>        </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80" w:after="180"/>
        <w:jc w:val="both"/>
        <w:rPr>
          <w:rFonts w:ascii="Lato;sans-serif" w:hAnsi="Lato;sans-serif"/>
          <w:b w:val="false"/>
          <w:color w:val="000000"/>
          <w:sz w:val="20"/>
        </w:rPr>
      </w:pPr>
      <w:r>
        <w:rPr>
          <w:rFonts w:ascii="Lato;sans-serif" w:hAnsi="Lato;sans-serif"/>
          <w:b w:val="false"/>
          <w:color w:val="000000"/>
          <w:sz w:val="20"/>
        </w:rPr>
        <w:t>The Compensation Committee is primarily responsible for establishing and reviewing our general compensation strategy. The Compensation Committee meets periodically throughout the year to, among other responsibilities, manage and evaluate our executive compensation program, and generally determines, which may be subject to final Board of Directors approval, the principal components of compensation (base salary, cash performance incentives, and equity awards) for our executive officers on an annual basis; however, decisions may occur at other times for new hires, promotions or other special circumstances as our Compensation Committee determines appropriate. Since our IPO, our Compensation Committee and, in certain circumstances, our full Board, has been responsible for making all executive compensation determinations. The Compensation Committee does not delegate authority to approve executive officer compensation. From time to time, various other members of management and other employees as well as outside advisors or consultants may be invited by the Compensation Committee to make presentations, provide financial or other background information or advice or otherwise participate in Compensation Committee or Board of Directors meetings. Mr. Schuck, as our Chief Executive Officer, works closely with the Compensation Committee in managing the executive compensation program and attends some meetings of the Compensation Committee. He does not participate in the determination of his own compensation and is not present during decisions regarding his compensation.</w:t>
      </w:r>
    </w:p>
    <w:p>
      <w:pPr>
        <w:pStyle w:val="TextBody"/>
        <w:bidi w:val="0"/>
        <w:spacing w:lineRule="auto" w:line="333" w:before="300" w:after="180"/>
        <w:jc w:val="both"/>
        <w:rPr>
          <w:rFonts w:ascii="Lato;sans-serif" w:hAnsi="Lato;sans-serif"/>
          <w:b/>
          <w:i/>
          <w:color w:val="000000"/>
          <w:sz w:val="20"/>
        </w:rPr>
      </w:pPr>
      <w:r>
        <w:rPr>
          <w:rFonts w:ascii="Lato;sans-serif" w:hAnsi="Lato;sans-serif"/>
          <w:b/>
          <w:i/>
          <w:color w:val="000000"/>
          <w:sz w:val="20"/>
        </w:rPr>
        <w:t>Role of Compensation Consultant</w:t>
      </w:r>
    </w:p>
    <w:p>
      <w:pPr>
        <w:pStyle w:val="TextBody"/>
        <w:bidi w:val="0"/>
        <w:spacing w:lineRule="auto" w:line="288" w:before="120" w:after="120"/>
        <w:jc w:val="both"/>
        <w:rPr/>
      </w:pPr>
      <w:r>
        <w:rPr>
          <w:rFonts w:ascii="Lato;sans-serif" w:hAnsi="Lato;sans-serif"/>
          <w:b w:val="false"/>
          <w:color w:val="000000"/>
          <w:sz w:val="20"/>
        </w:rPr>
        <w:t>The Compensation Committee has retained Aon's Human Capital Solutions, a nationally recognized compensation consulting firm, formerly known as Radford (“</w:t>
      </w:r>
      <w:r>
        <w:rPr>
          <w:rFonts w:ascii="Lato;sans-serif" w:hAnsi="Lato;sans-serif"/>
          <w:b/>
          <w:i/>
          <w:color w:val="000000"/>
          <w:sz w:val="20"/>
        </w:rPr>
        <w:t>Aon</w:t>
      </w:r>
      <w:r>
        <w:rPr>
          <w:color w:val="000000"/>
        </w:rPr>
        <w:t>”</w:t>
      </w:r>
      <w:r>
        <w:rPr>
          <w:rFonts w:ascii="Lato;sans-serif" w:hAnsi="Lato;sans-serif"/>
          <w:b w:val="false"/>
          <w:color w:val="000000"/>
          <w:sz w:val="20"/>
        </w:rPr>
        <w:t>), to advise the Compensation Committee with respect to executive officer and director compensation, equity compensation program design, and company-wide equity strategy. Aon does not provide any services to the Company other than advising on executive and non-employee director compensation. The Compensation Committee has determined that Aon is independent from management and that Aon’s work has not raised any conflicts of interest.</w:t>
      </w:r>
    </w:p>
    <w:p>
      <w:pPr>
        <w:pStyle w:val="TextBody"/>
        <w:bidi w:val="0"/>
        <w:spacing w:lineRule="auto" w:line="333" w:before="300" w:after="180"/>
        <w:jc w:val="both"/>
        <w:rPr>
          <w:rFonts w:ascii="Lato;sans-serif" w:hAnsi="Lato;sans-serif"/>
          <w:b/>
          <w:i/>
          <w:color w:val="000000"/>
          <w:sz w:val="20"/>
        </w:rPr>
      </w:pPr>
      <w:r>
        <w:rPr>
          <w:rFonts w:ascii="Lato;sans-serif" w:hAnsi="Lato;sans-serif"/>
          <w:b/>
          <w:i/>
          <w:color w:val="000000"/>
          <w:sz w:val="20"/>
        </w:rPr>
        <w:t>Benchmarking and Peer Group</w:t>
      </w:r>
    </w:p>
    <w:p>
      <w:pPr>
        <w:pStyle w:val="TextBody"/>
        <w:bidi w:val="0"/>
        <w:spacing w:lineRule="auto" w:line="288" w:before="180" w:after="180"/>
        <w:jc w:val="both"/>
        <w:rPr/>
      </w:pPr>
      <w:r>
        <w:rPr>
          <w:rFonts w:ascii="Lato;sans-serif" w:hAnsi="Lato;sans-serif"/>
          <w:b w:val="false"/>
          <w:color w:val="000000"/>
          <w:sz w:val="20"/>
        </w:rPr>
        <w:t xml:space="preserve">In 2025, the Compensation Committee, in consultation with Aon, reviewed the Company’s peer group for purposes of benchmarking executive compensation, and making compensation decisions </w:t>
      </w:r>
      <w:r>
        <w:rPr>
          <w:rFonts w:ascii="Lato;sans-serif" w:hAnsi="Lato;sans-serif"/>
          <w:b w:val="false"/>
          <w:color w:val="000000"/>
          <w:sz w:val="20"/>
          <w:shd w:fill="FFFFFF" w:val="clear"/>
        </w:rPr>
        <w:t xml:space="preserve">in light of the Company’s growth and other factors. </w:t>
      </w:r>
      <w:r>
        <w:rPr>
          <w:rFonts w:ascii="Lato;sans-serif" w:hAnsi="Lato;sans-serif"/>
          <w:b w:val="false"/>
          <w:color w:val="000000"/>
          <w:sz w:val="20"/>
        </w:rPr>
        <w:t>Based on Aon’s review and recommendations in 2025 and following additional discussions in March 2025, the Compensation Committee approved the following list of companies as an appropriate peer group for benchmarking executive compensation, and making compensation decisions, in 2025 (the “</w:t>
      </w:r>
      <w:r>
        <w:rPr>
          <w:rFonts w:ascii="Lato;sans-serif" w:hAnsi="Lato;sans-serif"/>
          <w:b/>
          <w:i/>
          <w:color w:val="000000"/>
          <w:sz w:val="20"/>
        </w:rPr>
        <w:t>2025 Peer Group</w:t>
      </w:r>
      <w:r>
        <w:rPr>
          <w:color w:val="000000"/>
        </w:rPr>
        <w:t>”</w:t>
      </w:r>
      <w:r>
        <w:rPr>
          <w:rFonts w:ascii="Lato;sans-serif" w:hAnsi="Lato;sans-serif"/>
          <w:b w:val="false"/>
          <w:color w:val="000000"/>
          <w:sz w:val="20"/>
        </w:rPr>
        <w:t>). The Compensation Committee considered this 2025 Peer Group to align with the Company’s levels of headcount, revenue, revenue multiples, and market capitalization.</w:t>
      </w:r>
    </w:p>
    <w:tbl>
      <w:tblPr>
        <w:tblW w:w="6871" w:type="dxa"/>
        <w:jc w:val="left"/>
        <w:tblInd w:w="0" w:type="dxa"/>
        <w:tblLayout w:type="fixed"/>
        <w:tblCellMar>
          <w:top w:w="28" w:type="dxa"/>
          <w:left w:w="28" w:type="dxa"/>
          <w:bottom w:w="28" w:type="dxa"/>
          <w:right w:w="28" w:type="dxa"/>
        </w:tblCellMar>
      </w:tblPr>
      <w:tblGrid>
        <w:gridCol w:w="799"/>
        <w:gridCol w:w="701"/>
        <w:gridCol w:w="704"/>
        <w:gridCol w:w="460"/>
        <w:gridCol w:w="460"/>
        <w:gridCol w:w="461"/>
        <w:gridCol w:w="429"/>
        <w:gridCol w:w="429"/>
        <w:gridCol w:w="433"/>
        <w:gridCol w:w="583"/>
        <w:gridCol w:w="583"/>
        <w:gridCol w:w="829"/>
      </w:tblGrid>
      <w:tr>
        <w:trPr/>
        <w:tc>
          <w:tcPr>
            <w:tcW w:w="799" w:type="dxa"/>
            <w:tcBorders/>
            <w:vAlign w:val="center"/>
          </w:tcPr>
          <w:p>
            <w:pPr>
              <w:pStyle w:val="TableContents"/>
              <w:bidi w:val="0"/>
              <w:spacing w:before="0" w:after="283"/>
              <w:jc w:val="left"/>
              <w:rPr>
                <w:sz w:val="4"/>
                <w:szCs w:val="4"/>
              </w:rPr>
            </w:pPr>
            <w:r>
              <w:rPr>
                <w:sz w:val="4"/>
                <w:szCs w:val="4"/>
              </w:rPr>
            </w:r>
          </w:p>
        </w:tc>
        <w:tc>
          <w:tcPr>
            <w:tcW w:w="701"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before="0" w:after="283"/>
              <w:jc w:val="left"/>
              <w:rPr>
                <w:sz w:val="4"/>
                <w:szCs w:val="4"/>
              </w:rPr>
            </w:pPr>
            <w:r>
              <w:rPr>
                <w:sz w:val="4"/>
                <w:szCs w:val="4"/>
              </w:rPr>
            </w:r>
          </w:p>
        </w:tc>
        <w:tc>
          <w:tcPr>
            <w:tcW w:w="461"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583" w:type="dxa"/>
            <w:tcBorders/>
            <w:vAlign w:val="center"/>
          </w:tcPr>
          <w:p>
            <w:pPr>
              <w:pStyle w:val="TableContents"/>
              <w:bidi w:val="0"/>
              <w:spacing w:before="0" w:after="283"/>
              <w:jc w:val="left"/>
              <w:rPr>
                <w:sz w:val="4"/>
                <w:szCs w:val="4"/>
              </w:rPr>
            </w:pPr>
            <w:r>
              <w:rPr>
                <w:sz w:val="4"/>
                <w:szCs w:val="4"/>
              </w:rPr>
            </w:r>
          </w:p>
        </w:tc>
        <w:tc>
          <w:tcPr>
            <w:tcW w:w="583" w:type="dxa"/>
            <w:tcBorders/>
            <w:vAlign w:val="center"/>
          </w:tcPr>
          <w:p>
            <w:pPr>
              <w:pStyle w:val="TableContents"/>
              <w:bidi w:val="0"/>
              <w:spacing w:before="0" w:after="283"/>
              <w:jc w:val="left"/>
              <w:rPr>
                <w:sz w:val="4"/>
                <w:szCs w:val="4"/>
              </w:rPr>
            </w:pPr>
            <w:r>
              <w:rPr>
                <w:sz w:val="4"/>
                <w:szCs w:val="4"/>
              </w:rPr>
            </w:r>
          </w:p>
        </w:tc>
        <w:tc>
          <w:tcPr>
            <w:tcW w:w="829" w:type="dxa"/>
            <w:tcBorders/>
            <w:vAlign w:val="center"/>
          </w:tcPr>
          <w:p>
            <w:pPr>
              <w:pStyle w:val="TableContents"/>
              <w:bidi w:val="0"/>
              <w:spacing w:before="0" w:after="283"/>
              <w:jc w:val="left"/>
              <w:rPr>
                <w:sz w:val="4"/>
                <w:szCs w:val="4"/>
              </w:rPr>
            </w:pPr>
            <w:r>
              <w:rPr>
                <w:sz w:val="4"/>
                <w:szCs w:val="4"/>
              </w:rPr>
            </w:r>
          </w:p>
        </w:tc>
      </w:tr>
      <w:tr>
        <w:trPr/>
        <w:tc>
          <w:tcPr>
            <w:tcW w:w="220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Lato;sans-serif" w:hAnsi="Lato;sans-serif"/>
                <w:b w:val="false"/>
                <w:color w:val="000000"/>
                <w:sz w:val="20"/>
              </w:rPr>
            </w:pPr>
            <w:r>
              <w:rPr>
                <w:rFonts w:ascii="Lato;sans-serif" w:hAnsi="Lato;sans-serif"/>
                <w:b w:val="false"/>
                <w:color w:val="000000"/>
                <w:sz w:val="20"/>
              </w:rPr>
              <w:t>Alarm.com</w:t>
            </w:r>
          </w:p>
        </w:tc>
        <w:tc>
          <w:tcPr>
            <w:tcW w:w="138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Lato;sans-serif" w:hAnsi="Lato;sans-serif"/>
                <w:b w:val="false"/>
                <w:color w:val="000000"/>
                <w:sz w:val="20"/>
              </w:rPr>
            </w:pPr>
            <w:r>
              <w:rPr>
                <w:rFonts w:ascii="Lato;sans-serif" w:hAnsi="Lato;sans-serif"/>
                <w:b w:val="false"/>
                <w:color w:val="000000"/>
                <w:sz w:val="20"/>
              </w:rPr>
              <w:t>DoubleVerify</w:t>
            </w:r>
          </w:p>
        </w:tc>
        <w:tc>
          <w:tcPr>
            <w:tcW w:w="12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20"/>
              </w:rPr>
            </w:pPr>
            <w:r>
              <w:rPr>
                <w:rFonts w:ascii="Lato;sans-serif" w:hAnsi="Lato;sans-serif"/>
                <w:b w:val="false"/>
                <w:color w:val="000000"/>
                <w:sz w:val="20"/>
              </w:rPr>
              <w:t>Morningstar</w:t>
            </w:r>
          </w:p>
        </w:tc>
        <w:tc>
          <w:tcPr>
            <w:tcW w:w="199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Lato;sans-serif" w:hAnsi="Lato;sans-serif"/>
                <w:b w:val="false"/>
                <w:color w:val="000000"/>
                <w:sz w:val="20"/>
              </w:rPr>
            </w:pPr>
            <w:r>
              <w:rPr>
                <w:rFonts w:ascii="Lato;sans-serif" w:hAnsi="Lato;sans-serif"/>
                <w:b w:val="false"/>
                <w:color w:val="000000"/>
                <w:sz w:val="20"/>
              </w:rPr>
              <w:t>Sprinklr</w:t>
            </w:r>
          </w:p>
        </w:tc>
      </w:tr>
      <w:tr>
        <w:trPr/>
        <w:tc>
          <w:tcPr>
            <w:tcW w:w="2204" w:type="dxa"/>
            <w:gridSpan w:val="3"/>
            <w:tcBorders/>
            <w:shd w:fill="DBDBDB" w:val="clear"/>
            <w:tcMar>
              <w:top w:w="0" w:type="dxa"/>
              <w:left w:w="0" w:type="dxa"/>
              <w:bottom w:w="0" w:type="dxa"/>
              <w:right w:w="0" w:type="dxa"/>
            </w:tcMar>
            <w:vAlign w:val="center"/>
          </w:tcPr>
          <w:p>
            <w:pPr>
              <w:pStyle w:val="TableContents"/>
              <w:bidi w:val="0"/>
              <w:spacing w:lineRule="auto" w:line="240" w:before="0" w:after="0"/>
              <w:jc w:val="left"/>
              <w:rPr>
                <w:rFonts w:ascii="Lato;sans-serif" w:hAnsi="Lato;sans-serif"/>
                <w:b w:val="false"/>
                <w:color w:val="000000"/>
                <w:sz w:val="20"/>
              </w:rPr>
            </w:pPr>
            <w:r>
              <w:rPr>
                <w:rFonts w:ascii="Lato;sans-serif" w:hAnsi="Lato;sans-serif"/>
                <w:b w:val="false"/>
                <w:color w:val="000000"/>
                <w:sz w:val="20"/>
              </w:rPr>
              <w:t>AppFolio</w:t>
            </w:r>
          </w:p>
        </w:tc>
        <w:tc>
          <w:tcPr>
            <w:tcW w:w="1381" w:type="dxa"/>
            <w:gridSpan w:val="3"/>
            <w:tcBorders/>
            <w:shd w:fill="DBDBDB" w:val="clear"/>
            <w:tcMar>
              <w:top w:w="0" w:type="dxa"/>
              <w:left w:w="0" w:type="dxa"/>
              <w:bottom w:w="0" w:type="dxa"/>
              <w:right w:w="0" w:type="dxa"/>
            </w:tcMar>
            <w:vAlign w:val="center"/>
          </w:tcPr>
          <w:p>
            <w:pPr>
              <w:pStyle w:val="TableContents"/>
              <w:bidi w:val="0"/>
              <w:spacing w:lineRule="auto" w:line="240" w:before="0" w:after="0"/>
              <w:jc w:val="left"/>
              <w:rPr>
                <w:rFonts w:ascii="Lato;sans-serif" w:hAnsi="Lato;sans-serif"/>
                <w:b w:val="false"/>
                <w:color w:val="000000"/>
                <w:sz w:val="20"/>
              </w:rPr>
            </w:pPr>
            <w:r>
              <w:rPr>
                <w:rFonts w:ascii="Lato;sans-serif" w:hAnsi="Lato;sans-serif"/>
                <w:b w:val="false"/>
                <w:color w:val="000000"/>
                <w:sz w:val="20"/>
              </w:rPr>
              <w:t>Five9</w:t>
            </w:r>
          </w:p>
        </w:tc>
        <w:tc>
          <w:tcPr>
            <w:tcW w:w="1291" w:type="dxa"/>
            <w:gridSpan w:val="3"/>
            <w:tcBorders/>
            <w:shd w:fill="DBDBDB" w:val="clear"/>
            <w:tcMar>
              <w:top w:w="0" w:type="dxa"/>
              <w:left w:w="0" w:type="dxa"/>
              <w:bottom w:w="0" w:type="dxa"/>
              <w:right w:w="0" w:type="dxa"/>
            </w:tcMar>
            <w:vAlign w:val="center"/>
          </w:tcPr>
          <w:p>
            <w:pPr>
              <w:pStyle w:val="TableContents"/>
              <w:bidi w:val="0"/>
              <w:spacing w:lineRule="auto" w:line="240" w:before="0" w:after="0"/>
              <w:jc w:val="left"/>
              <w:rPr>
                <w:rFonts w:ascii="Lato;sans-serif" w:hAnsi="Lato;sans-serif"/>
                <w:b w:val="false"/>
                <w:color w:val="000000"/>
                <w:sz w:val="20"/>
              </w:rPr>
            </w:pPr>
            <w:r>
              <w:rPr>
                <w:rFonts w:ascii="Lato;sans-serif" w:hAnsi="Lato;sans-serif"/>
                <w:b w:val="false"/>
                <w:color w:val="000000"/>
                <w:sz w:val="20"/>
              </w:rPr>
              <w:t>nCino</w:t>
            </w:r>
          </w:p>
        </w:tc>
        <w:tc>
          <w:tcPr>
            <w:tcW w:w="1995" w:type="dxa"/>
            <w:gridSpan w:val="3"/>
            <w:tcBorders/>
            <w:shd w:fill="DBDBDB" w:val="clear"/>
            <w:tcMar>
              <w:top w:w="0" w:type="dxa"/>
              <w:left w:w="0" w:type="dxa"/>
              <w:bottom w:w="0" w:type="dxa"/>
              <w:right w:w="0" w:type="dxa"/>
            </w:tcMar>
            <w:vAlign w:val="center"/>
          </w:tcPr>
          <w:p>
            <w:pPr>
              <w:pStyle w:val="TableContents"/>
              <w:bidi w:val="0"/>
              <w:spacing w:lineRule="auto" w:line="240" w:before="0" w:after="0"/>
              <w:jc w:val="left"/>
              <w:rPr>
                <w:rFonts w:ascii="Lato;sans-serif" w:hAnsi="Lato;sans-serif"/>
                <w:b w:val="false"/>
                <w:color w:val="000000"/>
                <w:sz w:val="20"/>
              </w:rPr>
            </w:pPr>
            <w:r>
              <w:rPr>
                <w:rFonts w:ascii="Lato;sans-serif" w:hAnsi="Lato;sans-serif"/>
                <w:b w:val="false"/>
                <w:color w:val="000000"/>
                <w:sz w:val="20"/>
              </w:rPr>
              <w:t>Teradata</w:t>
            </w:r>
          </w:p>
        </w:tc>
      </w:tr>
      <w:tr>
        <w:trPr/>
        <w:tc>
          <w:tcPr>
            <w:tcW w:w="220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Lato;sans-serif" w:hAnsi="Lato;sans-serif"/>
                <w:b w:val="false"/>
                <w:color w:val="000000"/>
                <w:sz w:val="20"/>
              </w:rPr>
            </w:pPr>
            <w:r>
              <w:rPr>
                <w:rFonts w:ascii="Lato;sans-serif" w:hAnsi="Lato;sans-serif"/>
                <w:b w:val="false"/>
                <w:color w:val="000000"/>
                <w:sz w:val="20"/>
              </w:rPr>
              <w:t>Asana</w:t>
            </w:r>
          </w:p>
        </w:tc>
        <w:tc>
          <w:tcPr>
            <w:tcW w:w="138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Lato;sans-serif" w:hAnsi="Lato;sans-serif"/>
                <w:b w:val="false"/>
                <w:color w:val="000000"/>
                <w:sz w:val="20"/>
              </w:rPr>
            </w:pPr>
            <w:r>
              <w:rPr>
                <w:rFonts w:ascii="Lato;sans-serif" w:hAnsi="Lato;sans-serif"/>
                <w:b w:val="false"/>
                <w:color w:val="000000"/>
                <w:sz w:val="20"/>
              </w:rPr>
              <w:t>Freshworks</w:t>
            </w:r>
          </w:p>
        </w:tc>
        <w:tc>
          <w:tcPr>
            <w:tcW w:w="12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20"/>
              </w:rPr>
            </w:pPr>
            <w:r>
              <w:rPr>
                <w:rFonts w:ascii="Lato;sans-serif" w:hAnsi="Lato;sans-serif"/>
                <w:b w:val="false"/>
                <w:color w:val="000000"/>
                <w:sz w:val="20"/>
              </w:rPr>
              <w:t>Okta</w:t>
            </w:r>
          </w:p>
        </w:tc>
        <w:tc>
          <w:tcPr>
            <w:tcW w:w="19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20"/>
              </w:rPr>
            </w:pPr>
            <w:r>
              <w:rPr>
                <w:rFonts w:ascii="Lato;sans-serif" w:hAnsi="Lato;sans-serif"/>
                <w:b w:val="false"/>
                <w:color w:val="000000"/>
                <w:sz w:val="20"/>
              </w:rPr>
              <w:t>Tyler Technologies</w:t>
            </w:r>
          </w:p>
        </w:tc>
      </w:tr>
      <w:tr>
        <w:trPr/>
        <w:tc>
          <w:tcPr>
            <w:tcW w:w="2204" w:type="dxa"/>
            <w:gridSpan w:val="3"/>
            <w:tcBorders/>
            <w:shd w:fill="DBDBDB" w:val="clear"/>
            <w:tcMar>
              <w:top w:w="0" w:type="dxa"/>
              <w:left w:w="0" w:type="dxa"/>
              <w:bottom w:w="0" w:type="dxa"/>
              <w:right w:w="0" w:type="dxa"/>
            </w:tcMar>
            <w:vAlign w:val="center"/>
          </w:tcPr>
          <w:p>
            <w:pPr>
              <w:pStyle w:val="TableContents"/>
              <w:bidi w:val="0"/>
              <w:spacing w:lineRule="auto" w:line="240" w:before="0" w:after="0"/>
              <w:jc w:val="left"/>
              <w:rPr>
                <w:rFonts w:ascii="Lato;sans-serif" w:hAnsi="Lato;sans-serif"/>
                <w:b w:val="false"/>
                <w:color w:val="000000"/>
                <w:sz w:val="20"/>
              </w:rPr>
            </w:pPr>
            <w:r>
              <w:rPr>
                <w:rFonts w:ascii="Lato;sans-serif" w:hAnsi="Lato;sans-serif"/>
                <w:b w:val="false"/>
                <w:color w:val="000000"/>
                <w:sz w:val="20"/>
              </w:rPr>
              <w:t>Braze</w:t>
            </w:r>
          </w:p>
        </w:tc>
        <w:tc>
          <w:tcPr>
            <w:tcW w:w="1381" w:type="dxa"/>
            <w:gridSpan w:val="3"/>
            <w:tcBorders/>
            <w:shd w:fill="DBDBDB" w:val="clear"/>
            <w:tcMar>
              <w:top w:w="0" w:type="dxa"/>
              <w:left w:w="0" w:type="dxa"/>
              <w:bottom w:w="0" w:type="dxa"/>
              <w:right w:w="0" w:type="dxa"/>
            </w:tcMar>
            <w:vAlign w:val="center"/>
          </w:tcPr>
          <w:p>
            <w:pPr>
              <w:pStyle w:val="TableContents"/>
              <w:bidi w:val="0"/>
              <w:spacing w:lineRule="auto" w:line="240" w:before="0" w:after="0"/>
              <w:jc w:val="left"/>
              <w:rPr>
                <w:rFonts w:ascii="Lato;sans-serif" w:hAnsi="Lato;sans-serif"/>
                <w:b w:val="false"/>
                <w:color w:val="000000"/>
                <w:sz w:val="20"/>
              </w:rPr>
            </w:pPr>
            <w:r>
              <w:rPr>
                <w:rFonts w:ascii="Lato;sans-serif" w:hAnsi="Lato;sans-serif"/>
                <w:b w:val="false"/>
                <w:color w:val="000000"/>
                <w:sz w:val="20"/>
              </w:rPr>
              <w:t>GitLab</w:t>
            </w:r>
          </w:p>
        </w:tc>
        <w:tc>
          <w:tcPr>
            <w:tcW w:w="1291" w:type="dxa"/>
            <w:gridSpan w:val="3"/>
            <w:tcBorders/>
            <w:shd w:fill="DBDBDB" w:val="clear"/>
            <w:tcMar>
              <w:top w:w="0" w:type="dxa"/>
              <w:left w:w="0" w:type="dxa"/>
              <w:bottom w:w="0" w:type="dxa"/>
              <w:right w:w="0" w:type="dxa"/>
            </w:tcMar>
            <w:vAlign w:val="center"/>
          </w:tcPr>
          <w:p>
            <w:pPr>
              <w:pStyle w:val="TableContents"/>
              <w:bidi w:val="0"/>
              <w:spacing w:lineRule="auto" w:line="240" w:before="0" w:after="0"/>
              <w:jc w:val="left"/>
              <w:rPr>
                <w:rFonts w:ascii="Lato;sans-serif" w:hAnsi="Lato;sans-serif"/>
                <w:b w:val="false"/>
                <w:color w:val="000000"/>
                <w:sz w:val="20"/>
              </w:rPr>
            </w:pPr>
            <w:r>
              <w:rPr>
                <w:rFonts w:ascii="Lato;sans-serif" w:hAnsi="Lato;sans-serif"/>
                <w:b w:val="false"/>
                <w:color w:val="000000"/>
                <w:sz w:val="20"/>
              </w:rPr>
              <w:t>PagerDuty</w:t>
            </w:r>
          </w:p>
        </w:tc>
        <w:tc>
          <w:tcPr>
            <w:tcW w:w="1995" w:type="dxa"/>
            <w:gridSpan w:val="3"/>
            <w:tcBorders/>
            <w:shd w:fill="DBDBDB" w:val="clear"/>
            <w:tcMar>
              <w:top w:w="0" w:type="dxa"/>
              <w:left w:w="0" w:type="dxa"/>
              <w:bottom w:w="0" w:type="dxa"/>
              <w:right w:w="0" w:type="dxa"/>
            </w:tcMar>
            <w:vAlign w:val="center"/>
          </w:tcPr>
          <w:p>
            <w:pPr>
              <w:pStyle w:val="TableContents"/>
              <w:bidi w:val="0"/>
              <w:spacing w:lineRule="auto" w:line="240" w:before="0" w:after="0"/>
              <w:jc w:val="left"/>
              <w:rPr>
                <w:rFonts w:ascii="Lato;sans-serif" w:hAnsi="Lato;sans-serif"/>
                <w:b w:val="false"/>
                <w:color w:val="000000"/>
                <w:sz w:val="20"/>
              </w:rPr>
            </w:pPr>
            <w:r>
              <w:rPr>
                <w:rFonts w:ascii="Lato;sans-serif" w:hAnsi="Lato;sans-serif"/>
                <w:b w:val="false"/>
                <w:color w:val="000000"/>
                <w:sz w:val="20"/>
              </w:rPr>
              <w:t>Twilio</w:t>
            </w:r>
          </w:p>
        </w:tc>
      </w:tr>
      <w:tr>
        <w:trPr/>
        <w:tc>
          <w:tcPr>
            <w:tcW w:w="220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Lato;sans-serif" w:hAnsi="Lato;sans-serif"/>
                <w:b w:val="false"/>
                <w:color w:val="000000"/>
                <w:sz w:val="20"/>
              </w:rPr>
            </w:pPr>
            <w:r>
              <w:rPr>
                <w:rFonts w:ascii="Lato;sans-serif" w:hAnsi="Lato;sans-serif"/>
                <w:b w:val="false"/>
                <w:color w:val="000000"/>
                <w:sz w:val="20"/>
              </w:rPr>
              <w:t xml:space="preserve">Clearwater Analytics </w:t>
            </w:r>
          </w:p>
        </w:tc>
        <w:tc>
          <w:tcPr>
            <w:tcW w:w="138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Lato;sans-serif" w:hAnsi="Lato;sans-serif"/>
                <w:b w:val="false"/>
                <w:color w:val="000000"/>
                <w:sz w:val="20"/>
              </w:rPr>
            </w:pPr>
            <w:r>
              <w:rPr>
                <w:rFonts w:ascii="Lato;sans-serif" w:hAnsi="Lato;sans-serif"/>
                <w:b w:val="false"/>
                <w:color w:val="000000"/>
                <w:sz w:val="20"/>
              </w:rPr>
              <w:t>HubSpot</w:t>
            </w:r>
          </w:p>
        </w:tc>
        <w:tc>
          <w:tcPr>
            <w:tcW w:w="129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Lato;sans-serif" w:hAnsi="Lato;sans-serif"/>
                <w:b w:val="false"/>
                <w:color w:val="000000"/>
                <w:sz w:val="20"/>
              </w:rPr>
            </w:pPr>
            <w:r>
              <w:rPr>
                <w:rFonts w:ascii="Lato;sans-serif" w:hAnsi="Lato;sans-serif"/>
                <w:b w:val="false"/>
                <w:color w:val="000000"/>
                <w:sz w:val="20"/>
              </w:rPr>
              <w:t>Rapid7</w:t>
            </w:r>
          </w:p>
        </w:tc>
        <w:tc>
          <w:tcPr>
            <w:tcW w:w="199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Lato;sans-serif" w:hAnsi="Lato;sans-serif"/>
                <w:b w:val="false"/>
                <w:color w:val="000000"/>
                <w:sz w:val="20"/>
              </w:rPr>
            </w:pPr>
            <w:r>
              <w:rPr>
                <w:rFonts w:ascii="Lato;sans-serif" w:hAnsi="Lato;sans-serif"/>
                <w:b w:val="false"/>
                <w:color w:val="000000"/>
                <w:sz w:val="20"/>
              </w:rPr>
              <w:t>Verint Systems</w:t>
            </w:r>
          </w:p>
        </w:tc>
      </w:tr>
      <w:tr>
        <w:trPr/>
        <w:tc>
          <w:tcPr>
            <w:tcW w:w="220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20"/>
              </w:rPr>
            </w:pPr>
            <w:r>
              <w:rPr>
                <w:rFonts w:ascii="Lato;sans-serif" w:hAnsi="Lato;sans-serif"/>
                <w:b w:val="false"/>
                <w:color w:val="000000"/>
                <w:sz w:val="20"/>
              </w:rPr>
              <w:t>Dropbox</w:t>
            </w:r>
          </w:p>
        </w:tc>
        <w:tc>
          <w:tcPr>
            <w:tcW w:w="1381" w:type="dxa"/>
            <w:gridSpan w:val="3"/>
            <w:tcBorders/>
            <w:shd w:fill="DBDBDB" w:val="clear"/>
            <w:tcMar>
              <w:top w:w="0" w:type="dxa"/>
              <w:left w:w="0" w:type="dxa"/>
              <w:bottom w:w="0" w:type="dxa"/>
              <w:right w:w="0" w:type="dxa"/>
            </w:tcMar>
            <w:vAlign w:val="center"/>
          </w:tcPr>
          <w:p>
            <w:pPr>
              <w:pStyle w:val="TableContents"/>
              <w:bidi w:val="0"/>
              <w:spacing w:lineRule="auto" w:line="240" w:before="0" w:after="0"/>
              <w:jc w:val="left"/>
              <w:rPr>
                <w:rFonts w:ascii="Lato;sans-serif" w:hAnsi="Lato;sans-serif"/>
                <w:b w:val="false"/>
                <w:color w:val="000000"/>
                <w:sz w:val="20"/>
              </w:rPr>
            </w:pPr>
            <w:r>
              <w:rPr>
                <w:rFonts w:ascii="Lato;sans-serif" w:hAnsi="Lato;sans-serif"/>
                <w:b w:val="false"/>
                <w:color w:val="000000"/>
                <w:sz w:val="20"/>
              </w:rPr>
              <w:t>Informatica</w:t>
            </w:r>
          </w:p>
        </w:tc>
        <w:tc>
          <w:tcPr>
            <w:tcW w:w="1291" w:type="dxa"/>
            <w:gridSpan w:val="3"/>
            <w:tcBorders/>
            <w:shd w:fill="DBDBDB" w:val="clear"/>
            <w:tcMar>
              <w:top w:w="0" w:type="dxa"/>
              <w:left w:w="0" w:type="dxa"/>
              <w:bottom w:w="0" w:type="dxa"/>
              <w:right w:w="0" w:type="dxa"/>
            </w:tcMar>
            <w:vAlign w:val="center"/>
          </w:tcPr>
          <w:p>
            <w:pPr>
              <w:pStyle w:val="TableContents"/>
              <w:bidi w:val="0"/>
              <w:spacing w:lineRule="auto" w:line="240" w:before="0" w:after="0"/>
              <w:jc w:val="left"/>
              <w:rPr>
                <w:rFonts w:ascii="Lato;sans-serif" w:hAnsi="Lato;sans-serif"/>
                <w:b w:val="false"/>
                <w:color w:val="000000"/>
                <w:sz w:val="20"/>
              </w:rPr>
            </w:pPr>
            <w:r>
              <w:rPr>
                <w:rFonts w:ascii="Lato;sans-serif" w:hAnsi="Lato;sans-serif"/>
                <w:b w:val="false"/>
                <w:color w:val="000000"/>
                <w:sz w:val="20"/>
              </w:rPr>
              <w:t>SentinelOne</w:t>
            </w:r>
          </w:p>
        </w:tc>
        <w:tc>
          <w:tcPr>
            <w:tcW w:w="1995"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180"/>
        <w:jc w:val="both"/>
        <w:rPr/>
      </w:pPr>
      <w:r>
        <w:rPr>
          <w:rFonts w:ascii="Lato;sans-serif" w:hAnsi="Lato;sans-serif"/>
          <w:b w:val="false"/>
          <w:color w:val="000000"/>
          <w:sz w:val="20"/>
        </w:rPr>
        <w:t>The Compensation Committee determined that target total direct compensation and target annual and long-term incentive compensation were within a competitive range for each NE</w:t>
      </w:r>
      <w:r>
        <w:rPr>
          <w:rFonts w:ascii="Lato;sans-serif" w:hAnsi="Lato;sans-serif"/>
          <w:b w:val="false"/>
          <w:color w:val="000000"/>
          <w:sz w:val="20"/>
          <w:shd w:fill="FFFFFF" w:val="clear"/>
        </w:rPr>
        <w:t xml:space="preserve">O. </w:t>
      </w:r>
      <w:r>
        <w:rPr>
          <w:rFonts w:ascii="Lato;sans-serif" w:hAnsi="Lato;sans-serif"/>
          <w:b w:val="false"/>
          <w:color w:val="000000"/>
          <w:sz w:val="20"/>
        </w:rPr>
        <w:t>This determination took into account the base salary levels, cash bonus targets, and equity awards for each NEO described below. The Compensation Committee intends to continue to strive to provide compensation opportunities that generally align each NEO’s target total direct compensation within a competitive range of the market median and expects that a significant portion of each NEOs total compensation package will continue to be focused on rewarding long-term future performance through a combination of at-risk cash and long-term equity incentive awards.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480175" cy="352425"/>
                <wp:effectExtent l="0" t="0" r="0" b="0"/>
                <wp:wrapNone/>
                <wp:docPr id="62" name="Frame46"/>
                <a:graphic xmlns:a="http://schemas.openxmlformats.org/drawingml/2006/main">
                  <a:graphicData uri="http://schemas.microsoft.com/office/word/2010/wordprocessingShape">
                    <wps:wsp>
                      <wps:cNvSpPr txBox="1"/>
                      <wps:spPr>
                        <a:xfrm>
                          <a:off x="0" y="0"/>
                          <a:ext cx="6480175" cy="352425"/>
                        </a:xfrm>
                        <a:prstGeom prst="rect"/>
                        <a:solidFill>
                          <a:srgbClr val="FFFFFF"/>
                        </a:solidFill>
                      </wps:spPr>
                      <wps:txbx>
                        <w:txbxContent>
                          <w:p>
                            <w:pPr>
                              <w:pStyle w:val="TextBody"/>
                              <w:bidi w:val="0"/>
                              <w:spacing w:lineRule="auto" w:line="288" w:before="0" w:after="0"/>
                              <w:jc w:val="center"/>
                              <w:rPr>
                                <w:rFonts w:ascii="Lato;sans-serif" w:hAnsi="Lato;sans-serif"/>
                                <w:b w:val="false"/>
                                <w:color w:val="000000"/>
                                <w:sz w:val="20"/>
                              </w:rPr>
                            </w:pPr>
                            <w:r>
                              <w:rPr>
                                <w:rFonts w:ascii="Lato;sans-serif" w:hAnsi="Lato;sans-serif"/>
                                <w:b w:val="false"/>
                                <w:color w:val="000000"/>
                                <w:sz w:val="20"/>
                              </w:rPr>
                              <w:t>40</w:t>
                            </w:r>
                          </w:p>
                          <w:p>
                            <w:pPr>
                              <w:pStyle w:val="TextBody"/>
                              <w:bidi w:val="0"/>
                              <w:spacing w:lineRule="auto" w:line="288" w:before="0" w:after="0"/>
                              <w:jc w:val="left"/>
                              <w:rPr>
                                <w:color w:val="000000"/>
                              </w:rPr>
                            </w:pPr>
                            <w:r>
                              <w:rPr>
                                <w:color w:val="000000"/>
                              </w:rPr>
                              <w:t>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Lato;sans-serif" w:hAnsi="Lato;sans-serif"/>
                          <w:b w:val="false"/>
                          <w:color w:val="000000"/>
                          <w:sz w:val="20"/>
                        </w:rPr>
                      </w:pPr>
                      <w:r>
                        <w:rPr>
                          <w:rFonts w:ascii="Lato;sans-serif" w:hAnsi="Lato;sans-serif"/>
                          <w:b w:val="false"/>
                          <w:color w:val="000000"/>
                          <w:sz w:val="20"/>
                        </w:rPr>
                        <w:t>40</w:t>
                      </w:r>
                    </w:p>
                    <w:p>
                      <w:pPr>
                        <w:pStyle w:val="TextBody"/>
                        <w:bidi w:val="0"/>
                        <w:spacing w:lineRule="auto" w:line="288" w:before="0" w:after="0"/>
                        <w:jc w:val="left"/>
                        <w:rPr>
                          <w:color w:val="000000"/>
                        </w:rPr>
                      </w:pPr>
                      <w:r>
                        <w:rPr>
                          <w:color w:val="000000"/>
                        </w:rPr>
                        <w:t>        </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80"/>
        <w:jc w:val="both"/>
        <w:rPr>
          <w:rFonts w:ascii="Lato;sans-serif" w:hAnsi="Lato;sans-serif"/>
          <w:b w:val="false"/>
          <w:color w:val="000000"/>
          <w:sz w:val="20"/>
        </w:rPr>
      </w:pPr>
      <w:r>
        <w:rPr>
          <w:rFonts w:ascii="Lato;sans-serif" w:hAnsi="Lato;sans-serif"/>
          <w:b w:val="false"/>
          <w:color w:val="000000"/>
          <w:sz w:val="20"/>
        </w:rPr>
        <w:t>For 2026, based on Aon’s review and recommendations, and following additional discussions held in October 2025 and February 2026, the Compensation Committee has approved certain adjustments to the Company’s 2026 peer group as a result of changes at certain peer group companies and to further align with the Company’s industry and levels of headcount, revenue, revenue multiples, and market capitalization. The peer group for 2026 is set forth below.</w:t>
      </w:r>
    </w:p>
    <w:tbl>
      <w:tblPr>
        <w:tblW w:w="6540" w:type="dxa"/>
        <w:jc w:val="left"/>
        <w:tblInd w:w="0" w:type="dxa"/>
        <w:tblLayout w:type="fixed"/>
        <w:tblCellMar>
          <w:top w:w="28" w:type="dxa"/>
          <w:left w:w="28" w:type="dxa"/>
          <w:bottom w:w="28" w:type="dxa"/>
          <w:right w:w="28" w:type="dxa"/>
        </w:tblCellMar>
      </w:tblPr>
      <w:tblGrid>
        <w:gridCol w:w="598"/>
        <w:gridCol w:w="525"/>
        <w:gridCol w:w="527"/>
        <w:gridCol w:w="458"/>
        <w:gridCol w:w="458"/>
        <w:gridCol w:w="465"/>
        <w:gridCol w:w="502"/>
        <w:gridCol w:w="502"/>
        <w:gridCol w:w="510"/>
        <w:gridCol w:w="583"/>
        <w:gridCol w:w="583"/>
        <w:gridCol w:w="829"/>
      </w:tblGrid>
      <w:tr>
        <w:trPr/>
        <w:tc>
          <w:tcPr>
            <w:tcW w:w="598" w:type="dxa"/>
            <w:tcBorders/>
            <w:vAlign w:val="center"/>
          </w:tcPr>
          <w:p>
            <w:pPr>
              <w:pStyle w:val="TableContents"/>
              <w:bidi w:val="0"/>
              <w:spacing w:before="0" w:after="283"/>
              <w:jc w:val="left"/>
              <w:rPr>
                <w:sz w:val="4"/>
                <w:szCs w:val="4"/>
              </w:rPr>
            </w:pPr>
            <w:r>
              <w:rPr>
                <w:sz w:val="4"/>
                <w:szCs w:val="4"/>
              </w:rPr>
            </w:r>
          </w:p>
        </w:tc>
        <w:tc>
          <w:tcPr>
            <w:tcW w:w="525" w:type="dxa"/>
            <w:tcBorders/>
            <w:vAlign w:val="center"/>
          </w:tcPr>
          <w:p>
            <w:pPr>
              <w:pStyle w:val="TableContents"/>
              <w:bidi w:val="0"/>
              <w:spacing w:before="0" w:after="283"/>
              <w:jc w:val="left"/>
              <w:rPr>
                <w:sz w:val="4"/>
                <w:szCs w:val="4"/>
              </w:rPr>
            </w:pPr>
            <w:r>
              <w:rPr>
                <w:sz w:val="4"/>
                <w:szCs w:val="4"/>
              </w:rPr>
            </w:r>
          </w:p>
        </w:tc>
        <w:tc>
          <w:tcPr>
            <w:tcW w:w="527" w:type="dxa"/>
            <w:tcBorders/>
            <w:vAlign w:val="center"/>
          </w:tcPr>
          <w:p>
            <w:pPr>
              <w:pStyle w:val="TableContents"/>
              <w:bidi w:val="0"/>
              <w:spacing w:before="0" w:after="283"/>
              <w:jc w:val="left"/>
              <w:rPr>
                <w:sz w:val="4"/>
                <w:szCs w:val="4"/>
              </w:rPr>
            </w:pPr>
            <w:r>
              <w:rPr>
                <w:sz w:val="4"/>
                <w:szCs w:val="4"/>
              </w:rPr>
            </w:r>
          </w:p>
        </w:tc>
        <w:tc>
          <w:tcPr>
            <w:tcW w:w="458" w:type="dxa"/>
            <w:tcBorders/>
            <w:vAlign w:val="center"/>
          </w:tcPr>
          <w:p>
            <w:pPr>
              <w:pStyle w:val="TableContents"/>
              <w:bidi w:val="0"/>
              <w:spacing w:before="0" w:after="283"/>
              <w:jc w:val="left"/>
              <w:rPr>
                <w:sz w:val="4"/>
                <w:szCs w:val="4"/>
              </w:rPr>
            </w:pPr>
            <w:r>
              <w:rPr>
                <w:sz w:val="4"/>
                <w:szCs w:val="4"/>
              </w:rPr>
            </w:r>
          </w:p>
        </w:tc>
        <w:tc>
          <w:tcPr>
            <w:tcW w:w="458" w:type="dxa"/>
            <w:tcBorders/>
            <w:vAlign w:val="center"/>
          </w:tcPr>
          <w:p>
            <w:pPr>
              <w:pStyle w:val="TableContents"/>
              <w:bidi w:val="0"/>
              <w:spacing w:before="0" w:after="283"/>
              <w:jc w:val="left"/>
              <w:rPr>
                <w:sz w:val="4"/>
                <w:szCs w:val="4"/>
              </w:rPr>
            </w:pPr>
            <w:r>
              <w:rPr>
                <w:sz w:val="4"/>
                <w:szCs w:val="4"/>
              </w:rPr>
            </w:r>
          </w:p>
        </w:tc>
        <w:tc>
          <w:tcPr>
            <w:tcW w:w="465" w:type="dxa"/>
            <w:tcBorders/>
            <w:vAlign w:val="center"/>
          </w:tcPr>
          <w:p>
            <w:pPr>
              <w:pStyle w:val="TableContents"/>
              <w:bidi w:val="0"/>
              <w:spacing w:before="0" w:after="283"/>
              <w:jc w:val="left"/>
              <w:rPr>
                <w:sz w:val="4"/>
                <w:szCs w:val="4"/>
              </w:rPr>
            </w:pPr>
            <w:r>
              <w:rPr>
                <w:sz w:val="4"/>
                <w:szCs w:val="4"/>
              </w:rPr>
            </w:r>
          </w:p>
        </w:tc>
        <w:tc>
          <w:tcPr>
            <w:tcW w:w="502" w:type="dxa"/>
            <w:tcBorders/>
            <w:vAlign w:val="center"/>
          </w:tcPr>
          <w:p>
            <w:pPr>
              <w:pStyle w:val="TableContents"/>
              <w:bidi w:val="0"/>
              <w:spacing w:before="0" w:after="283"/>
              <w:jc w:val="left"/>
              <w:rPr>
                <w:sz w:val="4"/>
                <w:szCs w:val="4"/>
              </w:rPr>
            </w:pPr>
            <w:r>
              <w:rPr>
                <w:sz w:val="4"/>
                <w:szCs w:val="4"/>
              </w:rPr>
            </w:r>
          </w:p>
        </w:tc>
        <w:tc>
          <w:tcPr>
            <w:tcW w:w="502" w:type="dxa"/>
            <w:tcBorders/>
            <w:vAlign w:val="center"/>
          </w:tcPr>
          <w:p>
            <w:pPr>
              <w:pStyle w:val="TableContents"/>
              <w:bidi w:val="0"/>
              <w:spacing w:before="0" w:after="283"/>
              <w:jc w:val="left"/>
              <w:rPr>
                <w:sz w:val="4"/>
                <w:szCs w:val="4"/>
              </w:rPr>
            </w:pPr>
            <w:r>
              <w:rPr>
                <w:sz w:val="4"/>
                <w:szCs w:val="4"/>
              </w:rPr>
            </w:r>
          </w:p>
        </w:tc>
        <w:tc>
          <w:tcPr>
            <w:tcW w:w="510" w:type="dxa"/>
            <w:tcBorders/>
            <w:vAlign w:val="center"/>
          </w:tcPr>
          <w:p>
            <w:pPr>
              <w:pStyle w:val="TableContents"/>
              <w:bidi w:val="0"/>
              <w:spacing w:before="0" w:after="283"/>
              <w:jc w:val="left"/>
              <w:rPr>
                <w:sz w:val="4"/>
                <w:szCs w:val="4"/>
              </w:rPr>
            </w:pPr>
            <w:r>
              <w:rPr>
                <w:sz w:val="4"/>
                <w:szCs w:val="4"/>
              </w:rPr>
            </w:r>
          </w:p>
        </w:tc>
        <w:tc>
          <w:tcPr>
            <w:tcW w:w="583" w:type="dxa"/>
            <w:tcBorders/>
            <w:vAlign w:val="center"/>
          </w:tcPr>
          <w:p>
            <w:pPr>
              <w:pStyle w:val="TableContents"/>
              <w:bidi w:val="0"/>
              <w:spacing w:before="0" w:after="283"/>
              <w:jc w:val="left"/>
              <w:rPr>
                <w:sz w:val="4"/>
                <w:szCs w:val="4"/>
              </w:rPr>
            </w:pPr>
            <w:r>
              <w:rPr>
                <w:sz w:val="4"/>
                <w:szCs w:val="4"/>
              </w:rPr>
            </w:r>
          </w:p>
        </w:tc>
        <w:tc>
          <w:tcPr>
            <w:tcW w:w="583" w:type="dxa"/>
            <w:tcBorders/>
            <w:vAlign w:val="center"/>
          </w:tcPr>
          <w:p>
            <w:pPr>
              <w:pStyle w:val="TableContents"/>
              <w:bidi w:val="0"/>
              <w:spacing w:before="0" w:after="283"/>
              <w:jc w:val="left"/>
              <w:rPr>
                <w:sz w:val="4"/>
                <w:szCs w:val="4"/>
              </w:rPr>
            </w:pPr>
            <w:r>
              <w:rPr>
                <w:sz w:val="4"/>
                <w:szCs w:val="4"/>
              </w:rPr>
            </w:r>
          </w:p>
        </w:tc>
        <w:tc>
          <w:tcPr>
            <w:tcW w:w="829" w:type="dxa"/>
            <w:tcBorders/>
            <w:vAlign w:val="center"/>
          </w:tcPr>
          <w:p>
            <w:pPr>
              <w:pStyle w:val="TableContents"/>
              <w:bidi w:val="0"/>
              <w:spacing w:before="0" w:after="283"/>
              <w:jc w:val="left"/>
              <w:rPr>
                <w:sz w:val="4"/>
                <w:szCs w:val="4"/>
              </w:rPr>
            </w:pPr>
            <w:r>
              <w:rPr>
                <w:sz w:val="4"/>
                <w:szCs w:val="4"/>
              </w:rPr>
            </w:r>
          </w:p>
        </w:tc>
      </w:tr>
      <w:tr>
        <w:trPr/>
        <w:tc>
          <w:tcPr>
            <w:tcW w:w="165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Lato;sans-serif" w:hAnsi="Lato;sans-serif"/>
                <w:b w:val="false"/>
                <w:color w:val="000000"/>
                <w:sz w:val="20"/>
              </w:rPr>
              <w:t>ACI Worldwide</w:t>
            </w:r>
            <w:r>
              <w:rPr>
                <w:rFonts w:ascii="Times New Roman;serif" w:hAnsi="Times New Roman;serif"/>
                <w:b w:val="false"/>
                <w:color w:val="000000"/>
                <w:sz w:val="20"/>
              </w:rPr>
              <w:t>*</w:t>
            </w:r>
          </w:p>
        </w:tc>
        <w:tc>
          <w:tcPr>
            <w:tcW w:w="138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Lato;sans-serif" w:hAnsi="Lato;sans-serif"/>
                <w:b w:val="false"/>
                <w:color w:val="000000"/>
                <w:sz w:val="20"/>
              </w:rPr>
              <w:t>Calix</w:t>
            </w:r>
            <w:r>
              <w:rPr>
                <w:rFonts w:ascii="Times New Roman;serif" w:hAnsi="Times New Roman;serif"/>
                <w:b w:val="false"/>
                <w:color w:val="000000"/>
                <w:sz w:val="20"/>
              </w:rPr>
              <w:t>*</w:t>
            </w:r>
          </w:p>
        </w:tc>
        <w:tc>
          <w:tcPr>
            <w:tcW w:w="15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20"/>
              </w:rPr>
            </w:pPr>
            <w:r>
              <w:rPr>
                <w:rFonts w:ascii="Lato;sans-serif" w:hAnsi="Lato;sans-serif"/>
                <w:b w:val="false"/>
                <w:color w:val="000000"/>
                <w:sz w:val="20"/>
              </w:rPr>
              <w:t>HubSpot</w:t>
            </w:r>
          </w:p>
        </w:tc>
        <w:tc>
          <w:tcPr>
            <w:tcW w:w="19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20"/>
              </w:rPr>
            </w:pPr>
            <w:r>
              <w:rPr>
                <w:rFonts w:ascii="Lato;sans-serif" w:hAnsi="Lato;sans-serif"/>
                <w:b w:val="false"/>
                <w:color w:val="000000"/>
                <w:sz w:val="20"/>
              </w:rPr>
              <w:t>Rapid7</w:t>
            </w:r>
          </w:p>
        </w:tc>
      </w:tr>
      <w:tr>
        <w:trPr/>
        <w:tc>
          <w:tcPr>
            <w:tcW w:w="1650"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20"/>
              </w:rPr>
            </w:pPr>
            <w:r>
              <w:rPr>
                <w:rFonts w:ascii="Lato;sans-serif" w:hAnsi="Lato;sans-serif"/>
                <w:b w:val="false"/>
                <w:color w:val="000000"/>
                <w:sz w:val="20"/>
              </w:rPr>
              <w:t>Alarm.com</w:t>
            </w:r>
          </w:p>
        </w:tc>
        <w:tc>
          <w:tcPr>
            <w:tcW w:w="1381"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20"/>
              </w:rPr>
            </w:pPr>
            <w:r>
              <w:rPr>
                <w:rFonts w:ascii="Lato;sans-serif" w:hAnsi="Lato;sans-serif"/>
                <w:b w:val="false"/>
                <w:color w:val="000000"/>
                <w:sz w:val="20"/>
              </w:rPr>
              <w:t>Dropbox</w:t>
            </w:r>
          </w:p>
        </w:tc>
        <w:tc>
          <w:tcPr>
            <w:tcW w:w="1514" w:type="dxa"/>
            <w:gridSpan w:val="3"/>
            <w:tcBorders/>
            <w:shd w:fill="DBDBDB" w:val="clear"/>
            <w:tcMar>
              <w:top w:w="0" w:type="dxa"/>
              <w:left w:w="0" w:type="dxa"/>
              <w:bottom w:w="0" w:type="dxa"/>
              <w:right w:w="0" w:type="dxa"/>
            </w:tcMar>
            <w:vAlign w:val="center"/>
          </w:tcPr>
          <w:p>
            <w:pPr>
              <w:pStyle w:val="TableContents"/>
              <w:bidi w:val="0"/>
              <w:spacing w:lineRule="auto" w:line="240" w:before="0" w:after="0"/>
              <w:jc w:val="left"/>
              <w:rPr/>
            </w:pPr>
            <w:r>
              <w:rPr>
                <w:rFonts w:ascii="Lato;sans-serif" w:hAnsi="Lato;sans-serif"/>
                <w:b w:val="false"/>
                <w:color w:val="000000"/>
                <w:sz w:val="20"/>
              </w:rPr>
              <w:t>Kalviyo</w:t>
            </w:r>
            <w:r>
              <w:rPr>
                <w:rFonts w:ascii="Times New Roman;serif" w:hAnsi="Times New Roman;serif"/>
                <w:b w:val="false"/>
                <w:color w:val="000000"/>
                <w:sz w:val="20"/>
              </w:rPr>
              <w:t>*</w:t>
            </w:r>
          </w:p>
        </w:tc>
        <w:tc>
          <w:tcPr>
            <w:tcW w:w="1995"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20"/>
              </w:rPr>
            </w:pPr>
            <w:r>
              <w:rPr>
                <w:rFonts w:ascii="Lato;sans-serif" w:hAnsi="Lato;sans-serif"/>
                <w:b w:val="false"/>
                <w:color w:val="000000"/>
                <w:sz w:val="20"/>
              </w:rPr>
              <w:t>SentinelOne</w:t>
            </w:r>
          </w:p>
        </w:tc>
      </w:tr>
      <w:tr>
        <w:trPr/>
        <w:tc>
          <w:tcPr>
            <w:tcW w:w="16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20"/>
              </w:rPr>
            </w:pPr>
            <w:r>
              <w:rPr>
                <w:rFonts w:ascii="Lato;sans-serif" w:hAnsi="Lato;sans-serif"/>
                <w:b w:val="false"/>
                <w:color w:val="000000"/>
                <w:sz w:val="20"/>
              </w:rPr>
              <w:t>AppFolio</w:t>
            </w:r>
          </w:p>
        </w:tc>
        <w:tc>
          <w:tcPr>
            <w:tcW w:w="13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20"/>
              </w:rPr>
            </w:pPr>
            <w:r>
              <w:rPr>
                <w:rFonts w:ascii="Lato;sans-serif" w:hAnsi="Lato;sans-serif"/>
                <w:b w:val="false"/>
                <w:color w:val="000000"/>
                <w:sz w:val="20"/>
              </w:rPr>
              <w:t>DoubleVerify</w:t>
            </w:r>
          </w:p>
        </w:tc>
        <w:tc>
          <w:tcPr>
            <w:tcW w:w="15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20"/>
              </w:rPr>
            </w:pPr>
            <w:r>
              <w:rPr>
                <w:rFonts w:ascii="Lato;sans-serif" w:hAnsi="Lato;sans-serif"/>
                <w:b w:val="false"/>
                <w:color w:val="000000"/>
                <w:sz w:val="20"/>
              </w:rPr>
              <w:t>Morningstar</w:t>
            </w:r>
          </w:p>
        </w:tc>
        <w:tc>
          <w:tcPr>
            <w:tcW w:w="19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20"/>
              </w:rPr>
            </w:pPr>
            <w:r>
              <w:rPr>
                <w:rFonts w:ascii="Lato;sans-serif" w:hAnsi="Lato;sans-serif"/>
                <w:b w:val="false"/>
                <w:color w:val="000000"/>
                <w:sz w:val="20"/>
              </w:rPr>
              <w:t>Sprinklr</w:t>
            </w:r>
          </w:p>
        </w:tc>
      </w:tr>
      <w:tr>
        <w:trPr/>
        <w:tc>
          <w:tcPr>
            <w:tcW w:w="1650" w:type="dxa"/>
            <w:gridSpan w:val="3"/>
            <w:tcBorders/>
            <w:shd w:fill="DBDBDB" w:val="clear"/>
            <w:tcMar>
              <w:top w:w="0" w:type="dxa"/>
              <w:left w:w="0" w:type="dxa"/>
              <w:bottom w:w="0" w:type="dxa"/>
              <w:right w:w="0" w:type="dxa"/>
            </w:tcMar>
            <w:vAlign w:val="center"/>
          </w:tcPr>
          <w:p>
            <w:pPr>
              <w:pStyle w:val="TableContents"/>
              <w:bidi w:val="0"/>
              <w:spacing w:lineRule="auto" w:line="240" w:before="0" w:after="0"/>
              <w:jc w:val="left"/>
              <w:rPr/>
            </w:pPr>
            <w:r>
              <w:rPr>
                <w:rFonts w:ascii="Lato;sans-serif" w:hAnsi="Lato;sans-serif"/>
                <w:b w:val="false"/>
                <w:color w:val="000000"/>
                <w:sz w:val="20"/>
              </w:rPr>
              <w:t>Appian</w:t>
            </w:r>
            <w:r>
              <w:rPr>
                <w:rFonts w:ascii="Times New Roman;serif" w:hAnsi="Times New Roman;serif"/>
                <w:b w:val="false"/>
                <w:color w:val="000000"/>
                <w:sz w:val="20"/>
              </w:rPr>
              <w:t>*</w:t>
            </w:r>
          </w:p>
        </w:tc>
        <w:tc>
          <w:tcPr>
            <w:tcW w:w="1381"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20"/>
              </w:rPr>
            </w:pPr>
            <w:r>
              <w:rPr>
                <w:rFonts w:ascii="Lato;sans-serif" w:hAnsi="Lato;sans-serif"/>
                <w:b w:val="false"/>
                <w:color w:val="000000"/>
                <w:sz w:val="20"/>
              </w:rPr>
              <w:t>Five9</w:t>
            </w:r>
          </w:p>
        </w:tc>
        <w:tc>
          <w:tcPr>
            <w:tcW w:w="151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20"/>
              </w:rPr>
            </w:pPr>
            <w:r>
              <w:rPr>
                <w:rFonts w:ascii="Lato;sans-serif" w:hAnsi="Lato;sans-serif"/>
                <w:b w:val="false"/>
                <w:color w:val="000000"/>
                <w:sz w:val="20"/>
              </w:rPr>
              <w:t>nCino</w:t>
            </w:r>
          </w:p>
        </w:tc>
        <w:tc>
          <w:tcPr>
            <w:tcW w:w="1995"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20"/>
              </w:rPr>
            </w:pPr>
            <w:r>
              <w:rPr>
                <w:rFonts w:ascii="Lato;sans-serif" w:hAnsi="Lato;sans-serif"/>
                <w:b w:val="false"/>
                <w:color w:val="000000"/>
                <w:sz w:val="20"/>
              </w:rPr>
              <w:t>Teradata</w:t>
            </w:r>
          </w:p>
        </w:tc>
      </w:tr>
      <w:tr>
        <w:trPr/>
        <w:tc>
          <w:tcPr>
            <w:tcW w:w="16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20"/>
              </w:rPr>
            </w:pPr>
            <w:r>
              <w:rPr>
                <w:rFonts w:ascii="Lato;sans-serif" w:hAnsi="Lato;sans-serif"/>
                <w:b w:val="false"/>
                <w:color w:val="000000"/>
                <w:sz w:val="20"/>
              </w:rPr>
              <w:t>Asana</w:t>
            </w:r>
          </w:p>
        </w:tc>
        <w:tc>
          <w:tcPr>
            <w:tcW w:w="13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20"/>
              </w:rPr>
            </w:pPr>
            <w:r>
              <w:rPr>
                <w:rFonts w:ascii="Lato;sans-serif" w:hAnsi="Lato;sans-serif"/>
                <w:b w:val="false"/>
                <w:color w:val="000000"/>
                <w:sz w:val="20"/>
              </w:rPr>
              <w:t>Freshworks</w:t>
            </w:r>
          </w:p>
        </w:tc>
        <w:tc>
          <w:tcPr>
            <w:tcW w:w="15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20"/>
              </w:rPr>
            </w:pPr>
            <w:r>
              <w:rPr>
                <w:rFonts w:ascii="Lato;sans-serif" w:hAnsi="Lato;sans-serif"/>
                <w:b w:val="false"/>
                <w:color w:val="000000"/>
                <w:sz w:val="20"/>
              </w:rPr>
              <w:t>Okta</w:t>
            </w:r>
          </w:p>
        </w:tc>
        <w:tc>
          <w:tcPr>
            <w:tcW w:w="19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20"/>
              </w:rPr>
            </w:pPr>
            <w:r>
              <w:rPr>
                <w:rFonts w:ascii="Lato;sans-serif" w:hAnsi="Lato;sans-serif"/>
                <w:b w:val="false"/>
                <w:color w:val="000000"/>
                <w:sz w:val="20"/>
              </w:rPr>
              <w:t>Tyler Technologies</w:t>
            </w:r>
          </w:p>
        </w:tc>
      </w:tr>
      <w:tr>
        <w:trPr/>
        <w:tc>
          <w:tcPr>
            <w:tcW w:w="1650"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20"/>
              </w:rPr>
            </w:pPr>
            <w:r>
              <w:rPr>
                <w:rFonts w:ascii="Lato;sans-serif" w:hAnsi="Lato;sans-serif"/>
                <w:b w:val="false"/>
                <w:color w:val="000000"/>
                <w:sz w:val="20"/>
              </w:rPr>
              <w:t>Braze</w:t>
            </w:r>
          </w:p>
        </w:tc>
        <w:tc>
          <w:tcPr>
            <w:tcW w:w="1381"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20"/>
              </w:rPr>
            </w:pPr>
            <w:r>
              <w:rPr>
                <w:rFonts w:ascii="Lato;sans-serif" w:hAnsi="Lato;sans-serif"/>
                <w:b w:val="false"/>
                <w:color w:val="000000"/>
                <w:sz w:val="20"/>
              </w:rPr>
              <w:t>GitLab</w:t>
            </w:r>
          </w:p>
        </w:tc>
        <w:tc>
          <w:tcPr>
            <w:tcW w:w="151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20"/>
              </w:rPr>
            </w:pPr>
            <w:r>
              <w:rPr>
                <w:rFonts w:ascii="Lato;sans-serif" w:hAnsi="Lato;sans-serif"/>
                <w:b w:val="false"/>
                <w:color w:val="000000"/>
                <w:sz w:val="20"/>
              </w:rPr>
              <w:t>PagerDuty</w:t>
            </w:r>
          </w:p>
        </w:tc>
        <w:tc>
          <w:tcPr>
            <w:tcW w:w="1995"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20"/>
              </w:rPr>
            </w:pPr>
            <w:r>
              <w:rPr>
                <w:rFonts w:ascii="Lato;sans-serif" w:hAnsi="Lato;sans-serif"/>
                <w:b w:val="false"/>
                <w:color w:val="000000"/>
                <w:sz w:val="20"/>
              </w:rPr>
              <w:t>Twilio</w:t>
            </w:r>
          </w:p>
        </w:tc>
      </w:tr>
      <w:tr>
        <w:trPr/>
        <w:tc>
          <w:tcPr>
            <w:tcW w:w="16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Lato;sans-serif" w:hAnsi="Lato;sans-serif"/>
                <w:b w:val="false"/>
                <w:color w:val="000000"/>
                <w:sz w:val="20"/>
              </w:rPr>
              <w:t>Pegasystems</w:t>
            </w:r>
            <w:r>
              <w:rPr>
                <w:rFonts w:ascii="Times New Roman;serif" w:hAnsi="Times New Roman;serif"/>
                <w:b w:val="false"/>
                <w:color w:val="000000"/>
                <w:sz w:val="20"/>
              </w:rPr>
              <w:t>*</w:t>
            </w:r>
          </w:p>
        </w:tc>
        <w:tc>
          <w:tcPr>
            <w:tcW w:w="199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Lato;sans-serif" w:hAnsi="Lato;sans-serif"/>
                <w:b w:val="false"/>
                <w:color w:val="000000"/>
                <w:sz w:val="20"/>
              </w:rPr>
              <w:t>Workiva</w:t>
            </w:r>
            <w:r>
              <w:rPr>
                <w:rFonts w:ascii="Times New Roman;serif" w:hAnsi="Times New Roman;serif"/>
                <w:b w:val="false"/>
                <w:color w:val="000000"/>
                <w:sz w:val="20"/>
              </w:rPr>
              <w:t>*</w:t>
            </w:r>
          </w:p>
        </w:tc>
      </w:tr>
    </w:tbl>
    <w:p>
      <w:pPr>
        <w:pStyle w:val="TextBody"/>
        <w:bidi w:val="0"/>
        <w:spacing w:lineRule="auto" w:line="288" w:before="0" w:after="0"/>
        <w:jc w:val="left"/>
        <w:rPr/>
      </w:pPr>
      <w:r>
        <w:rPr>
          <w:rFonts w:ascii="Times New Roman;serif" w:hAnsi="Times New Roman;serif"/>
          <w:b w:val="false"/>
          <w:color w:val="000000"/>
          <w:sz w:val="20"/>
        </w:rPr>
        <w:br/>
      </w:r>
      <w:r>
        <w:rPr>
          <w:rFonts w:ascii="Lato;sans-serif" w:hAnsi="Lato;sans-serif"/>
          <w:b w:val="false"/>
          <w:color w:val="000000"/>
          <w:sz w:val="20"/>
        </w:rPr>
        <w:t>* Represents a new company added to the peer group for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6480175" cy="352425"/>
                <wp:effectExtent l="0" t="0" r="0" b="0"/>
                <wp:wrapNone/>
                <wp:docPr id="63" name="Frame47"/>
                <a:graphic xmlns:a="http://schemas.openxmlformats.org/drawingml/2006/main">
                  <a:graphicData uri="http://schemas.microsoft.com/office/word/2010/wordprocessingShape">
                    <wps:wsp>
                      <wps:cNvSpPr txBox="1"/>
                      <wps:spPr>
                        <a:xfrm>
                          <a:off x="0" y="0"/>
                          <a:ext cx="6480175" cy="352425"/>
                        </a:xfrm>
                        <a:prstGeom prst="rect"/>
                        <a:solidFill>
                          <a:srgbClr val="FFFFFF"/>
                        </a:solidFill>
                      </wps:spPr>
                      <wps:txbx>
                        <w:txbxContent>
                          <w:p>
                            <w:pPr>
                              <w:pStyle w:val="TextBody"/>
                              <w:bidi w:val="0"/>
                              <w:spacing w:lineRule="auto" w:line="288" w:before="0" w:after="0"/>
                              <w:jc w:val="center"/>
                              <w:rPr>
                                <w:rFonts w:ascii="Lato;sans-serif" w:hAnsi="Lato;sans-serif"/>
                                <w:b w:val="false"/>
                                <w:color w:val="000000"/>
                                <w:sz w:val="20"/>
                              </w:rPr>
                            </w:pPr>
                            <w:r>
                              <w:rPr>
                                <w:rFonts w:ascii="Lato;sans-serif" w:hAnsi="Lato;sans-serif"/>
                                <w:b w:val="false"/>
                                <w:color w:val="000000"/>
                                <w:sz w:val="20"/>
                              </w:rPr>
                              <w:t>41</w:t>
                            </w:r>
                          </w:p>
                          <w:p>
                            <w:pPr>
                              <w:pStyle w:val="TextBody"/>
                              <w:bidi w:val="0"/>
                              <w:spacing w:lineRule="auto" w:line="288" w:before="0" w:after="0"/>
                              <w:jc w:val="left"/>
                              <w:rPr>
                                <w:color w:val="000000"/>
                              </w:rPr>
                            </w:pPr>
                            <w:r>
                              <w:rPr>
                                <w:color w:val="000000"/>
                              </w:rPr>
                              <w:t>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Lato;sans-serif" w:hAnsi="Lato;sans-serif"/>
                          <w:b w:val="false"/>
                          <w:color w:val="000000"/>
                          <w:sz w:val="20"/>
                        </w:rPr>
                      </w:pPr>
                      <w:r>
                        <w:rPr>
                          <w:rFonts w:ascii="Lato;sans-serif" w:hAnsi="Lato;sans-serif"/>
                          <w:b w:val="false"/>
                          <w:color w:val="000000"/>
                          <w:sz w:val="20"/>
                        </w:rPr>
                        <w:t>41</w:t>
                      </w:r>
                    </w:p>
                    <w:p>
                      <w:pPr>
                        <w:pStyle w:val="TextBody"/>
                        <w:bidi w:val="0"/>
                        <w:spacing w:lineRule="auto" w:line="288" w:before="0" w:after="0"/>
                        <w:jc w:val="left"/>
                        <w:rPr>
                          <w:color w:val="000000"/>
                        </w:rPr>
                      </w:pPr>
                      <w:r>
                        <w:rPr>
                          <w:color w:val="000000"/>
                        </w:rPr>
                        <w:t>        </w:t>
                      </w:r>
                    </w:p>
                  </w:txbxContent>
                </v:textbox>
                <w10:wrap type="none"/>
              </v:rect>
            </w:pict>
          </mc:Fallback>
        </mc:AlternateContent>
      </w:r>
    </w:p>
    <w:p>
      <w:pPr>
        <w:pStyle w:val="TextBody"/>
        <w:bidi w:val="0"/>
        <w:spacing w:before="0" w:after="0"/>
        <w:jc w:val="left"/>
        <w:rPr/>
      </w:pPr>
      <w:r>
        <w:rPr/>
      </w:r>
    </w:p>
    <w:p>
      <w:pPr>
        <w:pStyle w:val="TextBody"/>
        <w:bidi w:val="0"/>
        <w:spacing w:lineRule="auto" w:line="333" w:before="300" w:after="180"/>
        <w:jc w:val="left"/>
        <w:rPr>
          <w:rFonts w:ascii="Lato;sans-serif" w:hAnsi="Lato;sans-serif"/>
          <w:b/>
          <w:color w:val="000000"/>
          <w:sz w:val="20"/>
        </w:rPr>
      </w:pPr>
      <w:r>
        <w:rPr>
          <w:rFonts w:ascii="Lato;sans-serif" w:hAnsi="Lato;sans-serif"/>
          <w:b/>
          <w:color w:val="000000"/>
          <w:sz w:val="20"/>
        </w:rPr>
        <w:t>Components of our Annual Compensation Program and 2025 Compensation</w:t>
      </w:r>
    </w:p>
    <w:p>
      <w:pPr>
        <w:pStyle w:val="TextBody"/>
        <w:bidi w:val="0"/>
        <w:spacing w:lineRule="auto" w:line="333" w:before="180" w:after="180"/>
        <w:jc w:val="both"/>
        <w:rPr>
          <w:rFonts w:ascii="Lato;sans-serif" w:hAnsi="Lato;sans-serif"/>
          <w:b/>
          <w:i/>
          <w:color w:val="000000"/>
          <w:sz w:val="20"/>
        </w:rPr>
      </w:pPr>
      <w:r>
        <w:rPr>
          <w:rFonts w:ascii="Lato;sans-serif" w:hAnsi="Lato;sans-serif"/>
          <w:b/>
          <w:i/>
          <w:color w:val="000000"/>
          <w:sz w:val="20"/>
        </w:rPr>
        <w:t>2025 Executive Compensation Components</w:t>
      </w:r>
    </w:p>
    <w:p>
      <w:pPr>
        <w:pStyle w:val="TextBody"/>
        <w:bidi w:val="0"/>
        <w:spacing w:lineRule="auto" w:line="288" w:before="120" w:after="240"/>
        <w:jc w:val="both"/>
        <w:rPr>
          <w:rFonts w:ascii="Lato;sans-serif" w:hAnsi="Lato;sans-serif"/>
          <w:b w:val="false"/>
          <w:color w:val="000000"/>
          <w:sz w:val="20"/>
        </w:rPr>
      </w:pPr>
      <w:r>
        <w:rPr>
          <w:rFonts w:ascii="Lato;sans-serif" w:hAnsi="Lato;sans-serif"/>
          <w:b w:val="false"/>
          <w:color w:val="000000"/>
          <w:sz w:val="20"/>
        </w:rPr>
        <w:t>Our annual executive compensation program consists of the following primary components:</w:t>
      </w:r>
    </w:p>
    <w:tbl>
      <w:tblPr>
        <w:tblW w:w="10205" w:type="dxa"/>
        <w:jc w:val="left"/>
        <w:tblInd w:w="0" w:type="dxa"/>
        <w:tblLayout w:type="fixed"/>
        <w:tblCellMar>
          <w:top w:w="28" w:type="dxa"/>
          <w:left w:w="28" w:type="dxa"/>
          <w:bottom w:w="28" w:type="dxa"/>
          <w:right w:w="28" w:type="dxa"/>
        </w:tblCellMar>
      </w:tblPr>
      <w:tblGrid>
        <w:gridCol w:w="878"/>
        <w:gridCol w:w="420"/>
        <w:gridCol w:w="392"/>
        <w:gridCol w:w="760"/>
        <w:gridCol w:w="760"/>
        <w:gridCol w:w="761"/>
        <w:gridCol w:w="895"/>
        <w:gridCol w:w="895"/>
        <w:gridCol w:w="901"/>
        <w:gridCol w:w="1557"/>
        <w:gridCol w:w="820"/>
        <w:gridCol w:w="1166"/>
      </w:tblGrid>
      <w:tr>
        <w:trPr/>
        <w:tc>
          <w:tcPr>
            <w:tcW w:w="878"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c>
          <w:tcPr>
            <w:tcW w:w="760" w:type="dxa"/>
            <w:tcBorders/>
            <w:vAlign w:val="center"/>
          </w:tcPr>
          <w:p>
            <w:pPr>
              <w:pStyle w:val="TableContents"/>
              <w:bidi w:val="0"/>
              <w:spacing w:before="0" w:after="283"/>
              <w:jc w:val="left"/>
              <w:rPr>
                <w:sz w:val="4"/>
                <w:szCs w:val="4"/>
              </w:rPr>
            </w:pPr>
            <w:r>
              <w:rPr>
                <w:sz w:val="4"/>
                <w:szCs w:val="4"/>
              </w:rPr>
            </w:r>
          </w:p>
        </w:tc>
        <w:tc>
          <w:tcPr>
            <w:tcW w:w="760" w:type="dxa"/>
            <w:tcBorders/>
            <w:vAlign w:val="center"/>
          </w:tcPr>
          <w:p>
            <w:pPr>
              <w:pStyle w:val="TableContents"/>
              <w:bidi w:val="0"/>
              <w:spacing w:before="0" w:after="283"/>
              <w:jc w:val="left"/>
              <w:rPr>
                <w:sz w:val="4"/>
                <w:szCs w:val="4"/>
              </w:rPr>
            </w:pPr>
            <w:r>
              <w:rPr>
                <w:sz w:val="4"/>
                <w:szCs w:val="4"/>
              </w:rPr>
            </w:r>
          </w:p>
        </w:tc>
        <w:tc>
          <w:tcPr>
            <w:tcW w:w="761" w:type="dxa"/>
            <w:tcBorders/>
            <w:vAlign w:val="center"/>
          </w:tcPr>
          <w:p>
            <w:pPr>
              <w:pStyle w:val="TableContents"/>
              <w:bidi w:val="0"/>
              <w:spacing w:before="0" w:after="283"/>
              <w:jc w:val="left"/>
              <w:rPr>
                <w:sz w:val="4"/>
                <w:szCs w:val="4"/>
              </w:rPr>
            </w:pPr>
            <w:r>
              <w:rPr>
                <w:sz w:val="4"/>
                <w:szCs w:val="4"/>
              </w:rPr>
            </w:r>
          </w:p>
        </w:tc>
        <w:tc>
          <w:tcPr>
            <w:tcW w:w="895" w:type="dxa"/>
            <w:tcBorders/>
            <w:vAlign w:val="center"/>
          </w:tcPr>
          <w:p>
            <w:pPr>
              <w:pStyle w:val="TableContents"/>
              <w:bidi w:val="0"/>
              <w:spacing w:before="0" w:after="283"/>
              <w:jc w:val="left"/>
              <w:rPr>
                <w:sz w:val="4"/>
                <w:szCs w:val="4"/>
              </w:rPr>
            </w:pPr>
            <w:r>
              <w:rPr>
                <w:sz w:val="4"/>
                <w:szCs w:val="4"/>
              </w:rPr>
            </w:r>
          </w:p>
        </w:tc>
        <w:tc>
          <w:tcPr>
            <w:tcW w:w="895"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557" w:type="dxa"/>
            <w:tcBorders/>
            <w:vAlign w:val="center"/>
          </w:tcPr>
          <w:p>
            <w:pPr>
              <w:pStyle w:val="TableContents"/>
              <w:bidi w:val="0"/>
              <w:spacing w:before="0" w:after="283"/>
              <w:jc w:val="left"/>
              <w:rPr>
                <w:sz w:val="4"/>
                <w:szCs w:val="4"/>
              </w:rPr>
            </w:pPr>
            <w:r>
              <w:rPr>
                <w:sz w:val="4"/>
                <w:szCs w:val="4"/>
              </w:rPr>
            </w:r>
          </w:p>
        </w:tc>
        <w:tc>
          <w:tcPr>
            <w:tcW w:w="820" w:type="dxa"/>
            <w:tcBorders/>
            <w:vAlign w:val="center"/>
          </w:tcPr>
          <w:p>
            <w:pPr>
              <w:pStyle w:val="TableContents"/>
              <w:bidi w:val="0"/>
              <w:spacing w:before="0" w:after="283"/>
              <w:jc w:val="left"/>
              <w:rPr>
                <w:sz w:val="4"/>
                <w:szCs w:val="4"/>
              </w:rPr>
            </w:pPr>
            <w:r>
              <w:rPr>
                <w:sz w:val="4"/>
                <w:szCs w:val="4"/>
              </w:rPr>
            </w:r>
          </w:p>
        </w:tc>
        <w:tc>
          <w:tcPr>
            <w:tcW w:w="1166" w:type="dxa"/>
            <w:tcBorders/>
            <w:vAlign w:val="center"/>
          </w:tcPr>
          <w:p>
            <w:pPr>
              <w:pStyle w:val="TableContents"/>
              <w:bidi w:val="0"/>
              <w:spacing w:before="0" w:after="283"/>
              <w:jc w:val="left"/>
              <w:rPr>
                <w:sz w:val="4"/>
                <w:szCs w:val="4"/>
              </w:rPr>
            </w:pPr>
            <w:r>
              <w:rPr>
                <w:sz w:val="4"/>
                <w:szCs w:val="4"/>
              </w:rPr>
            </w:r>
          </w:p>
        </w:tc>
      </w:tr>
      <w:tr>
        <w:trPr/>
        <w:tc>
          <w:tcPr>
            <w:tcW w:w="1690" w:type="dxa"/>
            <w:gridSpan w:val="3"/>
            <w:tcBorders/>
            <w:shd w:fill="F44238" w:val="clear"/>
            <w:tcMar>
              <w:top w:w="0" w:type="dxa"/>
              <w:left w:w="0" w:type="dxa"/>
              <w:bottom w:w="0" w:type="dxa"/>
              <w:right w:w="0" w:type="dxa"/>
            </w:tcMar>
            <w:vAlign w:val="center"/>
          </w:tcPr>
          <w:p>
            <w:pPr>
              <w:pStyle w:val="TableContents"/>
              <w:bidi w:val="0"/>
              <w:spacing w:lineRule="auto" w:line="240" w:before="0" w:after="283"/>
              <w:jc w:val="center"/>
              <w:rPr>
                <w:rFonts w:ascii="Lato;sans-serif" w:hAnsi="Lato;sans-serif"/>
                <w:b/>
                <w:color w:val="FFFFFF"/>
                <w:sz w:val="20"/>
              </w:rPr>
            </w:pPr>
            <w:r>
              <w:rPr>
                <w:rFonts w:ascii="Lato;sans-serif" w:hAnsi="Lato;sans-serif"/>
                <w:b/>
                <w:color w:val="FFFFFF"/>
                <w:sz w:val="20"/>
              </w:rPr>
              <w:t>Element</w:t>
            </w:r>
          </w:p>
        </w:tc>
        <w:tc>
          <w:tcPr>
            <w:tcW w:w="2281" w:type="dxa"/>
            <w:gridSpan w:val="3"/>
            <w:tcBorders/>
            <w:shd w:fill="F44238" w:val="clear"/>
            <w:tcMar>
              <w:top w:w="0" w:type="dxa"/>
              <w:left w:w="0" w:type="dxa"/>
              <w:bottom w:w="0" w:type="dxa"/>
              <w:right w:w="0" w:type="dxa"/>
            </w:tcMar>
            <w:vAlign w:val="center"/>
          </w:tcPr>
          <w:p>
            <w:pPr>
              <w:pStyle w:val="TableContents"/>
              <w:bidi w:val="0"/>
              <w:spacing w:lineRule="auto" w:line="240" w:before="0" w:after="283"/>
              <w:jc w:val="center"/>
              <w:rPr>
                <w:rFonts w:ascii="Lato;sans-serif" w:hAnsi="Lato;sans-serif"/>
                <w:b/>
                <w:color w:val="FFFFFF"/>
                <w:sz w:val="20"/>
              </w:rPr>
            </w:pPr>
            <w:r>
              <w:rPr>
                <w:rFonts w:ascii="Lato;sans-serif" w:hAnsi="Lato;sans-serif"/>
                <w:b/>
                <w:color w:val="FFFFFF"/>
                <w:sz w:val="20"/>
              </w:rPr>
              <w:t>Form of Compensation for 2025</w:t>
            </w:r>
          </w:p>
        </w:tc>
        <w:tc>
          <w:tcPr>
            <w:tcW w:w="2691" w:type="dxa"/>
            <w:gridSpan w:val="3"/>
            <w:tcBorders/>
            <w:shd w:fill="F44238" w:val="clear"/>
            <w:tcMar>
              <w:top w:w="0" w:type="dxa"/>
              <w:left w:w="0" w:type="dxa"/>
              <w:bottom w:w="0" w:type="dxa"/>
              <w:right w:w="0" w:type="dxa"/>
            </w:tcMar>
            <w:vAlign w:val="center"/>
          </w:tcPr>
          <w:p>
            <w:pPr>
              <w:pStyle w:val="TableContents"/>
              <w:bidi w:val="0"/>
              <w:spacing w:lineRule="auto" w:line="240" w:before="0" w:after="283"/>
              <w:jc w:val="center"/>
              <w:rPr>
                <w:rFonts w:ascii="Lato;sans-serif" w:hAnsi="Lato;sans-serif"/>
                <w:b/>
                <w:color w:val="FFFFFF"/>
                <w:sz w:val="20"/>
              </w:rPr>
            </w:pPr>
            <w:r>
              <w:rPr>
                <w:rFonts w:ascii="Lato;sans-serif" w:hAnsi="Lato;sans-serif"/>
                <w:b/>
                <w:color w:val="FFFFFF"/>
                <w:sz w:val="20"/>
              </w:rPr>
              <w:t>Description</w:t>
            </w:r>
          </w:p>
        </w:tc>
        <w:tc>
          <w:tcPr>
            <w:tcW w:w="3543" w:type="dxa"/>
            <w:gridSpan w:val="3"/>
            <w:tcBorders/>
            <w:shd w:fill="F44238" w:val="clear"/>
            <w:tcMar>
              <w:top w:w="0" w:type="dxa"/>
              <w:left w:w="0" w:type="dxa"/>
              <w:bottom w:w="0" w:type="dxa"/>
              <w:right w:w="0" w:type="dxa"/>
            </w:tcMar>
            <w:vAlign w:val="center"/>
          </w:tcPr>
          <w:p>
            <w:pPr>
              <w:pStyle w:val="TableContents"/>
              <w:bidi w:val="0"/>
              <w:spacing w:lineRule="auto" w:line="240" w:before="0" w:after="0"/>
              <w:jc w:val="center"/>
              <w:rPr>
                <w:rFonts w:ascii="Lato;sans-serif" w:hAnsi="Lato;sans-serif"/>
                <w:b/>
                <w:color w:val="FFFFFF"/>
                <w:sz w:val="20"/>
              </w:rPr>
            </w:pPr>
            <w:r>
              <w:rPr>
                <w:rFonts w:ascii="Lato;sans-serif" w:hAnsi="Lato;sans-serif"/>
                <w:b/>
                <w:color w:val="FFFFFF"/>
                <w:sz w:val="20"/>
              </w:rPr>
              <w:t>Highlights for 2025 Program</w:t>
            </w:r>
          </w:p>
        </w:tc>
      </w:tr>
      <w:tr>
        <w:trPr/>
        <w:tc>
          <w:tcPr>
            <w:tcW w:w="1690"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ind w:left="0" w:right="0" w:firstLine="270"/>
              <w:jc w:val="left"/>
              <w:rPr>
                <w:rFonts w:ascii="Lato;sans-serif" w:hAnsi="Lato;sans-serif"/>
                <w:b w:val="false"/>
                <w:color w:val="000000"/>
                <w:sz w:val="20"/>
              </w:rPr>
            </w:pPr>
            <w:r>
              <w:rPr>
                <w:rFonts w:ascii="Lato;sans-serif" w:hAnsi="Lato;sans-serif"/>
                <w:b w:val="false"/>
                <w:color w:val="000000"/>
                <w:sz w:val="20"/>
              </w:rPr>
              <w:t>Fixed Base Salary</w:t>
            </w:r>
          </w:p>
        </w:tc>
        <w:tc>
          <w:tcPr>
            <w:tcW w:w="2281"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20"/>
              </w:rPr>
            </w:pPr>
            <w:r>
              <w:rPr>
                <w:rFonts w:ascii="Lato;sans-serif" w:hAnsi="Lato;sans-serif"/>
                <w:b w:val="false"/>
                <w:color w:val="000000"/>
                <w:sz w:val="20"/>
              </w:rPr>
              <w:t>Cash</w:t>
            </w:r>
          </w:p>
        </w:tc>
        <w:tc>
          <w:tcPr>
            <w:tcW w:w="2691"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20"/>
              </w:rPr>
            </w:pPr>
            <w:r>
              <w:rPr>
                <w:rFonts w:ascii="Lato;sans-serif" w:hAnsi="Lato;sans-serif"/>
                <w:b w:val="false"/>
                <w:color w:val="000000"/>
                <w:sz w:val="20"/>
              </w:rPr>
              <w:t>Base compensation for day-to-day performance of job responsibilities</w:t>
            </w:r>
          </w:p>
        </w:tc>
        <w:tc>
          <w:tcPr>
            <w:tcW w:w="3543"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0"/>
              <w:jc w:val="left"/>
              <w:rPr/>
            </w:pPr>
            <w:r>
              <w:rPr>
                <w:rFonts w:ascii="Lato;sans-serif" w:hAnsi="Lato;sans-serif"/>
                <w:b w:val="false"/>
                <w:color w:val="000000"/>
                <w:sz w:val="20"/>
              </w:rPr>
              <w:t>Adjustments to certain NEO base salaries in 2025 to reflect alignment with current 2025 Peer Group, and in each case, representing an increase of less than 5% on a year-over-year basis</w:t>
            </w:r>
            <w:r>
              <w:rPr>
                <w:rFonts w:ascii="Lato;sans-serif" w:hAnsi="Lato;sans-serif"/>
                <w:b w:val="false"/>
                <w:color w:val="000000"/>
                <w:sz w:val="13"/>
              </w:rPr>
              <w:t>(1)</w:t>
            </w:r>
          </w:p>
        </w:tc>
      </w:tr>
      <w:tr>
        <w:trPr/>
        <w:tc>
          <w:tcPr>
            <w:tcW w:w="1690" w:type="dxa"/>
            <w:gridSpan w:val="3"/>
            <w:tcBorders/>
            <w:shd w:fill="DBDBDB" w:val="clear"/>
            <w:tcMar>
              <w:top w:w="0" w:type="dxa"/>
              <w:left w:w="0" w:type="dxa"/>
              <w:bottom w:w="0" w:type="dxa"/>
              <w:right w:w="0" w:type="dxa"/>
            </w:tcMar>
            <w:vAlign w:val="center"/>
          </w:tcPr>
          <w:p>
            <w:pPr>
              <w:pStyle w:val="TableContents"/>
              <w:bidi w:val="0"/>
              <w:spacing w:lineRule="auto" w:line="240" w:before="0" w:after="0"/>
              <w:ind w:left="0" w:right="0" w:firstLine="270"/>
              <w:jc w:val="left"/>
              <w:rPr/>
            </w:pPr>
            <w:r>
              <w:rPr>
                <w:rFonts w:ascii="Lato;sans-serif" w:hAnsi="Lato;sans-serif"/>
                <w:b w:val="false"/>
                <w:color w:val="000000"/>
                <w:sz w:val="20"/>
              </w:rPr>
              <w:t>Variable Annual Incentives</w:t>
            </w:r>
            <w:r>
              <w:rPr>
                <w:rFonts w:ascii="Lato;sans-serif" w:hAnsi="Lato;sans-serif"/>
                <w:b w:val="false"/>
                <w:color w:val="000000"/>
                <w:sz w:val="13"/>
              </w:rPr>
              <w:t>(2)</w:t>
            </w:r>
          </w:p>
        </w:tc>
        <w:tc>
          <w:tcPr>
            <w:tcW w:w="2281"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20"/>
              </w:rPr>
            </w:pPr>
            <w:r>
              <w:rPr>
                <w:rFonts w:ascii="Lato;sans-serif" w:hAnsi="Lato;sans-serif"/>
                <w:b w:val="false"/>
                <w:color w:val="000000"/>
                <w:sz w:val="20"/>
              </w:rPr>
              <w:t>Cash</w:t>
            </w:r>
          </w:p>
        </w:tc>
        <w:tc>
          <w:tcPr>
            <w:tcW w:w="2691"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20"/>
              </w:rPr>
            </w:pPr>
            <w:r>
              <w:rPr>
                <w:rFonts w:ascii="Lato;sans-serif" w:hAnsi="Lato;sans-serif"/>
                <w:b w:val="false"/>
                <w:color w:val="000000"/>
                <w:sz w:val="20"/>
              </w:rPr>
              <w:t>Rewards performance during the year based on the achievement of annual performance goals established by the Compensation Committee</w:t>
            </w:r>
          </w:p>
        </w:tc>
        <w:tc>
          <w:tcPr>
            <w:tcW w:w="3543" w:type="dxa"/>
            <w:gridSpan w:val="3"/>
            <w:tcBorders/>
            <w:shd w:fill="DBDBDB" w:val="clear"/>
            <w:tcMar>
              <w:top w:w="0" w:type="dxa"/>
              <w:left w:w="0" w:type="dxa"/>
              <w:bottom w:w="0" w:type="dxa"/>
              <w:right w:w="0" w:type="dxa"/>
            </w:tcMar>
            <w:vAlign w:val="center"/>
          </w:tcPr>
          <w:p>
            <w:pPr>
              <w:pStyle w:val="TableContents"/>
              <w:bidi w:val="0"/>
              <w:spacing w:lineRule="auto" w:line="240" w:before="0" w:after="0"/>
              <w:jc w:val="left"/>
              <w:rPr>
                <w:rFonts w:ascii="Lato;sans-serif" w:hAnsi="Lato;sans-serif"/>
                <w:b w:val="false"/>
                <w:color w:val="000000"/>
                <w:sz w:val="20"/>
              </w:rPr>
            </w:pPr>
            <w:r>
              <w:rPr>
                <w:rFonts w:ascii="Lato;sans-serif" w:hAnsi="Lato;sans-serif"/>
                <w:b w:val="false"/>
                <w:color w:val="000000"/>
                <w:sz w:val="20"/>
              </w:rPr>
              <w:t>Company performance-based funding based on:</w:t>
            </w:r>
          </w:p>
          <w:p>
            <w:pPr>
              <w:pStyle w:val="TableContents"/>
              <w:bidi w:val="0"/>
              <w:spacing w:lineRule="auto" w:line="240" w:before="0" w:after="0"/>
              <w:ind w:left="0" w:right="0" w:hanging="180"/>
              <w:jc w:val="left"/>
              <w:rPr/>
            </w:pPr>
            <w:r>
              <w:rPr>
                <w:color w:val="000000"/>
              </w:rPr>
              <w:t>•</w:t>
            </w:r>
            <w:r>
              <w:rPr>
                <w:rFonts w:ascii="Lato;sans-serif" w:hAnsi="Lato;sans-serif"/>
                <w:b w:val="false"/>
                <w:color w:val="000000"/>
                <w:sz w:val="20"/>
              </w:rPr>
              <w:t>Adjusted Operating Income (50%)</w:t>
            </w:r>
          </w:p>
          <w:p>
            <w:pPr>
              <w:pStyle w:val="TableContents"/>
              <w:bidi w:val="0"/>
              <w:spacing w:lineRule="auto" w:line="240" w:before="0" w:after="0"/>
              <w:ind w:left="0" w:right="0" w:hanging="180"/>
              <w:jc w:val="left"/>
              <w:rPr/>
            </w:pPr>
            <w:r>
              <w:rPr>
                <w:color w:val="000000"/>
              </w:rPr>
              <w:t>•</w:t>
            </w:r>
            <w:r>
              <w:rPr>
                <w:rFonts w:ascii="Lato;sans-serif" w:hAnsi="Lato;sans-serif"/>
                <w:b w:val="false"/>
                <w:color w:val="000000"/>
                <w:sz w:val="20"/>
              </w:rPr>
              <w:t>Net New ARR (50%)</w:t>
            </w:r>
          </w:p>
        </w:tc>
      </w:tr>
      <w:tr>
        <w:trPr/>
        <w:tc>
          <w:tcPr>
            <w:tcW w:w="169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Lato;sans-serif" w:hAnsi="Lato;sans-serif"/>
                <w:b w:val="false"/>
                <w:color w:val="000000"/>
                <w:sz w:val="20"/>
              </w:rPr>
              <w:t>Variable Long-Term Incentives</w:t>
            </w:r>
            <w:r>
              <w:rPr>
                <w:rFonts w:ascii="Lato;sans-serif" w:hAnsi="Lato;sans-serif"/>
                <w:b w:val="false"/>
                <w:color w:val="000000"/>
                <w:sz w:val="13"/>
              </w:rPr>
              <w:t>(3)</w:t>
            </w:r>
          </w:p>
        </w:tc>
        <w:tc>
          <w:tcPr>
            <w:tcW w:w="2281"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color w:val="000000"/>
              </w:rPr>
              <w:t>•</w:t>
            </w:r>
            <w:r>
              <w:rPr>
                <w:rFonts w:ascii="Lato;sans-serif" w:hAnsi="Lato;sans-serif"/>
                <w:b w:val="false"/>
                <w:color w:val="000000"/>
                <w:sz w:val="20"/>
              </w:rPr>
              <w:t>RSUs (time-based)</w:t>
            </w:r>
          </w:p>
          <w:p>
            <w:pPr>
              <w:pStyle w:val="TableContents"/>
              <w:bidi w:val="0"/>
              <w:spacing w:lineRule="auto" w:line="240" w:before="0" w:after="0"/>
              <w:ind w:left="0" w:right="0" w:hanging="180"/>
              <w:jc w:val="left"/>
              <w:rPr/>
            </w:pPr>
            <w:r>
              <w:rPr>
                <w:color w:val="000000"/>
              </w:rPr>
              <w:t>•</w:t>
            </w:r>
            <w:r>
              <w:rPr>
                <w:rFonts w:ascii="Lato;sans-serif" w:hAnsi="Lato;sans-serif"/>
                <w:b w:val="false"/>
                <w:color w:val="000000"/>
                <w:sz w:val="20"/>
              </w:rPr>
              <w:t>PSUs based on financial metrics</w:t>
            </w:r>
          </w:p>
        </w:tc>
        <w:tc>
          <w:tcPr>
            <w:tcW w:w="2691"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color w:val="000000"/>
              </w:rPr>
              <w:t>•</w:t>
            </w:r>
            <w:r>
              <w:rPr>
                <w:rFonts w:ascii="Lato;sans-serif" w:hAnsi="Lato;sans-serif"/>
                <w:b w:val="false"/>
                <w:color w:val="000000"/>
                <w:sz w:val="20"/>
              </w:rPr>
              <w:t>Encourages improvement in the long-term performance of the Company</w:t>
            </w:r>
          </w:p>
          <w:p>
            <w:pPr>
              <w:pStyle w:val="TableContents"/>
              <w:bidi w:val="0"/>
              <w:spacing w:lineRule="auto" w:line="240" w:before="0" w:after="0"/>
              <w:ind w:left="0" w:right="0" w:hanging="180"/>
              <w:jc w:val="left"/>
              <w:rPr/>
            </w:pPr>
            <w:r>
              <w:rPr>
                <w:color w:val="000000"/>
              </w:rPr>
              <w:t>•</w:t>
            </w:r>
            <w:r>
              <w:rPr>
                <w:rFonts w:ascii="Lato;sans-serif" w:hAnsi="Lato;sans-serif"/>
                <w:b w:val="false"/>
                <w:color w:val="000000"/>
                <w:sz w:val="20"/>
              </w:rPr>
              <w:t>Aligns the financial interests of our NEOs with those of our stockholders</w:t>
            </w:r>
          </w:p>
        </w:tc>
        <w:tc>
          <w:tcPr>
            <w:tcW w:w="3543"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color w:val="000000"/>
              </w:rPr>
              <w:t>•</w:t>
            </w:r>
            <w:r>
              <w:rPr>
                <w:rFonts w:ascii="Lato;sans-serif" w:hAnsi="Lato;sans-serif"/>
                <w:b w:val="false"/>
                <w:color w:val="000000"/>
                <w:sz w:val="20"/>
              </w:rPr>
              <w:t>Awards to our NEOs as a group (other than Henry’ Schuck), consisted of 39.4% performance-based RSUs and 60.6% of time-based RSUs</w:t>
            </w:r>
            <w:r>
              <w:rPr>
                <w:rFonts w:ascii="Lato;sans-serif" w:hAnsi="Lato;sans-serif"/>
                <w:b w:val="false"/>
                <w:color w:val="000000"/>
                <w:sz w:val="13"/>
              </w:rPr>
              <w:t>(3)</w:t>
            </w:r>
          </w:p>
        </w:tc>
      </w:tr>
      <w:tr>
        <w:trPr/>
        <w:tc>
          <w:tcPr>
            <w:tcW w:w="1690"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20"/>
              </w:rPr>
            </w:pPr>
            <w:r>
              <w:rPr>
                <w:rFonts w:ascii="Lato;sans-serif" w:hAnsi="Lato;sans-serif"/>
                <w:b w:val="false"/>
                <w:color w:val="000000"/>
                <w:sz w:val="20"/>
              </w:rPr>
              <w:t>Other Compensation</w:t>
            </w:r>
          </w:p>
        </w:tc>
        <w:tc>
          <w:tcPr>
            <w:tcW w:w="2281" w:type="dxa"/>
            <w:gridSpan w:val="3"/>
            <w:tcBorders/>
            <w:shd w:fill="DBDBDB" w:val="clear"/>
            <w:tcMar>
              <w:top w:w="0" w:type="dxa"/>
              <w:left w:w="0" w:type="dxa"/>
              <w:bottom w:w="0" w:type="dxa"/>
              <w:right w:w="0" w:type="dxa"/>
            </w:tcMar>
            <w:vAlign w:val="center"/>
          </w:tcPr>
          <w:p>
            <w:pPr>
              <w:pStyle w:val="TableContents"/>
              <w:bidi w:val="0"/>
              <w:spacing w:lineRule="auto" w:line="288" w:before="0" w:after="0"/>
              <w:ind w:left="0" w:right="0" w:hanging="180"/>
              <w:jc w:val="left"/>
              <w:rPr/>
            </w:pPr>
            <w:r>
              <w:rPr>
                <w:color w:val="000000"/>
              </w:rPr>
              <w:t>•</w:t>
            </w:r>
            <w:r>
              <w:rPr>
                <w:rFonts w:ascii="Lato;sans-serif" w:hAnsi="Lato;sans-serif"/>
                <w:b w:val="false"/>
                <w:color w:val="000000"/>
                <w:sz w:val="20"/>
              </w:rPr>
              <w:t>Severance and change in control-related payments and benefits</w:t>
            </w:r>
          </w:p>
          <w:p>
            <w:pPr>
              <w:pStyle w:val="TableContents"/>
              <w:bidi w:val="0"/>
              <w:spacing w:lineRule="auto" w:line="288" w:before="0" w:after="0"/>
              <w:ind w:left="0" w:right="0" w:hanging="180"/>
              <w:jc w:val="left"/>
              <w:rPr/>
            </w:pPr>
            <w:r>
              <w:rPr>
                <w:color w:val="000000"/>
              </w:rPr>
              <w:t>•</w:t>
            </w:r>
            <w:r>
              <w:rPr>
                <w:rFonts w:ascii="Lato;sans-serif" w:hAnsi="Lato;sans-serif"/>
                <w:b w:val="false"/>
                <w:color w:val="000000"/>
                <w:sz w:val="20"/>
              </w:rPr>
              <w:t>Employee benefit plans and programs that are generally available to all employees</w:t>
            </w:r>
          </w:p>
        </w:tc>
        <w:tc>
          <w:tcPr>
            <w:tcW w:w="2691"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left"/>
              <w:rPr>
                <w:rFonts w:ascii="Lato;sans-serif" w:hAnsi="Lato;sans-serif"/>
                <w:b w:val="false"/>
                <w:color w:val="000000"/>
                <w:sz w:val="20"/>
              </w:rPr>
            </w:pPr>
            <w:r>
              <w:rPr>
                <w:rFonts w:ascii="Lato;sans-serif" w:hAnsi="Lato;sans-serif"/>
                <w:b w:val="false"/>
                <w:color w:val="000000"/>
                <w:sz w:val="20"/>
              </w:rPr>
              <w:t>Other than severance and change in control payments, compensation is generally consistent with that available to all employees</w:t>
            </w:r>
          </w:p>
        </w:tc>
        <w:tc>
          <w:tcPr>
            <w:tcW w:w="3543" w:type="dxa"/>
            <w:gridSpan w:val="3"/>
            <w:tcBorders/>
            <w:shd w:fill="DBDBDB"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Lato;sans-serif" w:hAnsi="Lato;sans-serif"/>
                <w:b w:val="false"/>
                <w:color w:val="000000"/>
                <w:sz w:val="20"/>
              </w:rPr>
            </w:pPr>
            <w:r>
              <w:rPr>
                <w:rFonts w:ascii="Lato;sans-serif" w:hAnsi="Lato;sans-serif"/>
                <w:b w:val="false"/>
                <w:color w:val="000000"/>
                <w:sz w:val="20"/>
              </w:rPr>
              <w:t xml:space="preserve">Benefits include: </w:t>
            </w:r>
          </w:p>
          <w:p>
            <w:pPr>
              <w:pStyle w:val="TableContents"/>
              <w:bidi w:val="0"/>
              <w:spacing w:lineRule="auto" w:line="240" w:before="0" w:after="0"/>
              <w:ind w:left="0" w:right="0" w:hanging="180"/>
              <w:jc w:val="left"/>
              <w:rPr/>
            </w:pPr>
            <w:r>
              <w:rPr>
                <w:color w:val="000000"/>
              </w:rPr>
              <w:t>•</w:t>
            </w:r>
            <w:r>
              <w:rPr>
                <w:rFonts w:ascii="Lato;sans-serif" w:hAnsi="Lato;sans-serif"/>
                <w:b w:val="false"/>
                <w:color w:val="000000"/>
                <w:sz w:val="20"/>
              </w:rPr>
              <w:t>Medical, dental and vision insurance</w:t>
            </w:r>
          </w:p>
          <w:p>
            <w:pPr>
              <w:pStyle w:val="TableContents"/>
              <w:bidi w:val="0"/>
              <w:spacing w:lineRule="auto" w:line="240" w:before="0" w:after="0"/>
              <w:ind w:left="0" w:right="0" w:hanging="180"/>
              <w:jc w:val="left"/>
              <w:rPr/>
            </w:pPr>
            <w:r>
              <w:rPr>
                <w:color w:val="000000"/>
              </w:rPr>
              <w:t>•</w:t>
            </w:r>
            <w:r>
              <w:rPr>
                <w:rFonts w:ascii="Lato;sans-serif" w:hAnsi="Lato;sans-serif"/>
                <w:b w:val="false"/>
                <w:color w:val="000000"/>
                <w:sz w:val="20"/>
              </w:rPr>
              <w:t>401(k) plan with Company matching</w:t>
            </w:r>
          </w:p>
          <w:p>
            <w:pPr>
              <w:pStyle w:val="TableContents"/>
              <w:bidi w:val="0"/>
              <w:spacing w:lineRule="auto" w:line="240" w:before="0" w:after="0"/>
              <w:ind w:left="0" w:right="0" w:hanging="180"/>
              <w:jc w:val="left"/>
              <w:rPr/>
            </w:pPr>
            <w:r>
              <w:rPr>
                <w:color w:val="000000"/>
              </w:rPr>
              <w:t>•</w:t>
            </w:r>
            <w:r>
              <w:rPr>
                <w:rFonts w:ascii="Lato;sans-serif" w:hAnsi="Lato;sans-serif"/>
                <w:b w:val="false"/>
                <w:color w:val="000000"/>
                <w:sz w:val="20"/>
              </w:rPr>
              <w:t>Life and disability insurance</w:t>
            </w:r>
          </w:p>
          <w:p>
            <w:pPr>
              <w:pStyle w:val="TableContents"/>
              <w:bidi w:val="0"/>
              <w:spacing w:lineRule="auto" w:line="240" w:before="0" w:after="0"/>
              <w:ind w:left="0" w:right="0" w:hanging="180"/>
              <w:jc w:val="left"/>
              <w:rPr/>
            </w:pPr>
            <w:r>
              <w:rPr>
                <w:color w:val="000000"/>
              </w:rPr>
              <w:t>•</w:t>
            </w:r>
            <w:r>
              <w:rPr>
                <w:rFonts w:ascii="Lato;sans-serif" w:hAnsi="Lato;sans-serif"/>
                <w:b w:val="false"/>
                <w:color w:val="000000"/>
                <w:sz w:val="20"/>
              </w:rPr>
              <w:t>Flexible spending accounts</w:t>
            </w:r>
          </w:p>
          <w:p>
            <w:pPr>
              <w:pStyle w:val="TableContents"/>
              <w:bidi w:val="0"/>
              <w:spacing w:lineRule="auto" w:line="240" w:before="0" w:after="0"/>
              <w:ind w:left="0" w:right="0" w:hanging="180"/>
              <w:jc w:val="left"/>
              <w:rPr/>
            </w:pPr>
            <w:r>
              <w:rPr>
                <w:color w:val="000000"/>
              </w:rPr>
              <w:t>•</w:t>
            </w:r>
            <w:r>
              <w:rPr>
                <w:rFonts w:ascii="Lato;sans-serif" w:hAnsi="Lato;sans-serif"/>
                <w:b w:val="false"/>
                <w:color w:val="000000"/>
                <w:sz w:val="20"/>
              </w:rPr>
              <w:t>Other broadly available benefit plans</w:t>
            </w:r>
          </w:p>
        </w:tc>
      </w:tr>
    </w:tbl>
    <w:p>
      <w:pPr>
        <w:pStyle w:val="TextBody"/>
        <w:bidi w:val="0"/>
        <w:spacing w:lineRule="auto" w:line="333" w:before="0" w:after="0"/>
        <w:jc w:val="both"/>
        <w:rPr/>
      </w:pPr>
      <w:r>
        <w:rPr>
          <w:rFonts w:ascii="Times New Roman;serif" w:hAnsi="Times New Roman;serif"/>
          <w:b w:val="false"/>
          <w:color w:val="000000"/>
          <w:sz w:val="20"/>
        </w:rPr>
        <w:t>__________________</w:t>
      </w:r>
      <w:r>
        <w:rPr>
          <w:rFonts w:ascii="Lato;sans-serif" w:hAnsi="Lato;sans-serif"/>
          <w:b w:val="false"/>
          <w:color w:val="000000"/>
          <w:sz w:val="20"/>
        </w:rPr>
        <w:br/>
      </w:r>
      <w:r>
        <w:rPr>
          <w:rFonts w:ascii="Lato;sans-serif" w:hAnsi="Lato;sans-serif"/>
          <w:b w:val="false"/>
          <w:color w:val="000000"/>
          <w:sz w:val="16"/>
        </w:rPr>
        <w:t>(1)</w:t>
      </w:r>
      <w:r>
        <w:rPr>
          <w:color w:val="000000"/>
        </w:rPr>
        <w:t xml:space="preserve"> </w:t>
      </w:r>
      <w:r>
        <w:rPr>
          <w:rFonts w:ascii="Lato;sans-serif" w:hAnsi="Lato;sans-serif"/>
          <w:b w:val="false"/>
          <w:color w:val="000000"/>
          <w:sz w:val="16"/>
        </w:rPr>
        <w:t xml:space="preserve">Excludes the base salary increase of Henry L. Schuck, who received an increase of 9%. </w:t>
        <w:br/>
        <w:t>(2)</w:t>
      </w:r>
      <w:r>
        <w:rPr>
          <w:color w:val="000000"/>
        </w:rPr>
        <w:t xml:space="preserve"> </w:t>
      </w:r>
      <w:r>
        <w:rPr>
          <w:rFonts w:ascii="Lato;sans-serif" w:hAnsi="Lato;sans-serif"/>
          <w:b w:val="false"/>
          <w:color w:val="000000"/>
          <w:sz w:val="16"/>
        </w:rPr>
        <w:t>Excludes the CRO Performance-Based Cash Incentive Award provided to Mr. Roth, which is described in greater detail below under the section entitled “</w:t>
      </w:r>
      <w:r>
        <w:rPr>
          <w:color w:val="000000"/>
        </w:rPr>
        <w:t>—</w:t>
      </w:r>
      <w:r>
        <w:rPr>
          <w:rFonts w:ascii="Lato;sans-serif" w:hAnsi="Lato;sans-serif"/>
          <w:b w:val="false"/>
          <w:i/>
          <w:color w:val="000000"/>
          <w:sz w:val="16"/>
        </w:rPr>
        <w:t>Additional Net Revenue Retention Performance-Based Cash Incentive Award</w:t>
      </w:r>
      <w:r>
        <w:rPr>
          <w:rFonts w:ascii="Lato;sans-serif" w:hAnsi="Lato;sans-serif"/>
          <w:b w:val="false"/>
          <w:color w:val="000000"/>
          <w:sz w:val="16"/>
        </w:rPr>
        <w:t>.”</w:t>
      </w:r>
    </w:p>
    <w:p>
      <w:pPr>
        <w:pStyle w:val="TextBody"/>
        <w:bidi w:val="0"/>
        <w:spacing w:lineRule="auto" w:line="288" w:before="0" w:after="0"/>
        <w:jc w:val="both"/>
        <w:rPr/>
      </w:pPr>
      <w:r>
        <w:rPr>
          <w:rFonts w:ascii="Lato;sans-serif" w:hAnsi="Lato;sans-serif"/>
          <w:b w:val="false"/>
          <w:color w:val="000000"/>
          <w:sz w:val="16"/>
        </w:rPr>
        <w:t>(3) Excludes the CEO Premium-Priced Performance Option provided to Mr. Schuck, which is described in greater detail below under the section entitled “</w:t>
      </w:r>
      <w:r>
        <w:rPr>
          <w:color w:val="000000"/>
        </w:rPr>
        <w:t>—</w:t>
      </w:r>
      <w:r>
        <w:rPr>
          <w:rFonts w:ascii="Lato;sans-serif" w:hAnsi="Lato;sans-serif"/>
          <w:b w:val="false"/>
          <w:i/>
          <w:color w:val="000000"/>
          <w:sz w:val="16"/>
        </w:rPr>
        <w:t>Long-Term Equity Compensation—2025 CEO Premium-Priced Performance Option</w:t>
      </w:r>
      <w:r>
        <w:rPr>
          <w:rFonts w:ascii="Lato;sans-serif" w:hAnsi="Lato;sans-serif"/>
          <w:b w:val="false"/>
          <w:color w:val="000000"/>
          <w:sz w:val="16"/>
        </w:rPr>
        <w: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6480175" cy="352425"/>
                <wp:effectExtent l="0" t="0" r="0" b="0"/>
                <wp:wrapNone/>
                <wp:docPr id="64" name="Frame48"/>
                <a:graphic xmlns:a="http://schemas.openxmlformats.org/drawingml/2006/main">
                  <a:graphicData uri="http://schemas.microsoft.com/office/word/2010/wordprocessingShape">
                    <wps:wsp>
                      <wps:cNvSpPr txBox="1"/>
                      <wps:spPr>
                        <a:xfrm>
                          <a:off x="0" y="0"/>
                          <a:ext cx="6480175" cy="352425"/>
                        </a:xfrm>
                        <a:prstGeom prst="rect"/>
                        <a:solidFill>
                          <a:srgbClr val="FFFFFF"/>
                        </a:solidFill>
                      </wps:spPr>
                      <wps:txbx>
                        <w:txbxContent>
                          <w:p>
                            <w:pPr>
                              <w:pStyle w:val="TextBody"/>
                              <w:bidi w:val="0"/>
                              <w:spacing w:lineRule="auto" w:line="288" w:before="0" w:after="0"/>
                              <w:jc w:val="center"/>
                              <w:rPr>
                                <w:rFonts w:ascii="Lato;sans-serif" w:hAnsi="Lato;sans-serif"/>
                                <w:b w:val="false"/>
                                <w:color w:val="000000"/>
                                <w:sz w:val="20"/>
                              </w:rPr>
                            </w:pPr>
                            <w:r>
                              <w:rPr>
                                <w:rFonts w:ascii="Lato;sans-serif" w:hAnsi="Lato;sans-serif"/>
                                <w:b w:val="false"/>
                                <w:color w:val="000000"/>
                                <w:sz w:val="20"/>
                              </w:rPr>
                              <w:t>42</w:t>
                            </w:r>
                          </w:p>
                          <w:p>
                            <w:pPr>
                              <w:pStyle w:val="TextBody"/>
                              <w:bidi w:val="0"/>
                              <w:spacing w:lineRule="auto" w:line="288" w:before="0" w:after="0"/>
                              <w:jc w:val="left"/>
                              <w:rPr>
                                <w:color w:val="000000"/>
                              </w:rPr>
                            </w:pPr>
                            <w:r>
                              <w:rPr>
                                <w:color w:val="000000"/>
                              </w:rPr>
                              <w:t>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Lato;sans-serif" w:hAnsi="Lato;sans-serif"/>
                          <w:b w:val="false"/>
                          <w:color w:val="000000"/>
                          <w:sz w:val="20"/>
                        </w:rPr>
                      </w:pPr>
                      <w:r>
                        <w:rPr>
                          <w:rFonts w:ascii="Lato;sans-serif" w:hAnsi="Lato;sans-serif"/>
                          <w:b w:val="false"/>
                          <w:color w:val="000000"/>
                          <w:sz w:val="20"/>
                        </w:rPr>
                        <w:t>42</w:t>
                      </w:r>
                    </w:p>
                    <w:p>
                      <w:pPr>
                        <w:pStyle w:val="TextBody"/>
                        <w:bidi w:val="0"/>
                        <w:spacing w:lineRule="auto" w:line="288" w:before="0" w:after="0"/>
                        <w:jc w:val="left"/>
                        <w:rPr>
                          <w:color w:val="000000"/>
                        </w:rPr>
                      </w:pPr>
                      <w:r>
                        <w:rPr>
                          <w:color w:val="000000"/>
                        </w:rPr>
                        <w:t>        </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80" w:after="180"/>
        <w:jc w:val="both"/>
        <w:rPr>
          <w:rFonts w:ascii="Lato;sans-serif" w:hAnsi="Lato;sans-serif"/>
          <w:b w:val="false"/>
          <w:color w:val="000000"/>
          <w:sz w:val="20"/>
        </w:rPr>
      </w:pPr>
      <w:r>
        <w:rPr>
          <w:rFonts w:ascii="Lato;sans-serif" w:hAnsi="Lato;sans-serif"/>
          <w:b w:val="false"/>
          <w:color w:val="000000"/>
          <w:sz w:val="20"/>
        </w:rPr>
        <w:t>We believe the foregoing elements (each as described in greater detail below), provide a compensation package that attracts and retains qualified individuals, links individual performance to Company performance, focuses the efforts of our NEOs on the achievement of both our short-term and long-term objectives and aligns the interests of our NEOs with those of our stockholders. Our 2025 executive compensation program continued to reflect our ongoing transition from a late-stage private company to a publicly traded SaaS company with over a billion dollars in annual revenue, as we continued to emphasize long-term equity compensation as the most significant component of each NEO’s compensation. The tables below show the pay mix of our CEO and other NEOs and the components of their pay for 2025, specifically the base salary and cash bonus amounts earned and the grant date fair value of equity awards granted in 2025.</w:t>
      </w:r>
    </w:p>
    <w:p>
      <w:pPr>
        <w:pStyle w:val="TextBody"/>
        <w:bidi w:val="0"/>
        <w:spacing w:lineRule="auto" w:line="288" w:before="300" w:after="180"/>
        <w:jc w:val="both"/>
        <w:rPr>
          <w:rFonts w:ascii="Lato;sans-serif" w:hAnsi="Lato;sans-serif"/>
          <w:b/>
          <w:i/>
          <w:color w:val="000000"/>
          <w:sz w:val="20"/>
        </w:rPr>
      </w:pPr>
      <w:r>
        <w:rPr>
          <w:rFonts w:ascii="Lato;sans-serif" w:hAnsi="Lato;sans-serif"/>
          <w:b/>
          <w:i/>
          <w:color w:val="000000"/>
          <w:sz w:val="20"/>
        </w:rPr>
        <w:t>Base Salary</w:t>
      </w:r>
    </w:p>
    <w:p>
      <w:pPr>
        <w:pStyle w:val="TextBody"/>
        <w:bidi w:val="0"/>
        <w:spacing w:lineRule="auto" w:line="288" w:before="180" w:after="180"/>
        <w:jc w:val="both"/>
        <w:rPr>
          <w:rFonts w:ascii="Lato;sans-serif" w:hAnsi="Lato;sans-serif"/>
          <w:b w:val="false"/>
          <w:color w:val="000000"/>
          <w:sz w:val="20"/>
        </w:rPr>
      </w:pPr>
      <w:r>
        <w:rPr>
          <w:rFonts w:ascii="Lato;sans-serif" w:hAnsi="Lato;sans-serif"/>
          <w:b w:val="false"/>
          <w:color w:val="000000"/>
          <w:sz w:val="20"/>
        </w:rPr>
        <w:t>We provide each NEO with a base salary for the services that the NEO performs for us. This compensation component constitutes a stable element of compensation while other compensation elements are variable. Base salaries may be increased based on the individual performance of the NEO, the Company’s performance, any change in the NEO’s position within our business, the scope of the NEO’s responsibilities and any changes thereto. Base salaries may also be increased under the terms of an NEO’s employment agreement, but in the case of Mr. Schuck, such salary may not be decreased below $512,000 without his consent. Base salaries typically reflect each NEO’s experience, skills, knowledge and responsibilities, although market data may also play a role in setting salary levels. We do not apply specific formulas to determine changes in salaries. Instead, the salaries of our NEOs are reviewed on an annual basis by the Compensation Committee based on our compensation philosophy and objectives and with reference to our peer group.</w:t>
      </w:r>
    </w:p>
    <w:p>
      <w:pPr>
        <w:pStyle w:val="TextBody"/>
        <w:bidi w:val="0"/>
        <w:spacing w:lineRule="auto" w:line="288" w:before="180" w:after="180"/>
        <w:jc w:val="both"/>
        <w:rPr>
          <w:rFonts w:ascii="Lato;sans-serif" w:hAnsi="Lato;sans-serif"/>
          <w:b w:val="false"/>
          <w:color w:val="000000"/>
          <w:sz w:val="20"/>
        </w:rPr>
      </w:pPr>
      <w:r>
        <w:rPr>
          <w:rFonts w:ascii="Lato;sans-serif" w:hAnsi="Lato;sans-serif"/>
          <w:b w:val="false"/>
          <w:color w:val="000000"/>
          <w:sz w:val="20"/>
        </w:rPr>
        <w:t>Effective April 1, 2025, the Compensation Committee approved the base salaries and cash bonus targets for our NEOs at that time and determined (other than as indicated below) not to make any changes from the prior year. The table below sets forth the annual base salaries of our NEOs for 2025:</w:t>
      </w:r>
    </w:p>
    <w:tbl>
      <w:tblPr>
        <w:tblW w:w="10205" w:type="dxa"/>
        <w:jc w:val="left"/>
        <w:tblInd w:w="0" w:type="dxa"/>
        <w:tblLayout w:type="fixed"/>
        <w:tblCellMar>
          <w:top w:w="28" w:type="dxa"/>
          <w:left w:w="28" w:type="dxa"/>
          <w:bottom w:w="28" w:type="dxa"/>
          <w:right w:w="28" w:type="dxa"/>
        </w:tblCellMar>
      </w:tblPr>
      <w:tblGrid>
        <w:gridCol w:w="789"/>
        <w:gridCol w:w="658"/>
        <w:gridCol w:w="665"/>
        <w:gridCol w:w="686"/>
        <w:gridCol w:w="659"/>
        <w:gridCol w:w="661"/>
        <w:gridCol w:w="686"/>
        <w:gridCol w:w="659"/>
        <w:gridCol w:w="661"/>
        <w:gridCol w:w="1193"/>
        <w:gridCol w:w="1193"/>
        <w:gridCol w:w="1695"/>
      </w:tblGrid>
      <w:tr>
        <w:trPr/>
        <w:tc>
          <w:tcPr>
            <w:tcW w:w="789" w:type="dxa"/>
            <w:tcBorders/>
            <w:vAlign w:val="center"/>
          </w:tcPr>
          <w:p>
            <w:pPr>
              <w:pStyle w:val="TableContents"/>
              <w:bidi w:val="0"/>
              <w:spacing w:before="0" w:after="283"/>
              <w:jc w:val="left"/>
              <w:rPr>
                <w:sz w:val="4"/>
                <w:szCs w:val="4"/>
              </w:rPr>
            </w:pPr>
            <w:r>
              <w:rPr>
                <w:sz w:val="4"/>
                <w:szCs w:val="4"/>
              </w:rPr>
            </w:r>
          </w:p>
        </w:tc>
        <w:tc>
          <w:tcPr>
            <w:tcW w:w="658" w:type="dxa"/>
            <w:tcBorders/>
            <w:vAlign w:val="center"/>
          </w:tcPr>
          <w:p>
            <w:pPr>
              <w:pStyle w:val="TableContents"/>
              <w:bidi w:val="0"/>
              <w:spacing w:before="0" w:after="283"/>
              <w:jc w:val="left"/>
              <w:rPr>
                <w:sz w:val="4"/>
                <w:szCs w:val="4"/>
              </w:rPr>
            </w:pPr>
            <w:r>
              <w:rPr>
                <w:sz w:val="4"/>
                <w:szCs w:val="4"/>
              </w:rPr>
            </w:r>
          </w:p>
        </w:tc>
        <w:tc>
          <w:tcPr>
            <w:tcW w:w="665" w:type="dxa"/>
            <w:tcBorders/>
            <w:vAlign w:val="center"/>
          </w:tcPr>
          <w:p>
            <w:pPr>
              <w:pStyle w:val="TableContents"/>
              <w:bidi w:val="0"/>
              <w:spacing w:before="0" w:after="283"/>
              <w:jc w:val="left"/>
              <w:rPr>
                <w:sz w:val="4"/>
                <w:szCs w:val="4"/>
              </w:rPr>
            </w:pPr>
            <w:r>
              <w:rPr>
                <w:sz w:val="4"/>
                <w:szCs w:val="4"/>
              </w:rPr>
            </w:r>
          </w:p>
        </w:tc>
        <w:tc>
          <w:tcPr>
            <w:tcW w:w="686" w:type="dxa"/>
            <w:tcBorders/>
            <w:vAlign w:val="center"/>
          </w:tcPr>
          <w:p>
            <w:pPr>
              <w:pStyle w:val="TableContents"/>
              <w:bidi w:val="0"/>
              <w:spacing w:before="0" w:after="283"/>
              <w:jc w:val="left"/>
              <w:rPr>
                <w:sz w:val="4"/>
                <w:szCs w:val="4"/>
              </w:rPr>
            </w:pPr>
            <w:r>
              <w:rPr>
                <w:sz w:val="4"/>
                <w:szCs w:val="4"/>
              </w:rPr>
            </w:r>
          </w:p>
        </w:tc>
        <w:tc>
          <w:tcPr>
            <w:tcW w:w="659"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686" w:type="dxa"/>
            <w:tcBorders/>
            <w:vAlign w:val="center"/>
          </w:tcPr>
          <w:p>
            <w:pPr>
              <w:pStyle w:val="TableContents"/>
              <w:bidi w:val="0"/>
              <w:spacing w:before="0" w:after="283"/>
              <w:jc w:val="left"/>
              <w:rPr>
                <w:sz w:val="4"/>
                <w:szCs w:val="4"/>
              </w:rPr>
            </w:pPr>
            <w:r>
              <w:rPr>
                <w:sz w:val="4"/>
                <w:szCs w:val="4"/>
              </w:rPr>
            </w:r>
          </w:p>
        </w:tc>
        <w:tc>
          <w:tcPr>
            <w:tcW w:w="659"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193" w:type="dxa"/>
            <w:tcBorders/>
            <w:vAlign w:val="center"/>
          </w:tcPr>
          <w:p>
            <w:pPr>
              <w:pStyle w:val="TableContents"/>
              <w:bidi w:val="0"/>
              <w:spacing w:before="0" w:after="283"/>
              <w:jc w:val="left"/>
              <w:rPr>
                <w:sz w:val="4"/>
                <w:szCs w:val="4"/>
              </w:rPr>
            </w:pPr>
            <w:r>
              <w:rPr>
                <w:sz w:val="4"/>
                <w:szCs w:val="4"/>
              </w:rPr>
            </w:r>
          </w:p>
        </w:tc>
        <w:tc>
          <w:tcPr>
            <w:tcW w:w="1193" w:type="dxa"/>
            <w:tcBorders/>
            <w:vAlign w:val="center"/>
          </w:tcPr>
          <w:p>
            <w:pPr>
              <w:pStyle w:val="TableContents"/>
              <w:bidi w:val="0"/>
              <w:spacing w:before="0" w:after="283"/>
              <w:jc w:val="left"/>
              <w:rPr>
                <w:sz w:val="4"/>
                <w:szCs w:val="4"/>
              </w:rPr>
            </w:pPr>
            <w:r>
              <w:rPr>
                <w:sz w:val="4"/>
                <w:szCs w:val="4"/>
              </w:rPr>
            </w:r>
          </w:p>
        </w:tc>
        <w:tc>
          <w:tcPr>
            <w:tcW w:w="1695" w:type="dxa"/>
            <w:tcBorders/>
            <w:vAlign w:val="center"/>
          </w:tcPr>
          <w:p>
            <w:pPr>
              <w:pStyle w:val="TableContents"/>
              <w:bidi w:val="0"/>
              <w:spacing w:before="0" w:after="283"/>
              <w:jc w:val="left"/>
              <w:rPr>
                <w:sz w:val="4"/>
                <w:szCs w:val="4"/>
              </w:rPr>
            </w:pPr>
            <w:r>
              <w:rPr>
                <w:sz w:val="4"/>
                <w:szCs w:val="4"/>
              </w:rPr>
            </w:r>
          </w:p>
        </w:tc>
      </w:tr>
      <w:tr>
        <w:trPr/>
        <w:tc>
          <w:tcPr>
            <w:tcW w:w="2112" w:type="dxa"/>
            <w:gridSpan w:val="3"/>
            <w:tcBorders/>
            <w:shd w:fill="F44238"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color w:val="FFFFFF"/>
                <w:sz w:val="20"/>
              </w:rPr>
            </w:pPr>
            <w:r>
              <w:rPr>
                <w:rFonts w:ascii="Lato;sans-serif" w:hAnsi="Lato;sans-serif"/>
                <w:b/>
                <w:color w:val="FFFFFF"/>
                <w:sz w:val="20"/>
              </w:rPr>
              <w:t>Name</w:t>
            </w:r>
          </w:p>
        </w:tc>
        <w:tc>
          <w:tcPr>
            <w:tcW w:w="2006" w:type="dxa"/>
            <w:gridSpan w:val="3"/>
            <w:tcBorders/>
            <w:shd w:fill="F44238" w:val="clear"/>
            <w:tcMar>
              <w:top w:w="0" w:type="dxa"/>
              <w:left w:w="0" w:type="dxa"/>
              <w:bottom w:w="0" w:type="dxa"/>
              <w:right w:w="0" w:type="dxa"/>
            </w:tcMar>
            <w:vAlign w:val="center"/>
          </w:tcPr>
          <w:p>
            <w:pPr>
              <w:pStyle w:val="TableContents"/>
              <w:bidi w:val="0"/>
              <w:spacing w:lineRule="auto" w:line="240" w:before="0" w:after="0"/>
              <w:jc w:val="center"/>
              <w:rPr>
                <w:rFonts w:ascii="Lato;sans-serif" w:hAnsi="Lato;sans-serif"/>
                <w:b/>
                <w:color w:val="FFFFFF"/>
                <w:sz w:val="20"/>
              </w:rPr>
            </w:pPr>
            <w:r>
              <w:rPr>
                <w:rFonts w:ascii="Lato;sans-serif" w:hAnsi="Lato;sans-serif"/>
                <w:b/>
                <w:color w:val="FFFFFF"/>
                <w:sz w:val="20"/>
              </w:rPr>
              <w:t>2024 Base Salary ($)</w:t>
            </w:r>
          </w:p>
        </w:tc>
        <w:tc>
          <w:tcPr>
            <w:tcW w:w="2006" w:type="dxa"/>
            <w:gridSpan w:val="3"/>
            <w:tcBorders/>
            <w:shd w:fill="F44238" w:val="clear"/>
            <w:tcMar>
              <w:top w:w="0" w:type="dxa"/>
              <w:left w:w="0" w:type="dxa"/>
              <w:bottom w:w="0" w:type="dxa"/>
              <w:right w:w="0" w:type="dxa"/>
            </w:tcMar>
            <w:vAlign w:val="center"/>
          </w:tcPr>
          <w:p>
            <w:pPr>
              <w:pStyle w:val="TableContents"/>
              <w:bidi w:val="0"/>
              <w:spacing w:lineRule="auto" w:line="240" w:before="0" w:after="0"/>
              <w:jc w:val="center"/>
              <w:rPr>
                <w:rFonts w:ascii="Lato;sans-serif" w:hAnsi="Lato;sans-serif"/>
                <w:b/>
                <w:color w:val="FFFFFF"/>
                <w:sz w:val="20"/>
              </w:rPr>
            </w:pPr>
            <w:r>
              <w:rPr>
                <w:rFonts w:ascii="Lato;sans-serif" w:hAnsi="Lato;sans-serif"/>
                <w:b/>
                <w:color w:val="FFFFFF"/>
                <w:sz w:val="20"/>
              </w:rPr>
              <w:t>2025 Base Salary ($)</w:t>
            </w:r>
          </w:p>
        </w:tc>
        <w:tc>
          <w:tcPr>
            <w:tcW w:w="4081" w:type="dxa"/>
            <w:gridSpan w:val="3"/>
            <w:tcBorders/>
            <w:shd w:fill="F44238" w:val="clear"/>
            <w:tcMar>
              <w:top w:w="0" w:type="dxa"/>
              <w:left w:w="0" w:type="dxa"/>
              <w:bottom w:w="0" w:type="dxa"/>
              <w:right w:w="0" w:type="dxa"/>
            </w:tcMar>
            <w:vAlign w:val="center"/>
          </w:tcPr>
          <w:p>
            <w:pPr>
              <w:pStyle w:val="TableContents"/>
              <w:bidi w:val="0"/>
              <w:spacing w:lineRule="auto" w:line="240" w:before="0" w:after="0"/>
              <w:jc w:val="center"/>
              <w:rPr>
                <w:rFonts w:ascii="Lato;sans-serif" w:hAnsi="Lato;sans-serif"/>
                <w:b/>
                <w:color w:val="FFFFFF"/>
                <w:sz w:val="20"/>
              </w:rPr>
            </w:pPr>
            <w:r>
              <w:rPr>
                <w:rFonts w:ascii="Lato;sans-serif" w:hAnsi="Lato;sans-serif"/>
                <w:b/>
                <w:color w:val="FFFFFF"/>
                <w:sz w:val="20"/>
              </w:rPr>
              <w:t>Percentage Increase from 2024 Base Salary</w:t>
            </w:r>
          </w:p>
        </w:tc>
      </w:tr>
      <w:tr>
        <w:trPr/>
        <w:tc>
          <w:tcPr>
            <w:tcW w:w="2112"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0"/>
              <w:jc w:val="left"/>
              <w:rPr/>
            </w:pPr>
            <w:r>
              <w:rPr>
                <w:rFonts w:ascii="Lato;sans-serif" w:hAnsi="Lato;sans-serif"/>
                <w:b w:val="false"/>
                <w:color w:val="000000"/>
                <w:sz w:val="20"/>
              </w:rPr>
              <w:t>Henry L. Schuck</w:t>
            </w:r>
            <w:r>
              <w:rPr>
                <w:rFonts w:ascii="Lato;sans-serif" w:hAnsi="Lato;sans-serif"/>
                <w:b w:val="false"/>
                <w:color w:val="000000"/>
                <w:sz w:val="13"/>
              </w:rPr>
              <w:t>(1)</w:t>
            </w:r>
          </w:p>
        </w:tc>
        <w:tc>
          <w:tcPr>
            <w:tcW w:w="2006"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Lato;sans-serif" w:hAnsi="Lato;sans-serif"/>
                <w:b w:val="false"/>
                <w:color w:val="000000"/>
                <w:sz w:val="20"/>
              </w:rPr>
            </w:pPr>
            <w:r>
              <w:rPr>
                <w:rFonts w:ascii="Lato;sans-serif" w:hAnsi="Lato;sans-serif"/>
                <w:b w:val="false"/>
                <w:color w:val="000000"/>
                <w:sz w:val="20"/>
              </w:rPr>
              <w:t>550,000</w:t>
            </w:r>
          </w:p>
        </w:tc>
        <w:tc>
          <w:tcPr>
            <w:tcW w:w="2006"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Lato;sans-serif" w:hAnsi="Lato;sans-serif"/>
                <w:b w:val="false"/>
                <w:color w:val="000000"/>
                <w:sz w:val="20"/>
              </w:rPr>
            </w:pPr>
            <w:r>
              <w:rPr>
                <w:rFonts w:ascii="Lato;sans-serif" w:hAnsi="Lato;sans-serif"/>
                <w:b w:val="false"/>
                <w:color w:val="000000"/>
                <w:sz w:val="20"/>
              </w:rPr>
              <w:t>600,000</w:t>
            </w:r>
          </w:p>
        </w:tc>
        <w:tc>
          <w:tcPr>
            <w:tcW w:w="4081"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Lato;sans-serif" w:hAnsi="Lato;sans-serif"/>
                <w:b w:val="false"/>
                <w:color w:val="000000"/>
                <w:sz w:val="20"/>
              </w:rPr>
            </w:pPr>
            <w:r>
              <w:rPr>
                <w:rFonts w:ascii="Lato;sans-serif" w:hAnsi="Lato;sans-serif"/>
                <w:b w:val="false"/>
                <w:color w:val="000000"/>
                <w:sz w:val="20"/>
              </w:rPr>
              <w:t>9.1%</w:t>
            </w:r>
          </w:p>
        </w:tc>
      </w:tr>
      <w:tr>
        <w:trPr/>
        <w:tc>
          <w:tcPr>
            <w:tcW w:w="2112"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20"/>
              </w:rPr>
            </w:pPr>
            <w:r>
              <w:rPr>
                <w:rFonts w:ascii="Lato;sans-serif" w:hAnsi="Lato;sans-serif"/>
                <w:b w:val="false"/>
                <w:color w:val="000000"/>
                <w:sz w:val="20"/>
              </w:rPr>
              <w:t>Michael Graham O’Brien</w:t>
            </w:r>
          </w:p>
        </w:tc>
        <w:tc>
          <w:tcPr>
            <w:tcW w:w="2006"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Lato;sans-serif" w:hAnsi="Lato;sans-serif"/>
                <w:b w:val="false"/>
                <w:color w:val="000000"/>
                <w:sz w:val="20"/>
              </w:rPr>
            </w:pPr>
            <w:r>
              <w:rPr>
                <w:rFonts w:ascii="Lato;sans-serif" w:hAnsi="Lato;sans-serif"/>
                <w:b w:val="false"/>
                <w:color w:val="000000"/>
                <w:sz w:val="20"/>
              </w:rPr>
              <w:t>450,000</w:t>
            </w:r>
          </w:p>
        </w:tc>
        <w:tc>
          <w:tcPr>
            <w:tcW w:w="2006"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Lato;sans-serif" w:hAnsi="Lato;sans-serif"/>
                <w:b w:val="false"/>
                <w:color w:val="000000"/>
                <w:sz w:val="20"/>
              </w:rPr>
            </w:pPr>
            <w:r>
              <w:rPr>
                <w:rFonts w:ascii="Lato;sans-serif" w:hAnsi="Lato;sans-serif"/>
                <w:b w:val="false"/>
                <w:color w:val="000000"/>
                <w:sz w:val="20"/>
              </w:rPr>
              <w:t>470,000</w:t>
            </w:r>
          </w:p>
        </w:tc>
        <w:tc>
          <w:tcPr>
            <w:tcW w:w="4081"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Lato;sans-serif" w:hAnsi="Lato;sans-serif"/>
                <w:b w:val="false"/>
                <w:color w:val="000000"/>
                <w:sz w:val="20"/>
              </w:rPr>
            </w:pPr>
            <w:r>
              <w:rPr>
                <w:rFonts w:ascii="Lato;sans-serif" w:hAnsi="Lato;sans-serif"/>
                <w:b w:val="false"/>
                <w:color w:val="000000"/>
                <w:sz w:val="20"/>
              </w:rPr>
              <w:t>4.4%</w:t>
            </w:r>
          </w:p>
        </w:tc>
      </w:tr>
      <w:tr>
        <w:trPr/>
        <w:tc>
          <w:tcPr>
            <w:tcW w:w="211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Lato;sans-serif" w:hAnsi="Lato;sans-serif"/>
                <w:b w:val="false"/>
                <w:color w:val="000000"/>
                <w:sz w:val="20"/>
              </w:rPr>
              <w:t>James Roth</w:t>
            </w:r>
            <w:r>
              <w:rPr>
                <w:rFonts w:ascii="Lato;sans-serif" w:hAnsi="Lato;sans-serif"/>
                <w:b w:val="false"/>
                <w:color w:val="000000"/>
                <w:sz w:val="13"/>
              </w:rPr>
              <w:t>(2)</w:t>
            </w:r>
          </w:p>
        </w:tc>
        <w:tc>
          <w:tcPr>
            <w:tcW w:w="200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Lato;sans-serif" w:hAnsi="Lato;sans-serif"/>
                <w:b w:val="false"/>
                <w:color w:val="000000"/>
                <w:sz w:val="20"/>
              </w:rPr>
            </w:pPr>
            <w:r>
              <w:rPr>
                <w:rFonts w:ascii="Lato;sans-serif" w:hAnsi="Lato;sans-serif"/>
                <w:b w:val="false"/>
                <w:color w:val="000000"/>
                <w:sz w:val="20"/>
              </w:rPr>
              <w:t>N/A</w:t>
            </w:r>
          </w:p>
        </w:tc>
        <w:tc>
          <w:tcPr>
            <w:tcW w:w="20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Lato;sans-serif" w:hAnsi="Lato;sans-serif"/>
                <w:b w:val="false"/>
                <w:color w:val="000000"/>
                <w:sz w:val="20"/>
              </w:rPr>
            </w:pPr>
            <w:r>
              <w:rPr>
                <w:rFonts w:ascii="Lato;sans-serif" w:hAnsi="Lato;sans-serif"/>
                <w:b w:val="false"/>
                <w:color w:val="000000"/>
                <w:sz w:val="20"/>
              </w:rPr>
              <w:t>500,000</w:t>
            </w:r>
          </w:p>
        </w:tc>
        <w:tc>
          <w:tcPr>
            <w:tcW w:w="4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Lato;sans-serif" w:hAnsi="Lato;sans-serif"/>
                <w:b w:val="false"/>
                <w:color w:val="000000"/>
                <w:sz w:val="20"/>
              </w:rPr>
            </w:pPr>
            <w:r>
              <w:rPr>
                <w:rFonts w:ascii="Lato;sans-serif" w:hAnsi="Lato;sans-serif"/>
                <w:b w:val="false"/>
                <w:color w:val="000000"/>
                <w:sz w:val="20"/>
              </w:rPr>
              <w:t>N/A</w:t>
            </w:r>
          </w:p>
        </w:tc>
      </w:tr>
      <w:tr>
        <w:trPr/>
        <w:tc>
          <w:tcPr>
            <w:tcW w:w="2112" w:type="dxa"/>
            <w:gridSpan w:val="3"/>
            <w:tcBorders/>
            <w:shd w:fill="DBDBDB" w:val="clear"/>
            <w:tcMar>
              <w:top w:w="0" w:type="dxa"/>
              <w:left w:w="0" w:type="dxa"/>
              <w:bottom w:w="0" w:type="dxa"/>
              <w:right w:w="0" w:type="dxa"/>
            </w:tcMar>
            <w:vAlign w:val="center"/>
          </w:tcPr>
          <w:p>
            <w:pPr>
              <w:pStyle w:val="TableContents"/>
              <w:bidi w:val="0"/>
              <w:spacing w:lineRule="auto" w:line="240" w:before="0" w:after="0"/>
              <w:jc w:val="left"/>
              <w:rPr/>
            </w:pPr>
            <w:r>
              <w:rPr>
                <w:rFonts w:ascii="Lato;sans-serif" w:hAnsi="Lato;sans-serif"/>
                <w:b w:val="false"/>
                <w:color w:val="000000"/>
                <w:sz w:val="20"/>
              </w:rPr>
              <w:t>Ashley McGrane</w:t>
            </w:r>
            <w:r>
              <w:rPr>
                <w:rFonts w:ascii="Lato;sans-serif" w:hAnsi="Lato;sans-serif"/>
                <w:b w:val="false"/>
                <w:color w:val="000000"/>
                <w:sz w:val="13"/>
              </w:rPr>
              <w:t>(2)</w:t>
            </w:r>
          </w:p>
        </w:tc>
        <w:tc>
          <w:tcPr>
            <w:tcW w:w="2006" w:type="dxa"/>
            <w:gridSpan w:val="3"/>
            <w:tcBorders/>
            <w:shd w:fill="DBDBDB" w:val="clear"/>
            <w:tcMar>
              <w:top w:w="0" w:type="dxa"/>
              <w:left w:w="0" w:type="dxa"/>
              <w:bottom w:w="0" w:type="dxa"/>
              <w:right w:w="0" w:type="dxa"/>
            </w:tcMar>
            <w:vAlign w:val="center"/>
          </w:tcPr>
          <w:p>
            <w:pPr>
              <w:pStyle w:val="TableContents"/>
              <w:bidi w:val="0"/>
              <w:spacing w:lineRule="auto" w:line="240" w:before="0" w:after="0"/>
              <w:jc w:val="center"/>
              <w:rPr>
                <w:rFonts w:ascii="Lato;sans-serif" w:hAnsi="Lato;sans-serif"/>
                <w:b w:val="false"/>
                <w:color w:val="000000"/>
                <w:sz w:val="20"/>
              </w:rPr>
            </w:pPr>
            <w:r>
              <w:rPr>
                <w:rFonts w:ascii="Lato;sans-serif" w:hAnsi="Lato;sans-serif"/>
                <w:b w:val="false"/>
                <w:color w:val="000000"/>
                <w:sz w:val="20"/>
              </w:rPr>
              <w:t>N/A</w:t>
            </w:r>
          </w:p>
        </w:tc>
        <w:tc>
          <w:tcPr>
            <w:tcW w:w="2006"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Lato;sans-serif" w:hAnsi="Lato;sans-serif"/>
                <w:b w:val="false"/>
                <w:color w:val="000000"/>
                <w:sz w:val="20"/>
              </w:rPr>
            </w:pPr>
            <w:r>
              <w:rPr>
                <w:rFonts w:ascii="Lato;sans-serif" w:hAnsi="Lato;sans-serif"/>
                <w:b w:val="false"/>
                <w:color w:val="000000"/>
                <w:sz w:val="20"/>
              </w:rPr>
              <w:t>425,000</w:t>
            </w:r>
          </w:p>
        </w:tc>
        <w:tc>
          <w:tcPr>
            <w:tcW w:w="4081"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Lato;sans-serif" w:hAnsi="Lato;sans-serif"/>
                <w:b w:val="false"/>
                <w:color w:val="000000"/>
                <w:sz w:val="20"/>
              </w:rPr>
            </w:pPr>
            <w:r>
              <w:rPr>
                <w:rFonts w:ascii="Lato;sans-serif" w:hAnsi="Lato;sans-serif"/>
                <w:b w:val="false"/>
                <w:color w:val="000000"/>
                <w:sz w:val="20"/>
              </w:rPr>
              <w:t>N/A</w:t>
            </w:r>
          </w:p>
        </w:tc>
      </w:tr>
    </w:tbl>
    <w:p>
      <w:pPr>
        <w:pStyle w:val="TextBody"/>
        <w:bidi w:val="0"/>
        <w:spacing w:lineRule="auto" w:line="333"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__________________</w:t>
      </w:r>
    </w:p>
    <w:p>
      <w:pPr>
        <w:pStyle w:val="TextBody"/>
        <w:bidi w:val="0"/>
        <w:spacing w:lineRule="auto" w:line="288" w:before="0" w:after="20"/>
        <w:ind w:left="0" w:right="0" w:hanging="360"/>
        <w:jc w:val="both"/>
        <w:rPr>
          <w:rFonts w:ascii="Lato;sans-serif" w:hAnsi="Lato;sans-serif"/>
          <w:b w:val="false"/>
          <w:color w:val="000000"/>
          <w:sz w:val="16"/>
        </w:rPr>
      </w:pPr>
      <w:r>
        <w:rPr>
          <w:rFonts w:ascii="Lato;sans-serif" w:hAnsi="Lato;sans-serif"/>
          <w:b w:val="false"/>
          <w:color w:val="000000"/>
          <w:sz w:val="16"/>
        </w:rPr>
        <w:t>(1)Pursuant to the terms of his employment agreement, Mr. Schuck is entitled to a minimum base salary of $512,000, which may be increased, but not decreased without his consent.</w:t>
      </w:r>
    </w:p>
    <w:p>
      <w:pPr>
        <w:pStyle w:val="TextBody"/>
        <w:bidi w:val="0"/>
        <w:spacing w:lineRule="auto" w:line="288" w:before="0" w:after="0"/>
        <w:ind w:left="0" w:right="0" w:hanging="360"/>
        <w:jc w:val="both"/>
        <w:rPr>
          <w:rFonts w:ascii="Lato;sans-serif" w:hAnsi="Lato;sans-serif"/>
          <w:b w:val="false"/>
          <w:color w:val="000000"/>
          <w:sz w:val="16"/>
        </w:rPr>
      </w:pPr>
      <w:r>
        <w:rPr>
          <w:rFonts w:ascii="Lato;sans-serif" w:hAnsi="Lato;sans-serif"/>
          <w:b w:val="false"/>
          <w:color w:val="000000"/>
          <w:sz w:val="16"/>
        </w:rPr>
        <w:t>(2)On February 13, 2025, our Board of Directors determined each of James Roth, our Chief Revenue Officer, and Ashley McGrane, our General Counsel, to be an "executive officer" of the Company, as such term is defined in Rule 3b-7 under the Exchange Act. As a result of this determination, Mr. Roth and Ms. McGrane became NEOs for fiscal year ended December 31, 2025, and accordingly, we have omitted the 2024 Base Salary of each of Mr. Roth and Ms. McGrane as they were not NEOs for any period of the fiscal year ended December 31, 2024, as well as the related percentage change between such amounts in 2024 and 2025.</w:t>
      </w:r>
    </w:p>
    <w:p>
      <w:pPr>
        <w:pStyle w:val="TextBody"/>
        <w:bidi w:val="0"/>
        <w:spacing w:lineRule="auto" w:line="288" w:before="300" w:after="180"/>
        <w:jc w:val="both"/>
        <w:rPr>
          <w:rFonts w:ascii="Lato;sans-serif" w:hAnsi="Lato;sans-serif"/>
          <w:b/>
          <w:i/>
          <w:color w:val="000000"/>
          <w:sz w:val="20"/>
        </w:rPr>
      </w:pPr>
      <w:r>
        <w:rPr>
          <w:rFonts w:ascii="Lato;sans-serif" w:hAnsi="Lato;sans-serif"/>
          <w:b/>
          <w:i/>
          <w:color w:val="000000"/>
          <w:sz w:val="20"/>
        </w:rPr>
        <w:t>Annual Cash Incentive Awards — 2025 Cash Incentive Bonus Plan</w:t>
      </w:r>
    </w:p>
    <w:p>
      <w:pPr>
        <w:pStyle w:val="TextBody"/>
        <w:bidi w:val="0"/>
        <w:spacing w:lineRule="auto" w:line="288" w:before="180" w:after="180"/>
        <w:jc w:val="both"/>
        <w:rPr>
          <w:rFonts w:ascii="Lato;sans-serif" w:hAnsi="Lato;sans-serif"/>
          <w:b w:val="false"/>
          <w:color w:val="000000"/>
          <w:sz w:val="20"/>
        </w:rPr>
      </w:pPr>
      <w:r>
        <w:rPr>
          <w:rFonts w:ascii="Lato;sans-serif" w:hAnsi="Lato;sans-serif"/>
          <w:b w:val="false"/>
          <w:color w:val="000000"/>
          <w:sz w:val="20"/>
        </w:rPr>
        <w:t>A key objective of our compensation philosophy is to tie a significant portion of each NEO’s compensation to our performance. To help accomplish this objective, we provide annual performance-based cash bonus incentive opportunities for our NEOs, which are earned based on our achievement against corporate performance objectives established at the beginning of the fiscal year.</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6480175" cy="352425"/>
                <wp:effectExtent l="0" t="0" r="0" b="0"/>
                <wp:wrapNone/>
                <wp:docPr id="65" name="Frame49"/>
                <a:graphic xmlns:a="http://schemas.openxmlformats.org/drawingml/2006/main">
                  <a:graphicData uri="http://schemas.microsoft.com/office/word/2010/wordprocessingShape">
                    <wps:wsp>
                      <wps:cNvSpPr txBox="1"/>
                      <wps:spPr>
                        <a:xfrm>
                          <a:off x="0" y="0"/>
                          <a:ext cx="6480175" cy="352425"/>
                        </a:xfrm>
                        <a:prstGeom prst="rect"/>
                        <a:solidFill>
                          <a:srgbClr val="FFFFFF"/>
                        </a:solidFill>
                      </wps:spPr>
                      <wps:txbx>
                        <w:txbxContent>
                          <w:p>
                            <w:pPr>
                              <w:pStyle w:val="TextBody"/>
                              <w:bidi w:val="0"/>
                              <w:spacing w:lineRule="auto" w:line="288" w:before="0" w:after="0"/>
                              <w:jc w:val="center"/>
                              <w:rPr>
                                <w:rFonts w:ascii="Lato;sans-serif" w:hAnsi="Lato;sans-serif"/>
                                <w:b w:val="false"/>
                                <w:color w:val="000000"/>
                                <w:sz w:val="20"/>
                              </w:rPr>
                            </w:pPr>
                            <w:r>
                              <w:rPr>
                                <w:rFonts w:ascii="Lato;sans-serif" w:hAnsi="Lato;sans-serif"/>
                                <w:b w:val="false"/>
                                <w:color w:val="000000"/>
                                <w:sz w:val="20"/>
                              </w:rPr>
                              <w:t>43</w:t>
                            </w:r>
                          </w:p>
                          <w:p>
                            <w:pPr>
                              <w:pStyle w:val="TextBody"/>
                              <w:bidi w:val="0"/>
                              <w:spacing w:lineRule="auto" w:line="288" w:before="0" w:after="0"/>
                              <w:jc w:val="left"/>
                              <w:rPr>
                                <w:color w:val="000000"/>
                              </w:rPr>
                            </w:pPr>
                            <w:r>
                              <w:rPr>
                                <w:color w:val="000000"/>
                              </w:rPr>
                              <w:t>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Lato;sans-serif" w:hAnsi="Lato;sans-serif"/>
                          <w:b w:val="false"/>
                          <w:color w:val="000000"/>
                          <w:sz w:val="20"/>
                        </w:rPr>
                      </w:pPr>
                      <w:r>
                        <w:rPr>
                          <w:rFonts w:ascii="Lato;sans-serif" w:hAnsi="Lato;sans-serif"/>
                          <w:b w:val="false"/>
                          <w:color w:val="000000"/>
                          <w:sz w:val="20"/>
                        </w:rPr>
                        <w:t>43</w:t>
                      </w:r>
                    </w:p>
                    <w:p>
                      <w:pPr>
                        <w:pStyle w:val="TextBody"/>
                        <w:bidi w:val="0"/>
                        <w:spacing w:lineRule="auto" w:line="288" w:before="0" w:after="0"/>
                        <w:jc w:val="left"/>
                        <w:rPr>
                          <w:color w:val="000000"/>
                        </w:rPr>
                      </w:pPr>
                      <w:r>
                        <w:rPr>
                          <w:color w:val="000000"/>
                        </w:rPr>
                        <w:t>        </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80" w:after="180"/>
        <w:jc w:val="both"/>
        <w:rPr>
          <w:rFonts w:ascii="Lato;sans-serif" w:hAnsi="Lato;sans-serif"/>
          <w:b w:val="false"/>
          <w:color w:val="000000"/>
          <w:sz w:val="20"/>
        </w:rPr>
      </w:pPr>
      <w:r>
        <w:rPr>
          <w:rFonts w:ascii="Lato;sans-serif" w:hAnsi="Lato;sans-serif"/>
          <w:b w:val="false"/>
          <w:color w:val="000000"/>
          <w:sz w:val="20"/>
        </w:rPr>
        <w:t>The table below shows the target annual cash bonus opportunity for each NEO as a percentage of their base salary and as a corresponding dollar amount for 2025:</w:t>
      </w:r>
    </w:p>
    <w:tbl>
      <w:tblPr>
        <w:tblW w:w="10205" w:type="dxa"/>
        <w:jc w:val="left"/>
        <w:tblInd w:w="0" w:type="dxa"/>
        <w:tblLayout w:type="fixed"/>
        <w:tblCellMar>
          <w:top w:w="28" w:type="dxa"/>
          <w:left w:w="28" w:type="dxa"/>
          <w:bottom w:w="28" w:type="dxa"/>
          <w:right w:w="28" w:type="dxa"/>
        </w:tblCellMar>
      </w:tblPr>
      <w:tblGrid>
        <w:gridCol w:w="672"/>
        <w:gridCol w:w="460"/>
        <w:gridCol w:w="463"/>
        <w:gridCol w:w="944"/>
        <w:gridCol w:w="944"/>
        <w:gridCol w:w="946"/>
        <w:gridCol w:w="802"/>
        <w:gridCol w:w="772"/>
        <w:gridCol w:w="774"/>
        <w:gridCol w:w="1001"/>
        <w:gridCol w:w="1001"/>
        <w:gridCol w:w="1426"/>
      </w:tblGrid>
      <w:tr>
        <w:trPr/>
        <w:tc>
          <w:tcPr>
            <w:tcW w:w="672" w:type="dxa"/>
            <w:tcBorders/>
            <w:vAlign w:val="center"/>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before="0" w:after="283"/>
              <w:jc w:val="left"/>
              <w:rPr>
                <w:sz w:val="4"/>
                <w:szCs w:val="4"/>
              </w:rPr>
            </w:pPr>
            <w:r>
              <w:rPr>
                <w:sz w:val="4"/>
                <w:szCs w:val="4"/>
              </w:rPr>
            </w:r>
          </w:p>
        </w:tc>
        <w:tc>
          <w:tcPr>
            <w:tcW w:w="463" w:type="dxa"/>
            <w:tcBorders/>
            <w:vAlign w:val="center"/>
          </w:tcPr>
          <w:p>
            <w:pPr>
              <w:pStyle w:val="TableContents"/>
              <w:bidi w:val="0"/>
              <w:spacing w:before="0" w:after="283"/>
              <w:jc w:val="left"/>
              <w:rPr>
                <w:sz w:val="4"/>
                <w:szCs w:val="4"/>
              </w:rPr>
            </w:pPr>
            <w:r>
              <w:rPr>
                <w:sz w:val="4"/>
                <w:szCs w:val="4"/>
              </w:rPr>
            </w:r>
          </w:p>
        </w:tc>
        <w:tc>
          <w:tcPr>
            <w:tcW w:w="944" w:type="dxa"/>
            <w:tcBorders/>
            <w:vAlign w:val="center"/>
          </w:tcPr>
          <w:p>
            <w:pPr>
              <w:pStyle w:val="TableContents"/>
              <w:bidi w:val="0"/>
              <w:spacing w:before="0" w:after="283"/>
              <w:jc w:val="left"/>
              <w:rPr>
                <w:sz w:val="4"/>
                <w:szCs w:val="4"/>
              </w:rPr>
            </w:pPr>
            <w:r>
              <w:rPr>
                <w:sz w:val="4"/>
                <w:szCs w:val="4"/>
              </w:rPr>
            </w:r>
          </w:p>
        </w:tc>
        <w:tc>
          <w:tcPr>
            <w:tcW w:w="944"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802"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774" w:type="dxa"/>
            <w:tcBorders/>
            <w:vAlign w:val="center"/>
          </w:tcPr>
          <w:p>
            <w:pPr>
              <w:pStyle w:val="TableContents"/>
              <w:bidi w:val="0"/>
              <w:spacing w:before="0" w:after="283"/>
              <w:jc w:val="left"/>
              <w:rPr>
                <w:sz w:val="4"/>
                <w:szCs w:val="4"/>
              </w:rPr>
            </w:pPr>
            <w:r>
              <w:rPr>
                <w:sz w:val="4"/>
                <w:szCs w:val="4"/>
              </w:rPr>
            </w:r>
          </w:p>
        </w:tc>
        <w:tc>
          <w:tcPr>
            <w:tcW w:w="1001" w:type="dxa"/>
            <w:tcBorders/>
            <w:vAlign w:val="center"/>
          </w:tcPr>
          <w:p>
            <w:pPr>
              <w:pStyle w:val="TableContents"/>
              <w:bidi w:val="0"/>
              <w:spacing w:before="0" w:after="283"/>
              <w:jc w:val="left"/>
              <w:rPr>
                <w:sz w:val="4"/>
                <w:szCs w:val="4"/>
              </w:rPr>
            </w:pPr>
            <w:r>
              <w:rPr>
                <w:sz w:val="4"/>
                <w:szCs w:val="4"/>
              </w:rPr>
            </w:r>
          </w:p>
        </w:tc>
        <w:tc>
          <w:tcPr>
            <w:tcW w:w="1001" w:type="dxa"/>
            <w:tcBorders/>
            <w:vAlign w:val="center"/>
          </w:tcPr>
          <w:p>
            <w:pPr>
              <w:pStyle w:val="TableContents"/>
              <w:bidi w:val="0"/>
              <w:spacing w:before="0" w:after="283"/>
              <w:jc w:val="left"/>
              <w:rPr>
                <w:sz w:val="4"/>
                <w:szCs w:val="4"/>
              </w:rPr>
            </w:pPr>
            <w:r>
              <w:rPr>
                <w:sz w:val="4"/>
                <w:szCs w:val="4"/>
              </w:rPr>
            </w:r>
          </w:p>
        </w:tc>
        <w:tc>
          <w:tcPr>
            <w:tcW w:w="1426" w:type="dxa"/>
            <w:tcBorders/>
            <w:vAlign w:val="center"/>
          </w:tcPr>
          <w:p>
            <w:pPr>
              <w:pStyle w:val="TableContents"/>
              <w:bidi w:val="0"/>
              <w:spacing w:before="0" w:after="283"/>
              <w:jc w:val="left"/>
              <w:rPr>
                <w:sz w:val="4"/>
                <w:szCs w:val="4"/>
              </w:rPr>
            </w:pPr>
            <w:r>
              <w:rPr>
                <w:sz w:val="4"/>
                <w:szCs w:val="4"/>
              </w:rPr>
            </w:r>
          </w:p>
        </w:tc>
      </w:tr>
      <w:tr>
        <w:trPr/>
        <w:tc>
          <w:tcPr>
            <w:tcW w:w="1595" w:type="dxa"/>
            <w:gridSpan w:val="3"/>
            <w:tcBorders/>
            <w:shd w:fill="F44238"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color w:val="FFFFFF"/>
                <w:sz w:val="20"/>
              </w:rPr>
            </w:pPr>
            <w:r>
              <w:rPr>
                <w:rFonts w:ascii="Lato;sans-serif" w:hAnsi="Lato;sans-serif"/>
                <w:b/>
                <w:color w:val="FFFFFF"/>
                <w:sz w:val="20"/>
              </w:rPr>
              <w:t>Name</w:t>
            </w:r>
          </w:p>
        </w:tc>
        <w:tc>
          <w:tcPr>
            <w:tcW w:w="2834" w:type="dxa"/>
            <w:gridSpan w:val="3"/>
            <w:tcBorders/>
            <w:shd w:fill="F44238" w:val="clear"/>
            <w:tcMar>
              <w:top w:w="0" w:type="dxa"/>
              <w:left w:w="0" w:type="dxa"/>
              <w:bottom w:w="0" w:type="dxa"/>
              <w:right w:w="0" w:type="dxa"/>
            </w:tcMar>
            <w:vAlign w:val="center"/>
          </w:tcPr>
          <w:p>
            <w:pPr>
              <w:pStyle w:val="TableContents"/>
              <w:bidi w:val="0"/>
              <w:spacing w:lineRule="auto" w:line="240" w:before="0" w:after="0"/>
              <w:jc w:val="center"/>
              <w:rPr>
                <w:rFonts w:ascii="Lato;sans-serif" w:hAnsi="Lato;sans-serif"/>
                <w:b/>
                <w:color w:val="FFFFFF"/>
                <w:sz w:val="20"/>
              </w:rPr>
            </w:pPr>
            <w:r>
              <w:rPr>
                <w:rFonts w:ascii="Lato;sans-serif" w:hAnsi="Lato;sans-serif"/>
                <w:b/>
                <w:color w:val="FFFFFF"/>
                <w:sz w:val="20"/>
              </w:rPr>
              <w:t>2025 Target Cash Bonus as a Percentage of Salary</w:t>
            </w:r>
          </w:p>
        </w:tc>
        <w:tc>
          <w:tcPr>
            <w:tcW w:w="2348" w:type="dxa"/>
            <w:gridSpan w:val="3"/>
            <w:tcBorders/>
            <w:shd w:fill="F44238" w:val="clear"/>
            <w:tcMar>
              <w:top w:w="0" w:type="dxa"/>
              <w:left w:w="0" w:type="dxa"/>
              <w:bottom w:w="0" w:type="dxa"/>
              <w:right w:w="0" w:type="dxa"/>
            </w:tcMar>
            <w:vAlign w:val="center"/>
          </w:tcPr>
          <w:p>
            <w:pPr>
              <w:pStyle w:val="TableContents"/>
              <w:bidi w:val="0"/>
              <w:spacing w:lineRule="auto" w:line="240" w:before="0" w:after="0"/>
              <w:jc w:val="center"/>
              <w:rPr>
                <w:rFonts w:ascii="Lato;sans-serif" w:hAnsi="Lato;sans-serif"/>
                <w:b/>
                <w:color w:val="FFFFFF"/>
                <w:sz w:val="20"/>
              </w:rPr>
            </w:pPr>
            <w:r>
              <w:rPr>
                <w:rFonts w:ascii="Lato;sans-serif" w:hAnsi="Lato;sans-serif"/>
                <w:b/>
                <w:color w:val="FFFFFF"/>
                <w:sz w:val="20"/>
              </w:rPr>
              <w:t>2025 Target Cash Bonus as a Dollar Amount</w:t>
            </w:r>
          </w:p>
        </w:tc>
        <w:tc>
          <w:tcPr>
            <w:tcW w:w="3428" w:type="dxa"/>
            <w:gridSpan w:val="3"/>
            <w:tcBorders/>
            <w:shd w:fill="F44238" w:val="clear"/>
            <w:tcMar>
              <w:top w:w="0" w:type="dxa"/>
              <w:left w:w="0" w:type="dxa"/>
              <w:bottom w:w="0" w:type="dxa"/>
              <w:right w:w="0" w:type="dxa"/>
            </w:tcMar>
            <w:vAlign w:val="center"/>
          </w:tcPr>
          <w:p>
            <w:pPr>
              <w:pStyle w:val="TableContents"/>
              <w:bidi w:val="0"/>
              <w:spacing w:lineRule="auto" w:line="240" w:before="0" w:after="0"/>
              <w:jc w:val="center"/>
              <w:rPr>
                <w:rFonts w:ascii="Lato;sans-serif" w:hAnsi="Lato;sans-serif"/>
                <w:b/>
                <w:color w:val="FFFFFF"/>
                <w:sz w:val="20"/>
              </w:rPr>
            </w:pPr>
            <w:r>
              <w:rPr>
                <w:rFonts w:ascii="Lato;sans-serif" w:hAnsi="Lato;sans-serif"/>
                <w:b/>
                <w:color w:val="FFFFFF"/>
                <w:sz w:val="20"/>
              </w:rPr>
              <w:t>Percentage Increase from 2024 Target Bonus as a Dollar Amount</w:t>
            </w:r>
          </w:p>
        </w:tc>
      </w:tr>
      <w:tr>
        <w:trPr/>
        <w:tc>
          <w:tcPr>
            <w:tcW w:w="1595"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0"/>
              <w:jc w:val="left"/>
              <w:rPr>
                <w:rFonts w:ascii="Lato;sans-serif" w:hAnsi="Lato;sans-serif"/>
                <w:b w:val="false"/>
                <w:color w:val="000000"/>
                <w:sz w:val="20"/>
              </w:rPr>
            </w:pPr>
            <w:r>
              <w:rPr>
                <w:rFonts w:ascii="Lato;sans-serif" w:hAnsi="Lato;sans-serif"/>
                <w:b w:val="false"/>
                <w:color w:val="000000"/>
                <w:sz w:val="20"/>
              </w:rPr>
              <w:t>Henry L. Schuck</w:t>
            </w:r>
          </w:p>
        </w:tc>
        <w:tc>
          <w:tcPr>
            <w:tcW w:w="2834"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Lato;sans-serif" w:hAnsi="Lato;sans-serif"/>
                <w:b w:val="false"/>
                <w:color w:val="000000"/>
                <w:sz w:val="20"/>
              </w:rPr>
            </w:pPr>
            <w:r>
              <w:rPr>
                <w:rFonts w:ascii="Lato;sans-serif" w:hAnsi="Lato;sans-serif"/>
                <w:b w:val="false"/>
                <w:color w:val="000000"/>
                <w:sz w:val="20"/>
              </w:rPr>
              <w:t>100%</w:t>
            </w:r>
          </w:p>
        </w:tc>
        <w:tc>
          <w:tcPr>
            <w:tcW w:w="2348"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Lato;sans-serif" w:hAnsi="Lato;sans-serif"/>
                <w:b w:val="false"/>
                <w:color w:val="000000"/>
                <w:sz w:val="20"/>
              </w:rPr>
            </w:pPr>
            <w:r>
              <w:rPr>
                <w:rFonts w:ascii="Lato;sans-serif" w:hAnsi="Lato;sans-serif"/>
                <w:b w:val="false"/>
                <w:color w:val="000000"/>
                <w:sz w:val="20"/>
              </w:rPr>
              <w:t>$600,000</w:t>
            </w:r>
          </w:p>
        </w:tc>
        <w:tc>
          <w:tcPr>
            <w:tcW w:w="3428"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Lato;sans-serif" w:hAnsi="Lato;sans-serif"/>
                <w:b w:val="false"/>
                <w:color w:val="000000"/>
                <w:sz w:val="20"/>
              </w:rPr>
            </w:pPr>
            <w:r>
              <w:rPr>
                <w:rFonts w:ascii="Lato;sans-serif" w:hAnsi="Lato;sans-serif"/>
                <w:b w:val="false"/>
                <w:color w:val="000000"/>
                <w:sz w:val="20"/>
              </w:rPr>
              <w:t>9.1%</w:t>
            </w:r>
          </w:p>
        </w:tc>
      </w:tr>
      <w:tr>
        <w:trPr/>
        <w:tc>
          <w:tcPr>
            <w:tcW w:w="1595" w:type="dxa"/>
            <w:gridSpan w:val="3"/>
            <w:tcBorders/>
            <w:shd w:fill="DBDBDB" w:val="clear"/>
            <w:tcMar>
              <w:top w:w="0" w:type="dxa"/>
              <w:left w:w="0" w:type="dxa"/>
              <w:bottom w:w="0" w:type="dxa"/>
              <w:right w:w="0" w:type="dxa"/>
            </w:tcMar>
            <w:vAlign w:val="center"/>
          </w:tcPr>
          <w:p>
            <w:pPr>
              <w:pStyle w:val="TableContents"/>
              <w:bidi w:val="0"/>
              <w:spacing w:lineRule="auto" w:line="240" w:before="0" w:after="0"/>
              <w:jc w:val="left"/>
              <w:rPr/>
            </w:pPr>
            <w:r>
              <w:rPr>
                <w:rFonts w:ascii="Lato;sans-serif" w:hAnsi="Lato;sans-serif"/>
                <w:b w:val="false"/>
                <w:color w:val="000000"/>
                <w:sz w:val="20"/>
              </w:rPr>
              <w:t>Michael Graham O’Brien</w:t>
            </w:r>
            <w:r>
              <w:rPr>
                <w:rFonts w:ascii="Lato;sans-serif" w:hAnsi="Lato;sans-serif"/>
                <w:b w:val="false"/>
                <w:color w:val="000000"/>
                <w:sz w:val="13"/>
              </w:rPr>
              <w:t>(1)</w:t>
            </w:r>
          </w:p>
        </w:tc>
        <w:tc>
          <w:tcPr>
            <w:tcW w:w="283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Lato;sans-serif" w:hAnsi="Lato;sans-serif"/>
                <w:b w:val="false"/>
                <w:color w:val="000000"/>
                <w:sz w:val="20"/>
              </w:rPr>
            </w:pPr>
            <w:r>
              <w:rPr>
                <w:rFonts w:ascii="Lato;sans-serif" w:hAnsi="Lato;sans-serif"/>
                <w:b w:val="false"/>
                <w:color w:val="000000"/>
                <w:sz w:val="20"/>
              </w:rPr>
              <w:t>60%</w:t>
            </w:r>
          </w:p>
        </w:tc>
        <w:tc>
          <w:tcPr>
            <w:tcW w:w="2348"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Lato;sans-serif" w:hAnsi="Lato;sans-serif"/>
                <w:b w:val="false"/>
                <w:color w:val="000000"/>
                <w:sz w:val="20"/>
              </w:rPr>
            </w:pPr>
            <w:r>
              <w:rPr>
                <w:rFonts w:ascii="Lato;sans-serif" w:hAnsi="Lato;sans-serif"/>
                <w:b w:val="false"/>
                <w:color w:val="000000"/>
                <w:sz w:val="20"/>
              </w:rPr>
              <w:t>$282,000</w:t>
            </w:r>
          </w:p>
        </w:tc>
        <w:tc>
          <w:tcPr>
            <w:tcW w:w="3428"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Lato;sans-serif" w:hAnsi="Lato;sans-serif"/>
                <w:b w:val="false"/>
                <w:color w:val="000000"/>
                <w:sz w:val="20"/>
              </w:rPr>
            </w:pPr>
            <w:r>
              <w:rPr>
                <w:rFonts w:ascii="Lato;sans-serif" w:hAnsi="Lato;sans-serif"/>
                <w:b w:val="false"/>
                <w:color w:val="000000"/>
                <w:sz w:val="20"/>
              </w:rPr>
              <w:t>108.6%</w:t>
            </w:r>
          </w:p>
        </w:tc>
      </w:tr>
      <w:tr>
        <w:trPr/>
        <w:tc>
          <w:tcPr>
            <w:tcW w:w="1595"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Lato;sans-serif" w:hAnsi="Lato;sans-serif"/>
                <w:b w:val="false"/>
                <w:color w:val="000000"/>
                <w:sz w:val="20"/>
              </w:rPr>
              <w:t>James Roth</w:t>
            </w:r>
            <w:r>
              <w:rPr>
                <w:rFonts w:ascii="Lato;sans-serif" w:hAnsi="Lato;sans-serif"/>
                <w:b w:val="false"/>
                <w:color w:val="000000"/>
                <w:sz w:val="13"/>
              </w:rPr>
              <w:t>(2)</w:t>
            </w:r>
          </w:p>
        </w:tc>
        <w:tc>
          <w:tcPr>
            <w:tcW w:w="28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Lato;sans-serif" w:hAnsi="Lato;sans-serif"/>
                <w:b w:val="false"/>
                <w:color w:val="000000"/>
                <w:sz w:val="20"/>
              </w:rPr>
            </w:pPr>
            <w:r>
              <w:rPr>
                <w:rFonts w:ascii="Lato;sans-serif" w:hAnsi="Lato;sans-serif"/>
                <w:b w:val="false"/>
                <w:color w:val="000000"/>
                <w:sz w:val="20"/>
              </w:rPr>
              <w:t>100%</w:t>
            </w:r>
          </w:p>
        </w:tc>
        <w:tc>
          <w:tcPr>
            <w:tcW w:w="234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Lato;sans-serif" w:hAnsi="Lato;sans-serif"/>
                <w:b w:val="false"/>
                <w:color w:val="000000"/>
                <w:sz w:val="20"/>
              </w:rPr>
            </w:pPr>
            <w:r>
              <w:rPr>
                <w:rFonts w:ascii="Lato;sans-serif" w:hAnsi="Lato;sans-serif"/>
                <w:b w:val="false"/>
                <w:color w:val="000000"/>
                <w:sz w:val="20"/>
              </w:rPr>
              <w:t>$500,000</w:t>
            </w:r>
          </w:p>
        </w:tc>
        <w:tc>
          <w:tcPr>
            <w:tcW w:w="342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Lato;sans-serif" w:hAnsi="Lato;sans-serif"/>
                <w:b w:val="false"/>
                <w:color w:val="000000"/>
                <w:sz w:val="20"/>
              </w:rPr>
            </w:pPr>
            <w:r>
              <w:rPr>
                <w:rFonts w:ascii="Lato;sans-serif" w:hAnsi="Lato;sans-serif"/>
                <w:b w:val="false"/>
                <w:color w:val="000000"/>
                <w:sz w:val="20"/>
              </w:rPr>
              <w:t>N/A</w:t>
            </w:r>
          </w:p>
        </w:tc>
      </w:tr>
      <w:tr>
        <w:trPr/>
        <w:tc>
          <w:tcPr>
            <w:tcW w:w="1595" w:type="dxa"/>
            <w:gridSpan w:val="3"/>
            <w:tcBorders/>
            <w:shd w:fill="DBDBDB" w:val="clear"/>
            <w:tcMar>
              <w:top w:w="0" w:type="dxa"/>
              <w:left w:w="0" w:type="dxa"/>
              <w:bottom w:w="0" w:type="dxa"/>
              <w:right w:w="0" w:type="dxa"/>
            </w:tcMar>
            <w:vAlign w:val="center"/>
          </w:tcPr>
          <w:p>
            <w:pPr>
              <w:pStyle w:val="TableContents"/>
              <w:bidi w:val="0"/>
              <w:spacing w:lineRule="auto" w:line="240" w:before="0" w:after="0"/>
              <w:jc w:val="left"/>
              <w:rPr/>
            </w:pPr>
            <w:r>
              <w:rPr>
                <w:rFonts w:ascii="Lato;sans-serif" w:hAnsi="Lato;sans-serif"/>
                <w:b w:val="false"/>
                <w:color w:val="000000"/>
                <w:sz w:val="20"/>
              </w:rPr>
              <w:t>Ashley McGrane</w:t>
            </w:r>
            <w:r>
              <w:rPr>
                <w:rFonts w:ascii="Lato;sans-serif" w:hAnsi="Lato;sans-serif"/>
                <w:b w:val="false"/>
                <w:color w:val="000000"/>
                <w:sz w:val="13"/>
              </w:rPr>
              <w:t>(2)</w:t>
            </w:r>
          </w:p>
        </w:tc>
        <w:tc>
          <w:tcPr>
            <w:tcW w:w="283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Lato;sans-serif" w:hAnsi="Lato;sans-serif"/>
                <w:b w:val="false"/>
                <w:color w:val="000000"/>
                <w:sz w:val="20"/>
              </w:rPr>
            </w:pPr>
            <w:r>
              <w:rPr>
                <w:rFonts w:ascii="Lato;sans-serif" w:hAnsi="Lato;sans-serif"/>
                <w:b w:val="false"/>
                <w:color w:val="000000"/>
                <w:sz w:val="20"/>
              </w:rPr>
              <w:t>50%</w:t>
            </w:r>
          </w:p>
        </w:tc>
        <w:tc>
          <w:tcPr>
            <w:tcW w:w="2348"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Lato;sans-serif" w:hAnsi="Lato;sans-serif"/>
                <w:b w:val="false"/>
                <w:color w:val="000000"/>
                <w:sz w:val="20"/>
              </w:rPr>
            </w:pPr>
            <w:r>
              <w:rPr>
                <w:rFonts w:ascii="Lato;sans-serif" w:hAnsi="Lato;sans-serif"/>
                <w:b w:val="false"/>
                <w:color w:val="000000"/>
                <w:sz w:val="20"/>
              </w:rPr>
              <w:t>$212,500</w:t>
            </w:r>
          </w:p>
        </w:tc>
        <w:tc>
          <w:tcPr>
            <w:tcW w:w="3428"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Lato;sans-serif" w:hAnsi="Lato;sans-serif"/>
                <w:b w:val="false"/>
                <w:color w:val="000000"/>
                <w:sz w:val="20"/>
              </w:rPr>
            </w:pPr>
            <w:r>
              <w:rPr>
                <w:rFonts w:ascii="Lato;sans-serif" w:hAnsi="Lato;sans-serif"/>
                <w:b w:val="false"/>
                <w:color w:val="000000"/>
                <w:sz w:val="20"/>
              </w:rPr>
              <w:t>N/A</w:t>
            </w:r>
          </w:p>
        </w:tc>
      </w:tr>
    </w:tbl>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__________________</w:t>
      </w:r>
    </w:p>
    <w:p>
      <w:pPr>
        <w:pStyle w:val="TextBody"/>
        <w:bidi w:val="0"/>
        <w:spacing w:lineRule="auto" w:line="288" w:before="0" w:after="20"/>
        <w:ind w:left="0" w:right="0" w:hanging="360"/>
        <w:jc w:val="both"/>
        <w:rPr>
          <w:rFonts w:ascii="Lato;sans-serif" w:hAnsi="Lato;sans-serif"/>
          <w:b w:val="false"/>
          <w:color w:val="000000"/>
          <w:sz w:val="16"/>
        </w:rPr>
      </w:pPr>
      <w:r>
        <w:rPr>
          <w:rFonts w:ascii="Lato;sans-serif" w:hAnsi="Lato;sans-serif"/>
          <w:b w:val="false"/>
          <w:color w:val="000000"/>
          <w:sz w:val="16"/>
        </w:rPr>
        <w:t>(1)The year-over-year percentage increase in Graham O'Brien’s target annual cash bonus is primarily the result of Mr. O’Brien’s appointment as the Company’s permanent Chief Financial Officer, effective August 1, 2025, and having previously served as the Company’s Interim Chief Financial Officer from September 6, 2024 until July 31, 2025. As a result, the year-over-year percentage increase in Mr. O’Brien's target annual cash bonus reflects his service as the principal financial officer for the full period of 2025 (including his service as the Interim Financial Officer), whereas during the 2024 period, Mr. O’Brien served as the principal financial officer for only a portion of the year, from September 6, 2024 until July 31, 2025, and his target cash bonus was commensurate for the duration of his service as the Interim Chief Financial Officer.</w:t>
      </w:r>
    </w:p>
    <w:p>
      <w:pPr>
        <w:pStyle w:val="TextBody"/>
        <w:bidi w:val="0"/>
        <w:spacing w:lineRule="auto" w:line="288" w:before="0" w:after="0"/>
        <w:ind w:left="0" w:right="0" w:hanging="360"/>
        <w:jc w:val="both"/>
        <w:rPr>
          <w:rFonts w:ascii="Lato;sans-serif" w:hAnsi="Lato;sans-serif"/>
          <w:b w:val="false"/>
          <w:color w:val="000000"/>
          <w:sz w:val="16"/>
        </w:rPr>
      </w:pPr>
      <w:r>
        <w:rPr>
          <w:rFonts w:ascii="Lato;sans-serif" w:hAnsi="Lato;sans-serif"/>
          <w:b w:val="false"/>
          <w:color w:val="000000"/>
          <w:sz w:val="16"/>
        </w:rPr>
        <w:t>(2)On February 13, 2025, our Board of Directors determined each of James Roth, our Chief Revenue Officer, and Ashley McGrane, our General Counsel, to be an "executive officer" of the Company, as such term is defined in Rule 3b-7 under the Exchange Act. As a result of this determination, Mr. Roth and Ms. McGrane became NEOs for fiscal year ended December 31, 2025, and accordingly, we have omitted the information relating to the percentage increase from the 2024 target bonus of each of Mr. Roth and Ms. McGrane as they were not NEOs for any period of the fiscal year ended December 31, 2024.</w:t>
      </w:r>
    </w:p>
    <w:p>
      <w:pPr>
        <w:pStyle w:val="TextBody"/>
        <w:bidi w:val="0"/>
        <w:spacing w:before="0" w:after="0"/>
        <w:jc w:val="both"/>
        <w:rPr/>
      </w:pPr>
      <w:r>
        <w:rPr/>
      </w:r>
    </w:p>
    <w:p>
      <w:pPr>
        <w:pStyle w:val="TextBody"/>
        <w:bidi w:val="0"/>
        <w:spacing w:lineRule="auto" w:line="288" w:before="0" w:after="0"/>
        <w:jc w:val="both"/>
        <w:rPr/>
      </w:pPr>
      <w:r>
        <w:rPr>
          <w:rFonts w:ascii="Lato;sans-serif" w:hAnsi="Lato;sans-serif"/>
          <w:b w:val="false"/>
          <w:color w:val="000000"/>
          <w:sz w:val="20"/>
        </w:rPr>
        <w:t>At the beginning of 2025, our Board approved our annual operating plan, which included performance objectives that the Compensation Committee used to design an annual cash incentive bonus plan for our NEOs and other employees (the “</w:t>
      </w:r>
      <w:r>
        <w:rPr>
          <w:rFonts w:ascii="Lato;sans-serif" w:hAnsi="Lato;sans-serif"/>
          <w:b/>
          <w:i/>
          <w:color w:val="000000"/>
          <w:sz w:val="20"/>
        </w:rPr>
        <w:t>2025 Cash Incentive Bonus Plan</w:t>
      </w:r>
      <w:r>
        <w:rPr>
          <w:color w:val="000000"/>
        </w:rPr>
        <w:t>”</w:t>
      </w:r>
      <w:r>
        <w:rPr>
          <w:rFonts w:ascii="Lato;sans-serif" w:hAnsi="Lato;sans-serif"/>
          <w:b w:val="false"/>
          <w:color w:val="000000"/>
          <w:sz w:val="20"/>
        </w:rPr>
        <w:t>). The Compensation Committee considered a number of factors in selecting the performance objectives applicable to our NEOs’ annual cash bonus opportunities, including performance objectives that tie to our business strategy and support our short-term and long-term plans to profitably grow our business. The Compensation Committee determined that two key short-term performance metrics - net new annual recurring revenue (“</w:t>
      </w:r>
      <w:r>
        <w:rPr>
          <w:rFonts w:ascii="Lato;sans-serif" w:hAnsi="Lato;sans-serif"/>
          <w:b/>
          <w:i/>
          <w:color w:val="000000"/>
          <w:sz w:val="20"/>
        </w:rPr>
        <w:t>Net New ARR</w:t>
      </w:r>
      <w:r>
        <w:rPr>
          <w:color w:val="000000"/>
        </w:rPr>
        <w:t>”</w:t>
      </w:r>
      <w:r>
        <w:rPr>
          <w:rFonts w:ascii="Lato;sans-serif" w:hAnsi="Lato;sans-serif"/>
          <w:b w:val="false"/>
          <w:color w:val="000000"/>
          <w:sz w:val="20"/>
        </w:rPr>
        <w:t>) and fiscal year adjusted operating income (“</w:t>
      </w:r>
      <w:r>
        <w:rPr>
          <w:rFonts w:ascii="Lato;sans-serif" w:hAnsi="Lato;sans-serif"/>
          <w:b/>
          <w:i/>
          <w:color w:val="000000"/>
          <w:sz w:val="20"/>
        </w:rPr>
        <w:t>AOI</w:t>
      </w:r>
      <w:r>
        <w:rPr>
          <w:color w:val="000000"/>
        </w:rPr>
        <w:t>”</w:t>
      </w:r>
      <w:r>
        <w:rPr>
          <w:rFonts w:ascii="Lato;sans-serif" w:hAnsi="Lato;sans-serif"/>
          <w:b w:val="false"/>
          <w:color w:val="000000"/>
          <w:sz w:val="20"/>
        </w:rPr>
        <w:t>) - are aligned with the key drivers of success during this phase of our business.</w:t>
      </w:r>
    </w:p>
    <w:p>
      <w:pPr>
        <w:pStyle w:val="TextBody"/>
        <w:bidi w:val="0"/>
        <w:spacing w:lineRule="auto" w:line="288" w:before="180" w:after="180"/>
        <w:jc w:val="both"/>
        <w:rPr>
          <w:rFonts w:ascii="Lato;sans-serif" w:hAnsi="Lato;sans-serif"/>
          <w:b w:val="false"/>
          <w:color w:val="000000"/>
          <w:sz w:val="20"/>
        </w:rPr>
      </w:pPr>
      <w:r>
        <w:rPr>
          <w:rFonts w:ascii="Lato;sans-serif" w:hAnsi="Lato;sans-serif"/>
          <w:b w:val="false"/>
          <w:color w:val="000000"/>
          <w:sz w:val="20"/>
        </w:rPr>
        <w:t>Each NEO’s 2025 cash bonus opportunity was based, and weighted equally, upon the Company’s 2025 Net New ARR and AOI performance targets. The following is a summary of our payout formula with respect to our 2025 Cash Incentive Bonus Plan:</w:t>
      </w:r>
    </w:p>
    <w:p>
      <w:pPr>
        <w:pStyle w:val="TextBody"/>
        <w:bidi w:val="0"/>
        <w:spacing w:lineRule="auto" w:line="288" w:before="0" w:after="0"/>
        <w:ind w:left="0" w:right="0" w:hanging="360"/>
        <w:jc w:val="both"/>
        <w:rPr/>
      </w:pPr>
      <w:r>
        <w:rPr>
          <w:color w:val="000000"/>
        </w:rPr>
        <w:t>•</w:t>
      </w:r>
      <w:r>
        <w:rPr>
          <w:rFonts w:ascii="Lato;sans-serif" w:hAnsi="Lato;sans-serif"/>
          <w:b w:val="false"/>
          <w:color w:val="000000"/>
          <w:sz w:val="20"/>
        </w:rPr>
        <w:t>In the case of the Company’s 2025 Net New ARR</w:t>
      </w:r>
      <w:r>
        <w:rPr>
          <w:rFonts w:ascii="Lato;sans-serif" w:hAnsi="Lato;sans-serif"/>
          <w:b w:val="false"/>
          <w:color w:val="000000"/>
          <w:sz w:val="13"/>
        </w:rPr>
        <w:t>(1)</w:t>
      </w:r>
      <w:r>
        <w:rPr>
          <w:color w:val="000000"/>
        </w:rPr>
        <w:t xml:space="preserve"> </w:t>
      </w:r>
      <w:r>
        <w:rPr>
          <w:rFonts w:ascii="Lato;sans-serif" w:hAnsi="Lato;sans-serif"/>
          <w:b w:val="false"/>
          <w:color w:val="000000"/>
          <w:sz w:val="20"/>
        </w:rPr>
        <w:t>metric, thresholds were established at (x) $6 million, (y) $11 million and (z) $29 million (in each case, representing the 40% payout floor, the 100% payout target and the 125% maximum payout potential, respectively, of such metric’s portion of the cash bonus opportunity, weighted equally with AOI (as described in greater below));</w:t>
      </w:r>
    </w:p>
    <w:p>
      <w:pPr>
        <w:pStyle w:val="TextBody"/>
        <w:bidi w:val="0"/>
        <w:spacing w:lineRule="auto" w:line="288" w:before="0" w:after="0"/>
        <w:ind w:left="0" w:right="0" w:hanging="360"/>
        <w:jc w:val="both"/>
        <w:rPr/>
      </w:pPr>
      <w:r>
        <w:rPr>
          <w:color w:val="000000"/>
        </w:rPr>
        <w:t>•</w:t>
      </w:r>
      <w:r>
        <w:rPr>
          <w:rFonts w:ascii="Lato;sans-serif" w:hAnsi="Lato;sans-serif"/>
          <w:b w:val="false"/>
          <w:color w:val="000000"/>
          <w:sz w:val="20"/>
        </w:rPr>
        <w:t>In the case of the Company’s 2025 AOI</w:t>
      </w:r>
      <w:r>
        <w:rPr>
          <w:rFonts w:ascii="Lato;sans-serif" w:hAnsi="Lato;sans-serif"/>
          <w:b w:val="false"/>
          <w:color w:val="000000"/>
          <w:sz w:val="13"/>
        </w:rPr>
        <w:t>(2)</w:t>
      </w:r>
      <w:r>
        <w:rPr>
          <w:color w:val="000000"/>
        </w:rPr>
        <w:t xml:space="preserve"> </w:t>
      </w:r>
      <w:r>
        <w:rPr>
          <w:rFonts w:ascii="Lato;sans-serif" w:hAnsi="Lato;sans-serif"/>
          <w:b w:val="false"/>
          <w:color w:val="000000"/>
          <w:sz w:val="20"/>
        </w:rPr>
        <w:t>metric, thresholds were established at (x) $468 million, (y) $473 million and (z) $483 million (in each case, representing the 25% payout floor, the 100% payout target and the 125% maximum payout potential, respectively, of such metric’s portion of the cash bonus opportunity, weighted equally with Net New ARR (as described in greater above));</w:t>
      </w:r>
    </w:p>
    <w:p>
      <w:pPr>
        <w:pStyle w:val="TextBody"/>
        <w:bidi w:val="0"/>
        <w:spacing w:lineRule="auto" w:line="288" w:before="0" w:after="0"/>
        <w:ind w:left="0" w:right="0" w:hanging="360"/>
        <w:jc w:val="both"/>
        <w:rPr/>
      </w:pPr>
      <w:r>
        <w:rPr>
          <w:color w:val="000000"/>
        </w:rPr>
        <w:t>•</w:t>
      </w:r>
      <w:r>
        <w:rPr>
          <w:rFonts w:ascii="Lato;sans-serif" w:hAnsi="Lato;sans-serif"/>
          <w:b w:val="false"/>
          <w:color w:val="000000"/>
          <w:sz w:val="20"/>
        </w:rPr>
        <w:t>After considering each of the Company’s actual 2025 Net New ARR and AOI results relative to their respective target thresholds, the Compensation Committee approved achievements of 114% (rounding up to the nearest whole percentage point), in the case of the Net New ARR, and 0%, in the case of the AOI;</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6480175" cy="352425"/>
                <wp:effectExtent l="0" t="0" r="0" b="0"/>
                <wp:wrapNone/>
                <wp:docPr id="66" name="Frame50"/>
                <a:graphic xmlns:a="http://schemas.openxmlformats.org/drawingml/2006/main">
                  <a:graphicData uri="http://schemas.microsoft.com/office/word/2010/wordprocessingShape">
                    <wps:wsp>
                      <wps:cNvSpPr txBox="1"/>
                      <wps:spPr>
                        <a:xfrm>
                          <a:off x="0" y="0"/>
                          <a:ext cx="6480175" cy="352425"/>
                        </a:xfrm>
                        <a:prstGeom prst="rect"/>
                        <a:solidFill>
                          <a:srgbClr val="FFFFFF"/>
                        </a:solidFill>
                      </wps:spPr>
                      <wps:txbx>
                        <w:txbxContent>
                          <w:p>
                            <w:pPr>
                              <w:pStyle w:val="TextBody"/>
                              <w:bidi w:val="0"/>
                              <w:spacing w:lineRule="auto" w:line="288" w:before="0" w:after="0"/>
                              <w:jc w:val="center"/>
                              <w:rPr>
                                <w:rFonts w:ascii="Lato;sans-serif" w:hAnsi="Lato;sans-serif"/>
                                <w:b w:val="false"/>
                                <w:color w:val="000000"/>
                                <w:sz w:val="20"/>
                              </w:rPr>
                            </w:pPr>
                            <w:r>
                              <w:rPr>
                                <w:rFonts w:ascii="Lato;sans-serif" w:hAnsi="Lato;sans-serif"/>
                                <w:b w:val="false"/>
                                <w:color w:val="000000"/>
                                <w:sz w:val="20"/>
                              </w:rPr>
                              <w:t>44</w:t>
                            </w:r>
                          </w:p>
                          <w:p>
                            <w:pPr>
                              <w:pStyle w:val="TextBody"/>
                              <w:bidi w:val="0"/>
                              <w:spacing w:lineRule="auto" w:line="288" w:before="0" w:after="0"/>
                              <w:jc w:val="left"/>
                              <w:rPr>
                                <w:color w:val="000000"/>
                              </w:rPr>
                            </w:pPr>
                            <w:r>
                              <w:rPr>
                                <w:color w:val="000000"/>
                              </w:rPr>
                              <w:t>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Lato;sans-serif" w:hAnsi="Lato;sans-serif"/>
                          <w:b w:val="false"/>
                          <w:color w:val="000000"/>
                          <w:sz w:val="20"/>
                        </w:rPr>
                      </w:pPr>
                      <w:r>
                        <w:rPr>
                          <w:rFonts w:ascii="Lato;sans-serif" w:hAnsi="Lato;sans-serif"/>
                          <w:b w:val="false"/>
                          <w:color w:val="000000"/>
                          <w:sz w:val="20"/>
                        </w:rPr>
                        <w:t>44</w:t>
                      </w:r>
                    </w:p>
                    <w:p>
                      <w:pPr>
                        <w:pStyle w:val="TextBody"/>
                        <w:bidi w:val="0"/>
                        <w:spacing w:lineRule="auto" w:line="288" w:before="0" w:after="0"/>
                        <w:jc w:val="left"/>
                        <w:rPr>
                          <w:color w:val="000000"/>
                        </w:rPr>
                      </w:pPr>
                      <w:r>
                        <w:rPr>
                          <w:color w:val="000000"/>
                        </w:rPr>
                        <w:t>        </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80"/>
        <w:ind w:left="0" w:right="0" w:hanging="360"/>
        <w:jc w:val="both"/>
        <w:rPr/>
      </w:pPr>
      <w:r>
        <w:rPr>
          <w:color w:val="000000"/>
        </w:rPr>
        <w:t>•</w:t>
      </w:r>
      <w:r>
        <w:rPr>
          <w:rFonts w:ascii="Lato;sans-serif" w:hAnsi="Lato;sans-serif"/>
          <w:b w:val="false"/>
          <w:color w:val="000000"/>
          <w:sz w:val="20"/>
        </w:rPr>
        <w:t>Lastly, after giving equal weight to the Company’s Net New ARR and AOI achievements, the Compensation Committee determined that the Company attained, and thereby approved, a total blended achievement of 57% (rounding up to the nearest whole percentage point).</w:t>
      </w:r>
    </w:p>
    <w:p>
      <w:pPr>
        <w:pStyle w:val="TextBody"/>
        <w:bidi w:val="0"/>
        <w:spacing w:lineRule="auto" w:line="288" w:before="0" w:after="0"/>
        <w:jc w:val="both"/>
        <w:rPr>
          <w:rFonts w:ascii="Lato;sans-serif" w:hAnsi="Lato;sans-serif"/>
          <w:b w:val="false"/>
          <w:color w:val="000000"/>
          <w:sz w:val="20"/>
        </w:rPr>
      </w:pPr>
      <w:r>
        <w:rPr>
          <w:rFonts w:ascii="Lato;sans-serif" w:hAnsi="Lato;sans-serif"/>
          <w:b w:val="false"/>
          <w:color w:val="000000"/>
          <w:sz w:val="20"/>
        </w:rPr>
        <w:t>Similar to prior years, the Company’s 2025 Net New ARR and AOI targets were formulated based on the Company’s financial outlook and operational expectations at the beginning of the year, with the threshold for achievement set at the low end of the Company’s financial guidance at the beginning of 2025. The 2025 targets are lower than their respective prior-year targets, which reflect year-over-year changes in the market and the Company’s financial outlook and operational expectations.</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_____________</w:t>
      </w:r>
    </w:p>
    <w:p>
      <w:pPr>
        <w:pStyle w:val="TextBody"/>
        <w:bidi w:val="0"/>
        <w:spacing w:lineRule="auto" w:line="288" w:before="0" w:after="0"/>
        <w:ind w:left="0" w:right="0" w:hanging="360"/>
        <w:jc w:val="both"/>
        <w:rPr>
          <w:rFonts w:ascii="Lato;sans-serif" w:hAnsi="Lato;sans-serif"/>
          <w:b w:val="false"/>
          <w:color w:val="000000"/>
          <w:sz w:val="16"/>
        </w:rPr>
      </w:pPr>
      <w:r>
        <w:rPr>
          <w:rFonts w:ascii="Lato;sans-serif" w:hAnsi="Lato;sans-serif"/>
          <w:b w:val="false"/>
          <w:color w:val="000000"/>
          <w:sz w:val="16"/>
        </w:rPr>
        <w:t>(1)Net New ARR is calculated based on the difference between annual recurring revenue at the end of the year and the beginning of the year. The calculation is adjusted for any acquisitions made during the year, if applicable.</w:t>
      </w:r>
    </w:p>
    <w:p>
      <w:pPr>
        <w:pStyle w:val="TextBody"/>
        <w:bidi w:val="0"/>
        <w:spacing w:lineRule="auto" w:line="288" w:before="0" w:after="0"/>
        <w:ind w:left="0" w:right="0" w:hanging="360"/>
        <w:jc w:val="both"/>
        <w:rPr/>
      </w:pPr>
      <w:r>
        <w:rPr>
          <w:rFonts w:ascii="Lato;sans-serif" w:hAnsi="Lato;sans-serif"/>
          <w:b w:val="false"/>
          <w:color w:val="000000"/>
          <w:sz w:val="16"/>
        </w:rPr>
        <w:t>(2)AOI is defined as income from operations plus (i) impact of fair value adjustments to acquired unearned revenue, (ii) amortization of acquired technology and other acquired intangibles, (iii) equity-based compensation expense, (iv) restructuring and transaction-related expenses, (v) integration costs and acquisition-related expenses and (vi) legal settlement. For additional information relating to AOI, including a reconciliation of such measure to its most directly comparable U.S. GAAP financial measure, our U.S. GAAP operating income, see “</w:t>
      </w:r>
      <w:r>
        <w:rPr>
          <w:rFonts w:ascii="Lato;sans-serif" w:hAnsi="Lato;sans-serif"/>
          <w:b w:val="false"/>
          <w:i/>
          <w:color w:val="000000"/>
          <w:sz w:val="16"/>
        </w:rPr>
        <w:t>Appendix A: Non-GAAP</w:t>
      </w:r>
      <w:r>
        <w:rPr>
          <w:rFonts w:ascii="Lato;sans-serif" w:hAnsi="Lato;sans-serif"/>
          <w:b w:val="false"/>
          <w:color w:val="000000"/>
          <w:sz w:val="16"/>
        </w:rPr>
        <w:t>.” For purposes of our cash incentive bonus plan determination only, AOI achievement is also adjusted to exclude additional or reduced bonus driven by the cash incentive bonus plan relative to target bonuses. The calculation is also adjusted for any acquisitions made during the year, if applicable.</w:t>
      </w:r>
    </w:p>
    <w:p>
      <w:pPr>
        <w:pStyle w:val="TextBody"/>
        <w:bidi w:val="0"/>
        <w:spacing w:lineRule="auto" w:line="288" w:before="300" w:after="180"/>
        <w:jc w:val="both"/>
        <w:rPr>
          <w:rFonts w:ascii="Lato;sans-serif" w:hAnsi="Lato;sans-serif"/>
          <w:b/>
          <w:i/>
          <w:color w:val="000000"/>
          <w:sz w:val="20"/>
        </w:rPr>
      </w:pPr>
      <w:r>
        <w:rPr>
          <w:rFonts w:ascii="Lato;sans-serif" w:hAnsi="Lato;sans-serif"/>
          <w:b/>
          <w:i/>
          <w:color w:val="000000"/>
          <w:sz w:val="20"/>
        </w:rPr>
        <w:t>Additional Net Revenue Retention Performance-Based Cash Incentive Award</w:t>
      </w:r>
    </w:p>
    <w:p>
      <w:pPr>
        <w:pStyle w:val="TextBody"/>
        <w:bidi w:val="0"/>
        <w:spacing w:lineRule="auto" w:line="288" w:before="0" w:after="0"/>
        <w:jc w:val="both"/>
        <w:rPr/>
      </w:pPr>
      <w:r>
        <w:rPr>
          <w:rFonts w:ascii="Lato;sans-serif" w:hAnsi="Lato;sans-serif"/>
          <w:b w:val="false"/>
          <w:color w:val="000000"/>
          <w:sz w:val="20"/>
        </w:rPr>
        <w:t>In addition to the annual cash incentive awards described above, the Compensation Committee granted James Roth, our Chief Revenue Officer, with an additional cash incentive award based on the achievement of certain net revenue retention metrics (such award, the “</w:t>
      </w:r>
      <w:r>
        <w:rPr>
          <w:rFonts w:ascii="Lato;sans-serif" w:hAnsi="Lato;sans-serif"/>
          <w:b/>
          <w:i/>
          <w:color w:val="000000"/>
          <w:sz w:val="20"/>
        </w:rPr>
        <w:t>CRO Performance-Based Cash Incentive Award</w:t>
      </w:r>
      <w:r>
        <w:rPr>
          <w:color w:val="000000"/>
        </w:rPr>
        <w:t>”</w:t>
      </w:r>
      <w:r>
        <w:rPr>
          <w:rFonts w:ascii="Lato;sans-serif" w:hAnsi="Lato;sans-serif"/>
          <w:b w:val="false"/>
          <w:color w:val="000000"/>
          <w:sz w:val="20"/>
        </w:rPr>
        <w:t>). In furtherance of our Compensation Committee’s objective of aligning our compensation practices with the Company’s performance, the Compensation Committee deemed that it was in the best interests of the Company to design an award that directly links a significant portion of Mr. Roth’s compensation to net revenue retention targets, a metric that directly measures the Company’s ability to retain and expand revenue across its existing customer base. For additional information on how we calculate net revenue retention, see the section entitled “</w:t>
      </w:r>
      <w:r>
        <w:rPr>
          <w:rFonts w:ascii="Lato;sans-serif" w:hAnsi="Lato;sans-serif"/>
          <w:b w:val="false"/>
          <w:i/>
          <w:color w:val="000000"/>
          <w:sz w:val="20"/>
        </w:rPr>
        <w:t>Item 7. Management’s Discussion and Analysis of Financial Condition and Results of Operations—Key Factors Affecting Our Performance—Increasing Usage of Our Platform</w:t>
      </w:r>
      <w:r>
        <w:rPr>
          <w:color w:val="000000"/>
        </w:rPr>
        <w:t xml:space="preserve">” </w:t>
      </w:r>
      <w:r>
        <w:rPr>
          <w:rFonts w:ascii="Lato;sans-serif" w:hAnsi="Lato;sans-serif"/>
          <w:b w:val="false"/>
          <w:color w:val="000000"/>
          <w:sz w:val="20"/>
        </w:rPr>
        <w:t>in the Company’s 2025 10-K, filed with the SEC on February 12, 2026.</w:t>
      </w:r>
    </w:p>
    <w:p>
      <w:pPr>
        <w:pStyle w:val="TextBody"/>
        <w:bidi w:val="0"/>
        <w:spacing w:before="0" w:after="0"/>
        <w:jc w:val="both"/>
        <w:rPr/>
      </w:pPr>
      <w:r>
        <w:rPr/>
      </w:r>
    </w:p>
    <w:p>
      <w:pPr>
        <w:pStyle w:val="TextBody"/>
        <w:bidi w:val="0"/>
        <w:spacing w:lineRule="auto" w:line="288" w:before="0" w:after="180"/>
        <w:jc w:val="both"/>
        <w:rPr>
          <w:rFonts w:ascii="Lato;sans-serif" w:hAnsi="Lato;sans-serif"/>
          <w:b w:val="false"/>
          <w:color w:val="000000"/>
          <w:sz w:val="20"/>
        </w:rPr>
      </w:pPr>
      <w:r>
        <w:rPr>
          <w:rFonts w:ascii="Lato;sans-serif" w:hAnsi="Lato;sans-serif"/>
          <w:b w:val="false"/>
          <w:color w:val="000000"/>
          <w:sz w:val="20"/>
        </w:rPr>
        <w:t>Pursuant to the CRO Performance-Based Cash Incentive Award, Mr. Roth would only be eligible to receive a payout under such award if the Company attains a net revenue retention outcome based on a stretch goal relative to the Company’s targets for the applicable period, with payouts subject to an attainment cliff, and thereafter commencing with a 25% payout multiplier at the first threshold, increasing to 50% at the second threshold, 100% at the third threshold and up to a maximum of 125% at the final threshold. At the 125% achievement threshold, Mr. Roth would have been eligible to receive up to a total of $1,250,000.</w:t>
      </w:r>
    </w:p>
    <w:p>
      <w:pPr>
        <w:pStyle w:val="TextBody"/>
        <w:bidi w:val="0"/>
        <w:spacing w:lineRule="auto" w:line="288" w:before="0" w:after="0"/>
        <w:jc w:val="both"/>
        <w:rPr>
          <w:rFonts w:ascii="Lato;sans-serif" w:hAnsi="Lato;sans-serif"/>
          <w:b w:val="false"/>
          <w:color w:val="000000"/>
          <w:sz w:val="20"/>
        </w:rPr>
      </w:pPr>
      <w:r>
        <w:rPr>
          <w:rFonts w:ascii="Lato;sans-serif" w:hAnsi="Lato;sans-serif"/>
          <w:b w:val="false"/>
          <w:color w:val="000000"/>
          <w:sz w:val="20"/>
        </w:rPr>
        <w:t>On February 5, 2026, the Compensation Committee determined that because net revenue retention for the fiscal year ended December 31, 2025 was 90%, Mr. Roth’s CRO Performance-Based Cash Incentive Award was only partially attained between the 50% and 25% payout thresholds, and after giving effect to linear interpolation, resulted in a payout of $475,000.</w:t>
      </w:r>
    </w:p>
    <w:p>
      <w:pPr>
        <w:pStyle w:val="TextBody"/>
        <w:bidi w:val="0"/>
        <w:spacing w:lineRule="auto" w:line="288" w:before="300" w:after="180"/>
        <w:jc w:val="both"/>
        <w:rPr>
          <w:rFonts w:ascii="Lato;sans-serif" w:hAnsi="Lato;sans-serif"/>
          <w:b/>
          <w:i/>
          <w:color w:val="000000"/>
          <w:sz w:val="20"/>
        </w:rPr>
      </w:pPr>
      <w:r>
        <w:rPr>
          <w:rFonts w:ascii="Lato;sans-serif" w:hAnsi="Lato;sans-serif"/>
          <w:b/>
          <w:i/>
          <w:color w:val="000000"/>
          <w:sz w:val="20"/>
        </w:rPr>
        <w:t>Long-Term Equity Compensation</w:t>
      </w:r>
    </w:p>
    <w:p>
      <w:pPr>
        <w:pStyle w:val="TextBody"/>
        <w:bidi w:val="0"/>
        <w:spacing w:lineRule="auto" w:line="288" w:before="180" w:after="180"/>
        <w:jc w:val="both"/>
        <w:rPr>
          <w:rFonts w:ascii="Lato;sans-serif" w:hAnsi="Lato;sans-serif"/>
          <w:b w:val="false"/>
          <w:color w:val="000000"/>
          <w:sz w:val="20"/>
        </w:rPr>
      </w:pPr>
      <w:r>
        <w:rPr>
          <w:rFonts w:ascii="Lato;sans-serif" w:hAnsi="Lato;sans-serif"/>
          <w:b w:val="false"/>
          <w:color w:val="000000"/>
          <w:sz w:val="20"/>
        </w:rPr>
        <w:t>During 2025, we granted equity compensation to our NEOs (other than our PEO) in the form of both time-based and performance-based RSUs based on FCFps measurements, and solely with respect to our PEO, a premium-priced performance option award (each as defined and described in greater detail below), as follows:</w:t>
      </w:r>
    </w:p>
    <w:p>
      <w:pPr>
        <w:pStyle w:val="TextBody"/>
        <w:bidi w:val="0"/>
        <w:spacing w:lineRule="auto" w:line="288" w:before="0" w:after="0"/>
        <w:ind w:left="0" w:right="0" w:hanging="360"/>
        <w:jc w:val="both"/>
        <w:rPr/>
      </w:pPr>
      <w:r>
        <w:rPr>
          <w:color w:val="000000"/>
        </w:rPr>
        <w:t>•</w:t>
      </w:r>
      <w:r>
        <w:rPr>
          <w:rFonts w:ascii="Lato;sans-serif" w:hAnsi="Lato;sans-serif"/>
          <w:b w:val="false"/>
          <w:color w:val="000000"/>
          <w:sz w:val="20"/>
        </w:rPr>
        <w:t>Prior to 2023, Mr. Schuck did not receive any long-term equity compensation.</w:t>
      </w:r>
      <w:r>
        <w:rPr>
          <w:color w:val="000000"/>
          <w:shd w:fill="FFFFFF" w:val="clear"/>
        </w:rPr>
        <w:t xml:space="preserve"> </w:t>
      </w:r>
      <w:r>
        <w:rPr>
          <w:rFonts w:ascii="Lato;sans-serif" w:hAnsi="Lato;sans-serif"/>
          <w:b w:val="false"/>
          <w:color w:val="000000"/>
          <w:sz w:val="20"/>
          <w:shd w:fill="FFFFFF" w:val="clear"/>
        </w:rPr>
        <w:t xml:space="preserve">Instead, upon Mr. Schuck’s request, and with the approval of the Compensation Committee, the Company allocated additional equity awards to non-executive officer employees for recognition and retention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6480175" cy="352425"/>
                <wp:effectExtent l="0" t="0" r="0" b="0"/>
                <wp:wrapNone/>
                <wp:docPr id="67" name="Frame51"/>
                <a:graphic xmlns:a="http://schemas.openxmlformats.org/drawingml/2006/main">
                  <a:graphicData uri="http://schemas.microsoft.com/office/word/2010/wordprocessingShape">
                    <wps:wsp>
                      <wps:cNvSpPr txBox="1"/>
                      <wps:spPr>
                        <a:xfrm>
                          <a:off x="0" y="0"/>
                          <a:ext cx="6480175" cy="352425"/>
                        </a:xfrm>
                        <a:prstGeom prst="rect"/>
                        <a:solidFill>
                          <a:srgbClr val="FFFFFF"/>
                        </a:solidFill>
                      </wps:spPr>
                      <wps:txbx>
                        <w:txbxContent>
                          <w:p>
                            <w:pPr>
                              <w:pStyle w:val="TextBody"/>
                              <w:bidi w:val="0"/>
                              <w:spacing w:lineRule="auto" w:line="288" w:before="0" w:after="0"/>
                              <w:jc w:val="center"/>
                              <w:rPr>
                                <w:rFonts w:ascii="Lato;sans-serif" w:hAnsi="Lato;sans-serif"/>
                                <w:b w:val="false"/>
                                <w:color w:val="000000"/>
                                <w:sz w:val="20"/>
                              </w:rPr>
                            </w:pPr>
                            <w:r>
                              <w:rPr>
                                <w:rFonts w:ascii="Lato;sans-serif" w:hAnsi="Lato;sans-serif"/>
                                <w:b w:val="false"/>
                                <w:color w:val="000000"/>
                                <w:sz w:val="20"/>
                              </w:rPr>
                              <w:t>45</w:t>
                            </w:r>
                          </w:p>
                          <w:p>
                            <w:pPr>
                              <w:pStyle w:val="TextBody"/>
                              <w:bidi w:val="0"/>
                              <w:spacing w:lineRule="auto" w:line="288" w:before="0" w:after="0"/>
                              <w:jc w:val="left"/>
                              <w:rPr>
                                <w:color w:val="000000"/>
                              </w:rPr>
                            </w:pPr>
                            <w:r>
                              <w:rPr>
                                <w:color w:val="000000"/>
                              </w:rPr>
                              <w:t>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Lato;sans-serif" w:hAnsi="Lato;sans-serif"/>
                          <w:b w:val="false"/>
                          <w:color w:val="000000"/>
                          <w:sz w:val="20"/>
                        </w:rPr>
                      </w:pPr>
                      <w:r>
                        <w:rPr>
                          <w:rFonts w:ascii="Lato;sans-serif" w:hAnsi="Lato;sans-serif"/>
                          <w:b w:val="false"/>
                          <w:color w:val="000000"/>
                          <w:sz w:val="20"/>
                        </w:rPr>
                        <w:t>45</w:t>
                      </w:r>
                    </w:p>
                    <w:p>
                      <w:pPr>
                        <w:pStyle w:val="TextBody"/>
                        <w:bidi w:val="0"/>
                        <w:spacing w:lineRule="auto" w:line="288" w:before="0" w:after="0"/>
                        <w:jc w:val="left"/>
                        <w:rPr>
                          <w:color w:val="000000"/>
                        </w:rPr>
                      </w:pPr>
                      <w:r>
                        <w:rPr>
                          <w:color w:val="000000"/>
                        </w:rPr>
                        <w:t>        </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pPr>
      <w:r>
        <w:rPr>
          <w:rFonts w:ascii="Lato;sans-serif" w:hAnsi="Lato;sans-serif"/>
          <w:b w:val="false"/>
          <w:color w:val="000000"/>
          <w:sz w:val="20"/>
          <w:shd w:fill="FFFFFF" w:val="clear"/>
        </w:rPr>
        <w:t xml:space="preserve">purposes. In April </w:t>
      </w:r>
      <w:r>
        <w:rPr>
          <w:rFonts w:ascii="Lato;sans-serif" w:hAnsi="Lato;sans-serif"/>
          <w:b w:val="false"/>
          <w:color w:val="000000"/>
          <w:sz w:val="20"/>
        </w:rPr>
        <w:t>2023, Mr. Schuck received a three-year performance-based restricted stock unit award based on free cash flow per share growth, but subsequently forfeited that award so that shares could be reallocated to other employees. In 2025, Mr. Schuck received:</w:t>
      </w:r>
    </w:p>
    <w:p>
      <w:pPr>
        <w:pStyle w:val="TextBody"/>
        <w:bidi w:val="0"/>
        <w:spacing w:lineRule="auto" w:line="288" w:before="0" w:after="0"/>
        <w:ind w:left="0" w:right="0" w:hanging="360"/>
        <w:jc w:val="both"/>
        <w:rPr/>
      </w:pPr>
      <w:r>
        <w:rPr>
          <w:color w:val="000000"/>
          <w:shd w:fill="FFFFFF" w:val="clear"/>
        </w:rPr>
        <w:t>◦</w:t>
      </w:r>
      <w:r>
        <w:rPr>
          <w:rFonts w:ascii="Lato;sans-serif" w:hAnsi="Lato;sans-serif"/>
          <w:b w:val="false"/>
          <w:color w:val="000000"/>
          <w:sz w:val="20"/>
          <w:shd w:fill="FFFFFF" w:val="clear"/>
        </w:rPr>
        <w:t>A performance-based premium-priced option award, subject to both service-based and performance-based vesting conditions, which represent 100% of his long-term incentive awards granted in 2025, as Mr. Schuck did not receive any time-based or any other performance-based RSU awards. The CEO Premium-Priced Performance Option provides Mr. Schuck with the opportunity to purchase up to 9,678,000 shares of the Company’s common stock, at an exercise price equal to a 140% premium to the fair market value of the price per share as of the CEO Option Grant Dat</w:t>
      </w:r>
      <w:r>
        <w:rPr>
          <w:rFonts w:ascii="Lato;sans-serif" w:hAnsi="Lato;sans-serif"/>
          <w:b w:val="false"/>
          <w:color w:val="000000"/>
          <w:sz w:val="20"/>
        </w:rPr>
        <w:t>e, subject to the satisfaction of performance conditions based on the achievement of certain adjusted free cash flow per share targets and stock price targets (qualified by a relative TSR governor) and Mr. Schuck’s continued service as the Company’s Chief Executive Officer or Executive Chairman, through such attainment periods. For additional information, see “</w:t>
      </w:r>
      <w:r>
        <w:rPr>
          <w:color w:val="000000"/>
        </w:rPr>
        <w:t>—</w:t>
      </w:r>
      <w:r>
        <w:rPr>
          <w:rFonts w:ascii="Lato;sans-serif" w:hAnsi="Lato;sans-serif"/>
          <w:b w:val="false"/>
          <w:i/>
          <w:color w:val="000000"/>
          <w:sz w:val="20"/>
        </w:rPr>
        <w:t>Components of our Annual Compensation Program and 2025 Compensation—Long-Term Equity Compensation—2025 CEO Premium-Priced Performance Option.</w:t>
      </w:r>
      <w:r>
        <w:rPr>
          <w:color w:val="000000"/>
        </w:rPr>
        <w:t>”</w:t>
      </w:r>
    </w:p>
    <w:p>
      <w:pPr>
        <w:pStyle w:val="TextBody"/>
        <w:bidi w:val="0"/>
        <w:spacing w:lineRule="auto" w:line="288" w:before="0" w:after="0"/>
        <w:ind w:left="0" w:right="0" w:hanging="360"/>
        <w:jc w:val="left"/>
        <w:rPr/>
      </w:pPr>
      <w:r>
        <w:rPr>
          <w:color w:val="000000"/>
        </w:rPr>
        <w:t>•</w:t>
      </w:r>
      <w:r>
        <w:rPr>
          <w:rFonts w:ascii="Lato;sans-serif" w:hAnsi="Lato;sans-serif"/>
          <w:b w:val="false"/>
          <w:color w:val="000000"/>
          <w:sz w:val="20"/>
        </w:rPr>
        <w:t>Mr. O’Brien was awarded:</w:t>
      </w:r>
    </w:p>
    <w:p>
      <w:pPr>
        <w:pStyle w:val="TextBody"/>
        <w:bidi w:val="0"/>
        <w:spacing w:lineRule="auto" w:line="288" w:before="0" w:after="0"/>
        <w:ind w:left="0" w:right="0" w:hanging="360"/>
        <w:jc w:val="both"/>
        <w:rPr/>
      </w:pPr>
      <w:r>
        <w:rPr>
          <w:color w:val="000000"/>
        </w:rPr>
        <w:t>◦</w:t>
      </w:r>
      <w:r>
        <w:rPr>
          <w:rFonts w:ascii="Lato;sans-serif" w:hAnsi="Lato;sans-serif"/>
          <w:b w:val="false"/>
          <w:color w:val="000000"/>
          <w:sz w:val="20"/>
        </w:rPr>
        <w:t xml:space="preserve">Time-based RSUs comprising 63.9% of his long-term incentive awards. </w:t>
      </w:r>
    </w:p>
    <w:p>
      <w:pPr>
        <w:pStyle w:val="TextBody"/>
        <w:bidi w:val="0"/>
        <w:spacing w:lineRule="auto" w:line="288" w:before="0" w:after="0"/>
        <w:ind w:left="0" w:right="0" w:hanging="360"/>
        <w:jc w:val="both"/>
        <w:rPr/>
      </w:pPr>
      <w:r>
        <w:rPr>
          <w:color w:val="000000"/>
        </w:rPr>
        <w:t>◦</w:t>
      </w:r>
      <w:r>
        <w:rPr>
          <w:rFonts w:ascii="Lato;sans-serif" w:hAnsi="Lato;sans-serif"/>
          <w:b w:val="false"/>
          <w:color w:val="000000"/>
          <w:sz w:val="20"/>
        </w:rPr>
        <w:t>FCFps PSUs comprising 36.1% of his long-term incentive awards, on the same terms as those awarded to our NEOs (other than our PEO, who did not receive such award).</w:t>
      </w:r>
    </w:p>
    <w:p>
      <w:pPr>
        <w:pStyle w:val="TextBody"/>
        <w:bidi w:val="0"/>
        <w:spacing w:lineRule="auto" w:line="288" w:before="0" w:after="0"/>
        <w:ind w:left="0" w:right="0" w:hanging="360"/>
        <w:jc w:val="both"/>
        <w:rPr/>
      </w:pPr>
      <w:r>
        <w:rPr>
          <w:color w:val="000000"/>
        </w:rPr>
        <w:t>◦</w:t>
      </w:r>
      <w:r>
        <w:rPr>
          <w:rFonts w:ascii="Lato;sans-serif" w:hAnsi="Lato;sans-serif"/>
          <w:b w:val="false"/>
          <w:color w:val="000000"/>
          <w:sz w:val="20"/>
        </w:rPr>
        <w:t>Mr. O’Brien’s time-based RSUs and FCFps PSUs include certain one-time grants that he received in connection with this appointment as the Company’s Chief Financial Officer. See the section entitled “Executive Compensation Discussion and Analysis —Grants of Plan-Based Awards” for additional information relating to Mr. O’Brien’s long-term equity compensation.</w:t>
      </w:r>
    </w:p>
    <w:p>
      <w:pPr>
        <w:pStyle w:val="TextBody"/>
        <w:bidi w:val="0"/>
        <w:spacing w:lineRule="auto" w:line="288" w:before="0" w:after="0"/>
        <w:ind w:left="0" w:right="0" w:hanging="360"/>
        <w:jc w:val="left"/>
        <w:rPr/>
      </w:pPr>
      <w:r>
        <w:rPr>
          <w:color w:val="000000"/>
        </w:rPr>
        <w:t>•</w:t>
      </w:r>
      <w:r>
        <w:rPr>
          <w:rFonts w:ascii="Lato;sans-serif" w:hAnsi="Lato;sans-serif"/>
          <w:b w:val="false"/>
          <w:color w:val="000000"/>
          <w:sz w:val="20"/>
        </w:rPr>
        <w:t>Mr. Roth was awarded:</w:t>
      </w:r>
    </w:p>
    <w:p>
      <w:pPr>
        <w:pStyle w:val="TextBody"/>
        <w:bidi w:val="0"/>
        <w:spacing w:lineRule="auto" w:line="288" w:before="0" w:after="0"/>
        <w:ind w:left="0" w:right="0" w:hanging="360"/>
        <w:jc w:val="both"/>
        <w:rPr/>
      </w:pPr>
      <w:r>
        <w:rPr>
          <w:color w:val="000000"/>
        </w:rPr>
        <w:t>◦</w:t>
      </w:r>
      <w:r>
        <w:rPr>
          <w:rFonts w:ascii="Lato;sans-serif" w:hAnsi="Lato;sans-serif"/>
          <w:b w:val="false"/>
          <w:color w:val="000000"/>
          <w:sz w:val="20"/>
        </w:rPr>
        <w:t xml:space="preserve">Time-based RSUs comprising 56.2% of his long-term incentive awards. </w:t>
      </w:r>
    </w:p>
    <w:p>
      <w:pPr>
        <w:pStyle w:val="TextBody"/>
        <w:bidi w:val="0"/>
        <w:spacing w:lineRule="auto" w:line="288" w:before="0" w:after="0"/>
        <w:ind w:left="0" w:right="0" w:hanging="360"/>
        <w:jc w:val="both"/>
        <w:rPr/>
      </w:pPr>
      <w:r>
        <w:rPr>
          <w:color w:val="000000"/>
        </w:rPr>
        <w:t>◦</w:t>
      </w:r>
      <w:r>
        <w:rPr>
          <w:rFonts w:ascii="Lato;sans-serif" w:hAnsi="Lato;sans-serif"/>
          <w:b w:val="false"/>
          <w:color w:val="000000"/>
          <w:sz w:val="20"/>
        </w:rPr>
        <w:t>FCFps PSUs comprising 43.8% of his long-term incentive awards, on the same terms as those awarded to each of the other NEOs (other than our PEO, who did not receive such award).</w:t>
      </w:r>
    </w:p>
    <w:p>
      <w:pPr>
        <w:pStyle w:val="TextBody"/>
        <w:bidi w:val="0"/>
        <w:spacing w:lineRule="auto" w:line="288" w:before="0" w:after="0"/>
        <w:ind w:left="0" w:right="0" w:hanging="360"/>
        <w:jc w:val="left"/>
        <w:rPr/>
      </w:pPr>
      <w:r>
        <w:rPr>
          <w:color w:val="000000"/>
        </w:rPr>
        <w:t>•</w:t>
      </w:r>
      <w:r>
        <w:rPr>
          <w:rFonts w:ascii="Lato;sans-serif" w:hAnsi="Lato;sans-serif"/>
          <w:b w:val="false"/>
          <w:color w:val="000000"/>
          <w:sz w:val="20"/>
        </w:rPr>
        <w:t>Ms. McGrane was awarded:</w:t>
      </w:r>
    </w:p>
    <w:p>
      <w:pPr>
        <w:pStyle w:val="TextBody"/>
        <w:bidi w:val="0"/>
        <w:spacing w:lineRule="auto" w:line="288" w:before="0" w:after="0"/>
        <w:ind w:left="0" w:right="0" w:hanging="360"/>
        <w:jc w:val="both"/>
        <w:rPr/>
      </w:pPr>
      <w:r>
        <w:rPr>
          <w:color w:val="000000"/>
        </w:rPr>
        <w:t>◦</w:t>
      </w:r>
      <w:r>
        <w:rPr>
          <w:rFonts w:ascii="Lato;sans-serif" w:hAnsi="Lato;sans-serif"/>
          <w:b w:val="false"/>
          <w:color w:val="000000"/>
          <w:sz w:val="20"/>
        </w:rPr>
        <w:t xml:space="preserve">Time-based RSUs comprising 58.8% of her long-term incentive awards. </w:t>
      </w:r>
    </w:p>
    <w:p>
      <w:pPr>
        <w:pStyle w:val="TextBody"/>
        <w:bidi w:val="0"/>
        <w:spacing w:lineRule="auto" w:line="288" w:before="0" w:after="0"/>
        <w:ind w:left="0" w:right="0" w:hanging="360"/>
        <w:jc w:val="both"/>
        <w:rPr/>
      </w:pPr>
      <w:r>
        <w:rPr>
          <w:color w:val="000000"/>
        </w:rPr>
        <w:t>◦</w:t>
      </w:r>
      <w:r>
        <w:rPr>
          <w:rFonts w:ascii="Lato;sans-serif" w:hAnsi="Lato;sans-serif"/>
          <w:b w:val="false"/>
          <w:color w:val="000000"/>
          <w:sz w:val="20"/>
        </w:rPr>
        <w:t>FCFps PSUs comprising 41.2% of her long-term incentive awards, on the same terms as those awarded to our NEOs (other than our PEO, who did not receive such award).</w:t>
      </w:r>
    </w:p>
    <w:p>
      <w:pPr>
        <w:pStyle w:val="TextBody"/>
        <w:bidi w:val="0"/>
        <w:spacing w:lineRule="auto" w:line="288" w:before="180" w:after="180"/>
        <w:jc w:val="both"/>
        <w:rPr>
          <w:rFonts w:ascii="Lato;sans-serif" w:hAnsi="Lato;sans-serif"/>
          <w:b w:val="false"/>
          <w:color w:val="000000"/>
          <w:sz w:val="20"/>
        </w:rPr>
      </w:pPr>
      <w:r>
        <w:rPr>
          <w:rFonts w:ascii="Lato;sans-serif" w:hAnsi="Lato;sans-serif"/>
          <w:b w:val="false"/>
          <w:color w:val="000000"/>
          <w:sz w:val="20"/>
        </w:rPr>
        <w:t xml:space="preserve">The Compensation Committee believes that both time-based and performance-based RSUs, and in the case of our PEO, the CEO Premium-Priced Performance Option award, align our NEOs’ interests with those of our stockholders by providing a return directly in line with our stock price, operating and financial performance, and minimizing incentive for short-term risk-taking at the expense of realizing long-term value. RSUs encourage retention through vesting over the recipient’s continued employment with us over a multi-year period, cover fewer shares than stock options, minimize dilution to stockholders, and are the predominant type of equity award utilized by the peer companies with whom we compete for talent, while PSUs encourage our executive officers to make decisions and take actions that directly align their interests with those of stockholders. </w:t>
      </w:r>
    </w:p>
    <w:p>
      <w:pPr>
        <w:pStyle w:val="TextBody"/>
        <w:bidi w:val="0"/>
        <w:spacing w:lineRule="auto" w:line="288" w:before="0" w:after="0"/>
        <w:jc w:val="both"/>
        <w:rPr>
          <w:rFonts w:ascii="Lato;sans-serif" w:hAnsi="Lato;sans-serif"/>
          <w:b w:val="false"/>
          <w:color w:val="000000"/>
          <w:sz w:val="20"/>
        </w:rPr>
      </w:pPr>
      <w:r>
        <w:rPr>
          <w:rFonts w:ascii="Lato;sans-serif" w:hAnsi="Lato;sans-serif"/>
          <w:b w:val="false"/>
          <w:color w:val="000000"/>
          <w:sz w:val="20"/>
        </w:rPr>
        <w:t>In response to Item 402(x) of Regulation S-K, the Company does not currently grant new awards of stock options (other than the CEO Premium-Priced Performance Option award granted to our PEO), stock appreciation rights, or similar option-like instruments. Accordingly, the Company has no specific policy or practice on the timing of awards of such options in relation to the disclosure of material nonpublic information by the Company. The Compensation Committee did not take material nonpublic information into account when determining the timing and terms of equity awards in 2025, and the Company does not time the disclosure of material nonpublic information for the purpose of affecting the value of compensation.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6480175" cy="352425"/>
                <wp:effectExtent l="0" t="0" r="0" b="0"/>
                <wp:wrapNone/>
                <wp:docPr id="68" name="Frame52"/>
                <a:graphic xmlns:a="http://schemas.openxmlformats.org/drawingml/2006/main">
                  <a:graphicData uri="http://schemas.microsoft.com/office/word/2010/wordprocessingShape">
                    <wps:wsp>
                      <wps:cNvSpPr txBox="1"/>
                      <wps:spPr>
                        <a:xfrm>
                          <a:off x="0" y="0"/>
                          <a:ext cx="6480175" cy="352425"/>
                        </a:xfrm>
                        <a:prstGeom prst="rect"/>
                        <a:solidFill>
                          <a:srgbClr val="FFFFFF"/>
                        </a:solidFill>
                      </wps:spPr>
                      <wps:txbx>
                        <w:txbxContent>
                          <w:p>
                            <w:pPr>
                              <w:pStyle w:val="TextBody"/>
                              <w:bidi w:val="0"/>
                              <w:spacing w:lineRule="auto" w:line="288" w:before="0" w:after="0"/>
                              <w:jc w:val="center"/>
                              <w:rPr>
                                <w:rFonts w:ascii="Lato;sans-serif" w:hAnsi="Lato;sans-serif"/>
                                <w:b w:val="false"/>
                                <w:color w:val="000000"/>
                                <w:sz w:val="20"/>
                              </w:rPr>
                            </w:pPr>
                            <w:r>
                              <w:rPr>
                                <w:rFonts w:ascii="Lato;sans-serif" w:hAnsi="Lato;sans-serif"/>
                                <w:b w:val="false"/>
                                <w:color w:val="000000"/>
                                <w:sz w:val="20"/>
                              </w:rPr>
                              <w:t>46</w:t>
                            </w:r>
                          </w:p>
                          <w:p>
                            <w:pPr>
                              <w:pStyle w:val="TextBody"/>
                              <w:bidi w:val="0"/>
                              <w:spacing w:lineRule="auto" w:line="288" w:before="0" w:after="0"/>
                              <w:jc w:val="left"/>
                              <w:rPr>
                                <w:color w:val="000000"/>
                              </w:rPr>
                            </w:pPr>
                            <w:r>
                              <w:rPr>
                                <w:color w:val="000000"/>
                              </w:rPr>
                              <w:t>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Lato;sans-serif" w:hAnsi="Lato;sans-serif"/>
                          <w:b w:val="false"/>
                          <w:color w:val="000000"/>
                          <w:sz w:val="20"/>
                        </w:rPr>
                      </w:pPr>
                      <w:r>
                        <w:rPr>
                          <w:rFonts w:ascii="Lato;sans-serif" w:hAnsi="Lato;sans-serif"/>
                          <w:b w:val="false"/>
                          <w:color w:val="000000"/>
                          <w:sz w:val="20"/>
                        </w:rPr>
                        <w:t>46</w:t>
                      </w:r>
                    </w:p>
                    <w:p>
                      <w:pPr>
                        <w:pStyle w:val="TextBody"/>
                        <w:bidi w:val="0"/>
                        <w:spacing w:lineRule="auto" w:line="288" w:before="0" w:after="0"/>
                        <w:jc w:val="left"/>
                        <w:rPr>
                          <w:color w:val="000000"/>
                        </w:rPr>
                      </w:pPr>
                      <w:r>
                        <w:rPr>
                          <w:color w:val="000000"/>
                        </w:rPr>
                        <w:t>        </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80" w:after="180"/>
        <w:jc w:val="both"/>
        <w:rPr/>
      </w:pPr>
      <w:r>
        <w:rPr>
          <w:rFonts w:ascii="Lato;sans-serif" w:hAnsi="Lato;sans-serif"/>
          <w:b w:val="false"/>
          <w:color w:val="000000"/>
          <w:sz w:val="20"/>
        </w:rPr>
        <w:t>We have received feedback from our stockholders as noted above under “</w:t>
      </w:r>
      <w:r>
        <w:rPr>
          <w:rFonts w:ascii="Lato;sans-serif" w:hAnsi="Lato;sans-serif"/>
          <w:b w:val="false"/>
          <w:i/>
          <w:color w:val="000000"/>
          <w:sz w:val="20"/>
        </w:rPr>
        <w:t>Role of Stockholder Say on Pay Vote</w:t>
      </w:r>
      <w:r>
        <w:rPr>
          <w:color w:val="000000"/>
        </w:rPr>
        <w:t xml:space="preserve">” </w:t>
      </w:r>
      <w:r>
        <w:rPr>
          <w:rFonts w:ascii="Lato;sans-serif" w:hAnsi="Lato;sans-serif"/>
          <w:b w:val="false"/>
          <w:color w:val="000000"/>
          <w:sz w:val="20"/>
        </w:rPr>
        <w:t>indicating a preference for performance-based equity awards that align our executive compensation programs with the creation of long-term stockholder value. The Compensation Committee considered this feedback and, in consultation with our Compensation Consultant, determined that a (i) mix of PSUs tied to financial metrics and time-based RSUs for our NEOs (other than our PEO) and (ii) the CEO Premium-Priced Performance Option award, is best aligned with the interests of our stockholders by creating an appropriate balance between our goals of business performance, long-term growth, and NEO retention. Accordingly, we have established (i) in the case of our NEOs (other than our PEO) a PSU program measured based on adjusted free cash flow per share over a three-year performance period and (ii) solely with respect to Mr. Schuck, a CEO Premium-Priced Performance Option program measured based on both adjusted free cash flow per share and the performance of the Company’s stock price (qualified by a relative TSR governor).</w:t>
      </w:r>
    </w:p>
    <w:p>
      <w:pPr>
        <w:pStyle w:val="TextBody"/>
        <w:bidi w:val="0"/>
        <w:spacing w:lineRule="auto" w:line="288" w:before="0" w:after="0"/>
        <w:jc w:val="both"/>
        <w:rPr>
          <w:rFonts w:ascii="Lato;sans-serif" w:hAnsi="Lato;sans-serif"/>
          <w:b w:val="false"/>
          <w:color w:val="000000"/>
          <w:sz w:val="20"/>
        </w:rPr>
      </w:pPr>
      <w:r>
        <w:rPr>
          <w:rFonts w:ascii="Lato;sans-serif" w:hAnsi="Lato;sans-serif"/>
          <w:b w:val="false"/>
          <w:color w:val="000000"/>
          <w:sz w:val="20"/>
        </w:rPr>
        <w:t xml:space="preserve">Our Compensation Committee believes that, in the case of our NEOs (other than our PEO), this mix of RSUs and PSUs aligns our NEOs’ interests with those of our stockholders by providing a return directly in line with a key financial metric that is important to maintain our long-term growth and sustainability, and in the case of Mr. Schuck, the CEO Premium-Priced Performance Option aligns our PEO’s interests with those of our stockholders by providing a return directly in line with both a key financial metric and our stock price. Our Compensation Committee ultimately determined to use adjusted free cash flow per share as the performance metric for the fiscal 2025 PSUs due to its important role in measuring the overall financial performance and operating activities of our business, and with respect to the CEO Premium-Priced Performance Option, the Compensation Committee determined that in furtherance of its continued emphasis on aligning long-term equity incentives with performance, it was important for the performance conditions of the CEO Premium-Priced Performance Option to be based on both adjusted free cash flow per share and stock price performance targets in order to tightly align Mr. Schuck’s long-term compensation with sustained stockholder value creation. </w:t>
      </w:r>
    </w:p>
    <w:p>
      <w:pPr>
        <w:pStyle w:val="TextBody"/>
        <w:bidi w:val="0"/>
        <w:spacing w:lineRule="auto" w:line="288" w:before="180" w:after="180"/>
        <w:jc w:val="both"/>
        <w:rPr>
          <w:rFonts w:ascii="Lato;sans-serif" w:hAnsi="Lato;sans-serif"/>
          <w:b w:val="false"/>
          <w:color w:val="000000"/>
          <w:sz w:val="20"/>
        </w:rPr>
      </w:pPr>
      <w:r>
        <w:rPr>
          <w:rFonts w:ascii="Lato;sans-serif" w:hAnsi="Lato;sans-serif"/>
          <w:b w:val="false"/>
          <w:color w:val="000000"/>
          <w:sz w:val="20"/>
        </w:rPr>
        <w:t>The table below sets forth the total equity awards granted to our NEOs in 2025:</w:t>
      </w:r>
    </w:p>
    <w:tbl>
      <w:tblPr>
        <w:tblW w:w="10205" w:type="dxa"/>
        <w:jc w:val="left"/>
        <w:tblInd w:w="0" w:type="dxa"/>
        <w:tblLayout w:type="fixed"/>
        <w:tblCellMar>
          <w:top w:w="28" w:type="dxa"/>
          <w:left w:w="28" w:type="dxa"/>
          <w:bottom w:w="28" w:type="dxa"/>
          <w:right w:w="28" w:type="dxa"/>
        </w:tblCellMar>
      </w:tblPr>
      <w:tblGrid>
        <w:gridCol w:w="472"/>
        <w:gridCol w:w="350"/>
        <w:gridCol w:w="353"/>
        <w:gridCol w:w="708"/>
        <w:gridCol w:w="708"/>
        <w:gridCol w:w="713"/>
        <w:gridCol w:w="642"/>
        <w:gridCol w:w="642"/>
        <w:gridCol w:w="643"/>
        <w:gridCol w:w="1577"/>
        <w:gridCol w:w="1465"/>
        <w:gridCol w:w="1932"/>
      </w:tblGrid>
      <w:tr>
        <w:trPr/>
        <w:tc>
          <w:tcPr>
            <w:tcW w:w="472"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708" w:type="dxa"/>
            <w:tcBorders/>
            <w:vAlign w:val="center"/>
          </w:tcPr>
          <w:p>
            <w:pPr>
              <w:pStyle w:val="TableContents"/>
              <w:bidi w:val="0"/>
              <w:spacing w:before="0" w:after="283"/>
              <w:jc w:val="left"/>
              <w:rPr>
                <w:sz w:val="4"/>
                <w:szCs w:val="4"/>
              </w:rPr>
            </w:pPr>
            <w:r>
              <w:rPr>
                <w:sz w:val="4"/>
                <w:szCs w:val="4"/>
              </w:rPr>
            </w:r>
          </w:p>
        </w:tc>
        <w:tc>
          <w:tcPr>
            <w:tcW w:w="708" w:type="dxa"/>
            <w:tcBorders/>
            <w:vAlign w:val="center"/>
          </w:tcPr>
          <w:p>
            <w:pPr>
              <w:pStyle w:val="TableContents"/>
              <w:bidi w:val="0"/>
              <w:spacing w:before="0" w:after="283"/>
              <w:jc w:val="left"/>
              <w:rPr>
                <w:sz w:val="4"/>
                <w:szCs w:val="4"/>
              </w:rPr>
            </w:pPr>
            <w:r>
              <w:rPr>
                <w:sz w:val="4"/>
                <w:szCs w:val="4"/>
              </w:rPr>
            </w:r>
          </w:p>
        </w:tc>
        <w:tc>
          <w:tcPr>
            <w:tcW w:w="713" w:type="dxa"/>
            <w:tcBorders/>
            <w:vAlign w:val="center"/>
          </w:tcPr>
          <w:p>
            <w:pPr>
              <w:pStyle w:val="TableContents"/>
              <w:bidi w:val="0"/>
              <w:spacing w:before="0" w:after="283"/>
              <w:jc w:val="left"/>
              <w:rPr>
                <w:sz w:val="4"/>
                <w:szCs w:val="4"/>
              </w:rPr>
            </w:pPr>
            <w:r>
              <w:rPr>
                <w:sz w:val="4"/>
                <w:szCs w:val="4"/>
              </w:rPr>
            </w:r>
          </w:p>
        </w:tc>
        <w:tc>
          <w:tcPr>
            <w:tcW w:w="642" w:type="dxa"/>
            <w:tcBorders/>
            <w:vAlign w:val="center"/>
          </w:tcPr>
          <w:p>
            <w:pPr>
              <w:pStyle w:val="TableContents"/>
              <w:bidi w:val="0"/>
              <w:spacing w:before="0" w:after="283"/>
              <w:jc w:val="left"/>
              <w:rPr>
                <w:sz w:val="4"/>
                <w:szCs w:val="4"/>
              </w:rPr>
            </w:pPr>
            <w:r>
              <w:rPr>
                <w:sz w:val="4"/>
                <w:szCs w:val="4"/>
              </w:rPr>
            </w:r>
          </w:p>
        </w:tc>
        <w:tc>
          <w:tcPr>
            <w:tcW w:w="642"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1577" w:type="dxa"/>
            <w:tcBorders/>
            <w:vAlign w:val="center"/>
          </w:tcPr>
          <w:p>
            <w:pPr>
              <w:pStyle w:val="TableContents"/>
              <w:bidi w:val="0"/>
              <w:spacing w:before="0" w:after="283"/>
              <w:jc w:val="left"/>
              <w:rPr>
                <w:sz w:val="4"/>
                <w:szCs w:val="4"/>
              </w:rPr>
            </w:pPr>
            <w:r>
              <w:rPr>
                <w:sz w:val="4"/>
                <w:szCs w:val="4"/>
              </w:rPr>
            </w:r>
          </w:p>
        </w:tc>
        <w:tc>
          <w:tcPr>
            <w:tcW w:w="1465" w:type="dxa"/>
            <w:tcBorders/>
            <w:vAlign w:val="center"/>
          </w:tcPr>
          <w:p>
            <w:pPr>
              <w:pStyle w:val="TableContents"/>
              <w:bidi w:val="0"/>
              <w:spacing w:before="0" w:after="283"/>
              <w:jc w:val="left"/>
              <w:rPr>
                <w:sz w:val="4"/>
                <w:szCs w:val="4"/>
              </w:rPr>
            </w:pPr>
            <w:r>
              <w:rPr>
                <w:sz w:val="4"/>
                <w:szCs w:val="4"/>
              </w:rPr>
            </w:r>
          </w:p>
        </w:tc>
        <w:tc>
          <w:tcPr>
            <w:tcW w:w="1932" w:type="dxa"/>
            <w:tcBorders/>
            <w:vAlign w:val="center"/>
          </w:tcPr>
          <w:p>
            <w:pPr>
              <w:pStyle w:val="TableContents"/>
              <w:bidi w:val="0"/>
              <w:spacing w:before="0" w:after="283"/>
              <w:jc w:val="left"/>
              <w:rPr>
                <w:sz w:val="4"/>
                <w:szCs w:val="4"/>
              </w:rPr>
            </w:pPr>
            <w:r>
              <w:rPr>
                <w:sz w:val="4"/>
                <w:szCs w:val="4"/>
              </w:rPr>
            </w:r>
          </w:p>
        </w:tc>
      </w:tr>
      <w:tr>
        <w:trPr/>
        <w:tc>
          <w:tcPr>
            <w:tcW w:w="1175" w:type="dxa"/>
            <w:gridSpan w:val="3"/>
            <w:tcBorders/>
            <w:shd w:fill="F44238" w:val="clear"/>
            <w:tcMar>
              <w:top w:w="0" w:type="dxa"/>
              <w:left w:w="0" w:type="dxa"/>
              <w:bottom w:w="0" w:type="dxa"/>
              <w:right w:w="0" w:type="dxa"/>
            </w:tcMar>
            <w:vAlign w:val="center"/>
          </w:tcPr>
          <w:p>
            <w:pPr>
              <w:pStyle w:val="TableContents"/>
              <w:bidi w:val="0"/>
              <w:spacing w:lineRule="auto" w:line="240" w:before="0" w:after="283"/>
              <w:jc w:val="center"/>
              <w:rPr>
                <w:rFonts w:ascii="Lato;sans-serif" w:hAnsi="Lato;sans-serif"/>
                <w:b/>
                <w:color w:val="FFFFFF"/>
                <w:sz w:val="20"/>
              </w:rPr>
            </w:pPr>
            <w:r>
              <w:rPr>
                <w:rFonts w:ascii="Lato;sans-serif" w:hAnsi="Lato;sans-serif"/>
                <w:b/>
                <w:color w:val="FFFFFF"/>
                <w:sz w:val="20"/>
              </w:rPr>
              <w:t>Name</w:t>
            </w:r>
          </w:p>
        </w:tc>
        <w:tc>
          <w:tcPr>
            <w:tcW w:w="2129" w:type="dxa"/>
            <w:gridSpan w:val="3"/>
            <w:tcBorders/>
            <w:shd w:fill="F44238" w:val="clear"/>
            <w:tcMar>
              <w:top w:w="0" w:type="dxa"/>
              <w:left w:w="0" w:type="dxa"/>
              <w:bottom w:w="0" w:type="dxa"/>
              <w:right w:w="0" w:type="dxa"/>
            </w:tcMar>
            <w:vAlign w:val="center"/>
          </w:tcPr>
          <w:p>
            <w:pPr>
              <w:pStyle w:val="TableContents"/>
              <w:bidi w:val="0"/>
              <w:spacing w:lineRule="auto" w:line="240" w:before="0" w:after="283"/>
              <w:jc w:val="center"/>
              <w:rPr>
                <w:rFonts w:ascii="Lato;sans-serif" w:hAnsi="Lato;sans-serif"/>
                <w:b/>
                <w:color w:val="FFFFFF"/>
                <w:sz w:val="20"/>
              </w:rPr>
            </w:pPr>
            <w:r>
              <w:rPr>
                <w:rFonts w:ascii="Lato;sans-serif" w:hAnsi="Lato;sans-serif"/>
                <w:b/>
                <w:color w:val="FFFFFF"/>
                <w:sz w:val="20"/>
              </w:rPr>
              <w:t>Award Type</w:t>
            </w:r>
          </w:p>
        </w:tc>
        <w:tc>
          <w:tcPr>
            <w:tcW w:w="1927" w:type="dxa"/>
            <w:gridSpan w:val="3"/>
            <w:tcBorders/>
            <w:shd w:fill="F44238" w:val="clear"/>
            <w:tcMar>
              <w:top w:w="0" w:type="dxa"/>
              <w:left w:w="0" w:type="dxa"/>
              <w:bottom w:w="0" w:type="dxa"/>
              <w:right w:w="0" w:type="dxa"/>
            </w:tcMar>
            <w:vAlign w:val="center"/>
          </w:tcPr>
          <w:p>
            <w:pPr>
              <w:pStyle w:val="TableContents"/>
              <w:bidi w:val="0"/>
              <w:spacing w:lineRule="auto" w:line="240" w:before="0" w:after="283"/>
              <w:jc w:val="center"/>
              <w:rPr>
                <w:rFonts w:ascii="Lato;sans-serif" w:hAnsi="Lato;sans-serif"/>
                <w:b/>
                <w:color w:val="FFFFFF"/>
                <w:sz w:val="20"/>
              </w:rPr>
            </w:pPr>
            <w:r>
              <w:rPr>
                <w:rFonts w:ascii="Lato;sans-serif" w:hAnsi="Lato;sans-serif"/>
                <w:b/>
                <w:color w:val="FFFFFF"/>
                <w:sz w:val="20"/>
              </w:rPr>
              <w:t>Approximate Grant Date Fair Value</w:t>
            </w:r>
          </w:p>
        </w:tc>
        <w:tc>
          <w:tcPr>
            <w:tcW w:w="4974" w:type="dxa"/>
            <w:gridSpan w:val="3"/>
            <w:tcBorders/>
            <w:shd w:fill="F44238" w:val="clear"/>
            <w:tcMar>
              <w:top w:w="0" w:type="dxa"/>
              <w:left w:w="0" w:type="dxa"/>
              <w:bottom w:w="0" w:type="dxa"/>
              <w:right w:w="0" w:type="dxa"/>
            </w:tcMar>
            <w:vAlign w:val="center"/>
          </w:tcPr>
          <w:p>
            <w:pPr>
              <w:pStyle w:val="TableContents"/>
              <w:bidi w:val="0"/>
              <w:spacing w:lineRule="auto" w:line="240" w:before="0" w:after="283"/>
              <w:jc w:val="center"/>
              <w:rPr>
                <w:rFonts w:ascii="Lato;sans-serif" w:hAnsi="Lato;sans-serif"/>
                <w:b/>
                <w:color w:val="FFFFFF"/>
                <w:sz w:val="20"/>
              </w:rPr>
            </w:pPr>
            <w:r>
              <w:rPr>
                <w:rFonts w:ascii="Lato;sans-serif" w:hAnsi="Lato;sans-serif"/>
                <w:b/>
                <w:color w:val="FFFFFF"/>
                <w:sz w:val="20"/>
              </w:rPr>
              <w:t>Vesting Schedule</w:t>
            </w:r>
          </w:p>
        </w:tc>
      </w:tr>
      <w:tr>
        <w:trPr/>
        <w:tc>
          <w:tcPr>
            <w:tcW w:w="1175"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0"/>
              <w:jc w:val="left"/>
              <w:rPr>
                <w:rFonts w:ascii="Lato;sans-serif" w:hAnsi="Lato;sans-serif"/>
                <w:b w:val="false"/>
                <w:color w:val="000000"/>
                <w:sz w:val="20"/>
              </w:rPr>
            </w:pPr>
            <w:r>
              <w:rPr>
                <w:rFonts w:ascii="Lato;sans-serif" w:hAnsi="Lato;sans-serif"/>
                <w:b w:val="false"/>
                <w:color w:val="000000"/>
                <w:sz w:val="20"/>
              </w:rPr>
              <w:t>Henry L. Schuck</w:t>
            </w:r>
          </w:p>
        </w:tc>
        <w:tc>
          <w:tcPr>
            <w:tcW w:w="2129"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Lato;sans-serif" w:hAnsi="Lato;sans-serif"/>
                <w:b w:val="false"/>
                <w:color w:val="000000"/>
                <w:sz w:val="20"/>
              </w:rPr>
              <w:t>CEO Premium-Priced Performance Option</w:t>
            </w:r>
            <w:r>
              <w:rPr>
                <w:rFonts w:ascii="Lato;sans-serif" w:hAnsi="Lato;sans-serif"/>
                <w:b w:val="false"/>
                <w:color w:val="000000"/>
                <w:sz w:val="13"/>
              </w:rPr>
              <w:t>(1)</w:t>
            </w:r>
          </w:p>
        </w:tc>
        <w:tc>
          <w:tcPr>
            <w:tcW w:w="1927"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Lato;sans-serif" w:hAnsi="Lato;sans-serif"/>
                <w:b w:val="false"/>
                <w:color w:val="000000"/>
                <w:sz w:val="20"/>
              </w:rPr>
            </w:pPr>
            <w:r>
              <w:rPr>
                <w:rFonts w:ascii="Lato;sans-serif" w:hAnsi="Lato;sans-serif"/>
                <w:b w:val="false"/>
                <w:color w:val="000000"/>
                <w:sz w:val="20"/>
              </w:rPr>
              <w:t>$32,356,780</w:t>
            </w:r>
          </w:p>
        </w:tc>
        <w:tc>
          <w:tcPr>
            <w:tcW w:w="4974"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Lato;sans-serif" w:hAnsi="Lato;sans-serif"/>
                <w:b w:val="false"/>
                <w:color w:val="000000"/>
                <w:sz w:val="20"/>
              </w:rPr>
            </w:pPr>
            <w:r>
              <w:rPr>
                <w:rFonts w:ascii="Lato;sans-serif" w:hAnsi="Lato;sans-serif"/>
                <w:b w:val="false"/>
                <w:color w:val="000000"/>
                <w:sz w:val="20"/>
              </w:rPr>
              <w:t>33% of the shares available under each of the six equal achievement tranches, on the third, fourth and fifth anniversary of the grant date, in each case, subject to achievement of the corresponding performance targets</w:t>
            </w:r>
          </w:p>
        </w:tc>
      </w:tr>
      <w:tr>
        <w:trPr/>
        <w:tc>
          <w:tcPr>
            <w:tcW w:w="1175" w:type="dxa"/>
            <w:gridSpan w:val="3"/>
            <w:tcBorders/>
            <w:shd w:fill="DBDBDB" w:val="clear"/>
            <w:tcMar>
              <w:top w:w="0" w:type="dxa"/>
              <w:left w:w="0" w:type="dxa"/>
              <w:bottom w:w="0" w:type="dxa"/>
              <w:right w:w="0" w:type="dxa"/>
            </w:tcMar>
            <w:vAlign w:val="center"/>
          </w:tcPr>
          <w:p>
            <w:pPr>
              <w:pStyle w:val="TableContents"/>
              <w:bidi w:val="0"/>
              <w:spacing w:lineRule="auto" w:line="240" w:before="0" w:after="0"/>
              <w:jc w:val="left"/>
              <w:rPr>
                <w:rFonts w:ascii="Lato;sans-serif" w:hAnsi="Lato;sans-serif"/>
                <w:b w:val="false"/>
                <w:color w:val="000000"/>
                <w:sz w:val="20"/>
              </w:rPr>
            </w:pPr>
            <w:r>
              <w:rPr>
                <w:rFonts w:ascii="Lato;sans-serif" w:hAnsi="Lato;sans-serif"/>
                <w:b w:val="false"/>
                <w:color w:val="000000"/>
                <w:sz w:val="20"/>
              </w:rPr>
              <w:t>Michael Graham O’Brien</w:t>
            </w:r>
          </w:p>
        </w:tc>
        <w:tc>
          <w:tcPr>
            <w:tcW w:w="2129" w:type="dxa"/>
            <w:gridSpan w:val="3"/>
            <w:tcBorders/>
            <w:shd w:fill="DBDBDB" w:val="clear"/>
            <w:tcMar>
              <w:top w:w="0" w:type="dxa"/>
              <w:left w:w="0" w:type="dxa"/>
              <w:bottom w:w="0" w:type="dxa"/>
              <w:right w:w="0" w:type="dxa"/>
            </w:tcMar>
            <w:vAlign w:val="center"/>
          </w:tcPr>
          <w:p>
            <w:pPr>
              <w:pStyle w:val="TableContents"/>
              <w:bidi w:val="0"/>
              <w:spacing w:lineRule="auto" w:line="240" w:before="0" w:after="0"/>
              <w:jc w:val="center"/>
              <w:rPr/>
            </w:pPr>
            <w:r>
              <w:rPr>
                <w:rFonts w:ascii="Lato;sans-serif" w:hAnsi="Lato;sans-serif"/>
                <w:b w:val="false"/>
                <w:color w:val="000000"/>
                <w:sz w:val="20"/>
              </w:rPr>
              <w:t>PSU</w:t>
            </w:r>
            <w:r>
              <w:rPr>
                <w:rFonts w:ascii="Lato;sans-serif" w:hAnsi="Lato;sans-serif"/>
                <w:b w:val="false"/>
                <w:color w:val="000000"/>
                <w:sz w:val="13"/>
              </w:rPr>
              <w:t>(2)</w:t>
            </w:r>
          </w:p>
        </w:tc>
        <w:tc>
          <w:tcPr>
            <w:tcW w:w="1927"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Lato;sans-serif" w:hAnsi="Lato;sans-serif"/>
                <w:b w:val="false"/>
                <w:color w:val="000000"/>
                <w:sz w:val="20"/>
              </w:rPr>
            </w:pPr>
            <w:r>
              <w:rPr>
                <w:rFonts w:ascii="Lato;sans-serif" w:hAnsi="Lato;sans-serif"/>
                <w:b w:val="false"/>
                <w:color w:val="000000"/>
                <w:sz w:val="20"/>
              </w:rPr>
              <w:t>$1,763,145</w:t>
            </w:r>
          </w:p>
        </w:tc>
        <w:tc>
          <w:tcPr>
            <w:tcW w:w="497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Lato;sans-serif" w:hAnsi="Lato;sans-serif"/>
                <w:b w:val="false"/>
                <w:color w:val="000000"/>
                <w:sz w:val="20"/>
              </w:rPr>
            </w:pPr>
            <w:r>
              <w:rPr>
                <w:rFonts w:ascii="Lato;sans-serif" w:hAnsi="Lato;sans-serif"/>
                <w:b w:val="false"/>
                <w:color w:val="000000"/>
                <w:sz w:val="20"/>
              </w:rPr>
              <w:t>33% vesting in year 1, 33% vesting in year 2 and 33% vesting in year 3, in each case, subject to achievement of performance targets</w:t>
            </w:r>
          </w:p>
        </w:tc>
      </w:tr>
      <w:tr>
        <w:trPr/>
        <w:tc>
          <w:tcPr>
            <w:tcW w:w="1175"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9" w:type="dxa"/>
            <w:gridSpan w:val="3"/>
            <w:tcBorders/>
            <w:shd w:fill="DBDBDB" w:val="clear"/>
            <w:tcMar>
              <w:top w:w="0" w:type="dxa"/>
              <w:left w:w="0" w:type="dxa"/>
              <w:bottom w:w="0" w:type="dxa"/>
              <w:right w:w="0" w:type="dxa"/>
            </w:tcMar>
            <w:vAlign w:val="center"/>
          </w:tcPr>
          <w:p>
            <w:pPr>
              <w:pStyle w:val="TableContents"/>
              <w:bidi w:val="0"/>
              <w:spacing w:lineRule="auto" w:line="240" w:before="0" w:after="0"/>
              <w:jc w:val="center"/>
              <w:rPr/>
            </w:pPr>
            <w:r>
              <w:rPr>
                <w:rFonts w:ascii="Lato;sans-serif" w:hAnsi="Lato;sans-serif"/>
                <w:b w:val="false"/>
                <w:color w:val="000000"/>
                <w:sz w:val="20"/>
              </w:rPr>
              <w:t>PSU</w:t>
            </w:r>
            <w:r>
              <w:rPr>
                <w:rFonts w:ascii="Lato;sans-serif" w:hAnsi="Lato;sans-serif"/>
                <w:b w:val="false"/>
                <w:color w:val="000000"/>
                <w:sz w:val="13"/>
              </w:rPr>
              <w:t>(3)</w:t>
            </w:r>
          </w:p>
        </w:tc>
        <w:tc>
          <w:tcPr>
            <w:tcW w:w="1927"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Lato;sans-serif" w:hAnsi="Lato;sans-serif"/>
                <w:b w:val="false"/>
                <w:color w:val="000000"/>
                <w:sz w:val="20"/>
              </w:rPr>
            </w:pPr>
            <w:r>
              <w:rPr>
                <w:rFonts w:ascii="Lato;sans-serif" w:hAnsi="Lato;sans-serif"/>
                <w:b w:val="false"/>
                <w:color w:val="000000"/>
                <w:sz w:val="20"/>
              </w:rPr>
              <w:t>$554,540</w:t>
            </w:r>
          </w:p>
        </w:tc>
        <w:tc>
          <w:tcPr>
            <w:tcW w:w="497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Lato;sans-serif" w:hAnsi="Lato;sans-serif"/>
                <w:b w:val="false"/>
                <w:color w:val="000000"/>
                <w:sz w:val="20"/>
              </w:rPr>
            </w:pPr>
            <w:r>
              <w:rPr>
                <w:rFonts w:ascii="Lato;sans-serif" w:hAnsi="Lato;sans-serif"/>
                <w:b w:val="false"/>
                <w:color w:val="000000"/>
                <w:sz w:val="20"/>
              </w:rPr>
              <w:t>33% vesting in year 1, 33% vesting in year 2 and 33% vesting in year 3, in each case, subject to achievement of applicable performance targets</w:t>
            </w:r>
          </w:p>
        </w:tc>
      </w:tr>
      <w:tr>
        <w:trPr/>
        <w:tc>
          <w:tcPr>
            <w:tcW w:w="1175"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9" w:type="dxa"/>
            <w:gridSpan w:val="3"/>
            <w:tcBorders/>
            <w:shd w:fill="DBDBDB" w:val="clear"/>
            <w:tcMar>
              <w:top w:w="0" w:type="dxa"/>
              <w:left w:w="0" w:type="dxa"/>
              <w:bottom w:w="0" w:type="dxa"/>
              <w:right w:w="0" w:type="dxa"/>
            </w:tcMar>
            <w:vAlign w:val="center"/>
          </w:tcPr>
          <w:p>
            <w:pPr>
              <w:pStyle w:val="TableContents"/>
              <w:bidi w:val="0"/>
              <w:spacing w:lineRule="auto" w:line="240" w:before="0" w:after="0"/>
              <w:jc w:val="center"/>
              <w:rPr/>
            </w:pPr>
            <w:r>
              <w:rPr>
                <w:rFonts w:ascii="Lato;sans-serif" w:hAnsi="Lato;sans-serif"/>
                <w:b w:val="false"/>
                <w:color w:val="000000"/>
                <w:sz w:val="20"/>
              </w:rPr>
              <w:t>RSU</w:t>
            </w:r>
            <w:r>
              <w:rPr>
                <w:rFonts w:ascii="Lato;sans-serif" w:hAnsi="Lato;sans-serif"/>
                <w:b w:val="false"/>
                <w:color w:val="000000"/>
                <w:sz w:val="13"/>
              </w:rPr>
              <w:t>(2)</w:t>
            </w:r>
          </w:p>
        </w:tc>
        <w:tc>
          <w:tcPr>
            <w:tcW w:w="1927"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Lato;sans-serif" w:hAnsi="Lato;sans-serif"/>
                <w:b w:val="false"/>
                <w:color w:val="000000"/>
                <w:sz w:val="20"/>
              </w:rPr>
            </w:pPr>
            <w:r>
              <w:rPr>
                <w:rFonts w:ascii="Lato;sans-serif" w:hAnsi="Lato;sans-serif"/>
                <w:b w:val="false"/>
                <w:color w:val="000000"/>
                <w:sz w:val="20"/>
              </w:rPr>
              <w:t>$3,015,702</w:t>
            </w:r>
          </w:p>
        </w:tc>
        <w:tc>
          <w:tcPr>
            <w:tcW w:w="497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Lato;sans-serif" w:hAnsi="Lato;sans-serif"/>
                <w:b w:val="false"/>
                <w:color w:val="000000"/>
                <w:sz w:val="20"/>
              </w:rPr>
            </w:pPr>
            <w:r>
              <w:rPr>
                <w:rFonts w:ascii="Lato;sans-serif" w:hAnsi="Lato;sans-serif"/>
                <w:b w:val="false"/>
                <w:color w:val="000000"/>
                <w:sz w:val="20"/>
              </w:rPr>
              <w:t>33% vesting on August 1, 2026 and the remainder of the award in equal quarterly installments during the 24 months following August 1, 2026.</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6480175" cy="352425"/>
                <wp:effectExtent l="0" t="0" r="0" b="0"/>
                <wp:wrapNone/>
                <wp:docPr id="69" name="Frame53"/>
                <a:graphic xmlns:a="http://schemas.openxmlformats.org/drawingml/2006/main">
                  <a:graphicData uri="http://schemas.microsoft.com/office/word/2010/wordprocessingShape">
                    <wps:wsp>
                      <wps:cNvSpPr txBox="1"/>
                      <wps:spPr>
                        <a:xfrm>
                          <a:off x="0" y="0"/>
                          <a:ext cx="6480175" cy="352425"/>
                        </a:xfrm>
                        <a:prstGeom prst="rect"/>
                        <a:solidFill>
                          <a:srgbClr val="FFFFFF"/>
                        </a:solidFill>
                      </wps:spPr>
                      <wps:txbx>
                        <w:txbxContent>
                          <w:p>
                            <w:pPr>
                              <w:pStyle w:val="TextBody"/>
                              <w:bidi w:val="0"/>
                              <w:spacing w:lineRule="auto" w:line="288" w:before="0" w:after="0"/>
                              <w:jc w:val="center"/>
                              <w:rPr>
                                <w:rFonts w:ascii="Lato;sans-serif" w:hAnsi="Lato;sans-serif"/>
                                <w:b w:val="false"/>
                                <w:color w:val="000000"/>
                                <w:sz w:val="20"/>
                              </w:rPr>
                            </w:pPr>
                            <w:r>
                              <w:rPr>
                                <w:rFonts w:ascii="Lato;sans-serif" w:hAnsi="Lato;sans-serif"/>
                                <w:b w:val="false"/>
                                <w:color w:val="000000"/>
                                <w:sz w:val="20"/>
                              </w:rPr>
                              <w:t>47</w:t>
                            </w:r>
                          </w:p>
                          <w:p>
                            <w:pPr>
                              <w:pStyle w:val="TextBody"/>
                              <w:bidi w:val="0"/>
                              <w:spacing w:lineRule="auto" w:line="288" w:before="0" w:after="0"/>
                              <w:jc w:val="left"/>
                              <w:rPr>
                                <w:color w:val="000000"/>
                              </w:rPr>
                            </w:pPr>
                            <w:r>
                              <w:rPr>
                                <w:color w:val="000000"/>
                              </w:rPr>
                              <w:t>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Lato;sans-serif" w:hAnsi="Lato;sans-serif"/>
                          <w:b w:val="false"/>
                          <w:color w:val="000000"/>
                          <w:sz w:val="20"/>
                        </w:rPr>
                      </w:pPr>
                      <w:r>
                        <w:rPr>
                          <w:rFonts w:ascii="Lato;sans-serif" w:hAnsi="Lato;sans-serif"/>
                          <w:b w:val="false"/>
                          <w:color w:val="000000"/>
                          <w:sz w:val="20"/>
                        </w:rPr>
                        <w:t>47</w:t>
                      </w:r>
                    </w:p>
                    <w:p>
                      <w:pPr>
                        <w:pStyle w:val="TextBody"/>
                        <w:bidi w:val="0"/>
                        <w:spacing w:lineRule="auto" w:line="288" w:before="0" w:after="0"/>
                        <w:jc w:val="left"/>
                        <w:rPr>
                          <w:color w:val="000000"/>
                        </w:rPr>
                      </w:pPr>
                      <w:r>
                        <w:rPr>
                          <w:color w:val="000000"/>
                        </w:rPr>
                        <w:t>        </w:t>
                      </w:r>
                    </w:p>
                  </w:txbxContent>
                </v:textbox>
                <w10:wrap type="none"/>
              </v:rect>
            </w:pict>
          </mc:Fallback>
        </mc:AlternateConten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502"/>
        <w:gridCol w:w="380"/>
        <w:gridCol w:w="337"/>
        <w:gridCol w:w="206"/>
        <w:gridCol w:w="206"/>
        <w:gridCol w:w="207"/>
        <w:gridCol w:w="394"/>
        <w:gridCol w:w="394"/>
        <w:gridCol w:w="398"/>
        <w:gridCol w:w="2129"/>
        <w:gridCol w:w="2090"/>
        <w:gridCol w:w="2962"/>
      </w:tblGrid>
      <w:tr>
        <w:trPr/>
        <w:tc>
          <w:tcPr>
            <w:tcW w:w="502"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2129" w:type="dxa"/>
            <w:tcBorders/>
            <w:vAlign w:val="center"/>
          </w:tcPr>
          <w:p>
            <w:pPr>
              <w:pStyle w:val="TableContents"/>
              <w:bidi w:val="0"/>
              <w:spacing w:before="0" w:after="283"/>
              <w:jc w:val="left"/>
              <w:rPr>
                <w:sz w:val="4"/>
                <w:szCs w:val="4"/>
              </w:rPr>
            </w:pPr>
            <w:r>
              <w:rPr>
                <w:sz w:val="4"/>
                <w:szCs w:val="4"/>
              </w:rPr>
            </w:r>
          </w:p>
        </w:tc>
        <w:tc>
          <w:tcPr>
            <w:tcW w:w="2090" w:type="dxa"/>
            <w:tcBorders/>
            <w:vAlign w:val="center"/>
          </w:tcPr>
          <w:p>
            <w:pPr>
              <w:pStyle w:val="TableContents"/>
              <w:bidi w:val="0"/>
              <w:spacing w:before="0" w:after="283"/>
              <w:jc w:val="left"/>
              <w:rPr>
                <w:sz w:val="4"/>
                <w:szCs w:val="4"/>
              </w:rPr>
            </w:pPr>
            <w:r>
              <w:rPr>
                <w:sz w:val="4"/>
                <w:szCs w:val="4"/>
              </w:rPr>
            </w:r>
          </w:p>
        </w:tc>
        <w:tc>
          <w:tcPr>
            <w:tcW w:w="2962" w:type="dxa"/>
            <w:tcBorders/>
            <w:vAlign w:val="center"/>
          </w:tcPr>
          <w:p>
            <w:pPr>
              <w:pStyle w:val="TableContents"/>
              <w:bidi w:val="0"/>
              <w:spacing w:before="0" w:after="283"/>
              <w:jc w:val="left"/>
              <w:rPr>
                <w:sz w:val="4"/>
                <w:szCs w:val="4"/>
              </w:rPr>
            </w:pPr>
            <w:r>
              <w:rPr>
                <w:sz w:val="4"/>
                <w:szCs w:val="4"/>
              </w:rPr>
            </w:r>
          </w:p>
        </w:tc>
      </w:tr>
      <w:tr>
        <w:trPr/>
        <w:tc>
          <w:tcPr>
            <w:tcW w:w="1219"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9" w:type="dxa"/>
            <w:gridSpan w:val="3"/>
            <w:tcBorders/>
            <w:shd w:fill="DBDBDB" w:val="clear"/>
            <w:tcMar>
              <w:top w:w="0" w:type="dxa"/>
              <w:left w:w="0" w:type="dxa"/>
              <w:bottom w:w="0" w:type="dxa"/>
              <w:right w:w="0" w:type="dxa"/>
            </w:tcMar>
            <w:vAlign w:val="center"/>
          </w:tcPr>
          <w:p>
            <w:pPr>
              <w:pStyle w:val="TableContents"/>
              <w:bidi w:val="0"/>
              <w:spacing w:lineRule="auto" w:line="240" w:before="0" w:after="0"/>
              <w:jc w:val="center"/>
              <w:rPr/>
            </w:pPr>
            <w:r>
              <w:rPr>
                <w:rFonts w:ascii="Lato;sans-serif" w:hAnsi="Lato;sans-serif"/>
                <w:b w:val="false"/>
                <w:color w:val="000000"/>
                <w:sz w:val="20"/>
              </w:rPr>
              <w:t>RSU</w:t>
            </w:r>
            <w:r>
              <w:rPr>
                <w:rFonts w:ascii="Lato;sans-serif" w:hAnsi="Lato;sans-serif"/>
                <w:b w:val="false"/>
                <w:color w:val="000000"/>
                <w:sz w:val="13"/>
              </w:rPr>
              <w:t>(4)</w:t>
            </w:r>
          </w:p>
        </w:tc>
        <w:tc>
          <w:tcPr>
            <w:tcW w:w="1186"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Lato;sans-serif" w:hAnsi="Lato;sans-serif"/>
                <w:b w:val="false"/>
                <w:color w:val="000000"/>
                <w:sz w:val="20"/>
              </w:rPr>
            </w:pPr>
            <w:r>
              <w:rPr>
                <w:rFonts w:ascii="Lato;sans-serif" w:hAnsi="Lato;sans-serif"/>
                <w:b w:val="false"/>
                <w:color w:val="000000"/>
                <w:sz w:val="20"/>
              </w:rPr>
              <w:t>$869,550</w:t>
            </w:r>
          </w:p>
        </w:tc>
        <w:tc>
          <w:tcPr>
            <w:tcW w:w="7181"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Lato;sans-serif" w:hAnsi="Lato;sans-serif"/>
                <w:b w:val="false"/>
                <w:color w:val="000000"/>
                <w:sz w:val="20"/>
              </w:rPr>
            </w:pPr>
            <w:r>
              <w:rPr>
                <w:rFonts w:ascii="Lato;sans-serif" w:hAnsi="Lato;sans-serif"/>
                <w:b w:val="false"/>
                <w:color w:val="000000"/>
                <w:sz w:val="20"/>
              </w:rPr>
              <w:t>33% vesting on April 1, 2026 and the remainder of the award in equal quarterly installments during the 24 months following April 1, 2026.</w:t>
            </w:r>
          </w:p>
        </w:tc>
      </w:tr>
      <w:tr>
        <w:trPr/>
        <w:tc>
          <w:tcPr>
            <w:tcW w:w="1219"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9" w:type="dxa"/>
            <w:gridSpan w:val="3"/>
            <w:tcBorders/>
            <w:shd w:fill="DBDBDB" w:val="clear"/>
            <w:tcMar>
              <w:top w:w="0" w:type="dxa"/>
              <w:left w:w="0" w:type="dxa"/>
              <w:bottom w:w="0" w:type="dxa"/>
              <w:right w:w="0" w:type="dxa"/>
            </w:tcMar>
            <w:vAlign w:val="center"/>
          </w:tcPr>
          <w:p>
            <w:pPr>
              <w:pStyle w:val="TableContents"/>
              <w:bidi w:val="0"/>
              <w:spacing w:lineRule="auto" w:line="240" w:before="0" w:after="0"/>
              <w:jc w:val="center"/>
              <w:rPr/>
            </w:pPr>
            <w:r>
              <w:rPr>
                <w:rFonts w:ascii="Lato;sans-serif" w:hAnsi="Lato;sans-serif"/>
                <w:b w:val="false"/>
                <w:color w:val="000000"/>
                <w:sz w:val="20"/>
              </w:rPr>
              <w:t>RSU</w:t>
            </w:r>
            <w:r>
              <w:rPr>
                <w:rFonts w:ascii="Lato;sans-serif" w:hAnsi="Lato;sans-serif"/>
                <w:b w:val="false"/>
                <w:color w:val="000000"/>
                <w:sz w:val="13"/>
              </w:rPr>
              <w:t>(5)</w:t>
            </w:r>
          </w:p>
        </w:tc>
        <w:tc>
          <w:tcPr>
            <w:tcW w:w="1186"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Lato;sans-serif" w:hAnsi="Lato;sans-serif"/>
                <w:b w:val="false"/>
                <w:color w:val="000000"/>
                <w:sz w:val="20"/>
              </w:rPr>
            </w:pPr>
            <w:r>
              <w:rPr>
                <w:rFonts w:ascii="Lato;sans-serif" w:hAnsi="Lato;sans-serif"/>
                <w:b w:val="false"/>
                <w:color w:val="000000"/>
                <w:sz w:val="20"/>
              </w:rPr>
              <w:t>$320,166</w:t>
            </w:r>
          </w:p>
        </w:tc>
        <w:tc>
          <w:tcPr>
            <w:tcW w:w="7181"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Lato;sans-serif" w:hAnsi="Lato;sans-serif"/>
                <w:b w:val="false"/>
                <w:color w:val="000000"/>
                <w:sz w:val="20"/>
              </w:rPr>
            </w:pPr>
            <w:r>
              <w:rPr>
                <w:rFonts w:ascii="Lato;sans-serif" w:hAnsi="Lato;sans-serif"/>
                <w:b w:val="false"/>
                <w:color w:val="000000"/>
                <w:sz w:val="20"/>
              </w:rPr>
              <w:t>100% vesting on August 1, 2026, which is the 12 month anniversary date on which Mr. O’Brien was appointed permanent Chief Financial Officer in accordance with the terms of the award</w:t>
            </w:r>
          </w:p>
        </w:tc>
      </w:tr>
      <w:tr>
        <w:trPr/>
        <w:tc>
          <w:tcPr>
            <w:tcW w:w="12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20"/>
              </w:rPr>
            </w:pPr>
            <w:r>
              <w:rPr>
                <w:rFonts w:ascii="Lato;sans-serif" w:hAnsi="Lato;sans-serif"/>
                <w:b w:val="false"/>
                <w:color w:val="000000"/>
                <w:sz w:val="20"/>
              </w:rPr>
              <w:t>James Roth</w:t>
            </w:r>
          </w:p>
        </w:tc>
        <w:tc>
          <w:tcPr>
            <w:tcW w:w="619"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Lato;sans-serif" w:hAnsi="Lato;sans-serif"/>
                <w:b w:val="false"/>
                <w:color w:val="000000"/>
                <w:sz w:val="20"/>
              </w:rPr>
              <w:t>PSU</w:t>
            </w:r>
            <w:r>
              <w:rPr>
                <w:rFonts w:ascii="Lato;sans-serif" w:hAnsi="Lato;sans-serif"/>
                <w:b w:val="false"/>
                <w:color w:val="000000"/>
                <w:sz w:val="13"/>
              </w:rPr>
              <w:t>(3)</w:t>
            </w:r>
          </w:p>
        </w:tc>
        <w:tc>
          <w:tcPr>
            <w:tcW w:w="11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Lato;sans-serif" w:hAnsi="Lato;sans-serif"/>
                <w:b w:val="false"/>
                <w:color w:val="000000"/>
                <w:sz w:val="20"/>
              </w:rPr>
            </w:pPr>
            <w:r>
              <w:rPr>
                <w:rFonts w:ascii="Lato;sans-serif" w:hAnsi="Lato;sans-serif"/>
                <w:b w:val="false"/>
                <w:color w:val="000000"/>
                <w:sz w:val="20"/>
              </w:rPr>
              <w:t>$1,607,700</w:t>
            </w:r>
          </w:p>
        </w:tc>
        <w:tc>
          <w:tcPr>
            <w:tcW w:w="71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Lato;sans-serif" w:hAnsi="Lato;sans-serif"/>
                <w:b w:val="false"/>
                <w:color w:val="000000"/>
                <w:sz w:val="20"/>
              </w:rPr>
            </w:pPr>
            <w:r>
              <w:rPr>
                <w:rFonts w:ascii="Lato;sans-serif" w:hAnsi="Lato;sans-serif"/>
                <w:b w:val="false"/>
                <w:color w:val="000000"/>
                <w:sz w:val="20"/>
              </w:rPr>
              <w:t>33% vesting in year 1, 33% vesting in year 2 and 33% vesting in year 3, in each case, subject to achievement of applicable performance targets</w:t>
            </w:r>
          </w:p>
        </w:tc>
      </w:tr>
      <w:tr>
        <w:trPr/>
        <w:tc>
          <w:tcPr>
            <w:tcW w:w="12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9"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Lato;sans-serif" w:hAnsi="Lato;sans-serif"/>
                <w:b w:val="false"/>
                <w:color w:val="000000"/>
                <w:sz w:val="20"/>
              </w:rPr>
              <w:t>RSU</w:t>
            </w:r>
            <w:r>
              <w:rPr>
                <w:rFonts w:ascii="Lato;sans-serif" w:hAnsi="Lato;sans-serif"/>
                <w:b w:val="false"/>
                <w:color w:val="000000"/>
                <w:sz w:val="13"/>
              </w:rPr>
              <w:t>(4)</w:t>
            </w:r>
          </w:p>
        </w:tc>
        <w:tc>
          <w:tcPr>
            <w:tcW w:w="11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Lato;sans-serif" w:hAnsi="Lato;sans-serif"/>
                <w:b w:val="false"/>
                <w:color w:val="000000"/>
                <w:sz w:val="20"/>
              </w:rPr>
            </w:pPr>
            <w:r>
              <w:rPr>
                <w:rFonts w:ascii="Lato;sans-serif" w:hAnsi="Lato;sans-serif"/>
                <w:b w:val="false"/>
                <w:color w:val="000000"/>
                <w:sz w:val="20"/>
              </w:rPr>
              <w:t>$2,262,405</w:t>
            </w:r>
          </w:p>
        </w:tc>
        <w:tc>
          <w:tcPr>
            <w:tcW w:w="71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Lato;sans-serif" w:hAnsi="Lato;sans-serif"/>
                <w:b w:val="false"/>
                <w:color w:val="000000"/>
                <w:sz w:val="20"/>
              </w:rPr>
            </w:pPr>
            <w:r>
              <w:rPr>
                <w:rFonts w:ascii="Lato;sans-serif" w:hAnsi="Lato;sans-serif"/>
                <w:b w:val="false"/>
                <w:color w:val="000000"/>
                <w:sz w:val="20"/>
              </w:rPr>
              <w:t>33% vesting on April 1, 2026 and the remainder of the award in equal quarterly installments during the 24 months following April 1, 2026.</w:t>
            </w:r>
          </w:p>
        </w:tc>
      </w:tr>
      <w:tr>
        <w:trPr/>
        <w:tc>
          <w:tcPr>
            <w:tcW w:w="1219"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20"/>
              </w:rPr>
            </w:pPr>
            <w:r>
              <w:rPr>
                <w:rFonts w:ascii="Lato;sans-serif" w:hAnsi="Lato;sans-serif"/>
                <w:b w:val="false"/>
                <w:color w:val="000000"/>
                <w:sz w:val="20"/>
              </w:rPr>
              <w:t>Ashley McGrane</w:t>
            </w:r>
          </w:p>
        </w:tc>
        <w:tc>
          <w:tcPr>
            <w:tcW w:w="619" w:type="dxa"/>
            <w:gridSpan w:val="3"/>
            <w:tcBorders/>
            <w:shd w:fill="DBDBDB" w:val="clear"/>
            <w:tcMar>
              <w:top w:w="0" w:type="dxa"/>
              <w:left w:w="0" w:type="dxa"/>
              <w:bottom w:w="0" w:type="dxa"/>
              <w:right w:w="0" w:type="dxa"/>
            </w:tcMar>
            <w:vAlign w:val="center"/>
          </w:tcPr>
          <w:p>
            <w:pPr>
              <w:pStyle w:val="TableContents"/>
              <w:bidi w:val="0"/>
              <w:spacing w:lineRule="auto" w:line="240" w:before="0" w:after="0"/>
              <w:jc w:val="center"/>
              <w:rPr/>
            </w:pPr>
            <w:r>
              <w:rPr>
                <w:rFonts w:ascii="Lato;sans-serif" w:hAnsi="Lato;sans-serif"/>
                <w:b w:val="false"/>
                <w:color w:val="000000"/>
                <w:sz w:val="20"/>
              </w:rPr>
              <w:t>PSU</w:t>
            </w:r>
            <w:r>
              <w:rPr>
                <w:rFonts w:ascii="Lato;sans-serif" w:hAnsi="Lato;sans-serif"/>
                <w:b w:val="false"/>
                <w:color w:val="000000"/>
                <w:sz w:val="13"/>
              </w:rPr>
              <w:t>(3)</w:t>
            </w:r>
          </w:p>
        </w:tc>
        <w:tc>
          <w:tcPr>
            <w:tcW w:w="1186"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Lato;sans-serif" w:hAnsi="Lato;sans-serif"/>
                <w:b w:val="false"/>
                <w:color w:val="000000"/>
                <w:sz w:val="20"/>
              </w:rPr>
            </w:pPr>
            <w:r>
              <w:rPr>
                <w:rFonts w:ascii="Lato;sans-serif" w:hAnsi="Lato;sans-serif"/>
                <w:b w:val="false"/>
                <w:color w:val="000000"/>
                <w:sz w:val="20"/>
              </w:rPr>
              <w:t>$652,400</w:t>
            </w:r>
          </w:p>
        </w:tc>
        <w:tc>
          <w:tcPr>
            <w:tcW w:w="7181"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Lato;sans-serif" w:hAnsi="Lato;sans-serif"/>
                <w:b w:val="false"/>
                <w:color w:val="000000"/>
                <w:sz w:val="20"/>
              </w:rPr>
            </w:pPr>
            <w:r>
              <w:rPr>
                <w:rFonts w:ascii="Lato;sans-serif" w:hAnsi="Lato;sans-serif"/>
                <w:b w:val="false"/>
                <w:color w:val="000000"/>
                <w:sz w:val="20"/>
              </w:rPr>
              <w:t>33% vesting in year 1, 33% vesting in year 2 and 33% vesting in year 3, in each case, subject to achievement of applicable performance targets</w:t>
            </w:r>
          </w:p>
        </w:tc>
      </w:tr>
      <w:tr>
        <w:trPr/>
        <w:tc>
          <w:tcPr>
            <w:tcW w:w="1219"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9" w:type="dxa"/>
            <w:gridSpan w:val="3"/>
            <w:tcBorders/>
            <w:shd w:fill="DBDBDB" w:val="clear"/>
            <w:tcMar>
              <w:top w:w="0" w:type="dxa"/>
              <w:left w:w="0" w:type="dxa"/>
              <w:bottom w:w="0" w:type="dxa"/>
              <w:right w:w="0" w:type="dxa"/>
            </w:tcMar>
            <w:vAlign w:val="center"/>
          </w:tcPr>
          <w:p>
            <w:pPr>
              <w:pStyle w:val="TableContents"/>
              <w:bidi w:val="0"/>
              <w:spacing w:lineRule="auto" w:line="240" w:before="0" w:after="0"/>
              <w:jc w:val="center"/>
              <w:rPr/>
            </w:pPr>
            <w:r>
              <w:rPr>
                <w:rFonts w:ascii="Lato;sans-serif" w:hAnsi="Lato;sans-serif"/>
                <w:b w:val="false"/>
                <w:color w:val="000000"/>
                <w:sz w:val="20"/>
              </w:rPr>
              <w:t>RSU</w:t>
            </w:r>
            <w:r>
              <w:rPr>
                <w:rFonts w:ascii="Lato;sans-serif" w:hAnsi="Lato;sans-serif"/>
                <w:b w:val="false"/>
                <w:color w:val="000000"/>
                <w:sz w:val="13"/>
              </w:rPr>
              <w:t>(6)</w:t>
            </w:r>
          </w:p>
        </w:tc>
        <w:tc>
          <w:tcPr>
            <w:tcW w:w="1186"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Lato;sans-serif" w:hAnsi="Lato;sans-serif"/>
                <w:b w:val="false"/>
                <w:color w:val="000000"/>
                <w:sz w:val="20"/>
              </w:rPr>
            </w:pPr>
            <w:r>
              <w:rPr>
                <w:rFonts w:ascii="Lato;sans-serif" w:hAnsi="Lato;sans-serif"/>
                <w:b w:val="false"/>
                <w:color w:val="000000"/>
                <w:sz w:val="20"/>
              </w:rPr>
              <w:t>$932,000</w:t>
            </w:r>
          </w:p>
        </w:tc>
        <w:tc>
          <w:tcPr>
            <w:tcW w:w="7181"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Lato;sans-serif" w:hAnsi="Lato;sans-serif"/>
                <w:b w:val="false"/>
                <w:color w:val="000000"/>
                <w:sz w:val="20"/>
              </w:rPr>
            </w:pPr>
            <w:r>
              <w:rPr>
                <w:rFonts w:ascii="Lato;sans-serif" w:hAnsi="Lato;sans-serif"/>
                <w:b w:val="false"/>
                <w:color w:val="000000"/>
                <w:sz w:val="20"/>
              </w:rPr>
              <w:t>33% vesting on April 1, 2026 and the remainder of the award in equal quarterly installments during the 24 months following April 1, 2026.</w:t>
            </w:r>
          </w:p>
        </w:tc>
      </w:tr>
    </w:tbl>
    <w:p>
      <w:pPr>
        <w:pStyle w:val="TextBody"/>
        <w:bidi w:val="0"/>
        <w:spacing w:lineRule="auto" w:line="333"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__________________</w:t>
      </w:r>
    </w:p>
    <w:p>
      <w:pPr>
        <w:pStyle w:val="TextBody"/>
        <w:bidi w:val="0"/>
        <w:spacing w:lineRule="auto" w:line="288" w:before="0" w:after="0"/>
        <w:ind w:left="0" w:right="0" w:hanging="360"/>
        <w:jc w:val="both"/>
        <w:rPr/>
      </w:pPr>
      <w:r>
        <w:rPr>
          <w:rFonts w:ascii="Lato;sans-serif" w:hAnsi="Lato;sans-serif"/>
          <w:b w:val="false"/>
          <w:color w:val="000000"/>
          <w:sz w:val="16"/>
        </w:rPr>
        <w:t>(1)On November 26, 2025, the Board granted Mr. Schuck, the Chief Executive Officer and Chairman of the Company, a one-time, CEO Premium-Priced Performance Option award under the Company’s 2020 Omnibus Incentive Plan. The CEO Premium-Priced Performance Option provides Mr. Schuck with the opportunity to purchase up to 9,678,000 shares of the Company’s common stock, at an exercise price representing a premium price that is 140% premium of the fair market value of the price per share as of the CEO Option Grant Date, subject to the satisfaction of performance conditions based on the achievement of certain adjusted free cash flow per share targets and stock price targets (qualified by a relative TSR governor) and Mr. Schuck’s continued service. For additional information. See “</w:t>
      </w:r>
      <w:r>
        <w:rPr>
          <w:color w:val="000000"/>
        </w:rPr>
        <w:t>—</w:t>
      </w:r>
      <w:r>
        <w:rPr>
          <w:rFonts w:ascii="Lato;sans-serif" w:hAnsi="Lato;sans-serif"/>
          <w:b w:val="false"/>
          <w:i/>
          <w:color w:val="000000"/>
          <w:sz w:val="16"/>
        </w:rPr>
        <w:t>Components of our Annual Compensation Program and 2025 Compensation—Long-Term Equity Compensation—2025 CEO Premium-Priced Performance Option</w:t>
      </w:r>
      <w:r>
        <w:rPr>
          <w:rFonts w:ascii="Lato;sans-serif" w:hAnsi="Lato;sans-serif"/>
          <w:b w:val="false"/>
          <w:color w:val="000000"/>
          <w:sz w:val="16"/>
        </w:rPr>
        <w:t>.”</w:t>
      </w:r>
    </w:p>
    <w:p>
      <w:pPr>
        <w:pStyle w:val="TextBody"/>
        <w:bidi w:val="0"/>
        <w:spacing w:lineRule="auto" w:line="288" w:before="0" w:after="0"/>
        <w:ind w:left="0" w:right="0" w:hanging="360"/>
        <w:jc w:val="both"/>
        <w:rPr>
          <w:rFonts w:ascii="Lato;sans-serif" w:hAnsi="Lato;sans-serif"/>
          <w:b w:val="false"/>
          <w:color w:val="000000"/>
          <w:sz w:val="16"/>
        </w:rPr>
      </w:pPr>
      <w:r>
        <w:rPr>
          <w:rFonts w:ascii="Lato;sans-serif" w:hAnsi="Lato;sans-serif"/>
          <w:b w:val="false"/>
          <w:color w:val="000000"/>
          <w:sz w:val="16"/>
        </w:rPr>
        <w:t>(2)Awarded on July 31, 2025, in connection with, and in recognition of, Mr. O’Brien following his appointment as the Chief Financial Officer, with a vesting commencement date of August 1, 2025.</w:t>
      </w:r>
    </w:p>
    <w:p>
      <w:pPr>
        <w:pStyle w:val="TextBody"/>
        <w:bidi w:val="0"/>
        <w:spacing w:lineRule="auto" w:line="288" w:before="0" w:after="0"/>
        <w:ind w:left="0" w:right="0" w:hanging="360"/>
        <w:jc w:val="both"/>
        <w:rPr>
          <w:rFonts w:ascii="Lato;sans-serif" w:hAnsi="Lato;sans-serif"/>
          <w:b w:val="false"/>
          <w:color w:val="000000"/>
          <w:sz w:val="16"/>
        </w:rPr>
      </w:pPr>
      <w:r>
        <w:rPr>
          <w:rFonts w:ascii="Lato;sans-serif" w:hAnsi="Lato;sans-serif"/>
          <w:b w:val="false"/>
          <w:color w:val="000000"/>
          <w:sz w:val="16"/>
        </w:rPr>
        <w:t>(3)Awarded on May 30, 2025, as part of the annual executive compensation review process, with a vesting commencement date of April 1, 2025; vesting subject to determination of achievement of performance targets in each performance year based on adjusted free cash flow per share.</w:t>
      </w:r>
    </w:p>
    <w:p>
      <w:pPr>
        <w:pStyle w:val="TextBody"/>
        <w:bidi w:val="0"/>
        <w:spacing w:lineRule="auto" w:line="288" w:before="0" w:after="0"/>
        <w:ind w:left="0" w:right="0" w:hanging="360"/>
        <w:jc w:val="both"/>
        <w:rPr>
          <w:rFonts w:ascii="Lato;sans-serif" w:hAnsi="Lato;sans-serif"/>
          <w:b w:val="false"/>
          <w:color w:val="000000"/>
          <w:sz w:val="16"/>
        </w:rPr>
      </w:pPr>
      <w:r>
        <w:rPr>
          <w:rFonts w:ascii="Lato;sans-serif" w:hAnsi="Lato;sans-serif"/>
          <w:b w:val="false"/>
          <w:color w:val="000000"/>
          <w:sz w:val="16"/>
        </w:rPr>
        <w:t>(4)Awarded on May 15, 2025, as part of the annual executive compensation review process, with a vesting commencement date of April 1, 2025.</w:t>
      </w:r>
    </w:p>
    <w:p>
      <w:pPr>
        <w:pStyle w:val="TextBody"/>
        <w:bidi w:val="0"/>
        <w:spacing w:lineRule="auto" w:line="288" w:before="0" w:after="0"/>
        <w:ind w:left="0" w:right="0" w:hanging="360"/>
        <w:jc w:val="both"/>
        <w:rPr>
          <w:rFonts w:ascii="Lato;sans-serif" w:hAnsi="Lato;sans-serif"/>
          <w:b w:val="false"/>
          <w:color w:val="000000"/>
          <w:sz w:val="16"/>
        </w:rPr>
      </w:pPr>
      <w:r>
        <w:rPr>
          <w:rFonts w:ascii="Lato;sans-serif" w:hAnsi="Lato;sans-serif"/>
          <w:b w:val="false"/>
          <w:color w:val="000000"/>
          <w:sz w:val="16"/>
        </w:rPr>
        <w:t>(5)Mr. O’Brien received an original grant of 29,400 restricted stock units, which vests in its entirety on the date that is 12 months from the date on which a permanent Chief Financial Officer is employed by the Issuer. Mr. O’Brien was appointed permanent Chief Financial Officer on August 1, 2025, and as a result, the award is scheduled to vest in whole on August 1, 2026.</w:t>
      </w:r>
    </w:p>
    <w:p>
      <w:pPr>
        <w:pStyle w:val="TextBody"/>
        <w:bidi w:val="0"/>
        <w:spacing w:lineRule="auto" w:line="288" w:before="0" w:after="0"/>
        <w:ind w:left="0" w:right="0" w:hanging="360"/>
        <w:jc w:val="both"/>
        <w:rPr>
          <w:rFonts w:ascii="Lato;sans-serif" w:hAnsi="Lato;sans-serif"/>
          <w:b w:val="false"/>
          <w:color w:val="000000"/>
          <w:sz w:val="16"/>
        </w:rPr>
      </w:pPr>
      <w:r>
        <w:rPr>
          <w:rFonts w:ascii="Lato;sans-serif" w:hAnsi="Lato;sans-serif"/>
          <w:b w:val="false"/>
          <w:color w:val="000000"/>
          <w:sz w:val="16"/>
        </w:rPr>
        <w:t>(6)Awarded on May 30, 2025, as part of the annual executive compensation review process, with a vesting commencement date of April 1, 2025.</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6480175" cy="352425"/>
                <wp:effectExtent l="0" t="0" r="0" b="0"/>
                <wp:wrapNone/>
                <wp:docPr id="70" name="Frame54"/>
                <a:graphic xmlns:a="http://schemas.openxmlformats.org/drawingml/2006/main">
                  <a:graphicData uri="http://schemas.microsoft.com/office/word/2010/wordprocessingShape">
                    <wps:wsp>
                      <wps:cNvSpPr txBox="1"/>
                      <wps:spPr>
                        <a:xfrm>
                          <a:off x="0" y="0"/>
                          <a:ext cx="6480175" cy="352425"/>
                        </a:xfrm>
                        <a:prstGeom prst="rect"/>
                        <a:solidFill>
                          <a:srgbClr val="FFFFFF"/>
                        </a:solidFill>
                      </wps:spPr>
                      <wps:txbx>
                        <w:txbxContent>
                          <w:p>
                            <w:pPr>
                              <w:pStyle w:val="TextBody"/>
                              <w:bidi w:val="0"/>
                              <w:spacing w:lineRule="auto" w:line="288" w:before="0" w:after="0"/>
                              <w:jc w:val="center"/>
                              <w:rPr>
                                <w:rFonts w:ascii="Lato;sans-serif" w:hAnsi="Lato;sans-serif"/>
                                <w:b w:val="false"/>
                                <w:color w:val="000000"/>
                                <w:sz w:val="20"/>
                              </w:rPr>
                            </w:pPr>
                            <w:r>
                              <w:rPr>
                                <w:rFonts w:ascii="Lato;sans-serif" w:hAnsi="Lato;sans-serif"/>
                                <w:b w:val="false"/>
                                <w:color w:val="000000"/>
                                <w:sz w:val="20"/>
                              </w:rPr>
                              <w:t>48</w:t>
                            </w:r>
                          </w:p>
                          <w:p>
                            <w:pPr>
                              <w:pStyle w:val="TextBody"/>
                              <w:bidi w:val="0"/>
                              <w:spacing w:lineRule="auto" w:line="288" w:before="0" w:after="0"/>
                              <w:jc w:val="left"/>
                              <w:rPr>
                                <w:color w:val="000000"/>
                              </w:rPr>
                            </w:pPr>
                            <w:r>
                              <w:rPr>
                                <w:color w:val="000000"/>
                              </w:rPr>
                              <w:t>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Lato;sans-serif" w:hAnsi="Lato;sans-serif"/>
                          <w:b w:val="false"/>
                          <w:color w:val="000000"/>
                          <w:sz w:val="20"/>
                        </w:rPr>
                      </w:pPr>
                      <w:r>
                        <w:rPr>
                          <w:rFonts w:ascii="Lato;sans-serif" w:hAnsi="Lato;sans-serif"/>
                          <w:b w:val="false"/>
                          <w:color w:val="000000"/>
                          <w:sz w:val="20"/>
                        </w:rPr>
                        <w:t>48</w:t>
                      </w:r>
                    </w:p>
                    <w:p>
                      <w:pPr>
                        <w:pStyle w:val="TextBody"/>
                        <w:bidi w:val="0"/>
                        <w:spacing w:lineRule="auto" w:line="288" w:before="0" w:after="0"/>
                        <w:jc w:val="left"/>
                        <w:rPr>
                          <w:color w:val="000000"/>
                        </w:rPr>
                      </w:pPr>
                      <w:r>
                        <w:rPr>
                          <w:color w:val="000000"/>
                        </w:rPr>
                        <w:t>        </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300" w:after="180"/>
        <w:jc w:val="both"/>
        <w:rPr>
          <w:rFonts w:ascii="Lato;sans-serif" w:hAnsi="Lato;sans-serif"/>
          <w:b w:val="false"/>
          <w:i/>
          <w:color w:val="000000"/>
          <w:sz w:val="20"/>
        </w:rPr>
      </w:pPr>
      <w:r>
        <w:rPr>
          <w:rFonts w:ascii="Lato;sans-serif" w:hAnsi="Lato;sans-serif"/>
          <w:b w:val="false"/>
          <w:i/>
          <w:color w:val="000000"/>
          <w:sz w:val="20"/>
        </w:rPr>
        <w:t>Performance-Based Restricted Stock Units</w:t>
      </w:r>
    </w:p>
    <w:p>
      <w:pPr>
        <w:pStyle w:val="TextBody"/>
        <w:bidi w:val="0"/>
        <w:spacing w:lineRule="auto" w:line="288" w:before="300" w:after="180"/>
        <w:jc w:val="both"/>
        <w:rPr>
          <w:rFonts w:ascii="Lato;sans-serif" w:hAnsi="Lato;sans-serif"/>
          <w:b w:val="false"/>
          <w:i/>
          <w:color w:val="000000"/>
          <w:sz w:val="20"/>
        </w:rPr>
      </w:pPr>
      <w:r>
        <w:rPr>
          <w:rFonts w:ascii="Lato;sans-serif" w:hAnsi="Lato;sans-serif"/>
          <w:b w:val="false"/>
          <w:i/>
          <w:color w:val="000000"/>
          <w:sz w:val="20"/>
        </w:rPr>
        <w:t>Free Cash Flow Per Share (FCFps) PSUs Awarded in 2025</w:t>
      </w:r>
    </w:p>
    <w:p>
      <w:pPr>
        <w:pStyle w:val="TextBody"/>
        <w:bidi w:val="0"/>
        <w:spacing w:lineRule="auto" w:line="288" w:before="0" w:after="0"/>
        <w:jc w:val="both"/>
        <w:rPr>
          <w:rFonts w:ascii="Lato;sans-serif" w:hAnsi="Lato;sans-serif"/>
          <w:b w:val="false"/>
          <w:color w:val="000000"/>
          <w:sz w:val="20"/>
        </w:rPr>
      </w:pPr>
      <w:r>
        <w:rPr>
          <w:rFonts w:ascii="Lato;sans-serif" w:hAnsi="Lato;sans-serif"/>
          <w:b w:val="false"/>
          <w:color w:val="000000"/>
          <w:sz w:val="20"/>
        </w:rPr>
        <w:t>The performance payout scale in the table below is applicable to the FCFps PSUs awarded to each of our NEOs (other than Mr. Schuck, who did not receive any FCFps PSUs) in 2025. Performance is measured in each Performance Year (as such term is used in the following table), and the achieved vested shares are paid (or not) in three annual installments over the three-year period following the end of each Performance Year subject to the Compensation Committee’s determination of achievement of FCF Per Share (as defined in the table below), based on the Company’s financial results. Target shares are allocated as follows:</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Lato;sans-serif" w:hAnsi="Lato;sans-serif"/>
          <w:b w:val="false"/>
          <w:color w:val="000000"/>
          <w:sz w:val="20"/>
        </w:rPr>
        <w:t>2025 Performance Year: 33</w:t>
      </w:r>
      <w:r>
        <w:rPr>
          <w:rFonts w:ascii="Lato;sans-serif" w:hAnsi="Lato;sans-serif"/>
          <w:b w:val="false"/>
          <w:color w:val="000000"/>
          <w:sz w:val="13"/>
        </w:rPr>
        <w:t>1/3</w:t>
      </w:r>
      <w:r>
        <w:rPr>
          <w:rFonts w:ascii="Lato;sans-serif" w:hAnsi="Lato;sans-serif"/>
          <w:b w:val="false"/>
          <w:color w:val="000000"/>
          <w:sz w:val="20"/>
        </w:rPr>
        <w:t>% of Target Shares</w:t>
      </w:r>
    </w:p>
    <w:p>
      <w:pPr>
        <w:pStyle w:val="TextBody"/>
        <w:bidi w:val="0"/>
        <w:spacing w:lineRule="auto" w:line="288" w:before="0" w:after="0"/>
        <w:ind w:left="0" w:right="0" w:hanging="360"/>
        <w:jc w:val="left"/>
        <w:rPr/>
      </w:pPr>
      <w:r>
        <w:rPr>
          <w:color w:val="000000"/>
        </w:rPr>
        <w:t>•</w:t>
      </w:r>
      <w:r>
        <w:rPr>
          <w:rFonts w:ascii="Lato;sans-serif" w:hAnsi="Lato;sans-serif"/>
          <w:b w:val="false"/>
          <w:color w:val="000000"/>
          <w:sz w:val="20"/>
        </w:rPr>
        <w:t>2026 Performance Year: 33</w:t>
      </w:r>
      <w:r>
        <w:rPr>
          <w:rFonts w:ascii="Lato;sans-serif" w:hAnsi="Lato;sans-serif"/>
          <w:b w:val="false"/>
          <w:color w:val="000000"/>
          <w:sz w:val="13"/>
        </w:rPr>
        <w:t>1/3</w:t>
      </w:r>
      <w:r>
        <w:rPr>
          <w:rFonts w:ascii="Lato;sans-serif" w:hAnsi="Lato;sans-serif"/>
          <w:b w:val="false"/>
          <w:color w:val="000000"/>
          <w:sz w:val="20"/>
        </w:rPr>
        <w:t>% of Target Shares</w:t>
      </w:r>
    </w:p>
    <w:p>
      <w:pPr>
        <w:pStyle w:val="TextBody"/>
        <w:bidi w:val="0"/>
        <w:spacing w:lineRule="auto" w:line="288" w:before="0" w:after="0"/>
        <w:ind w:left="0" w:right="0" w:hanging="360"/>
        <w:jc w:val="left"/>
        <w:rPr/>
      </w:pPr>
      <w:r>
        <w:rPr>
          <w:color w:val="000000"/>
        </w:rPr>
        <w:t>•</w:t>
      </w:r>
      <w:r>
        <w:rPr>
          <w:rFonts w:ascii="Lato;sans-serif" w:hAnsi="Lato;sans-serif"/>
          <w:b w:val="false"/>
          <w:color w:val="000000"/>
          <w:sz w:val="20"/>
        </w:rPr>
        <w:t>2027 Performance Year: 33</w:t>
      </w:r>
      <w:r>
        <w:rPr>
          <w:rFonts w:ascii="Lato;sans-serif" w:hAnsi="Lato;sans-serif"/>
          <w:b w:val="false"/>
          <w:color w:val="000000"/>
          <w:sz w:val="13"/>
        </w:rPr>
        <w:t>1/3</w:t>
      </w:r>
      <w:r>
        <w:rPr>
          <w:rFonts w:ascii="Lato;sans-serif" w:hAnsi="Lato;sans-serif"/>
          <w:b w:val="false"/>
          <w:color w:val="000000"/>
          <w:sz w:val="20"/>
        </w:rPr>
        <w:t>% of Target Shares</w:t>
      </w:r>
    </w:p>
    <w:p>
      <w:pPr>
        <w:pStyle w:val="TextBody"/>
        <w:bidi w:val="0"/>
        <w:spacing w:before="0" w:after="0"/>
        <w:jc w:val="left"/>
        <w:rPr/>
      </w:pPr>
      <w:r>
        <w:rPr/>
      </w:r>
    </w:p>
    <w:p>
      <w:pPr>
        <w:pStyle w:val="TextBody"/>
        <w:bidi w:val="0"/>
        <w:spacing w:lineRule="auto" w:line="268" w:before="0" w:after="180"/>
        <w:jc w:val="both"/>
        <w:rPr>
          <w:rFonts w:ascii="Lato;sans-serif" w:hAnsi="Lato;sans-serif"/>
          <w:b w:val="false"/>
          <w:color w:val="000000"/>
          <w:sz w:val="20"/>
        </w:rPr>
      </w:pPr>
      <w:r>
        <w:rPr>
          <w:rFonts w:ascii="Lato;sans-serif" w:hAnsi="Lato;sans-serif"/>
          <w:b w:val="false"/>
          <w:color w:val="000000"/>
          <w:sz w:val="20"/>
        </w:rPr>
        <w:t>In determining FCF Per Share achievement for the 2025 Performance Year for the Company’s PSUs awarded in 2025, the Compensation Committee began with GAAP operating cash flow and subtracted GAAP capital expenditures, which included amounts relating to the capitalization of development expenses and certain expenditures related to the Company’s new facilities. The Compensation Committee then adjusted for interest paid in cash, restructuring and transaction related expenses, and payments resulting from litigation proceedings. To calculate FCF Per Share for the FCFps PSUs awarded in 2025, the Compensation Committee then subtracted the interest paid in cash from the Company’s adjusted FCF, and then divided such amounts by the weighted-average shares outstanding, which resulted in $1.20 FCF Per Share. Because $1.20 lies between the established target of $1.12 and the maximum of $1.24, as shown in the table below, a linear interpolation yielded a final payout level of 133% for this metric.</w:t>
      </w:r>
    </w:p>
    <w:tbl>
      <w:tblPr>
        <w:tblW w:w="10205" w:type="dxa"/>
        <w:jc w:val="left"/>
        <w:tblInd w:w="0" w:type="dxa"/>
        <w:tblLayout w:type="fixed"/>
        <w:tblCellMar>
          <w:top w:w="28" w:type="dxa"/>
          <w:left w:w="28" w:type="dxa"/>
          <w:bottom w:w="28" w:type="dxa"/>
          <w:right w:w="28" w:type="dxa"/>
        </w:tblCellMar>
      </w:tblPr>
      <w:tblGrid>
        <w:gridCol w:w="1742"/>
        <w:gridCol w:w="1522"/>
        <w:gridCol w:w="1528"/>
        <w:gridCol w:w="567"/>
        <w:gridCol w:w="556"/>
        <w:gridCol w:w="500"/>
        <w:gridCol w:w="1088"/>
        <w:gridCol w:w="1088"/>
        <w:gridCol w:w="1614"/>
      </w:tblGrid>
      <w:tr>
        <w:trPr/>
        <w:tc>
          <w:tcPr>
            <w:tcW w:w="1742" w:type="dxa"/>
            <w:tcBorders/>
            <w:vAlign w:val="center"/>
          </w:tcPr>
          <w:p>
            <w:pPr>
              <w:pStyle w:val="TableContents"/>
              <w:bidi w:val="0"/>
              <w:spacing w:before="0" w:after="283"/>
              <w:jc w:val="left"/>
              <w:rPr>
                <w:sz w:val="4"/>
                <w:szCs w:val="4"/>
              </w:rPr>
            </w:pPr>
            <w:r>
              <w:rPr>
                <w:sz w:val="4"/>
                <w:szCs w:val="4"/>
              </w:rPr>
            </w:r>
          </w:p>
        </w:tc>
        <w:tc>
          <w:tcPr>
            <w:tcW w:w="1522" w:type="dxa"/>
            <w:tcBorders/>
            <w:vAlign w:val="center"/>
          </w:tcPr>
          <w:p>
            <w:pPr>
              <w:pStyle w:val="TableContents"/>
              <w:bidi w:val="0"/>
              <w:spacing w:before="0" w:after="283"/>
              <w:jc w:val="left"/>
              <w:rPr>
                <w:sz w:val="4"/>
                <w:szCs w:val="4"/>
              </w:rPr>
            </w:pPr>
            <w:r>
              <w:rPr>
                <w:sz w:val="4"/>
                <w:szCs w:val="4"/>
              </w:rPr>
            </w:r>
          </w:p>
        </w:tc>
        <w:tc>
          <w:tcPr>
            <w:tcW w:w="1528" w:type="dxa"/>
            <w:tcBorders/>
            <w:vAlign w:val="center"/>
          </w:tcPr>
          <w:p>
            <w:pPr>
              <w:pStyle w:val="TableContents"/>
              <w:bidi w:val="0"/>
              <w:spacing w:before="0" w:after="283"/>
              <w:jc w:val="left"/>
              <w:rPr>
                <w:sz w:val="4"/>
                <w:szCs w:val="4"/>
              </w:rPr>
            </w:pPr>
            <w:r>
              <w:rPr>
                <w:sz w:val="4"/>
                <w:szCs w:val="4"/>
              </w:rPr>
            </w:r>
          </w:p>
        </w:tc>
        <w:tc>
          <w:tcPr>
            <w:tcW w:w="567"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sz w:val="4"/>
                <w:szCs w:val="4"/>
              </w:rPr>
            </w:pPr>
            <w:r>
              <w:rPr>
                <w:sz w:val="4"/>
                <w:szCs w:val="4"/>
              </w:rPr>
            </w:r>
          </w:p>
        </w:tc>
        <w:tc>
          <w:tcPr>
            <w:tcW w:w="1088" w:type="dxa"/>
            <w:tcBorders/>
            <w:vAlign w:val="center"/>
          </w:tcPr>
          <w:p>
            <w:pPr>
              <w:pStyle w:val="TableContents"/>
              <w:bidi w:val="0"/>
              <w:spacing w:before="0" w:after="283"/>
              <w:jc w:val="left"/>
              <w:rPr>
                <w:sz w:val="4"/>
                <w:szCs w:val="4"/>
              </w:rPr>
            </w:pPr>
            <w:r>
              <w:rPr>
                <w:sz w:val="4"/>
                <w:szCs w:val="4"/>
              </w:rPr>
            </w:r>
          </w:p>
        </w:tc>
        <w:tc>
          <w:tcPr>
            <w:tcW w:w="1088" w:type="dxa"/>
            <w:tcBorders/>
            <w:vAlign w:val="center"/>
          </w:tcPr>
          <w:p>
            <w:pPr>
              <w:pStyle w:val="TableContents"/>
              <w:bidi w:val="0"/>
              <w:spacing w:before="0" w:after="283"/>
              <w:jc w:val="left"/>
              <w:rPr>
                <w:sz w:val="4"/>
                <w:szCs w:val="4"/>
              </w:rPr>
            </w:pPr>
            <w:r>
              <w:rPr>
                <w:sz w:val="4"/>
                <w:szCs w:val="4"/>
              </w:rPr>
            </w:r>
          </w:p>
        </w:tc>
        <w:tc>
          <w:tcPr>
            <w:tcW w:w="1614" w:type="dxa"/>
            <w:tcBorders/>
            <w:vAlign w:val="center"/>
          </w:tcPr>
          <w:p>
            <w:pPr>
              <w:pStyle w:val="TableContents"/>
              <w:bidi w:val="0"/>
              <w:spacing w:before="0" w:after="283"/>
              <w:jc w:val="left"/>
              <w:rPr>
                <w:sz w:val="4"/>
                <w:szCs w:val="4"/>
              </w:rPr>
            </w:pPr>
            <w:r>
              <w:rPr>
                <w:sz w:val="4"/>
                <w:szCs w:val="4"/>
              </w:rPr>
            </w:r>
          </w:p>
        </w:tc>
      </w:tr>
      <w:tr>
        <w:trPr/>
        <w:tc>
          <w:tcPr>
            <w:tcW w:w="10205" w:type="dxa"/>
            <w:gridSpan w:val="9"/>
            <w:tcBorders/>
            <w:shd w:fill="F44238" w:val="clear"/>
            <w:tcMar>
              <w:top w:w="0" w:type="dxa"/>
              <w:left w:w="0" w:type="dxa"/>
              <w:bottom w:w="0" w:type="dxa"/>
              <w:right w:w="0" w:type="dxa"/>
            </w:tcMar>
            <w:vAlign w:val="center"/>
          </w:tcPr>
          <w:p>
            <w:pPr>
              <w:pStyle w:val="TableContents"/>
              <w:bidi w:val="0"/>
              <w:spacing w:lineRule="auto" w:line="268" w:before="0" w:after="283"/>
              <w:jc w:val="center"/>
              <w:rPr>
                <w:rFonts w:ascii="Lato;sans-serif" w:hAnsi="Lato;sans-serif"/>
                <w:b/>
                <w:color w:val="FFFFFF"/>
                <w:sz w:val="20"/>
              </w:rPr>
            </w:pPr>
            <w:r>
              <w:rPr>
                <w:rFonts w:ascii="Lato;sans-serif" w:hAnsi="Lato;sans-serif"/>
                <w:b/>
                <w:color w:val="FFFFFF"/>
                <w:sz w:val="20"/>
              </w:rPr>
              <w:t>FCFps PSUs Awarded in 2025</w:t>
            </w:r>
          </w:p>
        </w:tc>
      </w:tr>
      <w:tr>
        <w:trPr/>
        <w:tc>
          <w:tcPr>
            <w:tcW w:w="4792" w:type="dxa"/>
            <w:gridSpan w:val="3"/>
            <w:tcBorders/>
            <w:shd w:fill="F44238" w:val="clear"/>
            <w:tcMar>
              <w:top w:w="0" w:type="dxa"/>
              <w:left w:w="0" w:type="dxa"/>
              <w:bottom w:w="0" w:type="dxa"/>
              <w:right w:w="0" w:type="dxa"/>
            </w:tcMar>
            <w:vAlign w:val="center"/>
          </w:tcPr>
          <w:p>
            <w:pPr>
              <w:pStyle w:val="TableContents"/>
              <w:bidi w:val="0"/>
              <w:spacing w:lineRule="auto" w:line="268" w:before="0" w:after="0"/>
              <w:jc w:val="center"/>
              <w:rPr>
                <w:rFonts w:ascii="Lato;sans-serif" w:hAnsi="Lato;sans-serif"/>
                <w:b/>
                <w:color w:val="FFFFFF"/>
                <w:sz w:val="20"/>
              </w:rPr>
            </w:pPr>
            <w:r>
              <w:rPr>
                <w:rFonts w:ascii="Lato;sans-serif" w:hAnsi="Lato;sans-serif"/>
                <w:b/>
                <w:color w:val="FFFFFF"/>
                <w:sz w:val="20"/>
              </w:rPr>
              <w:t>Percentage of Shares Allocated to Performance Year</w:t>
            </w:r>
          </w:p>
        </w:tc>
        <w:tc>
          <w:tcPr>
            <w:tcW w:w="1623" w:type="dxa"/>
            <w:gridSpan w:val="3"/>
            <w:tcBorders/>
            <w:shd w:fill="F44238" w:val="clear"/>
            <w:tcMar>
              <w:top w:w="0" w:type="dxa"/>
              <w:left w:w="0" w:type="dxa"/>
              <w:bottom w:w="0" w:type="dxa"/>
              <w:right w:w="0" w:type="dxa"/>
            </w:tcMar>
            <w:vAlign w:val="center"/>
          </w:tcPr>
          <w:p>
            <w:pPr>
              <w:pStyle w:val="TableContents"/>
              <w:bidi w:val="0"/>
              <w:spacing w:lineRule="auto" w:line="268" w:before="0" w:after="0"/>
              <w:jc w:val="center"/>
              <w:rPr/>
            </w:pPr>
            <w:r>
              <w:rPr>
                <w:rFonts w:ascii="Lato;sans-serif" w:hAnsi="Lato;sans-serif"/>
                <w:b/>
                <w:color w:val="FFFFFF"/>
                <w:sz w:val="20"/>
              </w:rPr>
              <w:t>33</w:t>
            </w:r>
            <w:r>
              <w:rPr>
                <w:rFonts w:ascii="Lato;sans-serif" w:hAnsi="Lato;sans-serif"/>
                <w:b/>
                <w:color w:val="FFFFFF"/>
                <w:sz w:val="13"/>
              </w:rPr>
              <w:t>1/3</w:t>
            </w:r>
            <w:r>
              <w:rPr>
                <w:rFonts w:ascii="Lato;sans-serif" w:hAnsi="Lato;sans-serif"/>
                <w:b/>
                <w:color w:val="FFFFFF"/>
                <w:sz w:val="20"/>
              </w:rPr>
              <w:t>%</w:t>
            </w:r>
          </w:p>
        </w:tc>
        <w:tc>
          <w:tcPr>
            <w:tcW w:w="3790" w:type="dxa"/>
            <w:gridSpan w:val="3"/>
            <w:tcBorders/>
            <w:shd w:fill="F4423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92" w:type="dxa"/>
            <w:gridSpan w:val="3"/>
            <w:tcBorders/>
            <w:shd w:fill="F44238" w:val="clear"/>
            <w:tcMar>
              <w:top w:w="0" w:type="dxa"/>
              <w:left w:w="0" w:type="dxa"/>
              <w:bottom w:w="0" w:type="dxa"/>
              <w:right w:w="0" w:type="dxa"/>
            </w:tcMar>
            <w:vAlign w:val="center"/>
          </w:tcPr>
          <w:p>
            <w:pPr>
              <w:pStyle w:val="TableContents"/>
              <w:bidi w:val="0"/>
              <w:spacing w:lineRule="auto" w:line="268" w:before="0" w:after="283"/>
              <w:jc w:val="center"/>
              <w:rPr>
                <w:rFonts w:ascii="Lato;sans-serif" w:hAnsi="Lato;sans-serif"/>
                <w:b/>
                <w:color w:val="FFFFFF"/>
                <w:sz w:val="20"/>
              </w:rPr>
            </w:pPr>
            <w:r>
              <w:rPr>
                <w:rFonts w:ascii="Lato;sans-serif" w:hAnsi="Lato;sans-serif"/>
                <w:b/>
                <w:color w:val="FFFFFF"/>
                <w:sz w:val="20"/>
              </w:rPr>
              <w:t>Annual Performance Factor</w:t>
            </w:r>
          </w:p>
        </w:tc>
        <w:tc>
          <w:tcPr>
            <w:tcW w:w="1623" w:type="dxa"/>
            <w:gridSpan w:val="3"/>
            <w:tcBorders/>
            <w:shd w:fill="F44238" w:val="clear"/>
            <w:tcMar>
              <w:top w:w="0" w:type="dxa"/>
              <w:left w:w="0" w:type="dxa"/>
              <w:bottom w:w="0" w:type="dxa"/>
              <w:right w:w="0" w:type="dxa"/>
            </w:tcMar>
            <w:vAlign w:val="center"/>
          </w:tcPr>
          <w:p>
            <w:pPr>
              <w:pStyle w:val="TableContents"/>
              <w:bidi w:val="0"/>
              <w:spacing w:lineRule="auto" w:line="268" w:before="0" w:after="0"/>
              <w:jc w:val="center"/>
              <w:rPr>
                <w:rFonts w:ascii="Lato;sans-serif" w:hAnsi="Lato;sans-serif"/>
                <w:b/>
                <w:color w:val="FFFFFF"/>
                <w:sz w:val="20"/>
              </w:rPr>
            </w:pPr>
            <w:r>
              <w:rPr>
                <w:rFonts w:ascii="Lato;sans-serif" w:hAnsi="Lato;sans-serif"/>
                <w:b/>
                <w:color w:val="FFFFFF"/>
                <w:sz w:val="20"/>
              </w:rPr>
              <w:t>Fiscal Year 2025</w:t>
            </w:r>
          </w:p>
          <w:p>
            <w:pPr>
              <w:pStyle w:val="TableContents"/>
              <w:bidi w:val="0"/>
              <w:spacing w:lineRule="auto" w:line="268" w:before="0" w:after="0"/>
              <w:jc w:val="center"/>
              <w:rPr/>
            </w:pPr>
            <w:r>
              <w:rPr>
                <w:rFonts w:ascii="Lato;sans-serif" w:hAnsi="Lato;sans-serif"/>
                <w:b/>
                <w:color w:val="FFFFFF"/>
                <w:sz w:val="20"/>
              </w:rPr>
              <w:t>FCF Per Share</w:t>
            </w:r>
            <w:r>
              <w:rPr>
                <w:rFonts w:ascii="Lato;sans-serif" w:hAnsi="Lato;sans-serif"/>
                <w:b/>
                <w:color w:val="FFFFFF"/>
                <w:sz w:val="13"/>
              </w:rPr>
              <w:t>(1)</w:t>
            </w:r>
          </w:p>
        </w:tc>
        <w:tc>
          <w:tcPr>
            <w:tcW w:w="3790" w:type="dxa"/>
            <w:gridSpan w:val="3"/>
            <w:tcBorders/>
            <w:shd w:fill="F44238" w:val="clear"/>
            <w:tcMar>
              <w:top w:w="0" w:type="dxa"/>
              <w:left w:w="0" w:type="dxa"/>
              <w:bottom w:w="0" w:type="dxa"/>
              <w:right w:w="0" w:type="dxa"/>
            </w:tcMar>
            <w:vAlign w:val="center"/>
          </w:tcPr>
          <w:p>
            <w:pPr>
              <w:pStyle w:val="TableContents"/>
              <w:bidi w:val="0"/>
              <w:spacing w:lineRule="auto" w:line="268" w:before="0" w:after="283"/>
              <w:jc w:val="center"/>
              <w:rPr>
                <w:rFonts w:ascii="Lato;sans-serif" w:hAnsi="Lato;sans-serif"/>
                <w:b/>
                <w:color w:val="FFFFFF"/>
                <w:sz w:val="20"/>
              </w:rPr>
            </w:pPr>
            <w:r>
              <w:rPr>
                <w:rFonts w:ascii="Lato;sans-serif" w:hAnsi="Lato;sans-serif"/>
                <w:b/>
                <w:color w:val="FFFFFF"/>
                <w:sz w:val="20"/>
              </w:rPr>
              <w:t>Percentage Payout in Performance Year</w:t>
            </w:r>
          </w:p>
        </w:tc>
      </w:tr>
      <w:tr>
        <w:trPr/>
        <w:tc>
          <w:tcPr>
            <w:tcW w:w="4792"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68" w:before="0" w:after="283"/>
              <w:jc w:val="center"/>
              <w:rPr>
                <w:rFonts w:ascii="Lato;sans-serif" w:hAnsi="Lato;sans-serif"/>
                <w:b w:val="false"/>
                <w:color w:val="000000"/>
                <w:sz w:val="20"/>
              </w:rPr>
            </w:pPr>
            <w:r>
              <w:rPr>
                <w:rFonts w:ascii="Lato;sans-serif" w:hAnsi="Lato;sans-serif"/>
                <w:b w:val="false"/>
                <w:color w:val="000000"/>
                <w:sz w:val="20"/>
              </w:rPr>
              <w:t>Below Threshold</w:t>
            </w:r>
          </w:p>
        </w:tc>
        <w:tc>
          <w:tcPr>
            <w:tcW w:w="1623"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68" w:before="0" w:after="283"/>
              <w:jc w:val="center"/>
              <w:rPr>
                <w:rFonts w:ascii="Lato;sans-serif" w:hAnsi="Lato;sans-serif"/>
                <w:b w:val="false"/>
                <w:color w:val="000000"/>
                <w:sz w:val="20"/>
              </w:rPr>
            </w:pPr>
            <w:r>
              <w:rPr>
                <w:rFonts w:ascii="Lato;sans-serif" w:hAnsi="Lato;sans-serif"/>
                <w:b w:val="false"/>
                <w:color w:val="000000"/>
                <w:sz w:val="20"/>
              </w:rPr>
              <w:t>&lt;$1.07</w:t>
            </w:r>
          </w:p>
        </w:tc>
        <w:tc>
          <w:tcPr>
            <w:tcW w:w="379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68" w:before="0" w:after="283"/>
              <w:jc w:val="center"/>
              <w:rPr>
                <w:rFonts w:ascii="Lato;sans-serif" w:hAnsi="Lato;sans-serif"/>
                <w:b w:val="false"/>
                <w:color w:val="000000"/>
                <w:sz w:val="20"/>
              </w:rPr>
            </w:pPr>
            <w:r>
              <w:rPr>
                <w:rFonts w:ascii="Lato;sans-serif" w:hAnsi="Lato;sans-serif"/>
                <w:b w:val="false"/>
                <w:color w:val="000000"/>
                <w:sz w:val="20"/>
              </w:rPr>
              <w:t>0%</w:t>
            </w:r>
          </w:p>
        </w:tc>
      </w:tr>
      <w:tr>
        <w:trPr/>
        <w:tc>
          <w:tcPr>
            <w:tcW w:w="4792" w:type="dxa"/>
            <w:gridSpan w:val="3"/>
            <w:tcBorders/>
            <w:shd w:fill="DBDBDB" w:val="clear"/>
            <w:tcMar>
              <w:top w:w="0" w:type="dxa"/>
              <w:left w:w="0" w:type="dxa"/>
              <w:bottom w:w="0" w:type="dxa"/>
              <w:right w:w="0" w:type="dxa"/>
            </w:tcMar>
            <w:vAlign w:val="center"/>
          </w:tcPr>
          <w:p>
            <w:pPr>
              <w:pStyle w:val="TableContents"/>
              <w:bidi w:val="0"/>
              <w:spacing w:lineRule="auto" w:line="268" w:before="0" w:after="283"/>
              <w:jc w:val="center"/>
              <w:rPr>
                <w:rFonts w:ascii="Lato;sans-serif" w:hAnsi="Lato;sans-serif"/>
                <w:b w:val="false"/>
                <w:color w:val="000000"/>
                <w:sz w:val="20"/>
              </w:rPr>
            </w:pPr>
            <w:r>
              <w:rPr>
                <w:rFonts w:ascii="Lato;sans-serif" w:hAnsi="Lato;sans-serif"/>
                <w:b w:val="false"/>
                <w:color w:val="000000"/>
                <w:sz w:val="20"/>
              </w:rPr>
              <w:t>Threshold</w:t>
            </w:r>
          </w:p>
        </w:tc>
        <w:tc>
          <w:tcPr>
            <w:tcW w:w="1623" w:type="dxa"/>
            <w:gridSpan w:val="3"/>
            <w:tcBorders/>
            <w:shd w:fill="DBDBDB" w:val="clear"/>
            <w:tcMar>
              <w:top w:w="0" w:type="dxa"/>
              <w:left w:w="0" w:type="dxa"/>
              <w:bottom w:w="0" w:type="dxa"/>
              <w:right w:w="0" w:type="dxa"/>
            </w:tcMar>
            <w:vAlign w:val="center"/>
          </w:tcPr>
          <w:p>
            <w:pPr>
              <w:pStyle w:val="TableContents"/>
              <w:bidi w:val="0"/>
              <w:spacing w:lineRule="auto" w:line="268" w:before="0" w:after="283"/>
              <w:jc w:val="center"/>
              <w:rPr>
                <w:rFonts w:ascii="Lato;sans-serif" w:hAnsi="Lato;sans-serif"/>
                <w:b w:val="false"/>
                <w:color w:val="000000"/>
                <w:sz w:val="20"/>
              </w:rPr>
            </w:pPr>
            <w:r>
              <w:rPr>
                <w:rFonts w:ascii="Lato;sans-serif" w:hAnsi="Lato;sans-serif"/>
                <w:b w:val="false"/>
                <w:color w:val="000000"/>
                <w:sz w:val="20"/>
              </w:rPr>
              <w:t>$1.07</w:t>
            </w:r>
          </w:p>
        </w:tc>
        <w:tc>
          <w:tcPr>
            <w:tcW w:w="3790" w:type="dxa"/>
            <w:gridSpan w:val="3"/>
            <w:tcBorders/>
            <w:shd w:fill="DBDBDB" w:val="clear"/>
            <w:tcMar>
              <w:top w:w="0" w:type="dxa"/>
              <w:left w:w="0" w:type="dxa"/>
              <w:bottom w:w="0" w:type="dxa"/>
              <w:right w:w="0" w:type="dxa"/>
            </w:tcMar>
            <w:vAlign w:val="center"/>
          </w:tcPr>
          <w:p>
            <w:pPr>
              <w:pStyle w:val="TableContents"/>
              <w:bidi w:val="0"/>
              <w:spacing w:lineRule="auto" w:line="268" w:before="0" w:after="283"/>
              <w:jc w:val="center"/>
              <w:rPr>
                <w:rFonts w:ascii="Lato;sans-serif" w:hAnsi="Lato;sans-serif"/>
                <w:b w:val="false"/>
                <w:color w:val="000000"/>
                <w:sz w:val="20"/>
              </w:rPr>
            </w:pPr>
            <w:r>
              <w:rPr>
                <w:rFonts w:ascii="Lato;sans-serif" w:hAnsi="Lato;sans-serif"/>
                <w:b w:val="false"/>
                <w:color w:val="000000"/>
                <w:sz w:val="20"/>
              </w:rPr>
              <w:t>50%</w:t>
            </w:r>
          </w:p>
        </w:tc>
      </w:tr>
      <w:tr>
        <w:trPr/>
        <w:tc>
          <w:tcPr>
            <w:tcW w:w="4792"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center"/>
              <w:rPr>
                <w:rFonts w:ascii="Lato;sans-serif" w:hAnsi="Lato;sans-serif"/>
                <w:b w:val="false"/>
                <w:color w:val="000000"/>
                <w:sz w:val="20"/>
              </w:rPr>
            </w:pPr>
            <w:r>
              <w:rPr>
                <w:rFonts w:ascii="Lato;sans-serif" w:hAnsi="Lato;sans-serif"/>
                <w:b w:val="false"/>
                <w:color w:val="000000"/>
                <w:sz w:val="20"/>
              </w:rPr>
              <w:t>Target</w:t>
            </w:r>
          </w:p>
        </w:tc>
        <w:tc>
          <w:tcPr>
            <w:tcW w:w="1623"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center"/>
              <w:rPr>
                <w:rFonts w:ascii="Lato;sans-serif" w:hAnsi="Lato;sans-serif"/>
                <w:b w:val="false"/>
                <w:color w:val="000000"/>
                <w:sz w:val="20"/>
              </w:rPr>
            </w:pPr>
            <w:r>
              <w:rPr>
                <w:rFonts w:ascii="Lato;sans-serif" w:hAnsi="Lato;sans-serif"/>
                <w:b w:val="false"/>
                <w:color w:val="000000"/>
                <w:sz w:val="20"/>
              </w:rPr>
              <w:t>$1.12</w:t>
            </w:r>
          </w:p>
        </w:tc>
        <w:tc>
          <w:tcPr>
            <w:tcW w:w="3790"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center"/>
              <w:rPr>
                <w:rFonts w:ascii="Lato;sans-serif" w:hAnsi="Lato;sans-serif"/>
                <w:b w:val="false"/>
                <w:color w:val="000000"/>
                <w:sz w:val="20"/>
              </w:rPr>
            </w:pPr>
            <w:r>
              <w:rPr>
                <w:rFonts w:ascii="Lato;sans-serif" w:hAnsi="Lato;sans-serif"/>
                <w:b w:val="false"/>
                <w:color w:val="000000"/>
                <w:sz w:val="20"/>
              </w:rPr>
              <w:t>100%</w:t>
            </w:r>
          </w:p>
        </w:tc>
      </w:tr>
      <w:tr>
        <w:trPr/>
        <w:tc>
          <w:tcPr>
            <w:tcW w:w="4792" w:type="dxa"/>
            <w:gridSpan w:val="3"/>
            <w:tcBorders/>
            <w:shd w:fill="DBDBDB" w:val="clear"/>
            <w:tcMar>
              <w:top w:w="0" w:type="dxa"/>
              <w:left w:w="0" w:type="dxa"/>
              <w:bottom w:w="0" w:type="dxa"/>
              <w:right w:w="0" w:type="dxa"/>
            </w:tcMar>
            <w:vAlign w:val="center"/>
          </w:tcPr>
          <w:p>
            <w:pPr>
              <w:pStyle w:val="TableContents"/>
              <w:bidi w:val="0"/>
              <w:spacing w:lineRule="auto" w:line="268" w:before="0" w:after="283"/>
              <w:jc w:val="center"/>
              <w:rPr>
                <w:rFonts w:ascii="Lato;sans-serif" w:hAnsi="Lato;sans-serif"/>
                <w:b w:val="false"/>
                <w:color w:val="000000"/>
                <w:sz w:val="20"/>
              </w:rPr>
            </w:pPr>
            <w:r>
              <w:rPr>
                <w:rFonts w:ascii="Lato;sans-serif" w:hAnsi="Lato;sans-serif"/>
                <w:b w:val="false"/>
                <w:color w:val="000000"/>
                <w:sz w:val="20"/>
              </w:rPr>
              <w:t>Maximum</w:t>
            </w:r>
          </w:p>
        </w:tc>
        <w:tc>
          <w:tcPr>
            <w:tcW w:w="1623" w:type="dxa"/>
            <w:gridSpan w:val="3"/>
            <w:tcBorders/>
            <w:shd w:fill="DBDBDB" w:val="clear"/>
            <w:tcMar>
              <w:top w:w="0" w:type="dxa"/>
              <w:left w:w="0" w:type="dxa"/>
              <w:bottom w:w="0" w:type="dxa"/>
              <w:right w:w="0" w:type="dxa"/>
            </w:tcMar>
            <w:vAlign w:val="center"/>
          </w:tcPr>
          <w:p>
            <w:pPr>
              <w:pStyle w:val="TableContents"/>
              <w:bidi w:val="0"/>
              <w:spacing w:lineRule="auto" w:line="268" w:before="0" w:after="283"/>
              <w:jc w:val="center"/>
              <w:rPr>
                <w:rFonts w:ascii="Lato;sans-serif" w:hAnsi="Lato;sans-serif"/>
                <w:b w:val="false"/>
                <w:color w:val="000000"/>
                <w:sz w:val="20"/>
              </w:rPr>
            </w:pPr>
            <w:r>
              <w:rPr>
                <w:rFonts w:ascii="Lato;sans-serif" w:hAnsi="Lato;sans-serif"/>
                <w:b w:val="false"/>
                <w:color w:val="000000"/>
                <w:sz w:val="20"/>
              </w:rPr>
              <w:t>$1.24</w:t>
            </w:r>
          </w:p>
        </w:tc>
        <w:tc>
          <w:tcPr>
            <w:tcW w:w="3790" w:type="dxa"/>
            <w:gridSpan w:val="3"/>
            <w:tcBorders/>
            <w:shd w:fill="DBDBDB" w:val="clear"/>
            <w:tcMar>
              <w:top w:w="0" w:type="dxa"/>
              <w:left w:w="0" w:type="dxa"/>
              <w:bottom w:w="0" w:type="dxa"/>
              <w:right w:w="0" w:type="dxa"/>
            </w:tcMar>
            <w:vAlign w:val="center"/>
          </w:tcPr>
          <w:p>
            <w:pPr>
              <w:pStyle w:val="TableContents"/>
              <w:bidi w:val="0"/>
              <w:spacing w:lineRule="auto" w:line="268" w:before="0" w:after="283"/>
              <w:jc w:val="center"/>
              <w:rPr>
                <w:rFonts w:ascii="Lato;sans-serif" w:hAnsi="Lato;sans-serif"/>
                <w:b w:val="false"/>
                <w:color w:val="000000"/>
                <w:sz w:val="20"/>
              </w:rPr>
            </w:pPr>
            <w:r>
              <w:rPr>
                <w:rFonts w:ascii="Lato;sans-serif" w:hAnsi="Lato;sans-serif"/>
                <w:b w:val="false"/>
                <w:color w:val="000000"/>
                <w:sz w:val="20"/>
              </w:rPr>
              <w:t>150%</w:t>
            </w:r>
          </w:p>
        </w:tc>
      </w:tr>
      <w:tr>
        <w:trPr/>
        <w:tc>
          <w:tcPr>
            <w:tcW w:w="4792"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center"/>
              <w:rPr>
                <w:rFonts w:ascii="Lato;sans-serif" w:hAnsi="Lato;sans-serif"/>
                <w:b/>
                <w:color w:val="000000"/>
                <w:sz w:val="20"/>
              </w:rPr>
            </w:pPr>
            <w:r>
              <w:rPr>
                <w:rFonts w:ascii="Lato;sans-serif" w:hAnsi="Lato;sans-serif"/>
                <w:b/>
                <w:color w:val="000000"/>
                <w:sz w:val="20"/>
              </w:rPr>
              <w:t>Actual</w:t>
            </w:r>
          </w:p>
        </w:tc>
        <w:tc>
          <w:tcPr>
            <w:tcW w:w="1623"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center"/>
              <w:rPr>
                <w:rFonts w:ascii="Lato;sans-serif" w:hAnsi="Lato;sans-serif"/>
                <w:b w:val="false"/>
                <w:color w:val="000000"/>
                <w:sz w:val="20"/>
              </w:rPr>
            </w:pPr>
            <w:r>
              <w:rPr>
                <w:rFonts w:ascii="Lato;sans-serif" w:hAnsi="Lato;sans-serif"/>
                <w:b w:val="false"/>
                <w:color w:val="000000"/>
                <w:sz w:val="20"/>
              </w:rPr>
              <w:t>$1.20</w:t>
            </w:r>
          </w:p>
        </w:tc>
        <w:tc>
          <w:tcPr>
            <w:tcW w:w="3790"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center"/>
              <w:rPr>
                <w:rFonts w:ascii="Lato;sans-serif" w:hAnsi="Lato;sans-serif"/>
                <w:b w:val="false"/>
                <w:color w:val="000000"/>
                <w:sz w:val="20"/>
              </w:rPr>
            </w:pPr>
            <w:r>
              <w:rPr>
                <w:rFonts w:ascii="Lato;sans-serif" w:hAnsi="Lato;sans-serif"/>
                <w:b w:val="false"/>
                <w:color w:val="000000"/>
                <w:sz w:val="20"/>
              </w:rPr>
              <w:t>133%</w:t>
            </w:r>
          </w:p>
        </w:tc>
      </w:tr>
    </w:tbl>
    <w:p>
      <w:pPr>
        <w:pStyle w:val="TextBody"/>
        <w:bidi w:val="0"/>
        <w:spacing w:lineRule="auto" w:line="333"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__________________</w:t>
      </w:r>
    </w:p>
    <w:p>
      <w:pPr>
        <w:pStyle w:val="TextBody"/>
        <w:bidi w:val="0"/>
        <w:spacing w:lineRule="auto" w:line="288" w:before="0" w:after="0"/>
        <w:ind w:left="0" w:right="0" w:hanging="360"/>
        <w:jc w:val="both"/>
        <w:rPr>
          <w:rFonts w:ascii="Lato;sans-serif" w:hAnsi="Lato;sans-serif"/>
          <w:b w:val="false"/>
          <w:color w:val="000000"/>
          <w:sz w:val="16"/>
        </w:rPr>
      </w:pPr>
      <w:r>
        <w:rPr>
          <w:rFonts w:ascii="Lato;sans-serif" w:hAnsi="Lato;sans-serif"/>
          <w:b w:val="false"/>
          <w:color w:val="000000"/>
          <w:sz w:val="16"/>
        </w:rPr>
        <w:t xml:space="preserve">(1)Defined for each performance year as: (x) (i) operating cash flow (as determined in accordance with GAAP and as presented in the Company’s financial statements) for the performance year, less (ii) purchases of property and equipment and other assets (as determined in accordance with GAAP and as presented in the Company’s financial statements) for the performance year, and equitably adjusted (up or down), as approved by the Board, for the cash effect of any, plus (iii) interest paid in cash, plus (iv) significant unusual or non-recurring events or accrual items (the foregoing clauses (i)-(iv) resulting in the Company’s unlevered free cash flow, then minus (v) the interest paid in cash, divided by (y) the weighted average number of shares of the Company’s common stock outstanding over the applicable performance year. See Appendix A for more information relating to our adjusted free cash flow calculation, including a reconciliation of such measure to its most directly comparable U.S. GAAP financial measure, our U.S. GAAP net cash provided by operating activities, as well as a detailed calculation of how we determined our adjusted free cash flow per share calculation for the FCFps PSUs awarded in 2025.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6480175" cy="352425"/>
                <wp:effectExtent l="0" t="0" r="0" b="0"/>
                <wp:wrapNone/>
                <wp:docPr id="71" name="Frame55"/>
                <a:graphic xmlns:a="http://schemas.openxmlformats.org/drawingml/2006/main">
                  <a:graphicData uri="http://schemas.microsoft.com/office/word/2010/wordprocessingShape">
                    <wps:wsp>
                      <wps:cNvSpPr txBox="1"/>
                      <wps:spPr>
                        <a:xfrm>
                          <a:off x="0" y="0"/>
                          <a:ext cx="6480175" cy="352425"/>
                        </a:xfrm>
                        <a:prstGeom prst="rect"/>
                        <a:solidFill>
                          <a:srgbClr val="FFFFFF"/>
                        </a:solidFill>
                      </wps:spPr>
                      <wps:txbx>
                        <w:txbxContent>
                          <w:p>
                            <w:pPr>
                              <w:pStyle w:val="TextBody"/>
                              <w:bidi w:val="0"/>
                              <w:spacing w:lineRule="auto" w:line="288" w:before="0" w:after="0"/>
                              <w:jc w:val="center"/>
                              <w:rPr>
                                <w:rFonts w:ascii="Lato;sans-serif" w:hAnsi="Lato;sans-serif"/>
                                <w:b w:val="false"/>
                                <w:color w:val="000000"/>
                                <w:sz w:val="20"/>
                              </w:rPr>
                            </w:pPr>
                            <w:r>
                              <w:rPr>
                                <w:rFonts w:ascii="Lato;sans-serif" w:hAnsi="Lato;sans-serif"/>
                                <w:b w:val="false"/>
                                <w:color w:val="000000"/>
                                <w:sz w:val="20"/>
                              </w:rPr>
                              <w:t>49</w:t>
                            </w:r>
                          </w:p>
                          <w:p>
                            <w:pPr>
                              <w:pStyle w:val="TextBody"/>
                              <w:bidi w:val="0"/>
                              <w:spacing w:lineRule="auto" w:line="288" w:before="0" w:after="0"/>
                              <w:jc w:val="left"/>
                              <w:rPr>
                                <w:color w:val="000000"/>
                              </w:rPr>
                            </w:pPr>
                            <w:r>
                              <w:rPr>
                                <w:color w:val="000000"/>
                              </w:rPr>
                              <w:t>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Lato;sans-serif" w:hAnsi="Lato;sans-serif"/>
                          <w:b w:val="false"/>
                          <w:color w:val="000000"/>
                          <w:sz w:val="20"/>
                        </w:rPr>
                      </w:pPr>
                      <w:r>
                        <w:rPr>
                          <w:rFonts w:ascii="Lato;sans-serif" w:hAnsi="Lato;sans-serif"/>
                          <w:b w:val="false"/>
                          <w:color w:val="000000"/>
                          <w:sz w:val="20"/>
                        </w:rPr>
                        <w:t>49</w:t>
                      </w:r>
                    </w:p>
                    <w:p>
                      <w:pPr>
                        <w:pStyle w:val="TextBody"/>
                        <w:bidi w:val="0"/>
                        <w:spacing w:lineRule="auto" w:line="288" w:before="0" w:after="0"/>
                        <w:jc w:val="left"/>
                        <w:rPr>
                          <w:color w:val="000000"/>
                        </w:rPr>
                      </w:pPr>
                      <w:r>
                        <w:rPr>
                          <w:color w:val="000000"/>
                        </w:rPr>
                        <w:t>        </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Lato;sans-serif" w:hAnsi="Lato;sans-serif"/>
          <w:b w:val="false"/>
          <w:color w:val="000000"/>
          <w:sz w:val="20"/>
        </w:rPr>
      </w:pPr>
      <w:r>
        <w:rPr>
          <w:rFonts w:ascii="Lato;sans-serif" w:hAnsi="Lato;sans-serif"/>
          <w:b w:val="false"/>
          <w:color w:val="000000"/>
          <w:sz w:val="20"/>
        </w:rPr>
        <w:t>The table below sets forth the FCFps PSUs granted to and earned by our NEOs in 2025:</w:t>
      </w:r>
    </w:p>
    <w:tbl>
      <w:tblPr>
        <w:tblW w:w="10205" w:type="dxa"/>
        <w:jc w:val="left"/>
        <w:tblInd w:w="0" w:type="dxa"/>
        <w:tblLayout w:type="fixed"/>
        <w:tblCellMar>
          <w:top w:w="28" w:type="dxa"/>
          <w:left w:w="28" w:type="dxa"/>
          <w:bottom w:w="28" w:type="dxa"/>
          <w:right w:w="28" w:type="dxa"/>
        </w:tblCellMar>
      </w:tblPr>
      <w:tblGrid>
        <w:gridCol w:w="602"/>
        <w:gridCol w:w="489"/>
        <w:gridCol w:w="499"/>
        <w:gridCol w:w="975"/>
        <w:gridCol w:w="797"/>
        <w:gridCol w:w="785"/>
        <w:gridCol w:w="629"/>
        <w:gridCol w:w="629"/>
        <w:gridCol w:w="631"/>
        <w:gridCol w:w="801"/>
        <w:gridCol w:w="801"/>
        <w:gridCol w:w="804"/>
        <w:gridCol w:w="514"/>
        <w:gridCol w:w="514"/>
        <w:gridCol w:w="735"/>
      </w:tblGrid>
      <w:tr>
        <w:trPr/>
        <w:tc>
          <w:tcPr>
            <w:tcW w:w="602" w:type="dxa"/>
            <w:tcBorders/>
            <w:vAlign w:val="center"/>
          </w:tcPr>
          <w:p>
            <w:pPr>
              <w:pStyle w:val="TableContents"/>
              <w:bidi w:val="0"/>
              <w:spacing w:before="0" w:after="283"/>
              <w:jc w:val="left"/>
              <w:rPr>
                <w:sz w:val="4"/>
                <w:szCs w:val="4"/>
              </w:rPr>
            </w:pPr>
            <w:r>
              <w:rPr>
                <w:sz w:val="4"/>
                <w:szCs w:val="4"/>
              </w:rPr>
            </w:r>
          </w:p>
        </w:tc>
        <w:tc>
          <w:tcPr>
            <w:tcW w:w="489"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975" w:type="dxa"/>
            <w:tcBorders/>
            <w:vAlign w:val="center"/>
          </w:tcPr>
          <w:p>
            <w:pPr>
              <w:pStyle w:val="TableContents"/>
              <w:bidi w:val="0"/>
              <w:spacing w:before="0" w:after="283"/>
              <w:jc w:val="left"/>
              <w:rPr>
                <w:sz w:val="4"/>
                <w:szCs w:val="4"/>
              </w:rPr>
            </w:pPr>
            <w:r>
              <w:rPr>
                <w:sz w:val="4"/>
                <w:szCs w:val="4"/>
              </w:rPr>
            </w:r>
          </w:p>
        </w:tc>
        <w:tc>
          <w:tcPr>
            <w:tcW w:w="797" w:type="dxa"/>
            <w:tcBorders/>
            <w:vAlign w:val="center"/>
          </w:tcPr>
          <w:p>
            <w:pPr>
              <w:pStyle w:val="TableContents"/>
              <w:bidi w:val="0"/>
              <w:spacing w:before="0" w:after="283"/>
              <w:jc w:val="left"/>
              <w:rPr>
                <w:sz w:val="4"/>
                <w:szCs w:val="4"/>
              </w:rPr>
            </w:pPr>
            <w:r>
              <w:rPr>
                <w:sz w:val="4"/>
                <w:szCs w:val="4"/>
              </w:rPr>
            </w:r>
          </w:p>
        </w:tc>
        <w:tc>
          <w:tcPr>
            <w:tcW w:w="785" w:type="dxa"/>
            <w:tcBorders/>
            <w:vAlign w:val="center"/>
          </w:tcPr>
          <w:p>
            <w:pPr>
              <w:pStyle w:val="TableContents"/>
              <w:bidi w:val="0"/>
              <w:spacing w:before="0" w:after="283"/>
              <w:jc w:val="left"/>
              <w:rPr>
                <w:sz w:val="4"/>
                <w:szCs w:val="4"/>
              </w:rPr>
            </w:pPr>
            <w:r>
              <w:rPr>
                <w:sz w:val="4"/>
                <w:szCs w:val="4"/>
              </w:rPr>
            </w:r>
          </w:p>
        </w:tc>
        <w:tc>
          <w:tcPr>
            <w:tcW w:w="629" w:type="dxa"/>
            <w:tcBorders/>
            <w:vAlign w:val="center"/>
          </w:tcPr>
          <w:p>
            <w:pPr>
              <w:pStyle w:val="TableContents"/>
              <w:bidi w:val="0"/>
              <w:spacing w:before="0" w:after="283"/>
              <w:jc w:val="left"/>
              <w:rPr>
                <w:sz w:val="4"/>
                <w:szCs w:val="4"/>
              </w:rPr>
            </w:pPr>
            <w:r>
              <w:rPr>
                <w:sz w:val="4"/>
                <w:szCs w:val="4"/>
              </w:rPr>
            </w:r>
          </w:p>
        </w:tc>
        <w:tc>
          <w:tcPr>
            <w:tcW w:w="629"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804" w:type="dxa"/>
            <w:tcBorders/>
            <w:vAlign w:val="center"/>
          </w:tcPr>
          <w:p>
            <w:pPr>
              <w:pStyle w:val="TableContents"/>
              <w:bidi w:val="0"/>
              <w:spacing w:before="0" w:after="283"/>
              <w:jc w:val="left"/>
              <w:rPr>
                <w:sz w:val="4"/>
                <w:szCs w:val="4"/>
              </w:rPr>
            </w:pPr>
            <w:r>
              <w:rPr>
                <w:sz w:val="4"/>
                <w:szCs w:val="4"/>
              </w:rPr>
            </w:r>
          </w:p>
        </w:tc>
        <w:tc>
          <w:tcPr>
            <w:tcW w:w="514" w:type="dxa"/>
            <w:tcBorders/>
            <w:vAlign w:val="center"/>
          </w:tcPr>
          <w:p>
            <w:pPr>
              <w:pStyle w:val="TableContents"/>
              <w:bidi w:val="0"/>
              <w:spacing w:before="0" w:after="283"/>
              <w:jc w:val="left"/>
              <w:rPr>
                <w:sz w:val="4"/>
                <w:szCs w:val="4"/>
              </w:rPr>
            </w:pPr>
            <w:r>
              <w:rPr>
                <w:sz w:val="4"/>
                <w:szCs w:val="4"/>
              </w:rPr>
            </w:r>
          </w:p>
        </w:tc>
        <w:tc>
          <w:tcPr>
            <w:tcW w:w="514" w:type="dxa"/>
            <w:tcBorders/>
            <w:vAlign w:val="center"/>
          </w:tcPr>
          <w:p>
            <w:pPr>
              <w:pStyle w:val="TableContents"/>
              <w:bidi w:val="0"/>
              <w:spacing w:before="0" w:after="283"/>
              <w:jc w:val="left"/>
              <w:rPr>
                <w:sz w:val="4"/>
                <w:szCs w:val="4"/>
              </w:rPr>
            </w:pPr>
            <w:r>
              <w:rPr>
                <w:sz w:val="4"/>
                <w:szCs w:val="4"/>
              </w:rPr>
            </w:r>
          </w:p>
        </w:tc>
        <w:tc>
          <w:tcPr>
            <w:tcW w:w="735" w:type="dxa"/>
            <w:tcBorders/>
            <w:vAlign w:val="center"/>
          </w:tcPr>
          <w:p>
            <w:pPr>
              <w:pStyle w:val="TableContents"/>
              <w:bidi w:val="0"/>
              <w:spacing w:before="0" w:after="283"/>
              <w:jc w:val="left"/>
              <w:rPr>
                <w:sz w:val="4"/>
                <w:szCs w:val="4"/>
              </w:rPr>
            </w:pPr>
            <w:r>
              <w:rPr>
                <w:sz w:val="4"/>
                <w:szCs w:val="4"/>
              </w:rPr>
            </w:r>
          </w:p>
        </w:tc>
      </w:tr>
      <w:tr>
        <w:trPr/>
        <w:tc>
          <w:tcPr>
            <w:tcW w:w="1590" w:type="dxa"/>
            <w:gridSpan w:val="3"/>
            <w:tcBorders/>
            <w:shd w:fill="F44238" w:val="clear"/>
            <w:tcMar>
              <w:top w:w="0" w:type="dxa"/>
              <w:left w:w="0" w:type="dxa"/>
              <w:bottom w:w="0" w:type="dxa"/>
              <w:right w:w="0" w:type="dxa"/>
            </w:tcMar>
            <w:vAlign w:val="center"/>
          </w:tcPr>
          <w:p>
            <w:pPr>
              <w:pStyle w:val="TableContents"/>
              <w:bidi w:val="0"/>
              <w:spacing w:lineRule="auto" w:line="268" w:before="0" w:after="0"/>
              <w:jc w:val="center"/>
              <w:rPr>
                <w:rFonts w:ascii="Lato;sans-serif" w:hAnsi="Lato;sans-serif"/>
                <w:b/>
                <w:color w:val="FFFFFF"/>
                <w:sz w:val="20"/>
              </w:rPr>
            </w:pPr>
            <w:r>
              <w:rPr>
                <w:rFonts w:ascii="Lato;sans-serif" w:hAnsi="Lato;sans-serif"/>
                <w:b/>
                <w:color w:val="FFFFFF"/>
                <w:sz w:val="20"/>
              </w:rPr>
              <w:t>NEO</w:t>
            </w:r>
          </w:p>
        </w:tc>
        <w:tc>
          <w:tcPr>
            <w:tcW w:w="2557" w:type="dxa"/>
            <w:gridSpan w:val="3"/>
            <w:tcBorders/>
            <w:shd w:fill="F44238" w:val="clear"/>
            <w:tcMar>
              <w:top w:w="0" w:type="dxa"/>
              <w:left w:w="0" w:type="dxa"/>
              <w:bottom w:w="0" w:type="dxa"/>
              <w:right w:w="0" w:type="dxa"/>
            </w:tcMar>
            <w:vAlign w:val="center"/>
          </w:tcPr>
          <w:p>
            <w:pPr>
              <w:pStyle w:val="TableContents"/>
              <w:bidi w:val="0"/>
              <w:spacing w:lineRule="auto" w:line="268" w:before="0" w:after="0"/>
              <w:jc w:val="center"/>
              <w:rPr>
                <w:rFonts w:ascii="Lato;sans-serif" w:hAnsi="Lato;sans-serif"/>
                <w:b/>
                <w:color w:val="FFFFFF"/>
                <w:sz w:val="20"/>
              </w:rPr>
            </w:pPr>
            <w:r>
              <w:rPr>
                <w:rFonts w:ascii="Lato;sans-serif" w:hAnsi="Lato;sans-serif"/>
                <w:b/>
                <w:color w:val="FFFFFF"/>
                <w:sz w:val="20"/>
              </w:rPr>
              <w:t>Job Title</w:t>
            </w:r>
          </w:p>
        </w:tc>
        <w:tc>
          <w:tcPr>
            <w:tcW w:w="1889" w:type="dxa"/>
            <w:gridSpan w:val="3"/>
            <w:tcBorders/>
            <w:shd w:fill="F44238" w:val="clear"/>
            <w:tcMar>
              <w:top w:w="0" w:type="dxa"/>
              <w:left w:w="0" w:type="dxa"/>
              <w:bottom w:w="0" w:type="dxa"/>
              <w:right w:w="0" w:type="dxa"/>
            </w:tcMar>
            <w:vAlign w:val="center"/>
          </w:tcPr>
          <w:p>
            <w:pPr>
              <w:pStyle w:val="TableContents"/>
              <w:bidi w:val="0"/>
              <w:spacing w:lineRule="auto" w:line="268" w:before="0" w:after="0"/>
              <w:jc w:val="center"/>
              <w:rPr>
                <w:rFonts w:ascii="Lato;sans-serif" w:hAnsi="Lato;sans-serif"/>
                <w:b/>
                <w:color w:val="FFFFFF"/>
                <w:sz w:val="20"/>
              </w:rPr>
            </w:pPr>
            <w:r>
              <w:rPr>
                <w:rFonts w:ascii="Lato;sans-serif" w:hAnsi="Lato;sans-serif"/>
                <w:b/>
                <w:color w:val="FFFFFF"/>
                <w:sz w:val="20"/>
              </w:rPr>
              <w:t>Total FCFps PSUs Awarded</w:t>
            </w:r>
          </w:p>
        </w:tc>
        <w:tc>
          <w:tcPr>
            <w:tcW w:w="2406" w:type="dxa"/>
            <w:gridSpan w:val="3"/>
            <w:tcBorders/>
            <w:shd w:fill="F44238" w:val="clear"/>
            <w:tcMar>
              <w:top w:w="0" w:type="dxa"/>
              <w:left w:w="0" w:type="dxa"/>
              <w:bottom w:w="0" w:type="dxa"/>
              <w:right w:w="0" w:type="dxa"/>
            </w:tcMar>
            <w:vAlign w:val="center"/>
          </w:tcPr>
          <w:p>
            <w:pPr>
              <w:pStyle w:val="TableContents"/>
              <w:bidi w:val="0"/>
              <w:spacing w:lineRule="auto" w:line="268" w:before="0" w:after="0"/>
              <w:jc w:val="center"/>
              <w:rPr/>
            </w:pPr>
            <w:r>
              <w:rPr>
                <w:rFonts w:ascii="Lato;sans-serif" w:hAnsi="Lato;sans-serif"/>
                <w:b/>
                <w:color w:val="FFFFFF"/>
                <w:sz w:val="20"/>
              </w:rPr>
              <w:t>Target FCFps PSUs 2025 (33</w:t>
            </w:r>
            <w:r>
              <w:rPr>
                <w:rFonts w:ascii="Lato;sans-serif" w:hAnsi="Lato;sans-serif"/>
                <w:b/>
                <w:color w:val="FFFFFF"/>
                <w:sz w:val="13"/>
              </w:rPr>
              <w:t>1/3</w:t>
            </w:r>
            <w:r>
              <w:rPr>
                <w:rFonts w:ascii="Lato;sans-serif" w:hAnsi="Lato;sans-serif"/>
                <w:b/>
                <w:color w:val="FFFFFF"/>
                <w:sz w:val="20"/>
              </w:rPr>
              <w:t>% of Total)</w:t>
            </w:r>
          </w:p>
        </w:tc>
        <w:tc>
          <w:tcPr>
            <w:tcW w:w="1763" w:type="dxa"/>
            <w:gridSpan w:val="3"/>
            <w:tcBorders/>
            <w:shd w:fill="F44238" w:val="clear"/>
            <w:tcMar>
              <w:top w:w="0" w:type="dxa"/>
              <w:left w:w="0" w:type="dxa"/>
              <w:bottom w:w="0" w:type="dxa"/>
              <w:right w:w="0" w:type="dxa"/>
            </w:tcMar>
            <w:vAlign w:val="center"/>
          </w:tcPr>
          <w:p>
            <w:pPr>
              <w:pStyle w:val="TableContents"/>
              <w:bidi w:val="0"/>
              <w:spacing w:lineRule="auto" w:line="268" w:before="0" w:after="0"/>
              <w:jc w:val="center"/>
              <w:rPr>
                <w:color w:val="FFFFFF"/>
              </w:rPr>
            </w:pPr>
            <w:r>
              <w:rPr>
                <w:color w:val="FFFFFF"/>
              </w:rPr>
              <w:t> </w:t>
            </w:r>
            <w:r>
              <w:rPr>
                <w:rFonts w:ascii="Lato;sans-serif" w:hAnsi="Lato;sans-serif"/>
                <w:b/>
                <w:color w:val="FFFFFF"/>
                <w:sz w:val="20"/>
              </w:rPr>
              <w:t>2025 FCFps PSUs Earned</w:t>
            </w:r>
          </w:p>
        </w:tc>
      </w:tr>
      <w:tr>
        <w:trPr/>
        <w:tc>
          <w:tcPr>
            <w:tcW w:w="1590" w:type="dxa"/>
            <w:gridSpan w:val="3"/>
            <w:tcBorders>
              <w:top w:val="single" w:sz="4" w:space="0" w:color="000000"/>
            </w:tcBorders>
            <w:shd w:fill="DBDBDB" w:val="clear"/>
            <w:tcMar>
              <w:top w:w="30" w:type="dxa"/>
              <w:left w:w="0" w:type="dxa"/>
              <w:bottom w:w="0" w:type="dxa"/>
              <w:right w:w="0" w:type="dxa"/>
            </w:tcMar>
            <w:vAlign w:val="center"/>
          </w:tcPr>
          <w:p>
            <w:pPr>
              <w:pStyle w:val="TableContents"/>
              <w:bidi w:val="0"/>
              <w:spacing w:lineRule="auto" w:line="240" w:before="0" w:after="0"/>
              <w:jc w:val="left"/>
              <w:rPr>
                <w:rFonts w:ascii="Lato;sans-serif" w:hAnsi="Lato;sans-serif"/>
                <w:b w:val="false"/>
                <w:color w:val="000000"/>
                <w:sz w:val="20"/>
              </w:rPr>
            </w:pPr>
            <w:r>
              <w:rPr>
                <w:rFonts w:ascii="Lato;sans-serif" w:hAnsi="Lato;sans-serif"/>
                <w:b w:val="false"/>
                <w:color w:val="000000"/>
                <w:sz w:val="20"/>
              </w:rPr>
              <w:t>Michael Graham O’Brien</w:t>
            </w:r>
          </w:p>
        </w:tc>
        <w:tc>
          <w:tcPr>
            <w:tcW w:w="2557" w:type="dxa"/>
            <w:gridSpan w:val="3"/>
            <w:tcBorders>
              <w:top w:val="single" w:sz="4" w:space="0" w:color="000000"/>
            </w:tcBorders>
            <w:shd w:fill="DBDBDB" w:val="clear"/>
            <w:tcMar>
              <w:top w:w="30" w:type="dxa"/>
              <w:left w:w="0" w:type="dxa"/>
              <w:bottom w:w="0" w:type="dxa"/>
              <w:right w:w="0" w:type="dxa"/>
            </w:tcMar>
            <w:vAlign w:val="center"/>
          </w:tcPr>
          <w:p>
            <w:pPr>
              <w:pStyle w:val="TableContents"/>
              <w:bidi w:val="0"/>
              <w:spacing w:lineRule="auto" w:line="268" w:before="0" w:after="283"/>
              <w:jc w:val="center"/>
              <w:rPr>
                <w:rFonts w:ascii="Lato;sans-serif" w:hAnsi="Lato;sans-serif"/>
                <w:b w:val="false"/>
                <w:color w:val="000000"/>
                <w:sz w:val="20"/>
              </w:rPr>
            </w:pPr>
            <w:r>
              <w:rPr>
                <w:rFonts w:ascii="Lato;sans-serif" w:hAnsi="Lato;sans-serif"/>
                <w:b w:val="false"/>
                <w:color w:val="000000"/>
                <w:sz w:val="20"/>
              </w:rPr>
              <w:t>Chief Financial Officer</w:t>
            </w:r>
          </w:p>
        </w:tc>
        <w:tc>
          <w:tcPr>
            <w:tcW w:w="1889" w:type="dxa"/>
            <w:gridSpan w:val="3"/>
            <w:tcBorders>
              <w:top w:val="single" w:sz="4" w:space="0" w:color="000000"/>
            </w:tcBorders>
            <w:shd w:fill="DBDBDB" w:val="clear"/>
            <w:tcMar>
              <w:top w:w="30" w:type="dxa"/>
              <w:left w:w="0" w:type="dxa"/>
              <w:bottom w:w="0" w:type="dxa"/>
              <w:right w:w="0" w:type="dxa"/>
            </w:tcMar>
            <w:vAlign w:val="center"/>
          </w:tcPr>
          <w:p>
            <w:pPr>
              <w:pStyle w:val="TableContents"/>
              <w:bidi w:val="0"/>
              <w:spacing w:lineRule="auto" w:line="268" w:before="0" w:after="283"/>
              <w:jc w:val="center"/>
              <w:rPr>
                <w:rFonts w:ascii="Lato;sans-serif" w:hAnsi="Lato;sans-serif"/>
                <w:b w:val="false"/>
                <w:color w:val="000000"/>
                <w:sz w:val="20"/>
              </w:rPr>
            </w:pPr>
            <w:r>
              <w:rPr>
                <w:rFonts w:ascii="Lato;sans-serif" w:hAnsi="Lato;sans-serif"/>
                <w:b w:val="false"/>
                <w:color w:val="000000"/>
                <w:sz w:val="20"/>
              </w:rPr>
              <w:t>221,405</w:t>
            </w:r>
          </w:p>
        </w:tc>
        <w:tc>
          <w:tcPr>
            <w:tcW w:w="2406" w:type="dxa"/>
            <w:gridSpan w:val="3"/>
            <w:tcBorders>
              <w:top w:val="single" w:sz="4" w:space="0" w:color="000000"/>
            </w:tcBorders>
            <w:shd w:fill="DBDBDB" w:val="clear"/>
            <w:tcMar>
              <w:top w:w="30" w:type="dxa"/>
              <w:left w:w="0" w:type="dxa"/>
              <w:bottom w:w="0" w:type="dxa"/>
              <w:right w:w="0" w:type="dxa"/>
            </w:tcMar>
            <w:vAlign w:val="center"/>
          </w:tcPr>
          <w:p>
            <w:pPr>
              <w:pStyle w:val="TableContents"/>
              <w:bidi w:val="0"/>
              <w:spacing w:lineRule="auto" w:line="268" w:before="0" w:after="283"/>
              <w:jc w:val="center"/>
              <w:rPr>
                <w:rFonts w:ascii="Lato;sans-serif" w:hAnsi="Lato;sans-serif"/>
                <w:b w:val="false"/>
                <w:color w:val="000000"/>
                <w:sz w:val="20"/>
              </w:rPr>
            </w:pPr>
            <w:r>
              <w:rPr>
                <w:rFonts w:ascii="Lato;sans-serif" w:hAnsi="Lato;sans-serif"/>
                <w:b w:val="false"/>
                <w:color w:val="000000"/>
                <w:sz w:val="20"/>
              </w:rPr>
              <w:t>73,802</w:t>
            </w:r>
          </w:p>
        </w:tc>
        <w:tc>
          <w:tcPr>
            <w:tcW w:w="1763" w:type="dxa"/>
            <w:gridSpan w:val="3"/>
            <w:tcBorders>
              <w:top w:val="single" w:sz="4" w:space="0" w:color="000000"/>
            </w:tcBorders>
            <w:shd w:fill="DBDBDB" w:val="clear"/>
            <w:tcMar>
              <w:top w:w="30" w:type="dxa"/>
              <w:left w:w="0" w:type="dxa"/>
              <w:bottom w:w="0" w:type="dxa"/>
              <w:right w:w="0" w:type="dxa"/>
            </w:tcMar>
            <w:vAlign w:val="center"/>
          </w:tcPr>
          <w:p>
            <w:pPr>
              <w:pStyle w:val="TableContents"/>
              <w:bidi w:val="0"/>
              <w:spacing w:lineRule="auto" w:line="268" w:before="0" w:after="283"/>
              <w:jc w:val="center"/>
              <w:rPr>
                <w:rFonts w:ascii="Lato;sans-serif" w:hAnsi="Lato;sans-serif"/>
                <w:b w:val="false"/>
                <w:color w:val="000000"/>
                <w:sz w:val="20"/>
              </w:rPr>
            </w:pPr>
            <w:r>
              <w:rPr>
                <w:rFonts w:ascii="Lato;sans-serif" w:hAnsi="Lato;sans-serif"/>
                <w:b w:val="false"/>
                <w:color w:val="000000"/>
                <w:sz w:val="20"/>
              </w:rPr>
              <w:t>98,155</w:t>
            </w:r>
          </w:p>
        </w:tc>
      </w:tr>
      <w:tr>
        <w:trPr/>
        <w:tc>
          <w:tcPr>
            <w:tcW w:w="159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Lato;sans-serif" w:hAnsi="Lato;sans-serif"/>
                <w:b w:val="false"/>
                <w:color w:val="000000"/>
                <w:sz w:val="20"/>
              </w:rPr>
            </w:pPr>
            <w:r>
              <w:rPr>
                <w:rFonts w:ascii="Lato;sans-serif" w:hAnsi="Lato;sans-serif"/>
                <w:b w:val="false"/>
                <w:color w:val="000000"/>
                <w:sz w:val="20"/>
              </w:rPr>
              <w:t>James Roth</w:t>
            </w:r>
          </w:p>
        </w:tc>
        <w:tc>
          <w:tcPr>
            <w:tcW w:w="2557"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Lato;sans-serif" w:hAnsi="Lato;sans-serif"/>
                <w:b w:val="false"/>
                <w:color w:val="000000"/>
                <w:sz w:val="20"/>
              </w:rPr>
            </w:pPr>
            <w:r>
              <w:rPr>
                <w:rFonts w:ascii="Lato;sans-serif" w:hAnsi="Lato;sans-serif"/>
                <w:b w:val="false"/>
                <w:color w:val="000000"/>
                <w:sz w:val="20"/>
              </w:rPr>
              <w:t>Chief Revenue Officer</w:t>
            </w:r>
          </w:p>
        </w:tc>
        <w:tc>
          <w:tcPr>
            <w:tcW w:w="1889"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Lato;sans-serif" w:hAnsi="Lato;sans-serif"/>
                <w:b w:val="false"/>
                <w:color w:val="000000"/>
                <w:sz w:val="20"/>
              </w:rPr>
            </w:pPr>
            <w:r>
              <w:rPr>
                <w:rFonts w:ascii="Lato;sans-serif" w:hAnsi="Lato;sans-serif"/>
                <w:b w:val="false"/>
                <w:color w:val="000000"/>
                <w:sz w:val="20"/>
              </w:rPr>
              <w:t>172,500</w:t>
            </w:r>
          </w:p>
        </w:tc>
        <w:tc>
          <w:tcPr>
            <w:tcW w:w="2406"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Lato;sans-serif" w:hAnsi="Lato;sans-serif"/>
                <w:b w:val="false"/>
                <w:color w:val="000000"/>
                <w:sz w:val="20"/>
              </w:rPr>
            </w:pPr>
            <w:r>
              <w:rPr>
                <w:rFonts w:ascii="Lato;sans-serif" w:hAnsi="Lato;sans-serif"/>
                <w:b w:val="false"/>
                <w:color w:val="000000"/>
                <w:sz w:val="20"/>
              </w:rPr>
              <w:t>57,500</w:t>
            </w:r>
          </w:p>
        </w:tc>
        <w:tc>
          <w:tcPr>
            <w:tcW w:w="1763"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Lato;sans-serif" w:hAnsi="Lato;sans-serif"/>
                <w:b w:val="false"/>
                <w:color w:val="000000"/>
                <w:sz w:val="20"/>
              </w:rPr>
            </w:pPr>
            <w:r>
              <w:rPr>
                <w:rFonts w:ascii="Lato;sans-serif" w:hAnsi="Lato;sans-serif"/>
                <w:b w:val="false"/>
                <w:color w:val="000000"/>
                <w:sz w:val="20"/>
              </w:rPr>
              <w:t>76,475</w:t>
            </w:r>
          </w:p>
        </w:tc>
      </w:tr>
      <w:tr>
        <w:trPr/>
        <w:tc>
          <w:tcPr>
            <w:tcW w:w="1590" w:type="dxa"/>
            <w:gridSpan w:val="3"/>
            <w:tcBorders/>
            <w:shd w:fill="DBDBDB" w:val="clear"/>
            <w:tcMar>
              <w:top w:w="0" w:type="dxa"/>
              <w:left w:w="0" w:type="dxa"/>
              <w:bottom w:w="0" w:type="dxa"/>
              <w:right w:w="0" w:type="dxa"/>
            </w:tcMar>
            <w:vAlign w:val="center"/>
          </w:tcPr>
          <w:p>
            <w:pPr>
              <w:pStyle w:val="TableContents"/>
              <w:bidi w:val="0"/>
              <w:spacing w:lineRule="auto" w:line="240" w:before="0" w:after="0"/>
              <w:jc w:val="left"/>
              <w:rPr>
                <w:rFonts w:ascii="Lato;sans-serif" w:hAnsi="Lato;sans-serif"/>
                <w:b w:val="false"/>
                <w:color w:val="000000"/>
                <w:sz w:val="20"/>
              </w:rPr>
            </w:pPr>
            <w:r>
              <w:rPr>
                <w:rFonts w:ascii="Lato;sans-serif" w:hAnsi="Lato;sans-serif"/>
                <w:b w:val="false"/>
                <w:color w:val="000000"/>
                <w:sz w:val="20"/>
              </w:rPr>
              <w:t>Ashley McGrane</w:t>
            </w:r>
          </w:p>
        </w:tc>
        <w:tc>
          <w:tcPr>
            <w:tcW w:w="2557" w:type="dxa"/>
            <w:gridSpan w:val="3"/>
            <w:tcBorders/>
            <w:shd w:fill="DBDBDB" w:val="clear"/>
            <w:tcMar>
              <w:top w:w="0" w:type="dxa"/>
              <w:left w:w="0" w:type="dxa"/>
              <w:bottom w:w="0" w:type="dxa"/>
              <w:right w:w="0" w:type="dxa"/>
            </w:tcMar>
            <w:vAlign w:val="center"/>
          </w:tcPr>
          <w:p>
            <w:pPr>
              <w:pStyle w:val="TableContents"/>
              <w:bidi w:val="0"/>
              <w:spacing w:lineRule="auto" w:line="268" w:before="0" w:after="283"/>
              <w:jc w:val="center"/>
              <w:rPr>
                <w:rFonts w:ascii="Lato;sans-serif" w:hAnsi="Lato;sans-serif"/>
                <w:b w:val="false"/>
                <w:color w:val="000000"/>
                <w:sz w:val="20"/>
              </w:rPr>
            </w:pPr>
            <w:r>
              <w:rPr>
                <w:rFonts w:ascii="Lato;sans-serif" w:hAnsi="Lato;sans-serif"/>
                <w:b w:val="false"/>
                <w:color w:val="000000"/>
                <w:sz w:val="20"/>
              </w:rPr>
              <w:t>EVP, General Counsel &amp; Corporate Secretary</w:t>
            </w:r>
          </w:p>
        </w:tc>
        <w:tc>
          <w:tcPr>
            <w:tcW w:w="1889" w:type="dxa"/>
            <w:gridSpan w:val="3"/>
            <w:tcBorders/>
            <w:shd w:fill="DBDBDB" w:val="clear"/>
            <w:tcMar>
              <w:top w:w="0" w:type="dxa"/>
              <w:left w:w="0" w:type="dxa"/>
              <w:bottom w:w="0" w:type="dxa"/>
              <w:right w:w="0" w:type="dxa"/>
            </w:tcMar>
            <w:vAlign w:val="center"/>
          </w:tcPr>
          <w:p>
            <w:pPr>
              <w:pStyle w:val="TableContents"/>
              <w:bidi w:val="0"/>
              <w:spacing w:lineRule="auto" w:line="268" w:before="0" w:after="283"/>
              <w:jc w:val="center"/>
              <w:rPr>
                <w:rFonts w:ascii="Lato;sans-serif" w:hAnsi="Lato;sans-serif"/>
                <w:b w:val="false"/>
                <w:color w:val="000000"/>
                <w:sz w:val="20"/>
              </w:rPr>
            </w:pPr>
            <w:r>
              <w:rPr>
                <w:rFonts w:ascii="Lato;sans-serif" w:hAnsi="Lato;sans-serif"/>
                <w:b w:val="false"/>
                <w:color w:val="000000"/>
                <w:sz w:val="20"/>
              </w:rPr>
              <w:t>70,000</w:t>
            </w:r>
          </w:p>
        </w:tc>
        <w:tc>
          <w:tcPr>
            <w:tcW w:w="2406" w:type="dxa"/>
            <w:gridSpan w:val="3"/>
            <w:tcBorders/>
            <w:shd w:fill="DBDBDB" w:val="clear"/>
            <w:tcMar>
              <w:top w:w="0" w:type="dxa"/>
              <w:left w:w="0" w:type="dxa"/>
              <w:bottom w:w="0" w:type="dxa"/>
              <w:right w:w="0" w:type="dxa"/>
            </w:tcMar>
            <w:vAlign w:val="center"/>
          </w:tcPr>
          <w:p>
            <w:pPr>
              <w:pStyle w:val="TableContents"/>
              <w:bidi w:val="0"/>
              <w:spacing w:lineRule="auto" w:line="268" w:before="0" w:after="283"/>
              <w:jc w:val="center"/>
              <w:rPr>
                <w:rFonts w:ascii="Lato;sans-serif" w:hAnsi="Lato;sans-serif"/>
                <w:b w:val="false"/>
                <w:color w:val="000000"/>
                <w:sz w:val="20"/>
              </w:rPr>
            </w:pPr>
            <w:r>
              <w:rPr>
                <w:rFonts w:ascii="Lato;sans-serif" w:hAnsi="Lato;sans-serif"/>
                <w:b w:val="false"/>
                <w:color w:val="000000"/>
                <w:sz w:val="20"/>
              </w:rPr>
              <w:t>23,333</w:t>
            </w:r>
          </w:p>
        </w:tc>
        <w:tc>
          <w:tcPr>
            <w:tcW w:w="1763" w:type="dxa"/>
            <w:gridSpan w:val="3"/>
            <w:tcBorders/>
            <w:shd w:fill="DBDBDB" w:val="clear"/>
            <w:tcMar>
              <w:top w:w="0" w:type="dxa"/>
              <w:left w:w="0" w:type="dxa"/>
              <w:bottom w:w="0" w:type="dxa"/>
              <w:right w:w="0" w:type="dxa"/>
            </w:tcMar>
            <w:vAlign w:val="center"/>
          </w:tcPr>
          <w:p>
            <w:pPr>
              <w:pStyle w:val="TableContents"/>
              <w:bidi w:val="0"/>
              <w:spacing w:lineRule="auto" w:line="268" w:before="0" w:after="283"/>
              <w:jc w:val="center"/>
              <w:rPr>
                <w:rFonts w:ascii="Lato;sans-serif" w:hAnsi="Lato;sans-serif"/>
                <w:b w:val="false"/>
                <w:color w:val="000000"/>
                <w:sz w:val="20"/>
              </w:rPr>
            </w:pPr>
            <w:r>
              <w:rPr>
                <w:rFonts w:ascii="Lato;sans-serif" w:hAnsi="Lato;sans-serif"/>
                <w:b w:val="false"/>
                <w:color w:val="000000"/>
                <w:sz w:val="20"/>
              </w:rPr>
              <w:t>31,033</w:t>
            </w:r>
          </w:p>
        </w:tc>
      </w:tr>
    </w:tbl>
    <w:p>
      <w:pPr>
        <w:pStyle w:val="TextBody"/>
        <w:bidi w:val="0"/>
        <w:spacing w:lineRule="auto" w:line="288" w:before="300" w:after="180"/>
        <w:jc w:val="both"/>
        <w:rPr>
          <w:rFonts w:ascii="Lato;sans-serif" w:hAnsi="Lato;sans-serif"/>
          <w:b w:val="false"/>
          <w:i/>
          <w:color w:val="000000"/>
          <w:sz w:val="20"/>
        </w:rPr>
      </w:pPr>
      <w:r>
        <w:rPr>
          <w:rFonts w:ascii="Lato;sans-serif" w:hAnsi="Lato;sans-serif"/>
          <w:b w:val="false"/>
          <w:i/>
          <w:color w:val="000000"/>
          <w:sz w:val="20"/>
        </w:rPr>
        <w:t>Free Cash Flow Per Share (FCFps) PSUs Awarded in 2024</w:t>
      </w:r>
    </w:p>
    <w:p>
      <w:pPr>
        <w:pStyle w:val="TextBody"/>
        <w:bidi w:val="0"/>
        <w:spacing w:lineRule="auto" w:line="288" w:before="0" w:after="180"/>
        <w:jc w:val="both"/>
        <w:rPr>
          <w:rFonts w:ascii="Lato;sans-serif" w:hAnsi="Lato;sans-serif"/>
          <w:b w:val="false"/>
          <w:color w:val="000000"/>
          <w:sz w:val="20"/>
        </w:rPr>
      </w:pPr>
      <w:r>
        <w:rPr>
          <w:rFonts w:ascii="Lato;sans-serif" w:hAnsi="Lato;sans-serif"/>
          <w:b w:val="false"/>
          <w:color w:val="000000"/>
          <w:sz w:val="20"/>
        </w:rPr>
        <w:t>The performance payout scale in the table below is applicable to the FCFps PSUs awarded to Mr. Schuck in 2024. None of our other current NEOs received FCFps PSUs in 2024. Performance is measured in each Performance Year (as such term is used in the following table), and the achieved vested shares are paid (or not) in three annual installments over the three-year period following the end of each Performance Year subject to the Compensation Committee’s determination of achievement of FCF Per Share (as defined in the table below), based on the Company’s financial results. Target shares were allocated as follows:</w:t>
      </w:r>
    </w:p>
    <w:p>
      <w:pPr>
        <w:pStyle w:val="TextBody"/>
        <w:bidi w:val="0"/>
        <w:spacing w:lineRule="auto" w:line="288" w:before="0" w:after="0"/>
        <w:ind w:left="0" w:right="0" w:hanging="360"/>
        <w:jc w:val="both"/>
        <w:rPr/>
      </w:pPr>
      <w:r>
        <w:rPr>
          <w:color w:val="000000"/>
        </w:rPr>
        <w:t>•</w:t>
      </w:r>
      <w:r>
        <w:rPr>
          <w:rFonts w:ascii="Lato;sans-serif" w:hAnsi="Lato;sans-serif"/>
          <w:b w:val="false"/>
          <w:color w:val="000000"/>
          <w:sz w:val="20"/>
        </w:rPr>
        <w:t>2024 Performance Year: 20% of Target Shares (as disclosed in our Proxy Statement filed in March 2025, the attainment level for the first performance period was 97%)</w:t>
      </w:r>
    </w:p>
    <w:p>
      <w:pPr>
        <w:pStyle w:val="TextBody"/>
        <w:bidi w:val="0"/>
        <w:spacing w:lineRule="auto" w:line="288" w:before="0" w:after="0"/>
        <w:ind w:left="0" w:right="0" w:hanging="360"/>
        <w:jc w:val="left"/>
        <w:rPr/>
      </w:pPr>
      <w:r>
        <w:rPr>
          <w:color w:val="000000"/>
        </w:rPr>
        <w:t>•</w:t>
      </w:r>
      <w:r>
        <w:rPr>
          <w:rFonts w:ascii="Lato;sans-serif" w:hAnsi="Lato;sans-serif"/>
          <w:b w:val="false"/>
          <w:color w:val="000000"/>
          <w:sz w:val="20"/>
        </w:rPr>
        <w:t>2025 Performance Year: 30% of Target Shares</w:t>
      </w:r>
    </w:p>
    <w:p>
      <w:pPr>
        <w:pStyle w:val="TextBody"/>
        <w:bidi w:val="0"/>
        <w:spacing w:lineRule="auto" w:line="288" w:before="0" w:after="180"/>
        <w:ind w:left="0" w:right="0" w:hanging="360"/>
        <w:jc w:val="left"/>
        <w:rPr/>
      </w:pPr>
      <w:r>
        <w:rPr>
          <w:color w:val="000000"/>
        </w:rPr>
        <w:t>•</w:t>
      </w:r>
      <w:r>
        <w:rPr>
          <w:rFonts w:ascii="Lato;sans-serif" w:hAnsi="Lato;sans-serif"/>
          <w:b w:val="false"/>
          <w:color w:val="000000"/>
          <w:sz w:val="20"/>
        </w:rPr>
        <w:t>2026 Performance Year: 50% of Target Shares</w:t>
      </w:r>
    </w:p>
    <w:p>
      <w:pPr>
        <w:pStyle w:val="TextBody"/>
        <w:bidi w:val="0"/>
        <w:spacing w:lineRule="auto" w:line="288" w:before="0" w:after="180"/>
        <w:jc w:val="both"/>
        <w:rPr>
          <w:rFonts w:ascii="Lato;sans-serif" w:hAnsi="Lato;sans-serif"/>
          <w:b w:val="false"/>
          <w:color w:val="000000"/>
          <w:sz w:val="20"/>
        </w:rPr>
      </w:pPr>
      <w:r>
        <w:rPr>
          <w:rFonts w:ascii="Lato;sans-serif" w:hAnsi="Lato;sans-serif"/>
          <w:b w:val="false"/>
          <w:color w:val="000000"/>
          <w:sz w:val="20"/>
        </w:rPr>
        <w:t>In determining FCF Per Share achievement for the 2025 Performance Year for the Company’s PSUs awarded in 2024, the Compensation Committee began with GAAP operating cash flow and subtracted GAAP capital expenditures. To calculate FCF Per Share for the FCFps PSUs awarded in 2024, the Compensation Committee divided the adjusted FCF by the weighted-average shares outstanding (adjusted for share repurchases), which resulted in $1.08 FCF Per Share. Because $1.08 lies between the established target of $1.07 and the maximum of $1.13, as shown in the table below, a linear interpolation yielded a final payout level of 108% for this metric.</w:t>
      </w:r>
    </w:p>
    <w:tbl>
      <w:tblPr>
        <w:tblW w:w="10205" w:type="dxa"/>
        <w:jc w:val="left"/>
        <w:tblInd w:w="0" w:type="dxa"/>
        <w:tblLayout w:type="fixed"/>
        <w:tblCellMar>
          <w:top w:w="28" w:type="dxa"/>
          <w:left w:w="28" w:type="dxa"/>
          <w:bottom w:w="28" w:type="dxa"/>
          <w:right w:w="28" w:type="dxa"/>
        </w:tblCellMar>
      </w:tblPr>
      <w:tblGrid>
        <w:gridCol w:w="1742"/>
        <w:gridCol w:w="1522"/>
        <w:gridCol w:w="1528"/>
        <w:gridCol w:w="567"/>
        <w:gridCol w:w="556"/>
        <w:gridCol w:w="500"/>
        <w:gridCol w:w="1088"/>
        <w:gridCol w:w="1088"/>
        <w:gridCol w:w="1614"/>
      </w:tblGrid>
      <w:tr>
        <w:trPr/>
        <w:tc>
          <w:tcPr>
            <w:tcW w:w="1742" w:type="dxa"/>
            <w:tcBorders/>
            <w:vAlign w:val="center"/>
          </w:tcPr>
          <w:p>
            <w:pPr>
              <w:pStyle w:val="TableContents"/>
              <w:bidi w:val="0"/>
              <w:spacing w:before="0" w:after="283"/>
              <w:jc w:val="left"/>
              <w:rPr>
                <w:sz w:val="4"/>
                <w:szCs w:val="4"/>
              </w:rPr>
            </w:pPr>
            <w:r>
              <w:rPr>
                <w:sz w:val="4"/>
                <w:szCs w:val="4"/>
              </w:rPr>
            </w:r>
          </w:p>
        </w:tc>
        <w:tc>
          <w:tcPr>
            <w:tcW w:w="1522" w:type="dxa"/>
            <w:tcBorders/>
            <w:vAlign w:val="center"/>
          </w:tcPr>
          <w:p>
            <w:pPr>
              <w:pStyle w:val="TableContents"/>
              <w:bidi w:val="0"/>
              <w:spacing w:before="0" w:after="283"/>
              <w:jc w:val="left"/>
              <w:rPr>
                <w:sz w:val="4"/>
                <w:szCs w:val="4"/>
              </w:rPr>
            </w:pPr>
            <w:r>
              <w:rPr>
                <w:sz w:val="4"/>
                <w:szCs w:val="4"/>
              </w:rPr>
            </w:r>
          </w:p>
        </w:tc>
        <w:tc>
          <w:tcPr>
            <w:tcW w:w="1528" w:type="dxa"/>
            <w:tcBorders/>
            <w:vAlign w:val="center"/>
          </w:tcPr>
          <w:p>
            <w:pPr>
              <w:pStyle w:val="TableContents"/>
              <w:bidi w:val="0"/>
              <w:spacing w:before="0" w:after="283"/>
              <w:jc w:val="left"/>
              <w:rPr>
                <w:sz w:val="4"/>
                <w:szCs w:val="4"/>
              </w:rPr>
            </w:pPr>
            <w:r>
              <w:rPr>
                <w:sz w:val="4"/>
                <w:szCs w:val="4"/>
              </w:rPr>
            </w:r>
          </w:p>
        </w:tc>
        <w:tc>
          <w:tcPr>
            <w:tcW w:w="567"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sz w:val="4"/>
                <w:szCs w:val="4"/>
              </w:rPr>
            </w:pPr>
            <w:r>
              <w:rPr>
                <w:sz w:val="4"/>
                <w:szCs w:val="4"/>
              </w:rPr>
            </w:r>
          </w:p>
        </w:tc>
        <w:tc>
          <w:tcPr>
            <w:tcW w:w="1088" w:type="dxa"/>
            <w:tcBorders/>
            <w:vAlign w:val="center"/>
          </w:tcPr>
          <w:p>
            <w:pPr>
              <w:pStyle w:val="TableContents"/>
              <w:bidi w:val="0"/>
              <w:spacing w:before="0" w:after="283"/>
              <w:jc w:val="left"/>
              <w:rPr>
                <w:sz w:val="4"/>
                <w:szCs w:val="4"/>
              </w:rPr>
            </w:pPr>
            <w:r>
              <w:rPr>
                <w:sz w:val="4"/>
                <w:szCs w:val="4"/>
              </w:rPr>
            </w:r>
          </w:p>
        </w:tc>
        <w:tc>
          <w:tcPr>
            <w:tcW w:w="1088" w:type="dxa"/>
            <w:tcBorders/>
            <w:vAlign w:val="center"/>
          </w:tcPr>
          <w:p>
            <w:pPr>
              <w:pStyle w:val="TableContents"/>
              <w:bidi w:val="0"/>
              <w:spacing w:before="0" w:after="283"/>
              <w:jc w:val="left"/>
              <w:rPr>
                <w:sz w:val="4"/>
                <w:szCs w:val="4"/>
              </w:rPr>
            </w:pPr>
            <w:r>
              <w:rPr>
                <w:sz w:val="4"/>
                <w:szCs w:val="4"/>
              </w:rPr>
            </w:r>
          </w:p>
        </w:tc>
        <w:tc>
          <w:tcPr>
            <w:tcW w:w="1614" w:type="dxa"/>
            <w:tcBorders/>
            <w:vAlign w:val="center"/>
          </w:tcPr>
          <w:p>
            <w:pPr>
              <w:pStyle w:val="TableContents"/>
              <w:bidi w:val="0"/>
              <w:spacing w:before="0" w:after="283"/>
              <w:jc w:val="left"/>
              <w:rPr>
                <w:sz w:val="4"/>
                <w:szCs w:val="4"/>
              </w:rPr>
            </w:pPr>
            <w:r>
              <w:rPr>
                <w:sz w:val="4"/>
                <w:szCs w:val="4"/>
              </w:rPr>
            </w:r>
          </w:p>
        </w:tc>
      </w:tr>
      <w:tr>
        <w:trPr/>
        <w:tc>
          <w:tcPr>
            <w:tcW w:w="10205" w:type="dxa"/>
            <w:gridSpan w:val="9"/>
            <w:tcBorders/>
            <w:shd w:fill="F44238" w:val="clear"/>
            <w:tcMar>
              <w:top w:w="0" w:type="dxa"/>
              <w:left w:w="0" w:type="dxa"/>
              <w:bottom w:w="0" w:type="dxa"/>
              <w:right w:w="0" w:type="dxa"/>
            </w:tcMar>
            <w:vAlign w:val="center"/>
          </w:tcPr>
          <w:p>
            <w:pPr>
              <w:pStyle w:val="TableContents"/>
              <w:bidi w:val="0"/>
              <w:spacing w:lineRule="auto" w:line="268" w:before="0" w:after="283"/>
              <w:jc w:val="center"/>
              <w:rPr>
                <w:rFonts w:ascii="Lato;sans-serif" w:hAnsi="Lato;sans-serif"/>
                <w:b/>
                <w:color w:val="FFFFFF"/>
                <w:sz w:val="20"/>
              </w:rPr>
            </w:pPr>
            <w:r>
              <w:rPr>
                <w:rFonts w:ascii="Lato;sans-serif" w:hAnsi="Lato;sans-serif"/>
                <w:b/>
                <w:color w:val="FFFFFF"/>
                <w:sz w:val="20"/>
              </w:rPr>
              <w:t>FCFps PSUs Awarded in 2024</w:t>
            </w:r>
          </w:p>
        </w:tc>
      </w:tr>
      <w:tr>
        <w:trPr/>
        <w:tc>
          <w:tcPr>
            <w:tcW w:w="4792" w:type="dxa"/>
            <w:gridSpan w:val="3"/>
            <w:tcBorders/>
            <w:shd w:fill="F44238" w:val="clear"/>
            <w:tcMar>
              <w:top w:w="0" w:type="dxa"/>
              <w:left w:w="0" w:type="dxa"/>
              <w:bottom w:w="0" w:type="dxa"/>
              <w:right w:w="0" w:type="dxa"/>
            </w:tcMar>
            <w:vAlign w:val="center"/>
          </w:tcPr>
          <w:p>
            <w:pPr>
              <w:pStyle w:val="TableContents"/>
              <w:bidi w:val="0"/>
              <w:spacing w:lineRule="auto" w:line="268" w:before="0" w:after="0"/>
              <w:jc w:val="center"/>
              <w:rPr>
                <w:rFonts w:ascii="Lato;sans-serif" w:hAnsi="Lato;sans-serif"/>
                <w:b/>
                <w:color w:val="FFFFFF"/>
                <w:sz w:val="20"/>
              </w:rPr>
            </w:pPr>
            <w:r>
              <w:rPr>
                <w:rFonts w:ascii="Lato;sans-serif" w:hAnsi="Lato;sans-serif"/>
                <w:b/>
                <w:color w:val="FFFFFF"/>
                <w:sz w:val="20"/>
              </w:rPr>
              <w:t>Percentage of Shares Allocated to Performance Year</w:t>
            </w:r>
          </w:p>
        </w:tc>
        <w:tc>
          <w:tcPr>
            <w:tcW w:w="1623" w:type="dxa"/>
            <w:gridSpan w:val="3"/>
            <w:tcBorders/>
            <w:shd w:fill="F44238" w:val="clear"/>
            <w:tcMar>
              <w:top w:w="0" w:type="dxa"/>
              <w:left w:w="0" w:type="dxa"/>
              <w:bottom w:w="0" w:type="dxa"/>
              <w:right w:w="0" w:type="dxa"/>
            </w:tcMar>
            <w:vAlign w:val="center"/>
          </w:tcPr>
          <w:p>
            <w:pPr>
              <w:pStyle w:val="TableContents"/>
              <w:bidi w:val="0"/>
              <w:spacing w:lineRule="auto" w:line="268" w:before="0" w:after="283"/>
              <w:jc w:val="center"/>
              <w:rPr>
                <w:rFonts w:ascii="Lato;sans-serif" w:hAnsi="Lato;sans-serif"/>
                <w:b/>
                <w:color w:val="FFFFFF"/>
                <w:sz w:val="20"/>
              </w:rPr>
            </w:pPr>
            <w:r>
              <w:rPr>
                <w:rFonts w:ascii="Lato;sans-serif" w:hAnsi="Lato;sans-serif"/>
                <w:b/>
                <w:color w:val="FFFFFF"/>
                <w:sz w:val="20"/>
              </w:rPr>
              <w:t>30%</w:t>
            </w:r>
          </w:p>
        </w:tc>
        <w:tc>
          <w:tcPr>
            <w:tcW w:w="3790" w:type="dxa"/>
            <w:gridSpan w:val="3"/>
            <w:tcBorders/>
            <w:shd w:fill="F4423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92" w:type="dxa"/>
            <w:gridSpan w:val="3"/>
            <w:tcBorders/>
            <w:shd w:fill="F44238" w:val="clear"/>
            <w:tcMar>
              <w:top w:w="0" w:type="dxa"/>
              <w:left w:w="0" w:type="dxa"/>
              <w:bottom w:w="0" w:type="dxa"/>
              <w:right w:w="0" w:type="dxa"/>
            </w:tcMar>
            <w:vAlign w:val="center"/>
          </w:tcPr>
          <w:p>
            <w:pPr>
              <w:pStyle w:val="TableContents"/>
              <w:bidi w:val="0"/>
              <w:spacing w:lineRule="auto" w:line="268" w:before="0" w:after="283"/>
              <w:jc w:val="center"/>
              <w:rPr>
                <w:rFonts w:ascii="Lato;sans-serif" w:hAnsi="Lato;sans-serif"/>
                <w:b/>
                <w:color w:val="FFFFFF"/>
                <w:sz w:val="20"/>
              </w:rPr>
            </w:pPr>
            <w:r>
              <w:rPr>
                <w:rFonts w:ascii="Lato;sans-serif" w:hAnsi="Lato;sans-serif"/>
                <w:b/>
                <w:color w:val="FFFFFF"/>
                <w:sz w:val="20"/>
              </w:rPr>
              <w:t>Annual Performance Factor</w:t>
            </w:r>
          </w:p>
        </w:tc>
        <w:tc>
          <w:tcPr>
            <w:tcW w:w="1623" w:type="dxa"/>
            <w:gridSpan w:val="3"/>
            <w:tcBorders/>
            <w:shd w:fill="F44238" w:val="clear"/>
            <w:tcMar>
              <w:top w:w="0" w:type="dxa"/>
              <w:left w:w="0" w:type="dxa"/>
              <w:bottom w:w="0" w:type="dxa"/>
              <w:right w:w="0" w:type="dxa"/>
            </w:tcMar>
            <w:vAlign w:val="center"/>
          </w:tcPr>
          <w:p>
            <w:pPr>
              <w:pStyle w:val="TableContents"/>
              <w:bidi w:val="0"/>
              <w:spacing w:lineRule="auto" w:line="268" w:before="0" w:after="0"/>
              <w:jc w:val="center"/>
              <w:rPr>
                <w:rFonts w:ascii="Lato;sans-serif" w:hAnsi="Lato;sans-serif"/>
                <w:b/>
                <w:color w:val="FFFFFF"/>
                <w:sz w:val="20"/>
              </w:rPr>
            </w:pPr>
            <w:r>
              <w:rPr>
                <w:rFonts w:ascii="Lato;sans-serif" w:hAnsi="Lato;sans-serif"/>
                <w:b/>
                <w:color w:val="FFFFFF"/>
                <w:sz w:val="20"/>
              </w:rPr>
              <w:t>Fiscal Year 2025</w:t>
            </w:r>
          </w:p>
          <w:p>
            <w:pPr>
              <w:pStyle w:val="TableContents"/>
              <w:bidi w:val="0"/>
              <w:spacing w:lineRule="auto" w:line="268" w:before="0" w:after="0"/>
              <w:jc w:val="center"/>
              <w:rPr/>
            </w:pPr>
            <w:r>
              <w:rPr>
                <w:rFonts w:ascii="Lato;sans-serif" w:hAnsi="Lato;sans-serif"/>
                <w:b/>
                <w:color w:val="FFFFFF"/>
                <w:sz w:val="20"/>
              </w:rPr>
              <w:t>FCF Per Share</w:t>
            </w:r>
            <w:r>
              <w:rPr>
                <w:rFonts w:ascii="Lato;sans-serif" w:hAnsi="Lato;sans-serif"/>
                <w:b/>
                <w:color w:val="FFFFFF"/>
                <w:sz w:val="13"/>
              </w:rPr>
              <w:t>(1)</w:t>
            </w:r>
          </w:p>
        </w:tc>
        <w:tc>
          <w:tcPr>
            <w:tcW w:w="3790" w:type="dxa"/>
            <w:gridSpan w:val="3"/>
            <w:tcBorders/>
            <w:shd w:fill="F44238" w:val="clear"/>
            <w:tcMar>
              <w:top w:w="0" w:type="dxa"/>
              <w:left w:w="0" w:type="dxa"/>
              <w:bottom w:w="0" w:type="dxa"/>
              <w:right w:w="0" w:type="dxa"/>
            </w:tcMar>
            <w:vAlign w:val="center"/>
          </w:tcPr>
          <w:p>
            <w:pPr>
              <w:pStyle w:val="TableContents"/>
              <w:bidi w:val="0"/>
              <w:spacing w:lineRule="auto" w:line="268" w:before="0" w:after="283"/>
              <w:jc w:val="center"/>
              <w:rPr>
                <w:rFonts w:ascii="Lato;sans-serif" w:hAnsi="Lato;sans-serif"/>
                <w:b/>
                <w:color w:val="FFFFFF"/>
                <w:sz w:val="20"/>
              </w:rPr>
            </w:pPr>
            <w:r>
              <w:rPr>
                <w:rFonts w:ascii="Lato;sans-serif" w:hAnsi="Lato;sans-serif"/>
                <w:b/>
                <w:color w:val="FFFFFF"/>
                <w:sz w:val="20"/>
              </w:rPr>
              <w:t>Percentage Payout in Performance Year</w:t>
            </w:r>
          </w:p>
        </w:tc>
      </w:tr>
      <w:tr>
        <w:trPr/>
        <w:tc>
          <w:tcPr>
            <w:tcW w:w="4792"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68" w:before="0" w:after="283"/>
              <w:jc w:val="center"/>
              <w:rPr>
                <w:rFonts w:ascii="Lato;sans-serif" w:hAnsi="Lato;sans-serif"/>
                <w:b w:val="false"/>
                <w:color w:val="000000"/>
                <w:sz w:val="20"/>
              </w:rPr>
            </w:pPr>
            <w:r>
              <w:rPr>
                <w:rFonts w:ascii="Lato;sans-serif" w:hAnsi="Lato;sans-serif"/>
                <w:b w:val="false"/>
                <w:color w:val="000000"/>
                <w:sz w:val="20"/>
              </w:rPr>
              <w:t>Below Threshold</w:t>
            </w:r>
          </w:p>
        </w:tc>
        <w:tc>
          <w:tcPr>
            <w:tcW w:w="1623"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68" w:before="0" w:after="283"/>
              <w:jc w:val="center"/>
              <w:rPr>
                <w:rFonts w:ascii="Lato;sans-serif" w:hAnsi="Lato;sans-serif"/>
                <w:b w:val="false"/>
                <w:color w:val="000000"/>
                <w:sz w:val="20"/>
              </w:rPr>
            </w:pPr>
            <w:r>
              <w:rPr>
                <w:rFonts w:ascii="Lato;sans-serif" w:hAnsi="Lato;sans-serif"/>
                <w:b w:val="false"/>
                <w:color w:val="000000"/>
                <w:sz w:val="20"/>
              </w:rPr>
              <w:t>&lt;$1.02</w:t>
            </w:r>
          </w:p>
        </w:tc>
        <w:tc>
          <w:tcPr>
            <w:tcW w:w="379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68" w:before="0" w:after="283"/>
              <w:jc w:val="center"/>
              <w:rPr>
                <w:rFonts w:ascii="Lato;sans-serif" w:hAnsi="Lato;sans-serif"/>
                <w:b w:val="false"/>
                <w:color w:val="000000"/>
                <w:sz w:val="20"/>
              </w:rPr>
            </w:pPr>
            <w:r>
              <w:rPr>
                <w:rFonts w:ascii="Lato;sans-serif" w:hAnsi="Lato;sans-serif"/>
                <w:b w:val="false"/>
                <w:color w:val="000000"/>
                <w:sz w:val="20"/>
              </w:rPr>
              <w:t>0%</w:t>
            </w:r>
          </w:p>
        </w:tc>
      </w:tr>
      <w:tr>
        <w:trPr/>
        <w:tc>
          <w:tcPr>
            <w:tcW w:w="4792" w:type="dxa"/>
            <w:gridSpan w:val="3"/>
            <w:tcBorders/>
            <w:shd w:fill="DBDBDB" w:val="clear"/>
            <w:tcMar>
              <w:top w:w="0" w:type="dxa"/>
              <w:left w:w="0" w:type="dxa"/>
              <w:bottom w:w="0" w:type="dxa"/>
              <w:right w:w="0" w:type="dxa"/>
            </w:tcMar>
            <w:vAlign w:val="center"/>
          </w:tcPr>
          <w:p>
            <w:pPr>
              <w:pStyle w:val="TableContents"/>
              <w:bidi w:val="0"/>
              <w:spacing w:lineRule="auto" w:line="268" w:before="0" w:after="283"/>
              <w:jc w:val="center"/>
              <w:rPr>
                <w:rFonts w:ascii="Lato;sans-serif" w:hAnsi="Lato;sans-serif"/>
                <w:b w:val="false"/>
                <w:color w:val="000000"/>
                <w:sz w:val="20"/>
              </w:rPr>
            </w:pPr>
            <w:r>
              <w:rPr>
                <w:rFonts w:ascii="Lato;sans-serif" w:hAnsi="Lato;sans-serif"/>
                <w:b w:val="false"/>
                <w:color w:val="000000"/>
                <w:sz w:val="20"/>
              </w:rPr>
              <w:t>Threshold</w:t>
            </w:r>
          </w:p>
        </w:tc>
        <w:tc>
          <w:tcPr>
            <w:tcW w:w="1623" w:type="dxa"/>
            <w:gridSpan w:val="3"/>
            <w:tcBorders/>
            <w:shd w:fill="DBDBDB" w:val="clear"/>
            <w:tcMar>
              <w:top w:w="0" w:type="dxa"/>
              <w:left w:w="0" w:type="dxa"/>
              <w:bottom w:w="0" w:type="dxa"/>
              <w:right w:w="0" w:type="dxa"/>
            </w:tcMar>
            <w:vAlign w:val="center"/>
          </w:tcPr>
          <w:p>
            <w:pPr>
              <w:pStyle w:val="TableContents"/>
              <w:bidi w:val="0"/>
              <w:spacing w:lineRule="auto" w:line="268" w:before="0" w:after="283"/>
              <w:jc w:val="center"/>
              <w:rPr>
                <w:rFonts w:ascii="Lato;sans-serif" w:hAnsi="Lato;sans-serif"/>
                <w:b w:val="false"/>
                <w:color w:val="000000"/>
                <w:sz w:val="20"/>
              </w:rPr>
            </w:pPr>
            <w:r>
              <w:rPr>
                <w:rFonts w:ascii="Lato;sans-serif" w:hAnsi="Lato;sans-serif"/>
                <w:b w:val="false"/>
                <w:color w:val="000000"/>
                <w:sz w:val="20"/>
              </w:rPr>
              <w:t>$1.02</w:t>
            </w:r>
          </w:p>
        </w:tc>
        <w:tc>
          <w:tcPr>
            <w:tcW w:w="3790" w:type="dxa"/>
            <w:gridSpan w:val="3"/>
            <w:tcBorders/>
            <w:shd w:fill="DBDBDB" w:val="clear"/>
            <w:tcMar>
              <w:top w:w="0" w:type="dxa"/>
              <w:left w:w="0" w:type="dxa"/>
              <w:bottom w:w="0" w:type="dxa"/>
              <w:right w:w="0" w:type="dxa"/>
            </w:tcMar>
            <w:vAlign w:val="center"/>
          </w:tcPr>
          <w:p>
            <w:pPr>
              <w:pStyle w:val="TableContents"/>
              <w:bidi w:val="0"/>
              <w:spacing w:lineRule="auto" w:line="268" w:before="0" w:after="283"/>
              <w:jc w:val="center"/>
              <w:rPr>
                <w:rFonts w:ascii="Lato;sans-serif" w:hAnsi="Lato;sans-serif"/>
                <w:b w:val="false"/>
                <w:color w:val="000000"/>
                <w:sz w:val="20"/>
              </w:rPr>
            </w:pPr>
            <w:r>
              <w:rPr>
                <w:rFonts w:ascii="Lato;sans-serif" w:hAnsi="Lato;sans-serif"/>
                <w:b w:val="false"/>
                <w:color w:val="000000"/>
                <w:sz w:val="20"/>
              </w:rPr>
              <w:t>50%</w:t>
            </w:r>
          </w:p>
        </w:tc>
      </w:tr>
      <w:tr>
        <w:trPr/>
        <w:tc>
          <w:tcPr>
            <w:tcW w:w="4792"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center"/>
              <w:rPr>
                <w:rFonts w:ascii="Lato;sans-serif" w:hAnsi="Lato;sans-serif"/>
                <w:b w:val="false"/>
                <w:color w:val="000000"/>
                <w:sz w:val="20"/>
              </w:rPr>
            </w:pPr>
            <w:r>
              <w:rPr>
                <w:rFonts w:ascii="Lato;sans-serif" w:hAnsi="Lato;sans-serif"/>
                <w:b w:val="false"/>
                <w:color w:val="000000"/>
                <w:sz w:val="20"/>
              </w:rPr>
              <w:t>Target</w:t>
            </w:r>
          </w:p>
        </w:tc>
        <w:tc>
          <w:tcPr>
            <w:tcW w:w="1623"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center"/>
              <w:rPr>
                <w:rFonts w:ascii="Lato;sans-serif" w:hAnsi="Lato;sans-serif"/>
                <w:b w:val="false"/>
                <w:color w:val="000000"/>
                <w:sz w:val="20"/>
              </w:rPr>
            </w:pPr>
            <w:r>
              <w:rPr>
                <w:rFonts w:ascii="Lato;sans-serif" w:hAnsi="Lato;sans-serif"/>
                <w:b w:val="false"/>
                <w:color w:val="000000"/>
                <w:sz w:val="20"/>
              </w:rPr>
              <w:t>$1.07</w:t>
            </w:r>
          </w:p>
        </w:tc>
        <w:tc>
          <w:tcPr>
            <w:tcW w:w="3790"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center"/>
              <w:rPr>
                <w:rFonts w:ascii="Lato;sans-serif" w:hAnsi="Lato;sans-serif"/>
                <w:b w:val="false"/>
                <w:color w:val="000000"/>
                <w:sz w:val="20"/>
              </w:rPr>
            </w:pPr>
            <w:r>
              <w:rPr>
                <w:rFonts w:ascii="Lato;sans-serif" w:hAnsi="Lato;sans-serif"/>
                <w:b w:val="false"/>
                <w:color w:val="000000"/>
                <w:sz w:val="20"/>
              </w:rPr>
              <w:t>100%</w:t>
            </w:r>
          </w:p>
        </w:tc>
      </w:tr>
      <w:tr>
        <w:trPr/>
        <w:tc>
          <w:tcPr>
            <w:tcW w:w="4792" w:type="dxa"/>
            <w:gridSpan w:val="3"/>
            <w:tcBorders/>
            <w:shd w:fill="DBDBDB" w:val="clear"/>
            <w:tcMar>
              <w:top w:w="0" w:type="dxa"/>
              <w:left w:w="0" w:type="dxa"/>
              <w:bottom w:w="0" w:type="dxa"/>
              <w:right w:w="0" w:type="dxa"/>
            </w:tcMar>
            <w:vAlign w:val="center"/>
          </w:tcPr>
          <w:p>
            <w:pPr>
              <w:pStyle w:val="TableContents"/>
              <w:bidi w:val="0"/>
              <w:spacing w:lineRule="auto" w:line="268" w:before="0" w:after="283"/>
              <w:jc w:val="center"/>
              <w:rPr>
                <w:rFonts w:ascii="Lato;sans-serif" w:hAnsi="Lato;sans-serif"/>
                <w:b w:val="false"/>
                <w:color w:val="000000"/>
                <w:sz w:val="20"/>
              </w:rPr>
            </w:pPr>
            <w:r>
              <w:rPr>
                <w:rFonts w:ascii="Lato;sans-serif" w:hAnsi="Lato;sans-serif"/>
                <w:b w:val="false"/>
                <w:color w:val="000000"/>
                <w:sz w:val="20"/>
              </w:rPr>
              <w:t>Maximum</w:t>
            </w:r>
          </w:p>
        </w:tc>
        <w:tc>
          <w:tcPr>
            <w:tcW w:w="1623" w:type="dxa"/>
            <w:gridSpan w:val="3"/>
            <w:tcBorders/>
            <w:shd w:fill="DBDBDB" w:val="clear"/>
            <w:tcMar>
              <w:top w:w="0" w:type="dxa"/>
              <w:left w:w="0" w:type="dxa"/>
              <w:bottom w:w="0" w:type="dxa"/>
              <w:right w:w="0" w:type="dxa"/>
            </w:tcMar>
            <w:vAlign w:val="center"/>
          </w:tcPr>
          <w:p>
            <w:pPr>
              <w:pStyle w:val="TableContents"/>
              <w:bidi w:val="0"/>
              <w:spacing w:lineRule="auto" w:line="268" w:before="0" w:after="283"/>
              <w:jc w:val="center"/>
              <w:rPr>
                <w:rFonts w:ascii="Lato;sans-serif" w:hAnsi="Lato;sans-serif"/>
                <w:b w:val="false"/>
                <w:color w:val="000000"/>
                <w:sz w:val="20"/>
              </w:rPr>
            </w:pPr>
            <w:r>
              <w:rPr>
                <w:rFonts w:ascii="Lato;sans-serif" w:hAnsi="Lato;sans-serif"/>
                <w:b w:val="false"/>
                <w:color w:val="000000"/>
                <w:sz w:val="20"/>
              </w:rPr>
              <w:t>$1.13</w:t>
            </w:r>
          </w:p>
        </w:tc>
        <w:tc>
          <w:tcPr>
            <w:tcW w:w="3790" w:type="dxa"/>
            <w:gridSpan w:val="3"/>
            <w:tcBorders/>
            <w:shd w:fill="DBDBDB" w:val="clear"/>
            <w:tcMar>
              <w:top w:w="0" w:type="dxa"/>
              <w:left w:w="0" w:type="dxa"/>
              <w:bottom w:w="0" w:type="dxa"/>
              <w:right w:w="0" w:type="dxa"/>
            </w:tcMar>
            <w:vAlign w:val="center"/>
          </w:tcPr>
          <w:p>
            <w:pPr>
              <w:pStyle w:val="TableContents"/>
              <w:bidi w:val="0"/>
              <w:spacing w:lineRule="auto" w:line="268" w:before="0" w:after="283"/>
              <w:jc w:val="center"/>
              <w:rPr>
                <w:rFonts w:ascii="Lato;sans-serif" w:hAnsi="Lato;sans-serif"/>
                <w:b w:val="false"/>
                <w:color w:val="000000"/>
                <w:sz w:val="20"/>
              </w:rPr>
            </w:pPr>
            <w:r>
              <w:rPr>
                <w:rFonts w:ascii="Lato;sans-serif" w:hAnsi="Lato;sans-serif"/>
                <w:b w:val="false"/>
                <w:color w:val="000000"/>
                <w:sz w:val="20"/>
              </w:rPr>
              <w:t>150%</w:t>
            </w:r>
          </w:p>
        </w:tc>
      </w:tr>
      <w:tr>
        <w:trPr/>
        <w:tc>
          <w:tcPr>
            <w:tcW w:w="4792"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center"/>
              <w:rPr>
                <w:rFonts w:ascii="Lato;sans-serif" w:hAnsi="Lato;sans-serif"/>
                <w:b/>
                <w:color w:val="000000"/>
                <w:sz w:val="20"/>
              </w:rPr>
            </w:pPr>
            <w:r>
              <w:rPr>
                <w:rFonts w:ascii="Lato;sans-serif" w:hAnsi="Lato;sans-serif"/>
                <w:b/>
                <w:color w:val="000000"/>
                <w:sz w:val="20"/>
              </w:rPr>
              <w:t>Actual</w:t>
            </w:r>
          </w:p>
        </w:tc>
        <w:tc>
          <w:tcPr>
            <w:tcW w:w="1623"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center"/>
              <w:rPr>
                <w:rFonts w:ascii="Lato;sans-serif" w:hAnsi="Lato;sans-serif"/>
                <w:b w:val="false"/>
                <w:color w:val="000000"/>
                <w:sz w:val="20"/>
              </w:rPr>
            </w:pPr>
            <w:r>
              <w:rPr>
                <w:rFonts w:ascii="Lato;sans-serif" w:hAnsi="Lato;sans-serif"/>
                <w:b w:val="false"/>
                <w:color w:val="000000"/>
                <w:sz w:val="20"/>
              </w:rPr>
              <w:t>$1.08</w:t>
            </w:r>
          </w:p>
        </w:tc>
        <w:tc>
          <w:tcPr>
            <w:tcW w:w="3790"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center"/>
              <w:rPr>
                <w:rFonts w:ascii="Lato;sans-serif" w:hAnsi="Lato;sans-serif"/>
                <w:b w:val="false"/>
                <w:color w:val="000000"/>
                <w:sz w:val="20"/>
              </w:rPr>
            </w:pPr>
            <w:r>
              <w:rPr>
                <w:rFonts w:ascii="Lato;sans-serif" w:hAnsi="Lato;sans-serif"/>
                <w:b w:val="false"/>
                <w:color w:val="000000"/>
                <w:sz w:val="20"/>
              </w:rPr>
              <w:t>108%</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6480175" cy="352425"/>
                <wp:effectExtent l="0" t="0" r="0" b="0"/>
                <wp:wrapNone/>
                <wp:docPr id="72" name="Frame56"/>
                <a:graphic xmlns:a="http://schemas.openxmlformats.org/drawingml/2006/main">
                  <a:graphicData uri="http://schemas.microsoft.com/office/word/2010/wordprocessingShape">
                    <wps:wsp>
                      <wps:cNvSpPr txBox="1"/>
                      <wps:spPr>
                        <a:xfrm>
                          <a:off x="0" y="0"/>
                          <a:ext cx="6480175" cy="352425"/>
                        </a:xfrm>
                        <a:prstGeom prst="rect"/>
                        <a:solidFill>
                          <a:srgbClr val="FFFFFF"/>
                        </a:solidFill>
                      </wps:spPr>
                      <wps:txbx>
                        <w:txbxContent>
                          <w:p>
                            <w:pPr>
                              <w:pStyle w:val="TextBody"/>
                              <w:bidi w:val="0"/>
                              <w:spacing w:lineRule="auto" w:line="288" w:before="0" w:after="0"/>
                              <w:jc w:val="center"/>
                              <w:rPr>
                                <w:rFonts w:ascii="Lato;sans-serif" w:hAnsi="Lato;sans-serif"/>
                                <w:b w:val="false"/>
                                <w:color w:val="000000"/>
                                <w:sz w:val="20"/>
                              </w:rPr>
                            </w:pPr>
                            <w:r>
                              <w:rPr>
                                <w:rFonts w:ascii="Lato;sans-serif" w:hAnsi="Lato;sans-serif"/>
                                <w:b w:val="false"/>
                                <w:color w:val="000000"/>
                                <w:sz w:val="20"/>
                              </w:rPr>
                              <w:t>50</w:t>
                            </w:r>
                          </w:p>
                          <w:p>
                            <w:pPr>
                              <w:pStyle w:val="TextBody"/>
                              <w:bidi w:val="0"/>
                              <w:spacing w:lineRule="auto" w:line="288" w:before="0" w:after="0"/>
                              <w:jc w:val="left"/>
                              <w:rPr>
                                <w:color w:val="000000"/>
                              </w:rPr>
                            </w:pPr>
                            <w:r>
                              <w:rPr>
                                <w:color w:val="000000"/>
                              </w:rPr>
                              <w:t>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Lato;sans-serif" w:hAnsi="Lato;sans-serif"/>
                          <w:b w:val="false"/>
                          <w:color w:val="000000"/>
                          <w:sz w:val="20"/>
                        </w:rPr>
                      </w:pPr>
                      <w:r>
                        <w:rPr>
                          <w:rFonts w:ascii="Lato;sans-serif" w:hAnsi="Lato;sans-serif"/>
                          <w:b w:val="false"/>
                          <w:color w:val="000000"/>
                          <w:sz w:val="20"/>
                        </w:rPr>
                        <w:t>50</w:t>
                      </w:r>
                    </w:p>
                    <w:p>
                      <w:pPr>
                        <w:pStyle w:val="TextBody"/>
                        <w:bidi w:val="0"/>
                        <w:spacing w:lineRule="auto" w:line="288" w:before="0" w:after="0"/>
                        <w:jc w:val="left"/>
                        <w:rPr>
                          <w:color w:val="000000"/>
                        </w:rPr>
                      </w:pPr>
                      <w:r>
                        <w:rPr>
                          <w:color w:val="000000"/>
                        </w:rPr>
                        <w:t>        </w:t>
                      </w:r>
                    </w:p>
                  </w:txbxContent>
                </v:textbox>
                <w10:wrap type="none"/>
              </v:rect>
            </w:pict>
          </mc:Fallback>
        </mc:AlternateContent>
      </w:r>
    </w:p>
    <w:p>
      <w:pPr>
        <w:pStyle w:val="TextBody"/>
        <w:bidi w:val="0"/>
        <w:spacing w:before="0" w:after="0"/>
        <w:jc w:val="left"/>
        <w:rPr/>
      </w:pPr>
      <w:r>
        <w:rPr/>
      </w:r>
    </w:p>
    <w:p>
      <w:pPr>
        <w:pStyle w:val="TextBody"/>
        <w:bidi w:val="0"/>
        <w:spacing w:lineRule="auto" w:line="333"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__________________</w:t>
      </w:r>
    </w:p>
    <w:p>
      <w:pPr>
        <w:pStyle w:val="TextBody"/>
        <w:bidi w:val="0"/>
        <w:spacing w:lineRule="auto" w:line="288" w:before="0" w:after="0"/>
        <w:ind w:left="0" w:right="0" w:hanging="360"/>
        <w:jc w:val="both"/>
        <w:rPr>
          <w:rFonts w:ascii="Lato;sans-serif" w:hAnsi="Lato;sans-serif"/>
          <w:b w:val="false"/>
          <w:color w:val="000000"/>
          <w:sz w:val="16"/>
        </w:rPr>
      </w:pPr>
      <w:r>
        <w:rPr>
          <w:rFonts w:ascii="Lato;sans-serif" w:hAnsi="Lato;sans-serif"/>
          <w:b w:val="false"/>
          <w:color w:val="000000"/>
          <w:sz w:val="16"/>
        </w:rPr>
        <w:t xml:space="preserve">(1)Defined for each performance year as: (x) (i) operating cash flow (as determined in accordance with GAAP and as presented in the Company’s financial statements) for the performance year, less (ii) purchases of property and equipment and other assets (as determined in accordance with GAAP and as presented in the Company’s financial statements) for the performance year, divided by (y) the weighted average number of shares of the Company’s common stock outstanding over the applicable performance year, adjusted to exclude the impact of any stock repurchases during the performance year. See Appendix A for more information relating to our adjusted free cash flow calculation, including a reconciliation of such measure to its most directly comparable U.S. GAAP financial measure, our U.S. GAAP net cash provided by operating activities, as well as a detailed calculation of how we determined our adjusted free cash flow per share calculation for FCFps PSUs awarded in 2024. </w:t>
      </w:r>
    </w:p>
    <w:p>
      <w:pPr>
        <w:pStyle w:val="TextBody"/>
        <w:bidi w:val="0"/>
        <w:spacing w:before="0" w:after="0"/>
        <w:jc w:val="left"/>
        <w:rPr/>
      </w:pPr>
      <w:r>
        <w:rPr/>
      </w:r>
    </w:p>
    <w:p>
      <w:pPr>
        <w:pStyle w:val="TextBody"/>
        <w:bidi w:val="0"/>
        <w:spacing w:lineRule="auto" w:line="288" w:before="0" w:after="0"/>
        <w:jc w:val="left"/>
        <w:rPr>
          <w:rFonts w:ascii="Lato;sans-serif" w:hAnsi="Lato;sans-serif"/>
          <w:b w:val="false"/>
          <w:color w:val="000000"/>
          <w:sz w:val="20"/>
        </w:rPr>
      </w:pPr>
      <w:r>
        <w:rPr>
          <w:rFonts w:ascii="Lato;sans-serif" w:hAnsi="Lato;sans-serif"/>
          <w:b w:val="false"/>
          <w:color w:val="000000"/>
          <w:sz w:val="20"/>
        </w:rPr>
        <w:t>The table below sets forth the FCFps PSUs granted to and earned by Henry L. Schuck, our only current NEO who received such award in 2024:</w:t>
      </w:r>
    </w:p>
    <w:tbl>
      <w:tblPr>
        <w:tblW w:w="10205" w:type="dxa"/>
        <w:jc w:val="left"/>
        <w:tblInd w:w="0" w:type="dxa"/>
        <w:tblLayout w:type="fixed"/>
        <w:tblCellMar>
          <w:top w:w="28" w:type="dxa"/>
          <w:left w:w="28" w:type="dxa"/>
          <w:bottom w:w="28" w:type="dxa"/>
          <w:right w:w="28" w:type="dxa"/>
        </w:tblCellMar>
      </w:tblPr>
      <w:tblGrid>
        <w:gridCol w:w="468"/>
        <w:gridCol w:w="410"/>
        <w:gridCol w:w="416"/>
        <w:gridCol w:w="590"/>
        <w:gridCol w:w="590"/>
        <w:gridCol w:w="596"/>
        <w:gridCol w:w="731"/>
        <w:gridCol w:w="731"/>
        <w:gridCol w:w="733"/>
        <w:gridCol w:w="954"/>
        <w:gridCol w:w="954"/>
        <w:gridCol w:w="957"/>
        <w:gridCol w:w="605"/>
        <w:gridCol w:w="605"/>
        <w:gridCol w:w="865"/>
      </w:tblGrid>
      <w:tr>
        <w:trPr/>
        <w:tc>
          <w:tcPr>
            <w:tcW w:w="468"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c>
          <w:tcPr>
            <w:tcW w:w="596" w:type="dxa"/>
            <w:tcBorders/>
            <w:vAlign w:val="center"/>
          </w:tcPr>
          <w:p>
            <w:pPr>
              <w:pStyle w:val="TableContents"/>
              <w:bidi w:val="0"/>
              <w:spacing w:before="0" w:after="283"/>
              <w:jc w:val="left"/>
              <w:rPr>
                <w:sz w:val="4"/>
                <w:szCs w:val="4"/>
              </w:rPr>
            </w:pPr>
            <w:r>
              <w:rPr>
                <w:sz w:val="4"/>
                <w:szCs w:val="4"/>
              </w:rPr>
            </w:r>
          </w:p>
        </w:tc>
        <w:tc>
          <w:tcPr>
            <w:tcW w:w="731" w:type="dxa"/>
            <w:tcBorders/>
            <w:vAlign w:val="center"/>
          </w:tcPr>
          <w:p>
            <w:pPr>
              <w:pStyle w:val="TableContents"/>
              <w:bidi w:val="0"/>
              <w:spacing w:before="0" w:after="283"/>
              <w:jc w:val="left"/>
              <w:rPr>
                <w:sz w:val="4"/>
                <w:szCs w:val="4"/>
              </w:rPr>
            </w:pPr>
            <w:r>
              <w:rPr>
                <w:sz w:val="4"/>
                <w:szCs w:val="4"/>
              </w:rPr>
            </w:r>
          </w:p>
        </w:tc>
        <w:tc>
          <w:tcPr>
            <w:tcW w:w="731" w:type="dxa"/>
            <w:tcBorders/>
            <w:vAlign w:val="center"/>
          </w:tcPr>
          <w:p>
            <w:pPr>
              <w:pStyle w:val="TableContents"/>
              <w:bidi w:val="0"/>
              <w:spacing w:before="0" w:after="283"/>
              <w:jc w:val="left"/>
              <w:rPr>
                <w:sz w:val="4"/>
                <w:szCs w:val="4"/>
              </w:rPr>
            </w:pPr>
            <w:r>
              <w:rPr>
                <w:sz w:val="4"/>
                <w:szCs w:val="4"/>
              </w:rPr>
            </w:r>
          </w:p>
        </w:tc>
        <w:tc>
          <w:tcPr>
            <w:tcW w:w="733" w:type="dxa"/>
            <w:tcBorders/>
            <w:vAlign w:val="center"/>
          </w:tcPr>
          <w:p>
            <w:pPr>
              <w:pStyle w:val="TableContents"/>
              <w:bidi w:val="0"/>
              <w:spacing w:before="0" w:after="283"/>
              <w:jc w:val="left"/>
              <w:rPr>
                <w:sz w:val="4"/>
                <w:szCs w:val="4"/>
              </w:rPr>
            </w:pPr>
            <w:r>
              <w:rPr>
                <w:sz w:val="4"/>
                <w:szCs w:val="4"/>
              </w:rPr>
            </w:r>
          </w:p>
        </w:tc>
        <w:tc>
          <w:tcPr>
            <w:tcW w:w="954" w:type="dxa"/>
            <w:tcBorders/>
            <w:vAlign w:val="center"/>
          </w:tcPr>
          <w:p>
            <w:pPr>
              <w:pStyle w:val="TableContents"/>
              <w:bidi w:val="0"/>
              <w:spacing w:before="0" w:after="283"/>
              <w:jc w:val="left"/>
              <w:rPr>
                <w:sz w:val="4"/>
                <w:szCs w:val="4"/>
              </w:rPr>
            </w:pPr>
            <w:r>
              <w:rPr>
                <w:sz w:val="4"/>
                <w:szCs w:val="4"/>
              </w:rPr>
            </w:r>
          </w:p>
        </w:tc>
        <w:tc>
          <w:tcPr>
            <w:tcW w:w="954" w:type="dxa"/>
            <w:tcBorders/>
            <w:vAlign w:val="center"/>
          </w:tcPr>
          <w:p>
            <w:pPr>
              <w:pStyle w:val="TableContents"/>
              <w:bidi w:val="0"/>
              <w:spacing w:before="0" w:after="283"/>
              <w:jc w:val="left"/>
              <w:rPr>
                <w:sz w:val="4"/>
                <w:szCs w:val="4"/>
              </w:rPr>
            </w:pPr>
            <w:r>
              <w:rPr>
                <w:sz w:val="4"/>
                <w:szCs w:val="4"/>
              </w:rPr>
            </w:r>
          </w:p>
        </w:tc>
        <w:tc>
          <w:tcPr>
            <w:tcW w:w="957" w:type="dxa"/>
            <w:tcBorders/>
            <w:vAlign w:val="center"/>
          </w:tcPr>
          <w:p>
            <w:pPr>
              <w:pStyle w:val="TableContents"/>
              <w:bidi w:val="0"/>
              <w:spacing w:before="0" w:after="283"/>
              <w:jc w:val="left"/>
              <w:rPr>
                <w:sz w:val="4"/>
                <w:szCs w:val="4"/>
              </w:rPr>
            </w:pPr>
            <w:r>
              <w:rPr>
                <w:sz w:val="4"/>
                <w:szCs w:val="4"/>
              </w:rPr>
            </w:r>
          </w:p>
        </w:tc>
        <w:tc>
          <w:tcPr>
            <w:tcW w:w="605" w:type="dxa"/>
            <w:tcBorders/>
            <w:vAlign w:val="center"/>
          </w:tcPr>
          <w:p>
            <w:pPr>
              <w:pStyle w:val="TableContents"/>
              <w:bidi w:val="0"/>
              <w:spacing w:before="0" w:after="283"/>
              <w:jc w:val="left"/>
              <w:rPr>
                <w:sz w:val="4"/>
                <w:szCs w:val="4"/>
              </w:rPr>
            </w:pPr>
            <w:r>
              <w:rPr>
                <w:sz w:val="4"/>
                <w:szCs w:val="4"/>
              </w:rPr>
            </w:r>
          </w:p>
        </w:tc>
        <w:tc>
          <w:tcPr>
            <w:tcW w:w="605" w:type="dxa"/>
            <w:tcBorders/>
            <w:vAlign w:val="center"/>
          </w:tcPr>
          <w:p>
            <w:pPr>
              <w:pStyle w:val="TableContents"/>
              <w:bidi w:val="0"/>
              <w:spacing w:before="0" w:after="283"/>
              <w:jc w:val="left"/>
              <w:rPr>
                <w:sz w:val="4"/>
                <w:szCs w:val="4"/>
              </w:rPr>
            </w:pPr>
            <w:r>
              <w:rPr>
                <w:sz w:val="4"/>
                <w:szCs w:val="4"/>
              </w:rPr>
            </w:r>
          </w:p>
        </w:tc>
        <w:tc>
          <w:tcPr>
            <w:tcW w:w="865" w:type="dxa"/>
            <w:tcBorders/>
            <w:vAlign w:val="center"/>
          </w:tcPr>
          <w:p>
            <w:pPr>
              <w:pStyle w:val="TableContents"/>
              <w:bidi w:val="0"/>
              <w:spacing w:before="0" w:after="283"/>
              <w:jc w:val="left"/>
              <w:rPr>
                <w:sz w:val="4"/>
                <w:szCs w:val="4"/>
              </w:rPr>
            </w:pPr>
            <w:r>
              <w:rPr>
                <w:sz w:val="4"/>
                <w:szCs w:val="4"/>
              </w:rPr>
            </w:r>
          </w:p>
        </w:tc>
      </w:tr>
      <w:tr>
        <w:trPr/>
        <w:tc>
          <w:tcPr>
            <w:tcW w:w="1294" w:type="dxa"/>
            <w:gridSpan w:val="3"/>
            <w:tcBorders/>
            <w:shd w:fill="F44238" w:val="clear"/>
            <w:tcMar>
              <w:top w:w="0" w:type="dxa"/>
              <w:left w:w="0" w:type="dxa"/>
              <w:bottom w:w="0" w:type="dxa"/>
              <w:right w:w="0" w:type="dxa"/>
            </w:tcMar>
            <w:vAlign w:val="center"/>
          </w:tcPr>
          <w:p>
            <w:pPr>
              <w:pStyle w:val="TableContents"/>
              <w:bidi w:val="0"/>
              <w:spacing w:lineRule="auto" w:line="268" w:before="0" w:after="0"/>
              <w:jc w:val="center"/>
              <w:rPr>
                <w:rFonts w:ascii="Lato;sans-serif" w:hAnsi="Lato;sans-serif"/>
                <w:b/>
                <w:color w:val="FFFFFF"/>
                <w:sz w:val="20"/>
              </w:rPr>
            </w:pPr>
            <w:r>
              <w:rPr>
                <w:rFonts w:ascii="Lato;sans-serif" w:hAnsi="Lato;sans-serif"/>
                <w:b/>
                <w:color w:val="FFFFFF"/>
                <w:sz w:val="20"/>
              </w:rPr>
              <w:t>NEO</w:t>
            </w:r>
          </w:p>
        </w:tc>
        <w:tc>
          <w:tcPr>
            <w:tcW w:w="1776" w:type="dxa"/>
            <w:gridSpan w:val="3"/>
            <w:tcBorders/>
            <w:shd w:fill="F44238" w:val="clear"/>
            <w:tcMar>
              <w:top w:w="0" w:type="dxa"/>
              <w:left w:w="0" w:type="dxa"/>
              <w:bottom w:w="0" w:type="dxa"/>
              <w:right w:w="0" w:type="dxa"/>
            </w:tcMar>
            <w:vAlign w:val="center"/>
          </w:tcPr>
          <w:p>
            <w:pPr>
              <w:pStyle w:val="TableContents"/>
              <w:bidi w:val="0"/>
              <w:spacing w:lineRule="auto" w:line="268" w:before="0" w:after="0"/>
              <w:jc w:val="center"/>
              <w:rPr>
                <w:rFonts w:ascii="Lato;sans-serif" w:hAnsi="Lato;sans-serif"/>
                <w:b/>
                <w:color w:val="FFFFFF"/>
                <w:sz w:val="20"/>
              </w:rPr>
            </w:pPr>
            <w:r>
              <w:rPr>
                <w:rFonts w:ascii="Lato;sans-serif" w:hAnsi="Lato;sans-serif"/>
                <w:b/>
                <w:color w:val="FFFFFF"/>
                <w:sz w:val="20"/>
              </w:rPr>
              <w:t>Job Title</w:t>
            </w:r>
          </w:p>
        </w:tc>
        <w:tc>
          <w:tcPr>
            <w:tcW w:w="2195" w:type="dxa"/>
            <w:gridSpan w:val="3"/>
            <w:tcBorders/>
            <w:shd w:fill="F44238" w:val="clear"/>
            <w:tcMar>
              <w:top w:w="0" w:type="dxa"/>
              <w:left w:w="0" w:type="dxa"/>
              <w:bottom w:w="0" w:type="dxa"/>
              <w:right w:w="0" w:type="dxa"/>
            </w:tcMar>
            <w:vAlign w:val="center"/>
          </w:tcPr>
          <w:p>
            <w:pPr>
              <w:pStyle w:val="TableContents"/>
              <w:bidi w:val="0"/>
              <w:spacing w:lineRule="auto" w:line="268" w:before="0" w:after="0"/>
              <w:jc w:val="center"/>
              <w:rPr>
                <w:rFonts w:ascii="Lato;sans-serif" w:hAnsi="Lato;sans-serif"/>
                <w:b/>
                <w:color w:val="FFFFFF"/>
                <w:sz w:val="20"/>
              </w:rPr>
            </w:pPr>
            <w:r>
              <w:rPr>
                <w:rFonts w:ascii="Lato;sans-serif" w:hAnsi="Lato;sans-serif"/>
                <w:b/>
                <w:color w:val="FFFFFF"/>
                <w:sz w:val="20"/>
              </w:rPr>
              <w:t>Total FCFps PSUs Awarded</w:t>
            </w:r>
          </w:p>
        </w:tc>
        <w:tc>
          <w:tcPr>
            <w:tcW w:w="2865" w:type="dxa"/>
            <w:gridSpan w:val="3"/>
            <w:tcBorders/>
            <w:shd w:fill="F44238" w:val="clear"/>
            <w:tcMar>
              <w:top w:w="0" w:type="dxa"/>
              <w:left w:w="0" w:type="dxa"/>
              <w:bottom w:w="0" w:type="dxa"/>
              <w:right w:w="0" w:type="dxa"/>
            </w:tcMar>
            <w:vAlign w:val="center"/>
          </w:tcPr>
          <w:p>
            <w:pPr>
              <w:pStyle w:val="TableContents"/>
              <w:bidi w:val="0"/>
              <w:spacing w:lineRule="auto" w:line="268" w:before="0" w:after="0"/>
              <w:jc w:val="center"/>
              <w:rPr>
                <w:rFonts w:ascii="Lato;sans-serif" w:hAnsi="Lato;sans-serif"/>
                <w:b/>
                <w:color w:val="FFFFFF"/>
                <w:sz w:val="20"/>
              </w:rPr>
            </w:pPr>
            <w:r>
              <w:rPr>
                <w:rFonts w:ascii="Lato;sans-serif" w:hAnsi="Lato;sans-serif"/>
                <w:b/>
                <w:color w:val="FFFFFF"/>
                <w:sz w:val="20"/>
              </w:rPr>
              <w:t>Target FCFps PSUs 2024 (30% of Total)</w:t>
            </w:r>
          </w:p>
        </w:tc>
        <w:tc>
          <w:tcPr>
            <w:tcW w:w="2075" w:type="dxa"/>
            <w:gridSpan w:val="3"/>
            <w:tcBorders/>
            <w:shd w:fill="F44238" w:val="clear"/>
            <w:tcMar>
              <w:top w:w="0" w:type="dxa"/>
              <w:left w:w="0" w:type="dxa"/>
              <w:bottom w:w="0" w:type="dxa"/>
              <w:right w:w="0" w:type="dxa"/>
            </w:tcMar>
            <w:vAlign w:val="center"/>
          </w:tcPr>
          <w:p>
            <w:pPr>
              <w:pStyle w:val="TableContents"/>
              <w:bidi w:val="0"/>
              <w:spacing w:lineRule="auto" w:line="268" w:before="0" w:after="0"/>
              <w:jc w:val="center"/>
              <w:rPr>
                <w:color w:val="FFFFFF"/>
              </w:rPr>
            </w:pPr>
            <w:r>
              <w:rPr>
                <w:color w:val="FFFFFF"/>
              </w:rPr>
              <w:t> </w:t>
            </w:r>
            <w:r>
              <w:rPr>
                <w:rFonts w:ascii="Lato;sans-serif" w:hAnsi="Lato;sans-serif"/>
                <w:b/>
                <w:color w:val="FFFFFF"/>
                <w:sz w:val="20"/>
              </w:rPr>
              <w:t>2024 FCFps PSUs Earned</w:t>
            </w:r>
          </w:p>
        </w:tc>
      </w:tr>
      <w:tr>
        <w:trPr/>
        <w:tc>
          <w:tcPr>
            <w:tcW w:w="129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20"/>
              </w:rPr>
            </w:pPr>
            <w:r>
              <w:rPr>
                <w:rFonts w:ascii="Lato;sans-serif" w:hAnsi="Lato;sans-serif"/>
                <w:b w:val="false"/>
                <w:color w:val="000000"/>
                <w:sz w:val="20"/>
              </w:rPr>
              <w:t>Henry L. Schuck</w:t>
            </w:r>
          </w:p>
        </w:tc>
        <w:tc>
          <w:tcPr>
            <w:tcW w:w="1776" w:type="dxa"/>
            <w:gridSpan w:val="3"/>
            <w:tcBorders/>
            <w:shd w:fill="DBDBDB" w:val="clear"/>
            <w:tcMar>
              <w:top w:w="0" w:type="dxa"/>
              <w:left w:w="0" w:type="dxa"/>
              <w:bottom w:w="0" w:type="dxa"/>
              <w:right w:w="0" w:type="dxa"/>
            </w:tcMar>
            <w:vAlign w:val="center"/>
          </w:tcPr>
          <w:p>
            <w:pPr>
              <w:pStyle w:val="TableContents"/>
              <w:bidi w:val="0"/>
              <w:spacing w:lineRule="auto" w:line="268" w:before="0" w:after="283"/>
              <w:jc w:val="center"/>
              <w:rPr>
                <w:rFonts w:ascii="Lato;sans-serif" w:hAnsi="Lato;sans-serif"/>
                <w:b w:val="false"/>
                <w:color w:val="000000"/>
                <w:sz w:val="20"/>
              </w:rPr>
            </w:pPr>
            <w:r>
              <w:rPr>
                <w:rFonts w:ascii="Lato;sans-serif" w:hAnsi="Lato;sans-serif"/>
                <w:b w:val="false"/>
                <w:color w:val="000000"/>
                <w:sz w:val="20"/>
              </w:rPr>
              <w:t>Chief Executive Officer</w:t>
            </w:r>
          </w:p>
        </w:tc>
        <w:tc>
          <w:tcPr>
            <w:tcW w:w="2195" w:type="dxa"/>
            <w:gridSpan w:val="3"/>
            <w:tcBorders/>
            <w:shd w:fill="DBDBDB" w:val="clear"/>
            <w:tcMar>
              <w:top w:w="0" w:type="dxa"/>
              <w:left w:w="0" w:type="dxa"/>
              <w:bottom w:w="0" w:type="dxa"/>
              <w:right w:w="0" w:type="dxa"/>
            </w:tcMar>
            <w:vAlign w:val="center"/>
          </w:tcPr>
          <w:p>
            <w:pPr>
              <w:pStyle w:val="TableContents"/>
              <w:bidi w:val="0"/>
              <w:spacing w:lineRule="auto" w:line="268" w:before="0" w:after="283"/>
              <w:jc w:val="center"/>
              <w:rPr>
                <w:rFonts w:ascii="Lato;sans-serif" w:hAnsi="Lato;sans-serif"/>
                <w:b w:val="false"/>
                <w:color w:val="000000"/>
                <w:sz w:val="20"/>
              </w:rPr>
            </w:pPr>
            <w:r>
              <w:rPr>
                <w:rFonts w:ascii="Lato;sans-serif" w:hAnsi="Lato;sans-serif"/>
                <w:b w:val="false"/>
                <w:color w:val="000000"/>
                <w:sz w:val="20"/>
              </w:rPr>
              <w:t>73,530</w:t>
            </w:r>
          </w:p>
        </w:tc>
        <w:tc>
          <w:tcPr>
            <w:tcW w:w="2865" w:type="dxa"/>
            <w:gridSpan w:val="3"/>
            <w:tcBorders/>
            <w:shd w:fill="DBDBDB" w:val="clear"/>
            <w:tcMar>
              <w:top w:w="0" w:type="dxa"/>
              <w:left w:w="0" w:type="dxa"/>
              <w:bottom w:w="0" w:type="dxa"/>
              <w:right w:w="0" w:type="dxa"/>
            </w:tcMar>
            <w:vAlign w:val="center"/>
          </w:tcPr>
          <w:p>
            <w:pPr>
              <w:pStyle w:val="TableContents"/>
              <w:bidi w:val="0"/>
              <w:spacing w:lineRule="auto" w:line="268" w:before="0" w:after="283"/>
              <w:jc w:val="center"/>
              <w:rPr>
                <w:rFonts w:ascii="Lato;sans-serif" w:hAnsi="Lato;sans-serif"/>
                <w:b w:val="false"/>
                <w:color w:val="000000"/>
                <w:sz w:val="20"/>
              </w:rPr>
            </w:pPr>
            <w:r>
              <w:rPr>
                <w:rFonts w:ascii="Lato;sans-serif" w:hAnsi="Lato;sans-serif"/>
                <w:b w:val="false"/>
                <w:color w:val="000000"/>
                <w:sz w:val="20"/>
              </w:rPr>
              <w:t>22,059</w:t>
            </w:r>
          </w:p>
        </w:tc>
        <w:tc>
          <w:tcPr>
            <w:tcW w:w="2075" w:type="dxa"/>
            <w:gridSpan w:val="3"/>
            <w:tcBorders/>
            <w:shd w:fill="DBDBDB" w:val="clear"/>
            <w:tcMar>
              <w:top w:w="0" w:type="dxa"/>
              <w:left w:w="0" w:type="dxa"/>
              <w:bottom w:w="0" w:type="dxa"/>
              <w:right w:w="0" w:type="dxa"/>
            </w:tcMar>
            <w:vAlign w:val="center"/>
          </w:tcPr>
          <w:p>
            <w:pPr>
              <w:pStyle w:val="TableContents"/>
              <w:bidi w:val="0"/>
              <w:spacing w:lineRule="auto" w:line="268" w:before="0" w:after="0"/>
              <w:jc w:val="center"/>
              <w:rPr/>
            </w:pPr>
            <w:r>
              <w:rPr>
                <w:rFonts w:ascii="Lato;sans-serif" w:hAnsi="Lato;sans-serif"/>
                <w:b w:val="false"/>
                <w:color w:val="000000"/>
                <w:sz w:val="20"/>
              </w:rPr>
              <w:t>23,824</w:t>
            </w:r>
            <w:r>
              <w:rPr>
                <w:rFonts w:ascii="Lato;sans-serif" w:hAnsi="Lato;sans-serif"/>
                <w:b w:val="false"/>
                <w:color w:val="000000"/>
                <w:sz w:val="13"/>
              </w:rPr>
              <w:t>(1)</w:t>
            </w:r>
          </w:p>
        </w:tc>
      </w:tr>
    </w:tbl>
    <w:p>
      <w:pPr>
        <w:pStyle w:val="TextBody"/>
        <w:bidi w:val="0"/>
        <w:spacing w:lineRule="auto" w:line="333"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__________________</w:t>
      </w:r>
    </w:p>
    <w:p>
      <w:pPr>
        <w:pStyle w:val="TextBody"/>
        <w:bidi w:val="0"/>
        <w:spacing w:lineRule="auto" w:line="288" w:before="0" w:after="180"/>
        <w:ind w:left="0" w:right="0" w:hanging="360"/>
        <w:jc w:val="both"/>
        <w:rPr>
          <w:rFonts w:ascii="Lato;sans-serif" w:hAnsi="Lato;sans-serif"/>
          <w:b w:val="false"/>
          <w:color w:val="000000"/>
          <w:sz w:val="16"/>
        </w:rPr>
      </w:pPr>
      <w:r>
        <w:rPr>
          <w:rFonts w:ascii="Lato;sans-serif" w:hAnsi="Lato;sans-serif"/>
          <w:b w:val="false"/>
          <w:color w:val="000000"/>
          <w:sz w:val="16"/>
        </w:rPr>
        <w:t>(1)On May 29, 2024, Mr. Schuck was awarded a target number of FCFps PSUs subject to satisfaction of performance conditions as determined by our Compensation Committee. The amount shown represents the actual number of units earned by Mr. Schuck for the second PSU performance period, commencing January 1, 2025, and continuing through and including December 31, 2025, as determined February 5, 2026. As previously disclosed, the terms of Mr. Schuck’s FCFps PSUs were amended on February 13, 2025, to include a delay mechanism, such that vesting would not occur until the later of (x) 45 days or (y) until the expiration of any HSR Act waiting period, in each case, in the event that Mr. Schuck’s economic ownership would have otherwise crossed a reporting threshold as a result of the vesting of any such award following the attainment of any time or performance condition, as applicable. As a result of such feature, Mr. Schuck’s earned units will vest in whole on March 22, 2026, the date that is 45 days after February 5, 2026.</w:t>
      </w:r>
    </w:p>
    <w:p>
      <w:pPr>
        <w:pStyle w:val="TextBody"/>
        <w:bidi w:val="0"/>
        <w:spacing w:lineRule="auto" w:line="288" w:before="0" w:after="0"/>
        <w:jc w:val="both"/>
        <w:rPr>
          <w:rFonts w:ascii="Lato;sans-serif" w:hAnsi="Lato;sans-serif"/>
          <w:b w:val="false"/>
          <w:color w:val="000000"/>
          <w:sz w:val="20"/>
        </w:rPr>
      </w:pPr>
      <w:r>
        <w:rPr>
          <w:rFonts w:ascii="Lato;sans-serif" w:hAnsi="Lato;sans-serif"/>
          <w:b w:val="false"/>
          <w:color w:val="000000"/>
          <w:sz w:val="20"/>
        </w:rPr>
        <w:t>Our NEOs (other than Mr. Schuck) will be eligible to receive a mix of RSUs and PSUs in 2026, subject to the recommendation and approval of our Compensation Committee. As part of the PSU program in 2026, the Compensation Committee has considered a number of performance metrics to utilize in measuring overall financial performance and operating activities, including, but not limited to, free cash flow, free cash flow per share, net cash provided by operating activities, stock price, total stockholder return, revenue, profit margins or earnings/loss before interest, taxes, depreciation and amortization, or net revenue retention. These metrics may be expressed in terms of attaining a specified performance level, increase or decrease in a particular area and may be on an individual, business unit, division or company-wide basis, and in absolute terms or relative to the performance of comparable companies or peer groups or indexes.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6480175" cy="352425"/>
                <wp:effectExtent l="0" t="0" r="0" b="0"/>
                <wp:wrapNone/>
                <wp:docPr id="73" name="Frame57"/>
                <a:graphic xmlns:a="http://schemas.openxmlformats.org/drawingml/2006/main">
                  <a:graphicData uri="http://schemas.microsoft.com/office/word/2010/wordprocessingShape">
                    <wps:wsp>
                      <wps:cNvSpPr txBox="1"/>
                      <wps:spPr>
                        <a:xfrm>
                          <a:off x="0" y="0"/>
                          <a:ext cx="6480175" cy="352425"/>
                        </a:xfrm>
                        <a:prstGeom prst="rect"/>
                        <a:solidFill>
                          <a:srgbClr val="FFFFFF"/>
                        </a:solidFill>
                      </wps:spPr>
                      <wps:txbx>
                        <w:txbxContent>
                          <w:p>
                            <w:pPr>
                              <w:pStyle w:val="TextBody"/>
                              <w:bidi w:val="0"/>
                              <w:spacing w:lineRule="auto" w:line="288" w:before="0" w:after="0"/>
                              <w:jc w:val="center"/>
                              <w:rPr>
                                <w:rFonts w:ascii="Lato;sans-serif" w:hAnsi="Lato;sans-serif"/>
                                <w:b w:val="false"/>
                                <w:color w:val="000000"/>
                                <w:sz w:val="20"/>
                              </w:rPr>
                            </w:pPr>
                            <w:r>
                              <w:rPr>
                                <w:rFonts w:ascii="Lato;sans-serif" w:hAnsi="Lato;sans-serif"/>
                                <w:b w:val="false"/>
                                <w:color w:val="000000"/>
                                <w:sz w:val="20"/>
                              </w:rPr>
                              <w:t>51</w:t>
                            </w:r>
                          </w:p>
                          <w:p>
                            <w:pPr>
                              <w:pStyle w:val="TextBody"/>
                              <w:bidi w:val="0"/>
                              <w:spacing w:lineRule="auto" w:line="288" w:before="0" w:after="0"/>
                              <w:jc w:val="left"/>
                              <w:rPr>
                                <w:color w:val="000000"/>
                              </w:rPr>
                            </w:pPr>
                            <w:r>
                              <w:rPr>
                                <w:color w:val="000000"/>
                              </w:rPr>
                              <w:t>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Lato;sans-serif" w:hAnsi="Lato;sans-serif"/>
                          <w:b w:val="false"/>
                          <w:color w:val="000000"/>
                          <w:sz w:val="20"/>
                        </w:rPr>
                      </w:pPr>
                      <w:r>
                        <w:rPr>
                          <w:rFonts w:ascii="Lato;sans-serif" w:hAnsi="Lato;sans-serif"/>
                          <w:b w:val="false"/>
                          <w:color w:val="000000"/>
                          <w:sz w:val="20"/>
                        </w:rPr>
                        <w:t>51</w:t>
                      </w:r>
                    </w:p>
                    <w:p>
                      <w:pPr>
                        <w:pStyle w:val="TextBody"/>
                        <w:bidi w:val="0"/>
                        <w:spacing w:lineRule="auto" w:line="288" w:before="0" w:after="0"/>
                        <w:jc w:val="left"/>
                        <w:rPr>
                          <w:color w:val="000000"/>
                        </w:rPr>
                      </w:pPr>
                      <w:r>
                        <w:rPr>
                          <w:color w:val="000000"/>
                        </w:rPr>
                        <w:t>        </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rFonts w:ascii="Lato;sans-serif" w:hAnsi="Lato;sans-serif"/>
          <w:b/>
          <w:i/>
          <w:color w:val="000000"/>
          <w:sz w:val="20"/>
        </w:rPr>
      </w:pPr>
      <w:r>
        <w:rPr>
          <w:rFonts w:ascii="Lato;sans-serif" w:hAnsi="Lato;sans-serif"/>
          <w:b/>
          <w:i/>
          <w:color w:val="000000"/>
          <w:sz w:val="20"/>
        </w:rPr>
        <w:t>2025 CEO Premium-Priced Performance Option</w:t>
      </w:r>
    </w:p>
    <w:p>
      <w:pPr>
        <w:pStyle w:val="TextBody"/>
        <w:bidi w:val="0"/>
        <w:spacing w:lineRule="auto" w:line="288" w:before="180" w:after="180"/>
        <w:jc w:val="both"/>
        <w:rPr>
          <w:rFonts w:ascii="Lato;sans-serif" w:hAnsi="Lato;sans-serif"/>
          <w:b w:val="false"/>
          <w:i/>
          <w:color w:val="000000"/>
          <w:sz w:val="20"/>
        </w:rPr>
      </w:pPr>
      <w:r>
        <w:rPr>
          <w:rFonts w:ascii="Lato;sans-serif" w:hAnsi="Lato;sans-serif"/>
          <w:b w:val="false"/>
          <w:i/>
          <w:color w:val="000000"/>
          <w:sz w:val="20"/>
        </w:rPr>
        <w:t>Background</w:t>
      </w:r>
    </w:p>
    <w:p>
      <w:pPr>
        <w:pStyle w:val="TextBody"/>
        <w:bidi w:val="0"/>
        <w:spacing w:lineRule="auto" w:line="288" w:before="0" w:after="180"/>
        <w:jc w:val="both"/>
        <w:rPr/>
      </w:pPr>
      <w:r>
        <w:rPr>
          <w:rFonts w:ascii="Lato;sans-serif" w:hAnsi="Lato;sans-serif"/>
          <w:b w:val="false"/>
          <w:color w:val="000000"/>
          <w:sz w:val="20"/>
        </w:rPr>
        <w:t>On November 26, 2025 (the “</w:t>
      </w:r>
      <w:r>
        <w:rPr>
          <w:rFonts w:ascii="Lato;sans-serif" w:hAnsi="Lato;sans-serif"/>
          <w:b/>
          <w:i/>
          <w:color w:val="000000"/>
          <w:sz w:val="20"/>
        </w:rPr>
        <w:t>CEO Option Grant Date</w:t>
      </w:r>
      <w:r>
        <w:rPr>
          <w:color w:val="000000"/>
        </w:rPr>
        <w:t>”</w:t>
      </w:r>
      <w:r>
        <w:rPr>
          <w:rFonts w:ascii="Lato;sans-serif" w:hAnsi="Lato;sans-serif"/>
          <w:b w:val="false"/>
          <w:color w:val="000000"/>
          <w:sz w:val="20"/>
        </w:rPr>
        <w:t>), our Board, upon the recommendation of our Compensation Committee and after considering the input of Aon, granted Mr. Schuck the CEO Premium-Priced Performance Option, providing Mr. Schuck with the opportunity to purchase up to 9,678,000 shares of the Company’s common stock, at an exercise price equal to $13.54 (which represents a premium price of 140% of the fair market value of the price per share as of the CEO Option Grant Date), subject to the satisfaction of rigorous performance conditions and Mr. Schuck’s continued service as the Company’s Chief Executive Officer or Executive Chairman, as further described below. The CEO Premium-Priced Performance Option reflected the culmination of a multi-month process overseen by our Compensation Committee, with the assistance of Aon and outside legal advisors, to design a program that serves as a significant incentive and retentive vehicle at a strategic inflection point for the Company. In sizing the award, our Compensation Committee sought to create a significant, one-time equity award that would serve as a meaningful incentive for Mr. Schuck to successfully execute the strategy set by him, lead the Company’s operational execution and to maximize the sustained, long term value of the Company’s common stock. Importantly, the Company does not intend to grant any other equity awards to Mr. Schuck during the 10-year term of the award and, thus, the CEO Premium-Priced Performance Option represents an up-front equity award in lieu of annual participation in our long-term incentive program.</w:t>
      </w:r>
    </w:p>
    <w:p>
      <w:pPr>
        <w:pStyle w:val="TextBody"/>
        <w:bidi w:val="0"/>
        <w:spacing w:lineRule="auto" w:line="288" w:before="0" w:after="180"/>
        <w:jc w:val="left"/>
        <w:rPr>
          <w:rFonts w:ascii="Lato;sans-serif" w:hAnsi="Lato;sans-serif"/>
          <w:b w:val="false"/>
          <w:i/>
          <w:color w:val="000000"/>
          <w:sz w:val="20"/>
        </w:rPr>
      </w:pPr>
      <w:r>
        <w:rPr>
          <w:rFonts w:ascii="Lato;sans-serif" w:hAnsi="Lato;sans-serif"/>
          <w:b w:val="false"/>
          <w:i/>
          <w:color w:val="000000"/>
          <w:sz w:val="20"/>
        </w:rPr>
        <w:t>Grant Design and Structure</w:t>
      </w:r>
    </w:p>
    <w:p>
      <w:pPr>
        <w:pStyle w:val="TextBody"/>
        <w:bidi w:val="0"/>
        <w:spacing w:lineRule="auto" w:line="288" w:before="0" w:after="180"/>
        <w:jc w:val="both"/>
        <w:rPr>
          <w:rFonts w:ascii="Lato;sans-serif" w:hAnsi="Lato;sans-serif"/>
          <w:b w:val="false"/>
          <w:color w:val="000000"/>
          <w:sz w:val="20"/>
        </w:rPr>
      </w:pPr>
      <w:r>
        <w:rPr>
          <w:rFonts w:ascii="Lato;sans-serif" w:hAnsi="Lato;sans-serif"/>
          <w:b w:val="false"/>
          <w:color w:val="000000"/>
          <w:sz w:val="20"/>
        </w:rPr>
        <w:t>In structuring the grant, our Compensation Committee considered the fact that we are at a strategic inflection point, with the potential to deliver significant value to our customers and stockholders with the continued use of AI powered applications. ZoomInfo has built an all-in-one AI platform for go-to-market teams — combining proprietary data, AI-powered insights, and workflow automations. The Committee believes the Company is uniquely positioned to deliver significant and durable value to customers and stockholders as enterprise AI adoption accelerates. In designing the CEO Premium-Priced Performance Option award, our Compensation Committee sought to create an award that tightly aligns Mr. Schuck’s long-term compensation with sustained stockholder value creation. The CEO Premium-Priced Performance Option directly links potential realizable value to the achievement of ambitious, measurable outcomes over a ten-year period. Specifically, it (i) focuses Mr. Schuck on durable, compounding free cash flow per share growth as the foundation of value creation, (ii) rewards sustained stock performance through a twenty trading-day average closing price requirement, designed to help ensure that vesting is based on lasting results, rather than short-term volatility, (iii) requires outperformance relative to the broader market to reinforce accountability to investors and (iv) serves both as a long-term retention vehicle and a public signal of the Board’s confidence in Mr. Schuck and the strategy set by him, our operational execution and the Company’s future stock price appreciation.</w:t>
      </w:r>
    </w:p>
    <w:p>
      <w:pPr>
        <w:pStyle w:val="TextBody"/>
        <w:bidi w:val="0"/>
        <w:spacing w:before="0" w:after="0"/>
        <w:jc w:val="both"/>
        <w:rPr/>
      </w:pPr>
      <w:r>
        <w:rPr/>
      </w:r>
    </w:p>
    <w:p>
      <w:pPr>
        <w:pStyle w:val="TextBody"/>
        <w:bidi w:val="0"/>
        <w:spacing w:lineRule="auto" w:line="288" w:before="0" w:after="0"/>
        <w:jc w:val="both"/>
        <w:rPr>
          <w:rFonts w:ascii="Lato;sans-serif" w:hAnsi="Lato;sans-serif"/>
          <w:b w:val="false"/>
          <w:color w:val="000000"/>
          <w:sz w:val="20"/>
        </w:rPr>
      </w:pPr>
      <w:r>
        <w:rPr>
          <w:rFonts w:ascii="Lato;sans-serif" w:hAnsi="Lato;sans-serif"/>
          <w:b w:val="false"/>
          <w:color w:val="000000"/>
          <w:sz w:val="20"/>
        </w:rPr>
        <w:t>Our Compensation Committee determined that now is the appropriate time to issue the CEO Premium-Priced Performance Option to Mr. Schuck, given the Company’s strategic inflection point and the Company’s progress in stabilizing growth, maintaining margins, and strengthening free cash flow. The CEO Premium-Priced Performance Option is intended to reinforce continuity of leadership during a period of transformation and to align Mr. Schuck’s incentives squarely with the next phase of the Company’s long-term value creation. The Company has a strong foundation of operating discipline and has continued to shift the business toward more durable, up-market growth with industry-leading and AI-centered products. As a result, our Compensation Committee believes the Company has entered a stage, where executing an ambitious product roadmap and accelerating expansion up-market are key to the Company’s long-term cash generation and stockholder value creation. Returning to consistent top-line growth, coupled with expanding margins and sustaining stock performance, will define stockholder value. We believe that this grant helps to ensure that meaningful rewards are earned only through multi-year, measurable outperformance that benefits the Company’s stockholders.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6480175" cy="352425"/>
                <wp:effectExtent l="0" t="0" r="0" b="0"/>
                <wp:wrapNone/>
                <wp:docPr id="74" name="Frame58"/>
                <a:graphic xmlns:a="http://schemas.openxmlformats.org/drawingml/2006/main">
                  <a:graphicData uri="http://schemas.microsoft.com/office/word/2010/wordprocessingShape">
                    <wps:wsp>
                      <wps:cNvSpPr txBox="1"/>
                      <wps:spPr>
                        <a:xfrm>
                          <a:off x="0" y="0"/>
                          <a:ext cx="6480175" cy="352425"/>
                        </a:xfrm>
                        <a:prstGeom prst="rect"/>
                        <a:solidFill>
                          <a:srgbClr val="FFFFFF"/>
                        </a:solidFill>
                      </wps:spPr>
                      <wps:txbx>
                        <w:txbxContent>
                          <w:p>
                            <w:pPr>
                              <w:pStyle w:val="TextBody"/>
                              <w:bidi w:val="0"/>
                              <w:spacing w:lineRule="auto" w:line="288" w:before="0" w:after="0"/>
                              <w:jc w:val="center"/>
                              <w:rPr>
                                <w:rFonts w:ascii="Lato;sans-serif" w:hAnsi="Lato;sans-serif"/>
                                <w:b w:val="false"/>
                                <w:color w:val="000000"/>
                                <w:sz w:val="20"/>
                              </w:rPr>
                            </w:pPr>
                            <w:r>
                              <w:rPr>
                                <w:rFonts w:ascii="Lato;sans-serif" w:hAnsi="Lato;sans-serif"/>
                                <w:b w:val="false"/>
                                <w:color w:val="000000"/>
                                <w:sz w:val="20"/>
                              </w:rPr>
                              <w:t>52</w:t>
                            </w:r>
                          </w:p>
                          <w:p>
                            <w:pPr>
                              <w:pStyle w:val="TextBody"/>
                              <w:bidi w:val="0"/>
                              <w:spacing w:lineRule="auto" w:line="288" w:before="0" w:after="0"/>
                              <w:jc w:val="left"/>
                              <w:rPr>
                                <w:color w:val="000000"/>
                              </w:rPr>
                            </w:pPr>
                            <w:r>
                              <w:rPr>
                                <w:color w:val="000000"/>
                              </w:rPr>
                              <w:t>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Lato;sans-serif" w:hAnsi="Lato;sans-serif"/>
                          <w:b w:val="false"/>
                          <w:color w:val="000000"/>
                          <w:sz w:val="20"/>
                        </w:rPr>
                      </w:pPr>
                      <w:r>
                        <w:rPr>
                          <w:rFonts w:ascii="Lato;sans-serif" w:hAnsi="Lato;sans-serif"/>
                          <w:b w:val="false"/>
                          <w:color w:val="000000"/>
                          <w:sz w:val="20"/>
                        </w:rPr>
                        <w:t>52</w:t>
                      </w:r>
                    </w:p>
                    <w:p>
                      <w:pPr>
                        <w:pStyle w:val="TextBody"/>
                        <w:bidi w:val="0"/>
                        <w:spacing w:lineRule="auto" w:line="288" w:before="0" w:after="0"/>
                        <w:jc w:val="left"/>
                        <w:rPr>
                          <w:color w:val="000000"/>
                        </w:rPr>
                      </w:pPr>
                      <w:r>
                        <w:rPr>
                          <w:color w:val="000000"/>
                        </w:rPr>
                        <w:t>        </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300" w:after="180"/>
        <w:jc w:val="both"/>
        <w:rPr>
          <w:rFonts w:ascii="Lato;sans-serif" w:hAnsi="Lato;sans-serif"/>
          <w:b w:val="false"/>
          <w:i/>
          <w:color w:val="000000"/>
          <w:sz w:val="20"/>
        </w:rPr>
      </w:pPr>
      <w:r>
        <w:rPr>
          <w:rFonts w:ascii="Lato;sans-serif" w:hAnsi="Lato;sans-serif"/>
          <w:b w:val="false"/>
          <w:i/>
          <w:color w:val="000000"/>
          <w:sz w:val="20"/>
        </w:rPr>
        <w:t>Performance Measures of the Grant</w:t>
      </w:r>
    </w:p>
    <w:p>
      <w:pPr>
        <w:pStyle w:val="TextBody"/>
        <w:bidi w:val="0"/>
        <w:spacing w:lineRule="auto" w:line="288" w:before="0" w:after="0"/>
        <w:jc w:val="both"/>
        <w:rPr>
          <w:rFonts w:ascii="Lato;sans-serif" w:hAnsi="Lato;sans-serif"/>
          <w:b w:val="false"/>
          <w:color w:val="000000"/>
          <w:sz w:val="20"/>
        </w:rPr>
      </w:pPr>
      <w:r>
        <w:rPr>
          <w:rFonts w:ascii="Lato;sans-serif" w:hAnsi="Lato;sans-serif"/>
          <w:b w:val="false"/>
          <w:color w:val="000000"/>
          <w:sz w:val="20"/>
        </w:rPr>
        <w:t>The Company selected adjusted free cash flow per share as the primary long-term performance measure because our Compensation Committee believes it most directly reflects the Company’s ability to create sustained stockholder value while maintaining operational discipline. Adjusted free cash flow per share integrates revenue growth, profitability, capital efficiency, and share count management into a single metric that we believe aligns with how investors evaluate our long-term performance and intrinsic value creation.</w:t>
      </w:r>
    </w:p>
    <w:p>
      <w:pPr>
        <w:pStyle w:val="TextBody"/>
        <w:bidi w:val="0"/>
        <w:spacing w:lineRule="auto" w:line="288" w:before="0" w:after="180"/>
        <w:jc w:val="both"/>
        <w:rPr>
          <w:rFonts w:ascii="Lato;sans-serif" w:hAnsi="Lato;sans-serif"/>
          <w:b w:val="false"/>
          <w:color w:val="000000"/>
          <w:sz w:val="20"/>
        </w:rPr>
      </w:pPr>
      <w:r>
        <w:rPr>
          <w:rFonts w:ascii="Lato;sans-serif" w:hAnsi="Lato;sans-serif"/>
          <w:b w:val="false"/>
          <w:color w:val="000000"/>
          <w:sz w:val="20"/>
        </w:rPr>
        <w:t>Our strategic focus is on scalable growth, durable margins, and disciplined capital allocation. We believe adjusted free cash flow per share captures each of these dimensions: it measures our ability to (i) grow recurring revenue and operating income while converting those gains into cash; (ii) reinvest prudently in product innovation and go-to-market capabilities; and (iii) return value to stockholders through share repurchases and other capital deployment. Because it reflects both cash generation and per-share economics, we believe adjusted free cash flow per share is a direct indicator of the Company’s capacity to compound value for our stockholders over time.</w:t>
      </w:r>
    </w:p>
    <w:p>
      <w:pPr>
        <w:pStyle w:val="TextBody"/>
        <w:bidi w:val="0"/>
        <w:spacing w:lineRule="auto" w:line="288" w:before="0" w:after="180"/>
        <w:jc w:val="left"/>
        <w:rPr>
          <w:rFonts w:ascii="Lato;sans-serif" w:hAnsi="Lato;sans-serif"/>
          <w:b w:val="false"/>
          <w:color w:val="000000"/>
          <w:sz w:val="20"/>
        </w:rPr>
      </w:pPr>
      <w:r>
        <w:rPr>
          <w:rFonts w:ascii="Lato;sans-serif" w:hAnsi="Lato;sans-serif"/>
          <w:b w:val="false"/>
          <w:color w:val="000000"/>
          <w:sz w:val="20"/>
        </w:rPr>
        <w:t xml:space="preserve">Our Compensation Committee believes that emphasizing adjusted free cash flow per share: </w:t>
      </w:r>
    </w:p>
    <w:p>
      <w:pPr>
        <w:pStyle w:val="TextBody"/>
        <w:bidi w:val="0"/>
        <w:spacing w:lineRule="auto" w:line="288" w:before="0" w:after="100"/>
        <w:ind w:left="0" w:right="0" w:hanging="360"/>
        <w:jc w:val="left"/>
        <w:rPr/>
      </w:pPr>
      <w:r>
        <w:rPr>
          <w:color w:val="000000"/>
        </w:rPr>
        <w:t>•</w:t>
      </w:r>
      <w:r>
        <w:rPr>
          <w:rFonts w:ascii="Lato;sans-serif" w:hAnsi="Lato;sans-serif"/>
          <w:b w:val="false"/>
          <w:color w:val="000000"/>
          <w:sz w:val="20"/>
        </w:rPr>
        <w:t>aligns leadership incentives with the interests of our stockholders, ensuring that management decisions prioritize sustainable cash generation and per-share returns rather than short-term revenue or margin targets;</w:t>
      </w:r>
    </w:p>
    <w:p>
      <w:pPr>
        <w:pStyle w:val="TextBody"/>
        <w:bidi w:val="0"/>
        <w:spacing w:lineRule="auto" w:line="288" w:before="0" w:after="100"/>
        <w:ind w:left="0" w:right="0" w:hanging="360"/>
        <w:jc w:val="left"/>
        <w:rPr/>
      </w:pPr>
      <w:r>
        <w:rPr>
          <w:color w:val="000000"/>
        </w:rPr>
        <w:t>•</w:t>
      </w:r>
      <w:r>
        <w:rPr>
          <w:rFonts w:ascii="Lato;sans-serif" w:hAnsi="Lato;sans-serif"/>
          <w:b w:val="false"/>
          <w:color w:val="000000"/>
          <w:sz w:val="20"/>
        </w:rPr>
        <w:t>encourages long-term decision-making and investment discipline, reinforcing a focus on quality of growth and capital efficiency; and</w:t>
      </w:r>
    </w:p>
    <w:p>
      <w:pPr>
        <w:pStyle w:val="TextBody"/>
        <w:bidi w:val="0"/>
        <w:spacing w:lineRule="auto" w:line="288" w:before="0" w:after="180"/>
        <w:ind w:left="0" w:right="0" w:hanging="360"/>
        <w:jc w:val="left"/>
        <w:rPr/>
      </w:pPr>
      <w:r>
        <w:rPr>
          <w:color w:val="000000"/>
        </w:rPr>
        <w:t>•</w:t>
      </w:r>
      <w:r>
        <w:rPr>
          <w:rFonts w:ascii="Lato;sans-serif" w:hAnsi="Lato;sans-serif"/>
          <w:b w:val="false"/>
          <w:color w:val="000000"/>
          <w:sz w:val="20"/>
        </w:rPr>
        <w:t>provides transparency and accountability, as the metric is objectively measurable and closely correlated with long-term total shareholder return.</w:t>
      </w:r>
    </w:p>
    <w:p>
      <w:pPr>
        <w:pStyle w:val="TextBody"/>
        <w:bidi w:val="0"/>
        <w:spacing w:lineRule="auto" w:line="288" w:before="0" w:after="180"/>
        <w:jc w:val="both"/>
        <w:rPr>
          <w:rFonts w:ascii="Lato;sans-serif" w:hAnsi="Lato;sans-serif"/>
          <w:b w:val="false"/>
          <w:color w:val="000000"/>
          <w:sz w:val="20"/>
        </w:rPr>
      </w:pPr>
      <w:r>
        <w:rPr>
          <w:rFonts w:ascii="Lato;sans-serif" w:hAnsi="Lato;sans-serif"/>
          <w:b w:val="false"/>
          <w:color w:val="000000"/>
          <w:sz w:val="20"/>
        </w:rPr>
        <w:t>Our Compensation Committee views adjusted free cash flow per share as the most comprehensive measure of the Company’s operational health and long-term success. By tying the vesting of the CEO Premium-Priced Performance Option to this metric, the award reinforces the Company’s strategic objective of delivering durable, compounding value for our stockholders.</w:t>
      </w:r>
    </w:p>
    <w:p>
      <w:pPr>
        <w:pStyle w:val="TextBody"/>
        <w:bidi w:val="0"/>
        <w:spacing w:lineRule="auto" w:line="288" w:before="0" w:after="180"/>
        <w:jc w:val="both"/>
        <w:rPr>
          <w:rFonts w:ascii="Lato;sans-serif" w:hAnsi="Lato;sans-serif"/>
          <w:b w:val="false"/>
          <w:color w:val="000000"/>
          <w:sz w:val="20"/>
        </w:rPr>
      </w:pPr>
      <w:r>
        <w:rPr>
          <w:rFonts w:ascii="Lato;sans-serif" w:hAnsi="Lato;sans-serif"/>
          <w:b w:val="false"/>
          <w:color w:val="000000"/>
          <w:sz w:val="20"/>
        </w:rPr>
        <w:t>Our Compensation Committee determined that stock price performance, measured based on the Company’s average closing price over twenty consecutive trading days, is an essential complement to the internal operational metric of adjusted free cash flow per share. The inclusion of stock price directly aligns Mr. Schuck’s potential realizable value with long-term stockholder returns, which we believe provides a transparent, market-based measure of performance that investors can independently verify.</w:t>
      </w:r>
    </w:p>
    <w:p>
      <w:pPr>
        <w:pStyle w:val="TextBody"/>
        <w:bidi w:val="0"/>
        <w:spacing w:lineRule="auto" w:line="288" w:before="0" w:after="0"/>
        <w:jc w:val="both"/>
        <w:rPr>
          <w:rFonts w:ascii="Lato;sans-serif" w:hAnsi="Lato;sans-serif"/>
          <w:b w:val="false"/>
          <w:color w:val="000000"/>
          <w:sz w:val="20"/>
        </w:rPr>
      </w:pPr>
      <w:r>
        <w:rPr>
          <w:rFonts w:ascii="Lato;sans-serif" w:hAnsi="Lato;sans-serif"/>
          <w:b w:val="false"/>
          <w:color w:val="000000"/>
          <w:sz w:val="20"/>
        </w:rPr>
        <w:t xml:space="preserve">Requiring the Company’s stock price to sustain an average closing price over an extended trading period is designed to help ensure that vesting reflects durable, value-creating performance, not temporary market volatility or short-term price spikes. We believe that the twenty day averaging mechanism sets a high bar for achievement and underscores the award’s focus on sustained outperformance and stockholder confidence. By establishing ambitious stock-price hurdles, the award is designed to motivate exceptional execution, strategic consistency, and investor-validated success over the full ten-year term of the grant. Importantly, in order to govern against vesting due solely to broad market inflation, the award also includes a relative TSR condition that reduces the award payout to 0% if the performance goals are satisfied but the Compensation Committee determines the relative TSR condition has not been satisfied for the applicable measurement period. </w:t>
      </w:r>
    </w:p>
    <w:p>
      <w:pPr>
        <w:pStyle w:val="TextBody"/>
        <w:bidi w:val="0"/>
        <w:spacing w:before="0" w:after="0"/>
        <w:jc w:val="left"/>
        <w:rPr/>
      </w:pPr>
      <w:r>
        <w:rPr/>
      </w:r>
    </w:p>
    <w:p>
      <w:pPr>
        <w:pStyle w:val="TextBody"/>
        <w:bidi w:val="0"/>
        <w:spacing w:lineRule="auto" w:line="288" w:before="0" w:after="180"/>
        <w:jc w:val="both"/>
        <w:rPr>
          <w:rFonts w:ascii="Lato;sans-serif" w:hAnsi="Lato;sans-serif"/>
          <w:b w:val="false"/>
          <w:color w:val="000000"/>
          <w:sz w:val="20"/>
        </w:rPr>
      </w:pPr>
      <w:r>
        <w:rPr>
          <w:rFonts w:ascii="Lato;sans-serif" w:hAnsi="Lato;sans-serif"/>
          <w:b w:val="false"/>
          <w:color w:val="000000"/>
          <w:sz w:val="20"/>
        </w:rPr>
        <w:t>Our Compensation Committee believes that pairing this market-based metric with rigorous internal financial goals creates a balanced incentive framework, rewarding Mr. Schuck for both fundamental operating excellence and the creation of lasting stockholder value, as reflected in the Company’s market performance.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6480175" cy="352425"/>
                <wp:effectExtent l="0" t="0" r="0" b="0"/>
                <wp:wrapNone/>
                <wp:docPr id="75" name="Frame59"/>
                <a:graphic xmlns:a="http://schemas.openxmlformats.org/drawingml/2006/main">
                  <a:graphicData uri="http://schemas.microsoft.com/office/word/2010/wordprocessingShape">
                    <wps:wsp>
                      <wps:cNvSpPr txBox="1"/>
                      <wps:spPr>
                        <a:xfrm>
                          <a:off x="0" y="0"/>
                          <a:ext cx="6480175" cy="352425"/>
                        </a:xfrm>
                        <a:prstGeom prst="rect"/>
                        <a:solidFill>
                          <a:srgbClr val="FFFFFF"/>
                        </a:solidFill>
                      </wps:spPr>
                      <wps:txbx>
                        <w:txbxContent>
                          <w:p>
                            <w:pPr>
                              <w:pStyle w:val="TextBody"/>
                              <w:bidi w:val="0"/>
                              <w:spacing w:lineRule="auto" w:line="288" w:before="0" w:after="0"/>
                              <w:jc w:val="center"/>
                              <w:rPr>
                                <w:rFonts w:ascii="Lato;sans-serif" w:hAnsi="Lato;sans-serif"/>
                                <w:b w:val="false"/>
                                <w:color w:val="000000"/>
                                <w:sz w:val="20"/>
                              </w:rPr>
                            </w:pPr>
                            <w:r>
                              <w:rPr>
                                <w:rFonts w:ascii="Lato;sans-serif" w:hAnsi="Lato;sans-serif"/>
                                <w:b w:val="false"/>
                                <w:color w:val="000000"/>
                                <w:sz w:val="20"/>
                              </w:rPr>
                              <w:t>53</w:t>
                            </w:r>
                          </w:p>
                          <w:p>
                            <w:pPr>
                              <w:pStyle w:val="TextBody"/>
                              <w:bidi w:val="0"/>
                              <w:spacing w:lineRule="auto" w:line="288" w:before="0" w:after="0"/>
                              <w:jc w:val="left"/>
                              <w:rPr>
                                <w:color w:val="000000"/>
                              </w:rPr>
                            </w:pPr>
                            <w:r>
                              <w:rPr>
                                <w:color w:val="000000"/>
                              </w:rPr>
                              <w:t>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Lato;sans-serif" w:hAnsi="Lato;sans-serif"/>
                          <w:b w:val="false"/>
                          <w:color w:val="000000"/>
                          <w:sz w:val="20"/>
                        </w:rPr>
                      </w:pPr>
                      <w:r>
                        <w:rPr>
                          <w:rFonts w:ascii="Lato;sans-serif" w:hAnsi="Lato;sans-serif"/>
                          <w:b w:val="false"/>
                          <w:color w:val="000000"/>
                          <w:sz w:val="20"/>
                        </w:rPr>
                        <w:t>53</w:t>
                      </w:r>
                    </w:p>
                    <w:p>
                      <w:pPr>
                        <w:pStyle w:val="TextBody"/>
                        <w:bidi w:val="0"/>
                        <w:spacing w:lineRule="auto" w:line="288" w:before="0" w:after="0"/>
                        <w:jc w:val="left"/>
                        <w:rPr>
                          <w:color w:val="000000"/>
                        </w:rPr>
                      </w:pPr>
                      <w:r>
                        <w:rPr>
                          <w:color w:val="000000"/>
                        </w:rPr>
                        <w:t>        </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300" w:after="180"/>
        <w:jc w:val="both"/>
        <w:rPr>
          <w:rFonts w:ascii="Lato;sans-serif" w:hAnsi="Lato;sans-serif"/>
          <w:b w:val="false"/>
          <w:color w:val="000000"/>
          <w:sz w:val="20"/>
        </w:rPr>
      </w:pPr>
      <w:r>
        <w:rPr>
          <w:rFonts w:ascii="Lato;sans-serif" w:hAnsi="Lato;sans-serif"/>
          <w:b w:val="false"/>
          <w:color w:val="000000"/>
          <w:sz w:val="20"/>
        </w:rPr>
        <w:t>Finally, because our Compensation Committee wanted to incentivize above-market, transformational performance, our Compensation Committee designed the CEO Premium-Priced Performance Option to be more rigorous and challenging than other recent transformational programs it reviewed. The stock price goals and adjusted free cash flow per share goals are set at significant premiums to the current performance and trading price, and all performance goals must be met within the same Performance Measurement Period (as described below) to ensure total performance is delivered. If achieved, stockholders would experience exceptional value creation, with the maximum performance goals representing an increase of nearly 317% as compared to the Company’s adjusted free cash flow for 2025 and a stock price goal that is 414% of the fair market value of the stock price as of the grant date of the award.</w:t>
      </w:r>
    </w:p>
    <w:p>
      <w:pPr>
        <w:pStyle w:val="TextBody"/>
        <w:bidi w:val="0"/>
        <w:spacing w:lineRule="auto" w:line="288" w:before="300" w:after="180"/>
        <w:jc w:val="both"/>
        <w:rPr>
          <w:rFonts w:ascii="Lato;sans-serif" w:hAnsi="Lato;sans-serif"/>
          <w:b w:val="false"/>
          <w:i/>
          <w:color w:val="000000"/>
          <w:sz w:val="20"/>
        </w:rPr>
      </w:pPr>
      <w:r>
        <w:rPr>
          <w:rFonts w:ascii="Lato;sans-serif" w:hAnsi="Lato;sans-serif"/>
          <w:b w:val="false"/>
          <w:i/>
          <w:color w:val="000000"/>
          <w:sz w:val="20"/>
        </w:rPr>
        <w:t>Summary of the Key Terms of the Grant</w:t>
      </w:r>
    </w:p>
    <w:p>
      <w:pPr>
        <w:pStyle w:val="TextBody"/>
        <w:bidi w:val="0"/>
        <w:spacing w:lineRule="auto" w:line="288" w:before="0" w:after="180"/>
        <w:jc w:val="both"/>
        <w:rPr>
          <w:rFonts w:ascii="Lato;sans-serif" w:hAnsi="Lato;sans-serif"/>
          <w:b w:val="false"/>
          <w:color w:val="000000"/>
          <w:sz w:val="20"/>
        </w:rPr>
      </w:pPr>
      <w:r>
        <w:rPr>
          <w:rFonts w:ascii="Lato;sans-serif" w:hAnsi="Lato;sans-serif"/>
          <w:b w:val="false"/>
          <w:color w:val="000000"/>
          <w:sz w:val="20"/>
        </w:rPr>
        <w:t>Based on discussions with Aon, our Compensation Committee structured the CEO Premium-Priced Performance Option to incentivize the creation of sustained stockholder value through above-market, transformational performance, innovation and operational excellence, resulting in the following features in the CEO Premium-Priced Performance Option design:</w:t>
      </w:r>
    </w:p>
    <w:tbl>
      <w:tblPr>
        <w:tblW w:w="10205" w:type="dxa"/>
        <w:jc w:val="left"/>
        <w:tblInd w:w="0" w:type="dxa"/>
        <w:tblLayout w:type="fixed"/>
        <w:tblCellMar>
          <w:top w:w="28" w:type="dxa"/>
          <w:left w:w="28" w:type="dxa"/>
          <w:bottom w:w="28" w:type="dxa"/>
          <w:right w:w="28" w:type="dxa"/>
        </w:tblCellMar>
      </w:tblPr>
      <w:tblGrid>
        <w:gridCol w:w="1286"/>
        <w:gridCol w:w="957"/>
        <w:gridCol w:w="678"/>
        <w:gridCol w:w="2518"/>
        <w:gridCol w:w="1967"/>
        <w:gridCol w:w="2799"/>
      </w:tblGrid>
      <w:tr>
        <w:trPr/>
        <w:tc>
          <w:tcPr>
            <w:tcW w:w="1286" w:type="dxa"/>
            <w:tcBorders/>
            <w:vAlign w:val="center"/>
          </w:tcPr>
          <w:p>
            <w:pPr>
              <w:pStyle w:val="TableContents"/>
              <w:bidi w:val="0"/>
              <w:spacing w:before="0" w:after="283"/>
              <w:jc w:val="left"/>
              <w:rPr>
                <w:sz w:val="4"/>
                <w:szCs w:val="4"/>
              </w:rPr>
            </w:pPr>
            <w:r>
              <w:rPr>
                <w:sz w:val="4"/>
                <w:szCs w:val="4"/>
              </w:rPr>
            </w:r>
          </w:p>
        </w:tc>
        <w:tc>
          <w:tcPr>
            <w:tcW w:w="957" w:type="dxa"/>
            <w:tcBorders/>
            <w:vAlign w:val="center"/>
          </w:tcPr>
          <w:p>
            <w:pPr>
              <w:pStyle w:val="TableContents"/>
              <w:bidi w:val="0"/>
              <w:spacing w:before="0" w:after="283"/>
              <w:jc w:val="left"/>
              <w:rPr>
                <w:sz w:val="4"/>
                <w:szCs w:val="4"/>
              </w:rPr>
            </w:pPr>
            <w:r>
              <w:rPr>
                <w:sz w:val="4"/>
                <w:szCs w:val="4"/>
              </w:rPr>
            </w:r>
          </w:p>
        </w:tc>
        <w:tc>
          <w:tcPr>
            <w:tcW w:w="678" w:type="dxa"/>
            <w:tcBorders/>
            <w:vAlign w:val="center"/>
          </w:tcPr>
          <w:p>
            <w:pPr>
              <w:pStyle w:val="TableContents"/>
              <w:bidi w:val="0"/>
              <w:spacing w:before="0" w:after="283"/>
              <w:jc w:val="left"/>
              <w:rPr>
                <w:sz w:val="4"/>
                <w:szCs w:val="4"/>
              </w:rPr>
            </w:pPr>
            <w:r>
              <w:rPr>
                <w:sz w:val="4"/>
                <w:szCs w:val="4"/>
              </w:rPr>
            </w:r>
          </w:p>
        </w:tc>
        <w:tc>
          <w:tcPr>
            <w:tcW w:w="2518" w:type="dxa"/>
            <w:tcBorders/>
            <w:vAlign w:val="center"/>
          </w:tcPr>
          <w:p>
            <w:pPr>
              <w:pStyle w:val="TableContents"/>
              <w:bidi w:val="0"/>
              <w:spacing w:before="0" w:after="283"/>
              <w:jc w:val="left"/>
              <w:rPr>
                <w:sz w:val="4"/>
                <w:szCs w:val="4"/>
              </w:rPr>
            </w:pPr>
            <w:r>
              <w:rPr>
                <w:sz w:val="4"/>
                <w:szCs w:val="4"/>
              </w:rPr>
            </w:r>
          </w:p>
        </w:tc>
        <w:tc>
          <w:tcPr>
            <w:tcW w:w="1967" w:type="dxa"/>
            <w:tcBorders/>
            <w:vAlign w:val="center"/>
          </w:tcPr>
          <w:p>
            <w:pPr>
              <w:pStyle w:val="TableContents"/>
              <w:bidi w:val="0"/>
              <w:spacing w:before="0" w:after="283"/>
              <w:jc w:val="left"/>
              <w:rPr>
                <w:sz w:val="4"/>
                <w:szCs w:val="4"/>
              </w:rPr>
            </w:pPr>
            <w:r>
              <w:rPr>
                <w:sz w:val="4"/>
                <w:szCs w:val="4"/>
              </w:rPr>
            </w:r>
          </w:p>
        </w:tc>
        <w:tc>
          <w:tcPr>
            <w:tcW w:w="2799" w:type="dxa"/>
            <w:tcBorders/>
            <w:vAlign w:val="center"/>
          </w:tcPr>
          <w:p>
            <w:pPr>
              <w:pStyle w:val="TableContents"/>
              <w:bidi w:val="0"/>
              <w:spacing w:before="0" w:after="283"/>
              <w:jc w:val="left"/>
              <w:rPr>
                <w:sz w:val="4"/>
                <w:szCs w:val="4"/>
              </w:rPr>
            </w:pPr>
            <w:r>
              <w:rPr>
                <w:sz w:val="4"/>
                <w:szCs w:val="4"/>
              </w:rPr>
            </w:r>
          </w:p>
        </w:tc>
      </w:tr>
      <w:tr>
        <w:trPr/>
        <w:tc>
          <w:tcPr>
            <w:tcW w:w="10205" w:type="dxa"/>
            <w:gridSpan w:val="6"/>
            <w:tcBorders/>
            <w:shd w:fill="F44238" w:val="clear"/>
            <w:tcMar>
              <w:top w:w="0" w:type="dxa"/>
              <w:left w:w="0" w:type="dxa"/>
              <w:bottom w:w="0" w:type="dxa"/>
              <w:right w:w="0" w:type="dxa"/>
            </w:tcMar>
            <w:vAlign w:val="center"/>
          </w:tcPr>
          <w:p>
            <w:pPr>
              <w:pStyle w:val="TableContents"/>
              <w:bidi w:val="0"/>
              <w:spacing w:lineRule="auto" w:line="268" w:before="0" w:after="283"/>
              <w:jc w:val="center"/>
              <w:rPr>
                <w:rFonts w:ascii="Lato;sans-serif" w:hAnsi="Lato;sans-serif"/>
                <w:b/>
                <w:color w:val="FFFFFF"/>
                <w:sz w:val="20"/>
              </w:rPr>
            </w:pPr>
            <w:r>
              <w:rPr>
                <w:rFonts w:ascii="Lato;sans-serif" w:hAnsi="Lato;sans-serif"/>
                <w:b/>
                <w:color w:val="FFFFFF"/>
                <w:sz w:val="20"/>
              </w:rPr>
              <w:t>CEO Premium-Priced Performance Option Terms</w:t>
            </w:r>
          </w:p>
        </w:tc>
      </w:tr>
      <w:tr>
        <w:trPr/>
        <w:tc>
          <w:tcPr>
            <w:tcW w:w="292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76" w:before="0" w:after="0"/>
              <w:jc w:val="left"/>
              <w:rPr>
                <w:rFonts w:ascii="Lato;sans-serif" w:hAnsi="Lato;sans-serif"/>
                <w:b/>
                <w:color w:val="000000"/>
                <w:sz w:val="20"/>
              </w:rPr>
            </w:pPr>
            <w:r>
              <w:rPr>
                <w:rFonts w:ascii="Lato;sans-serif" w:hAnsi="Lato;sans-serif"/>
                <w:b/>
                <w:color w:val="000000"/>
                <w:sz w:val="20"/>
              </w:rPr>
              <w:t>Option Term:</w:t>
            </w:r>
          </w:p>
        </w:tc>
        <w:tc>
          <w:tcPr>
            <w:tcW w:w="7284"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76" w:before="0" w:after="0"/>
              <w:jc w:val="both"/>
              <w:rPr/>
            </w:pPr>
            <w:r>
              <w:rPr>
                <w:rFonts w:ascii="Lato;sans-serif" w:hAnsi="Lato;sans-serif"/>
                <w:b w:val="false"/>
                <w:color w:val="000000"/>
                <w:sz w:val="20"/>
              </w:rPr>
              <w:t>Option expires on the ten-year anniversary of the CEO Option Grant Date (the “</w:t>
            </w:r>
            <w:r>
              <w:rPr>
                <w:rFonts w:ascii="Lato;sans-serif" w:hAnsi="Lato;sans-serif"/>
                <w:b/>
                <w:i/>
                <w:color w:val="000000"/>
                <w:sz w:val="20"/>
              </w:rPr>
              <w:t>Expiration Date</w:t>
            </w:r>
            <w:r>
              <w:rPr>
                <w:color w:val="000000"/>
              </w:rPr>
              <w:t>”</w:t>
            </w:r>
            <w:r>
              <w:rPr>
                <w:rFonts w:ascii="Lato;sans-serif" w:hAnsi="Lato;sans-serif"/>
                <w:b w:val="false"/>
                <w:color w:val="000000"/>
                <w:sz w:val="20"/>
              </w:rPr>
              <w:t>).</w:t>
            </w:r>
          </w:p>
        </w:tc>
      </w:tr>
      <w:tr>
        <w:trPr/>
        <w:tc>
          <w:tcPr>
            <w:tcW w:w="2921" w:type="dxa"/>
            <w:gridSpan w:val="3"/>
            <w:tcBorders/>
            <w:shd w:fill="DBDBDB" w:val="clear"/>
            <w:tcMar>
              <w:top w:w="0" w:type="dxa"/>
              <w:left w:w="0" w:type="dxa"/>
              <w:bottom w:w="0" w:type="dxa"/>
              <w:right w:w="0" w:type="dxa"/>
            </w:tcMar>
            <w:vAlign w:val="center"/>
          </w:tcPr>
          <w:p>
            <w:pPr>
              <w:pStyle w:val="TableContents"/>
              <w:bidi w:val="0"/>
              <w:spacing w:lineRule="auto" w:line="276" w:before="0" w:after="0"/>
              <w:jc w:val="left"/>
              <w:rPr>
                <w:rFonts w:ascii="Lato;sans-serif" w:hAnsi="Lato;sans-serif"/>
                <w:b/>
                <w:color w:val="000000"/>
                <w:sz w:val="20"/>
              </w:rPr>
            </w:pPr>
            <w:r>
              <w:rPr>
                <w:rFonts w:ascii="Lato;sans-serif" w:hAnsi="Lato;sans-serif"/>
                <w:b/>
                <w:color w:val="000000"/>
                <w:sz w:val="20"/>
              </w:rPr>
              <w:t>Number of Shares Subject to CEO Premium-Priced Performance Option:</w:t>
            </w:r>
          </w:p>
        </w:tc>
        <w:tc>
          <w:tcPr>
            <w:tcW w:w="7284" w:type="dxa"/>
            <w:gridSpan w:val="3"/>
            <w:tcBorders/>
            <w:shd w:fill="DBDBDB" w:val="clear"/>
            <w:tcMar>
              <w:top w:w="0" w:type="dxa"/>
              <w:left w:w="0" w:type="dxa"/>
              <w:bottom w:w="0" w:type="dxa"/>
              <w:right w:w="0" w:type="dxa"/>
            </w:tcMar>
            <w:vAlign w:val="center"/>
          </w:tcPr>
          <w:p>
            <w:pPr>
              <w:pStyle w:val="TableContents"/>
              <w:bidi w:val="0"/>
              <w:spacing w:lineRule="auto" w:line="276" w:before="0" w:after="283"/>
              <w:jc w:val="both"/>
              <w:rPr>
                <w:rFonts w:ascii="Lato;sans-serif" w:hAnsi="Lato;sans-serif"/>
                <w:b w:val="false"/>
                <w:color w:val="000000"/>
                <w:sz w:val="20"/>
              </w:rPr>
            </w:pPr>
            <w:r>
              <w:rPr>
                <w:rFonts w:ascii="Lato;sans-serif" w:hAnsi="Lato;sans-serif"/>
                <w:b w:val="false"/>
                <w:color w:val="000000"/>
                <w:sz w:val="20"/>
              </w:rPr>
              <w:t>9,678,000 shares</w:t>
            </w:r>
          </w:p>
        </w:tc>
      </w:tr>
      <w:tr>
        <w:trPr/>
        <w:tc>
          <w:tcPr>
            <w:tcW w:w="2921"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left"/>
              <w:rPr>
                <w:rFonts w:ascii="Lato;sans-serif" w:hAnsi="Lato;sans-serif"/>
                <w:b/>
                <w:color w:val="000000"/>
                <w:sz w:val="20"/>
              </w:rPr>
            </w:pPr>
            <w:r>
              <w:rPr>
                <w:rFonts w:ascii="Lato;sans-serif" w:hAnsi="Lato;sans-serif"/>
                <w:b/>
                <w:color w:val="000000"/>
                <w:sz w:val="20"/>
              </w:rPr>
              <w:t>Premium-Priced Exercise Price</w:t>
            </w:r>
          </w:p>
        </w:tc>
        <w:tc>
          <w:tcPr>
            <w:tcW w:w="7284"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both"/>
              <w:rPr>
                <w:rFonts w:ascii="Lato;sans-serif" w:hAnsi="Lato;sans-serif"/>
                <w:b w:val="false"/>
                <w:color w:val="000000"/>
                <w:sz w:val="20"/>
              </w:rPr>
            </w:pPr>
            <w:r>
              <w:rPr>
                <w:rFonts w:ascii="Lato;sans-serif" w:hAnsi="Lato;sans-serif"/>
                <w:b w:val="false"/>
                <w:color w:val="000000"/>
                <w:sz w:val="20"/>
              </w:rPr>
              <w:t>$13.54, representing 140% of the fair market value of an underlying share of the Company’s common stock as of the CEO Option Grant Date.</w:t>
            </w:r>
          </w:p>
        </w:tc>
      </w:tr>
      <w:tr>
        <w:trPr/>
        <w:tc>
          <w:tcPr>
            <w:tcW w:w="2921" w:type="dxa"/>
            <w:gridSpan w:val="3"/>
            <w:tcBorders/>
            <w:shd w:fill="DBDBDB" w:val="clear"/>
            <w:tcMar>
              <w:top w:w="0" w:type="dxa"/>
              <w:left w:w="0" w:type="dxa"/>
              <w:bottom w:w="0" w:type="dxa"/>
              <w:right w:w="0" w:type="dxa"/>
            </w:tcMar>
            <w:vAlign w:val="center"/>
          </w:tcPr>
          <w:p>
            <w:pPr>
              <w:pStyle w:val="TableContents"/>
              <w:bidi w:val="0"/>
              <w:spacing w:lineRule="auto" w:line="276" w:before="0" w:after="283"/>
              <w:jc w:val="left"/>
              <w:rPr>
                <w:rFonts w:ascii="Lato;sans-serif" w:hAnsi="Lato;sans-serif"/>
                <w:b/>
                <w:color w:val="000000"/>
                <w:sz w:val="20"/>
              </w:rPr>
            </w:pPr>
            <w:r>
              <w:rPr>
                <w:rFonts w:ascii="Lato;sans-serif" w:hAnsi="Lato;sans-serif"/>
                <w:b/>
                <w:color w:val="000000"/>
                <w:sz w:val="20"/>
              </w:rPr>
              <w:t>Performance Period and Performance Measurement Period</w:t>
            </w:r>
          </w:p>
        </w:tc>
        <w:tc>
          <w:tcPr>
            <w:tcW w:w="7284" w:type="dxa"/>
            <w:gridSpan w:val="3"/>
            <w:tcBorders/>
            <w:shd w:fill="DBDBDB" w:val="clear"/>
            <w:tcMar>
              <w:top w:w="0" w:type="dxa"/>
              <w:left w:w="0" w:type="dxa"/>
              <w:bottom w:w="0" w:type="dxa"/>
              <w:right w:w="0" w:type="dxa"/>
            </w:tcMar>
            <w:vAlign w:val="center"/>
          </w:tcPr>
          <w:p>
            <w:pPr>
              <w:pStyle w:val="TableContents"/>
              <w:bidi w:val="0"/>
              <w:spacing w:lineRule="auto" w:line="276" w:before="0" w:after="0"/>
              <w:jc w:val="both"/>
              <w:rPr>
                <w:rFonts w:ascii="Lato;sans-serif" w:hAnsi="Lato;sans-serif"/>
                <w:b w:val="false"/>
                <w:color w:val="000000"/>
                <w:sz w:val="20"/>
              </w:rPr>
            </w:pPr>
            <w:r>
              <w:rPr>
                <w:rFonts w:ascii="Lato;sans-serif" w:hAnsi="Lato;sans-serif"/>
                <w:b w:val="false"/>
                <w:color w:val="000000"/>
                <w:sz w:val="20"/>
              </w:rPr>
              <w:t>The performance period commences on the CEO Option Grant Date and ends with the last fiscal quarter ending prior to the Expiration Date.</w:t>
            </w:r>
          </w:p>
          <w:p>
            <w:pPr>
              <w:pStyle w:val="TableContents"/>
              <w:bidi w:val="0"/>
              <w:spacing w:lineRule="auto" w:line="276" w:before="0" w:after="0"/>
              <w:jc w:val="both"/>
              <w:rPr/>
            </w:pPr>
            <w:r>
              <w:rPr>
                <w:rFonts w:ascii="Lato;sans-serif" w:hAnsi="Lato;sans-serif"/>
                <w:b w:val="false"/>
                <w:color w:val="000000"/>
                <w:sz w:val="20"/>
              </w:rPr>
              <w:t>Performance is measured during 12-month periods ending on the last day of each of the eight fiscal quarters of the Company during 24-month measurement periods (the “</w:t>
            </w:r>
            <w:r>
              <w:rPr>
                <w:rFonts w:ascii="Lato;sans-serif" w:hAnsi="Lato;sans-serif"/>
                <w:b/>
                <w:i/>
                <w:color w:val="000000"/>
                <w:sz w:val="20"/>
              </w:rPr>
              <w:t>Performance Measurement Period</w:t>
            </w:r>
            <w:r>
              <w:rPr>
                <w:color w:val="000000"/>
              </w:rPr>
              <w:t>”</w:t>
            </w:r>
            <w:r>
              <w:rPr>
                <w:rFonts w:ascii="Lato;sans-serif" w:hAnsi="Lato;sans-serif"/>
                <w:b w:val="false"/>
                <w:color w:val="000000"/>
                <w:sz w:val="20"/>
              </w:rPr>
              <w:t>), starting with the fiscal quarter of the Company ending on or immediately following the 12-month anniversary of the CEO Option Grant Date.</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6480175" cy="352425"/>
                <wp:effectExtent l="0" t="0" r="0" b="0"/>
                <wp:wrapNone/>
                <wp:docPr id="76" name="Frame60"/>
                <a:graphic xmlns:a="http://schemas.openxmlformats.org/drawingml/2006/main">
                  <a:graphicData uri="http://schemas.microsoft.com/office/word/2010/wordprocessingShape">
                    <wps:wsp>
                      <wps:cNvSpPr txBox="1"/>
                      <wps:spPr>
                        <a:xfrm>
                          <a:off x="0" y="0"/>
                          <a:ext cx="6480175" cy="352425"/>
                        </a:xfrm>
                        <a:prstGeom prst="rect"/>
                        <a:solidFill>
                          <a:srgbClr val="FFFFFF"/>
                        </a:solidFill>
                      </wps:spPr>
                      <wps:txbx>
                        <w:txbxContent>
                          <w:p>
                            <w:pPr>
                              <w:pStyle w:val="TextBody"/>
                              <w:bidi w:val="0"/>
                              <w:spacing w:lineRule="auto" w:line="288" w:before="0" w:after="0"/>
                              <w:jc w:val="center"/>
                              <w:rPr>
                                <w:rFonts w:ascii="Lato;sans-serif" w:hAnsi="Lato;sans-serif"/>
                                <w:b w:val="false"/>
                                <w:color w:val="000000"/>
                                <w:sz w:val="20"/>
                              </w:rPr>
                            </w:pPr>
                            <w:r>
                              <w:rPr>
                                <w:rFonts w:ascii="Lato;sans-serif" w:hAnsi="Lato;sans-serif"/>
                                <w:b w:val="false"/>
                                <w:color w:val="000000"/>
                                <w:sz w:val="20"/>
                              </w:rPr>
                              <w:t>54</w:t>
                            </w:r>
                          </w:p>
                          <w:p>
                            <w:pPr>
                              <w:pStyle w:val="TextBody"/>
                              <w:bidi w:val="0"/>
                              <w:spacing w:lineRule="auto" w:line="288" w:before="0" w:after="0"/>
                              <w:jc w:val="left"/>
                              <w:rPr>
                                <w:color w:val="000000"/>
                              </w:rPr>
                            </w:pPr>
                            <w:r>
                              <w:rPr>
                                <w:color w:val="000000"/>
                              </w:rPr>
                              <w:t>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Lato;sans-serif" w:hAnsi="Lato;sans-serif"/>
                          <w:b w:val="false"/>
                          <w:color w:val="000000"/>
                          <w:sz w:val="20"/>
                        </w:rPr>
                      </w:pPr>
                      <w:r>
                        <w:rPr>
                          <w:rFonts w:ascii="Lato;sans-serif" w:hAnsi="Lato;sans-serif"/>
                          <w:b w:val="false"/>
                          <w:color w:val="000000"/>
                          <w:sz w:val="20"/>
                        </w:rPr>
                        <w:t>54</w:t>
                      </w:r>
                    </w:p>
                    <w:p>
                      <w:pPr>
                        <w:pStyle w:val="TextBody"/>
                        <w:bidi w:val="0"/>
                        <w:spacing w:lineRule="auto" w:line="288" w:before="0" w:after="0"/>
                        <w:jc w:val="left"/>
                        <w:rPr>
                          <w:color w:val="000000"/>
                        </w:rPr>
                      </w:pPr>
                      <w:r>
                        <w:rPr>
                          <w:color w:val="000000"/>
                        </w:rPr>
                        <w:t>        </w:t>
                      </w:r>
                    </w:p>
                  </w:txbxContent>
                </v:textbox>
                <w10:wrap type="none"/>
              </v:rect>
            </w:pict>
          </mc:Fallback>
        </mc:AlternateConten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657"/>
        <w:gridCol w:w="577"/>
        <w:gridCol w:w="579"/>
        <w:gridCol w:w="2731"/>
        <w:gridCol w:w="2343"/>
        <w:gridCol w:w="3318"/>
      </w:tblGrid>
      <w:tr>
        <w:trPr/>
        <w:tc>
          <w:tcPr>
            <w:tcW w:w="657" w:type="dxa"/>
            <w:tcBorders/>
            <w:vAlign w:val="center"/>
          </w:tcPr>
          <w:p>
            <w:pPr>
              <w:pStyle w:val="TableContents"/>
              <w:bidi w:val="0"/>
              <w:spacing w:before="0" w:after="283"/>
              <w:jc w:val="left"/>
              <w:rPr>
                <w:sz w:val="4"/>
                <w:szCs w:val="4"/>
              </w:rPr>
            </w:pPr>
            <w:r>
              <w:rPr>
                <w:sz w:val="4"/>
                <w:szCs w:val="4"/>
              </w:rPr>
            </w:r>
          </w:p>
        </w:tc>
        <w:tc>
          <w:tcPr>
            <w:tcW w:w="577" w:type="dxa"/>
            <w:tcBorders/>
            <w:vAlign w:val="center"/>
          </w:tcPr>
          <w:p>
            <w:pPr>
              <w:pStyle w:val="TableContents"/>
              <w:bidi w:val="0"/>
              <w:spacing w:before="0" w:after="283"/>
              <w:jc w:val="left"/>
              <w:rPr>
                <w:sz w:val="4"/>
                <w:szCs w:val="4"/>
              </w:rPr>
            </w:pPr>
            <w:r>
              <w:rPr>
                <w:sz w:val="4"/>
                <w:szCs w:val="4"/>
              </w:rPr>
            </w:r>
          </w:p>
        </w:tc>
        <w:tc>
          <w:tcPr>
            <w:tcW w:w="579" w:type="dxa"/>
            <w:tcBorders/>
            <w:vAlign w:val="center"/>
          </w:tcPr>
          <w:p>
            <w:pPr>
              <w:pStyle w:val="TableContents"/>
              <w:bidi w:val="0"/>
              <w:spacing w:before="0" w:after="283"/>
              <w:jc w:val="left"/>
              <w:rPr>
                <w:sz w:val="4"/>
                <w:szCs w:val="4"/>
              </w:rPr>
            </w:pPr>
            <w:r>
              <w:rPr>
                <w:sz w:val="4"/>
                <w:szCs w:val="4"/>
              </w:rPr>
            </w:r>
          </w:p>
        </w:tc>
        <w:tc>
          <w:tcPr>
            <w:tcW w:w="2731" w:type="dxa"/>
            <w:tcBorders/>
            <w:vAlign w:val="center"/>
          </w:tcPr>
          <w:p>
            <w:pPr>
              <w:pStyle w:val="TableContents"/>
              <w:bidi w:val="0"/>
              <w:spacing w:before="0" w:after="283"/>
              <w:jc w:val="left"/>
              <w:rPr>
                <w:sz w:val="4"/>
                <w:szCs w:val="4"/>
              </w:rPr>
            </w:pPr>
            <w:r>
              <w:rPr>
                <w:sz w:val="4"/>
                <w:szCs w:val="4"/>
              </w:rPr>
            </w:r>
          </w:p>
        </w:tc>
        <w:tc>
          <w:tcPr>
            <w:tcW w:w="2343" w:type="dxa"/>
            <w:tcBorders/>
            <w:vAlign w:val="center"/>
          </w:tcPr>
          <w:p>
            <w:pPr>
              <w:pStyle w:val="TableContents"/>
              <w:bidi w:val="0"/>
              <w:spacing w:before="0" w:after="283"/>
              <w:jc w:val="left"/>
              <w:rPr>
                <w:sz w:val="4"/>
                <w:szCs w:val="4"/>
              </w:rPr>
            </w:pPr>
            <w:r>
              <w:rPr>
                <w:sz w:val="4"/>
                <w:szCs w:val="4"/>
              </w:rPr>
            </w:r>
          </w:p>
        </w:tc>
        <w:tc>
          <w:tcPr>
            <w:tcW w:w="3318" w:type="dxa"/>
            <w:tcBorders/>
            <w:vAlign w:val="center"/>
          </w:tcPr>
          <w:p>
            <w:pPr>
              <w:pStyle w:val="TableContents"/>
              <w:bidi w:val="0"/>
              <w:spacing w:before="0" w:after="283"/>
              <w:jc w:val="left"/>
              <w:rPr>
                <w:sz w:val="4"/>
                <w:szCs w:val="4"/>
              </w:rPr>
            </w:pPr>
            <w:r>
              <w:rPr>
                <w:sz w:val="4"/>
                <w:szCs w:val="4"/>
              </w:rPr>
            </w:r>
          </w:p>
        </w:tc>
      </w:tr>
      <w:tr>
        <w:trPr/>
        <w:tc>
          <w:tcPr>
            <w:tcW w:w="1813"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left"/>
              <w:rPr>
                <w:rFonts w:ascii="Lato;sans-serif" w:hAnsi="Lato;sans-serif"/>
                <w:b/>
                <w:color w:val="000000"/>
                <w:sz w:val="20"/>
              </w:rPr>
            </w:pPr>
            <w:r>
              <w:rPr>
                <w:rFonts w:ascii="Lato;sans-serif" w:hAnsi="Lato;sans-serif"/>
                <w:b/>
                <w:color w:val="000000"/>
                <w:sz w:val="20"/>
              </w:rPr>
              <w:t>Service-Based Vesting Condition</w:t>
            </w:r>
          </w:p>
        </w:tc>
        <w:tc>
          <w:tcPr>
            <w:tcW w:w="8392" w:type="dxa"/>
            <w:gridSpan w:val="3"/>
            <w:tcBorders/>
            <w:shd w:fill="FFFFFF" w:val="clear"/>
            <w:tcMar>
              <w:top w:w="0" w:type="dxa"/>
              <w:left w:w="0" w:type="dxa"/>
              <w:bottom w:w="0" w:type="dxa"/>
              <w:right w:w="0" w:type="dxa"/>
            </w:tcMar>
            <w:vAlign w:val="center"/>
          </w:tcPr>
          <w:p>
            <w:pPr>
              <w:pStyle w:val="TableContents"/>
              <w:bidi w:val="0"/>
              <w:spacing w:lineRule="auto" w:line="276" w:before="0" w:after="0"/>
              <w:jc w:val="both"/>
              <w:rPr/>
            </w:pPr>
            <w:r>
              <w:rPr>
                <w:rFonts w:ascii="Lato;sans-serif" w:hAnsi="Lato;sans-serif"/>
                <w:b w:val="false"/>
                <w:color w:val="000000"/>
                <w:sz w:val="20"/>
              </w:rPr>
              <w:t>Vest with respect to one-third of the Company’s common stock subject to each Tranche on the three-year anniversary, four-year anniversary and five-year anniversary of the CEO Option Grant Date (each, a “</w:t>
            </w:r>
            <w:r>
              <w:rPr>
                <w:rFonts w:ascii="Lato;sans-serif" w:hAnsi="Lato;sans-serif"/>
                <w:b/>
                <w:i/>
                <w:color w:val="000000"/>
                <w:sz w:val="20"/>
              </w:rPr>
              <w:t>CEO Vesting Date</w:t>
            </w:r>
            <w:r>
              <w:rPr>
                <w:color w:val="000000"/>
              </w:rPr>
              <w:t>”</w:t>
            </w:r>
            <w:r>
              <w:rPr>
                <w:rFonts w:ascii="Lato;sans-serif" w:hAnsi="Lato;sans-serif"/>
                <w:b w:val="false"/>
                <w:color w:val="000000"/>
                <w:sz w:val="20"/>
              </w:rPr>
              <w:t>), subject to Executive’s continued service as Chief Executive Officer or Executive Chairman through the applicable CEO Vesting Date.</w:t>
            </w:r>
          </w:p>
        </w:tc>
      </w:tr>
      <w:tr>
        <w:trPr/>
        <w:tc>
          <w:tcPr>
            <w:tcW w:w="1813" w:type="dxa"/>
            <w:gridSpan w:val="3"/>
            <w:tcBorders/>
            <w:shd w:fill="DBDBDB" w:val="clear"/>
            <w:tcMar>
              <w:top w:w="0" w:type="dxa"/>
              <w:left w:w="0" w:type="dxa"/>
              <w:bottom w:w="0" w:type="dxa"/>
              <w:right w:w="0" w:type="dxa"/>
            </w:tcMar>
            <w:vAlign w:val="center"/>
          </w:tcPr>
          <w:p>
            <w:pPr>
              <w:pStyle w:val="TableContents"/>
              <w:bidi w:val="0"/>
              <w:spacing w:lineRule="auto" w:line="276" w:before="0" w:after="283"/>
              <w:jc w:val="left"/>
              <w:rPr>
                <w:rFonts w:ascii="Lato;sans-serif" w:hAnsi="Lato;sans-serif"/>
                <w:b/>
                <w:color w:val="000000"/>
                <w:sz w:val="20"/>
              </w:rPr>
            </w:pPr>
            <w:r>
              <w:rPr>
                <w:rFonts w:ascii="Lato;sans-serif" w:hAnsi="Lato;sans-serif"/>
                <w:b/>
                <w:color w:val="000000"/>
                <w:sz w:val="20"/>
              </w:rPr>
              <w:t>Performance Goals:</w:t>
            </w:r>
          </w:p>
        </w:tc>
        <w:tc>
          <w:tcPr>
            <w:tcW w:w="8392" w:type="dxa"/>
            <w:gridSpan w:val="3"/>
            <w:tcBorders/>
            <w:shd w:fill="DBDBDB" w:val="clear"/>
            <w:tcMar>
              <w:top w:w="0" w:type="dxa"/>
              <w:left w:w="0" w:type="dxa"/>
              <w:bottom w:w="0" w:type="dxa"/>
              <w:right w:w="0" w:type="dxa"/>
            </w:tcMar>
            <w:vAlign w:val="center"/>
          </w:tcPr>
          <w:p>
            <w:pPr>
              <w:pStyle w:val="TableContents"/>
              <w:bidi w:val="0"/>
              <w:spacing w:lineRule="auto" w:line="276" w:before="0" w:after="0"/>
              <w:jc w:val="both"/>
              <w:rPr>
                <w:rFonts w:ascii="Lato;sans-serif" w:hAnsi="Lato;sans-serif"/>
                <w:b w:val="false"/>
                <w:color w:val="000000"/>
                <w:sz w:val="20"/>
              </w:rPr>
            </w:pPr>
            <w:r>
              <w:rPr>
                <w:rFonts w:ascii="Lato;sans-serif" w:hAnsi="Lato;sans-serif"/>
                <w:b w:val="false"/>
                <w:color w:val="000000"/>
                <w:sz w:val="20"/>
              </w:rPr>
              <w:t>Performance Goals: The CEO Premium-Priced Performance Option is divided into six equal Tranches, with each Tranche subject to:</w:t>
            </w:r>
          </w:p>
          <w:p>
            <w:pPr>
              <w:pStyle w:val="TableContents"/>
              <w:bidi w:val="0"/>
              <w:spacing w:before="0" w:after="0"/>
              <w:jc w:val="both"/>
              <w:rPr/>
            </w:pPr>
            <w:r>
              <w:rPr/>
            </w:r>
          </w:p>
          <w:p>
            <w:pPr>
              <w:pStyle w:val="TableContents"/>
              <w:bidi w:val="0"/>
              <w:spacing w:lineRule="auto" w:line="276" w:before="0" w:after="0"/>
              <w:ind w:left="0" w:right="0" w:hanging="360"/>
              <w:jc w:val="both"/>
              <w:rPr/>
            </w:pPr>
            <w:r>
              <w:rPr>
                <w:color w:val="000000"/>
              </w:rPr>
              <w:t>•</w:t>
            </w:r>
            <w:r>
              <w:rPr>
                <w:rFonts w:ascii="Lato;sans-serif" w:hAnsi="Lato;sans-serif"/>
                <w:b w:val="false"/>
                <w:color w:val="000000"/>
                <w:sz w:val="20"/>
              </w:rPr>
              <w:t>Stock Price Goal (based on average stock price over twenty consecutive trading days);</w:t>
            </w:r>
          </w:p>
          <w:p>
            <w:pPr>
              <w:pStyle w:val="TableContents"/>
              <w:bidi w:val="0"/>
              <w:spacing w:before="0" w:after="0"/>
              <w:jc w:val="both"/>
              <w:rPr/>
            </w:pPr>
            <w:r>
              <w:rPr/>
            </w:r>
          </w:p>
          <w:p>
            <w:pPr>
              <w:pStyle w:val="TableContents"/>
              <w:bidi w:val="0"/>
              <w:spacing w:lineRule="auto" w:line="276" w:before="0" w:after="0"/>
              <w:ind w:left="0" w:right="0" w:hanging="360"/>
              <w:jc w:val="both"/>
              <w:rPr/>
            </w:pPr>
            <w:r>
              <w:rPr>
                <w:color w:val="000000"/>
              </w:rPr>
              <w:t>•</w:t>
            </w:r>
            <w:r>
              <w:rPr>
                <w:rFonts w:ascii="Lato;sans-serif" w:hAnsi="Lato;sans-serif"/>
                <w:b w:val="false"/>
                <w:color w:val="000000"/>
                <w:sz w:val="20"/>
              </w:rPr>
              <w:t>Operational Goal (based on adjusted FCF per share); and</w:t>
            </w:r>
          </w:p>
          <w:p>
            <w:pPr>
              <w:pStyle w:val="TableContents"/>
              <w:bidi w:val="0"/>
              <w:spacing w:before="0" w:after="0"/>
              <w:jc w:val="both"/>
              <w:rPr/>
            </w:pPr>
            <w:r>
              <w:rPr/>
            </w:r>
          </w:p>
          <w:p>
            <w:pPr>
              <w:pStyle w:val="TableContents"/>
              <w:bidi w:val="0"/>
              <w:spacing w:lineRule="auto" w:line="276" w:before="0" w:after="0"/>
              <w:ind w:left="0" w:right="0" w:hanging="360"/>
              <w:jc w:val="both"/>
              <w:rPr/>
            </w:pPr>
            <w:r>
              <w:rPr>
                <w:color w:val="000000"/>
              </w:rPr>
              <w:t>•</w:t>
            </w:r>
            <w:r>
              <w:rPr>
                <w:rFonts w:ascii="Lato;sans-serif" w:hAnsi="Lato;sans-serif"/>
                <w:b w:val="false"/>
                <w:color w:val="000000"/>
                <w:sz w:val="20"/>
              </w:rPr>
              <w:t>Relative TSR Condition.</w:t>
            </w:r>
          </w:p>
          <w:p>
            <w:pPr>
              <w:pStyle w:val="TableContents"/>
              <w:bidi w:val="0"/>
              <w:spacing w:before="0" w:after="0"/>
              <w:jc w:val="both"/>
              <w:rPr/>
            </w:pPr>
            <w:r>
              <w:rPr/>
            </w:r>
          </w:p>
          <w:p>
            <w:pPr>
              <w:pStyle w:val="TableContents"/>
              <w:bidi w:val="0"/>
              <w:spacing w:lineRule="auto" w:line="276" w:before="0" w:after="0"/>
              <w:jc w:val="both"/>
              <w:rPr>
                <w:rFonts w:ascii="Lato;sans-serif" w:hAnsi="Lato;sans-serif"/>
                <w:b w:val="false"/>
                <w:color w:val="000000"/>
                <w:sz w:val="20"/>
              </w:rPr>
            </w:pPr>
            <w:r>
              <w:rPr>
                <w:rFonts w:ascii="Lato;sans-serif" w:hAnsi="Lato;sans-serif"/>
                <w:b w:val="false"/>
                <w:color w:val="000000"/>
                <w:sz w:val="20"/>
              </w:rPr>
              <w:t>Our Compensation Committee chose the combination of the Stock Price Goal and Operational Goal, given that (i) the Stock Price Goal directly aligns Mr. Schuck’s potential realizable value with long-term stockholder returns, which provides a transparent, market-based measure of performance that investors can independently verify and (ii) the Operational Goal most directly reflects the Company’s ability to create sustained stockholder value, while maintaining operational discipline, integrating revenue growth, profitability, capital efficiency and share count management into a single metric that aligns with how investors evaluate the Company’s long-term performance and intrinsic value creation. The Relative TSR Condition governs against vesting due solely to broad market inflation to ensure satisfaction of the performance conditions is based on superior Company performance comparatively to peers and the market.</w:t>
            </w:r>
          </w:p>
          <w:p>
            <w:pPr>
              <w:pStyle w:val="TableContents"/>
              <w:bidi w:val="0"/>
              <w:spacing w:before="0" w:after="0"/>
              <w:jc w:val="both"/>
              <w:rPr/>
            </w:pPr>
            <w:r>
              <w:rPr/>
            </w:r>
          </w:p>
          <w:p>
            <w:pPr>
              <w:pStyle w:val="TableContents"/>
              <w:bidi w:val="0"/>
              <w:spacing w:lineRule="auto" w:line="276" w:before="0" w:after="0"/>
              <w:jc w:val="both"/>
              <w:rPr>
                <w:rFonts w:ascii="Lato;sans-serif" w:hAnsi="Lato;sans-serif"/>
                <w:b w:val="false"/>
                <w:color w:val="000000"/>
                <w:sz w:val="20"/>
              </w:rPr>
            </w:pPr>
            <w:r>
              <w:rPr>
                <w:rFonts w:ascii="Lato;sans-serif" w:hAnsi="Lato;sans-serif"/>
                <w:b w:val="false"/>
                <w:color w:val="000000"/>
                <w:sz w:val="20"/>
              </w:rPr>
              <w:t xml:space="preserve">These goals are deliberately calibrated to be challenging to attain and require significant increases in share price and free cash flow performance from the CEO Option Grant Date. Our Compensation Committee reviewed other recent transformational award programs and purposefully designed the CEO Premium-Priced Performance Option to be more rigorous and challenging than the other programs reviewed. The Stock Price Goal and Operational Goal are set at significant premiums to the current trading price, and all Performance Goals must be met within the same Performance Measurement Period to ensure total performance is delivered. Stockholders would experience exceptional value creation if the Performance Goals are satisfied. </w:t>
            </w:r>
          </w:p>
          <w:p>
            <w:pPr>
              <w:pStyle w:val="TableContents"/>
              <w:bidi w:val="0"/>
              <w:spacing w:before="0" w:after="0"/>
              <w:jc w:val="both"/>
              <w:rPr/>
            </w:pPr>
            <w:r>
              <w:rPr/>
            </w:r>
          </w:p>
          <w:p>
            <w:pPr>
              <w:pStyle w:val="TableContents"/>
              <w:bidi w:val="0"/>
              <w:spacing w:lineRule="auto" w:line="276" w:before="0" w:after="0"/>
              <w:jc w:val="both"/>
              <w:rPr>
                <w:rFonts w:ascii="Lato;sans-serif" w:hAnsi="Lato;sans-serif"/>
                <w:b w:val="false"/>
                <w:color w:val="000000"/>
                <w:sz w:val="20"/>
              </w:rPr>
            </w:pPr>
            <w:r>
              <w:rPr>
                <w:rFonts w:ascii="Lato;sans-serif" w:hAnsi="Lato;sans-serif"/>
                <w:b w:val="false"/>
                <w:color w:val="000000"/>
                <w:sz w:val="20"/>
              </w:rPr>
              <w:t xml:space="preserve">To vest, the Performance Goals must be achieved during the Performance Measurement Period, with achievement measured during 12-month periods ending on each of the eight fiscal quarters during the Performance Measurement Period; provided, that the Stock Price Goal and Relative TSR Condition must both be achieved during the same 12-month period, while the Operational Goal may be achieved during any separate 12-month period within the Performance Measurement Period. </w:t>
            </w:r>
          </w:p>
          <w:p>
            <w:pPr>
              <w:pStyle w:val="TableContents"/>
              <w:bidi w:val="0"/>
              <w:spacing w:before="0" w:after="0"/>
              <w:jc w:val="both"/>
              <w:rPr/>
            </w:pPr>
            <w:r>
              <w:rPr/>
            </w:r>
          </w:p>
          <w:p>
            <w:pPr>
              <w:pStyle w:val="TableContents"/>
              <w:bidi w:val="0"/>
              <w:spacing w:lineRule="auto" w:line="276" w:before="0" w:after="0"/>
              <w:jc w:val="both"/>
              <w:rPr>
                <w:rFonts w:ascii="Lato;sans-serif" w:hAnsi="Lato;sans-serif"/>
                <w:b w:val="false"/>
                <w:color w:val="000000"/>
                <w:sz w:val="20"/>
              </w:rPr>
            </w:pPr>
            <w:r>
              <w:rPr>
                <w:rFonts w:ascii="Lato;sans-serif" w:hAnsi="Lato;sans-serif"/>
                <w:b w:val="false"/>
                <w:color w:val="000000"/>
                <w:sz w:val="20"/>
              </w:rPr>
              <w:t>The Performance Goals are as set forth below:</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6480175" cy="352425"/>
                <wp:effectExtent l="0" t="0" r="0" b="0"/>
                <wp:wrapNone/>
                <wp:docPr id="77" name="Frame61"/>
                <a:graphic xmlns:a="http://schemas.openxmlformats.org/drawingml/2006/main">
                  <a:graphicData uri="http://schemas.microsoft.com/office/word/2010/wordprocessingShape">
                    <wps:wsp>
                      <wps:cNvSpPr txBox="1"/>
                      <wps:spPr>
                        <a:xfrm>
                          <a:off x="0" y="0"/>
                          <a:ext cx="6480175" cy="352425"/>
                        </a:xfrm>
                        <a:prstGeom prst="rect"/>
                        <a:solidFill>
                          <a:srgbClr val="FFFFFF"/>
                        </a:solidFill>
                      </wps:spPr>
                      <wps:txbx>
                        <w:txbxContent>
                          <w:p>
                            <w:pPr>
                              <w:pStyle w:val="TextBody"/>
                              <w:bidi w:val="0"/>
                              <w:spacing w:lineRule="auto" w:line="288" w:before="0" w:after="0"/>
                              <w:jc w:val="center"/>
                              <w:rPr>
                                <w:rFonts w:ascii="Lato;sans-serif" w:hAnsi="Lato;sans-serif"/>
                                <w:b w:val="false"/>
                                <w:color w:val="000000"/>
                                <w:sz w:val="20"/>
                              </w:rPr>
                            </w:pPr>
                            <w:r>
                              <w:rPr>
                                <w:rFonts w:ascii="Lato;sans-serif" w:hAnsi="Lato;sans-serif"/>
                                <w:b w:val="false"/>
                                <w:color w:val="000000"/>
                                <w:sz w:val="20"/>
                              </w:rPr>
                              <w:t>55</w:t>
                            </w:r>
                          </w:p>
                          <w:p>
                            <w:pPr>
                              <w:pStyle w:val="TextBody"/>
                              <w:bidi w:val="0"/>
                              <w:spacing w:lineRule="auto" w:line="288" w:before="0" w:after="0"/>
                              <w:jc w:val="left"/>
                              <w:rPr>
                                <w:color w:val="000000"/>
                              </w:rPr>
                            </w:pPr>
                            <w:r>
                              <w:rPr>
                                <w:color w:val="000000"/>
                              </w:rPr>
                              <w:t>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Lato;sans-serif" w:hAnsi="Lato;sans-serif"/>
                          <w:b w:val="false"/>
                          <w:color w:val="000000"/>
                          <w:sz w:val="20"/>
                        </w:rPr>
                      </w:pPr>
                      <w:r>
                        <w:rPr>
                          <w:rFonts w:ascii="Lato;sans-serif" w:hAnsi="Lato;sans-serif"/>
                          <w:b w:val="false"/>
                          <w:color w:val="000000"/>
                          <w:sz w:val="20"/>
                        </w:rPr>
                        <w:t>55</w:t>
                      </w:r>
                    </w:p>
                    <w:p>
                      <w:pPr>
                        <w:pStyle w:val="TextBody"/>
                        <w:bidi w:val="0"/>
                        <w:spacing w:lineRule="auto" w:line="288" w:before="0" w:after="0"/>
                        <w:jc w:val="left"/>
                        <w:rPr>
                          <w:color w:val="000000"/>
                        </w:rPr>
                      </w:pPr>
                      <w:r>
                        <w:rPr>
                          <w:color w:val="000000"/>
                        </w:rPr>
                        <w:t>        </w:t>
                      </w:r>
                    </w:p>
                  </w:txbxContent>
                </v:textbox>
                <w10:wrap type="none"/>
              </v:rect>
            </w:pict>
          </mc:Fallback>
        </mc:AlternateConten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615"/>
        <w:gridCol w:w="540"/>
        <w:gridCol w:w="542"/>
        <w:gridCol w:w="368"/>
        <w:gridCol w:w="368"/>
        <w:gridCol w:w="369"/>
        <w:gridCol w:w="624"/>
        <w:gridCol w:w="400"/>
        <w:gridCol w:w="402"/>
        <w:gridCol w:w="1231"/>
        <w:gridCol w:w="1231"/>
        <w:gridCol w:w="1234"/>
        <w:gridCol w:w="664"/>
        <w:gridCol w:w="664"/>
        <w:gridCol w:w="953"/>
      </w:tblGrid>
      <w:tr>
        <w:trPr/>
        <w:tc>
          <w:tcPr>
            <w:tcW w:w="615"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542"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624" w:type="dxa"/>
            <w:tcBorders/>
            <w:vAlign w:val="center"/>
          </w:tcPr>
          <w:p>
            <w:pPr>
              <w:pStyle w:val="TableContents"/>
              <w:bidi w:val="0"/>
              <w:spacing w:before="0" w:after="283"/>
              <w:jc w:val="left"/>
              <w:rPr>
                <w:sz w:val="4"/>
                <w:szCs w:val="4"/>
              </w:rPr>
            </w:pPr>
            <w:r>
              <w:rPr>
                <w:sz w:val="4"/>
                <w:szCs w:val="4"/>
              </w:rPr>
            </w:r>
          </w:p>
        </w:tc>
        <w:tc>
          <w:tcPr>
            <w:tcW w:w="400" w:type="dxa"/>
            <w:tcBorders/>
            <w:vAlign w:val="center"/>
          </w:tcPr>
          <w:p>
            <w:pPr>
              <w:pStyle w:val="TableContents"/>
              <w:bidi w:val="0"/>
              <w:spacing w:before="0" w:after="283"/>
              <w:jc w:val="left"/>
              <w:rPr>
                <w:sz w:val="4"/>
                <w:szCs w:val="4"/>
              </w:rPr>
            </w:pPr>
            <w:r>
              <w:rPr>
                <w:sz w:val="4"/>
                <w:szCs w:val="4"/>
              </w:rPr>
            </w:r>
          </w:p>
        </w:tc>
        <w:tc>
          <w:tcPr>
            <w:tcW w:w="402" w:type="dxa"/>
            <w:tcBorders/>
            <w:vAlign w:val="center"/>
          </w:tcPr>
          <w:p>
            <w:pPr>
              <w:pStyle w:val="TableContents"/>
              <w:bidi w:val="0"/>
              <w:spacing w:before="0" w:after="283"/>
              <w:jc w:val="left"/>
              <w:rPr>
                <w:sz w:val="4"/>
                <w:szCs w:val="4"/>
              </w:rPr>
            </w:pPr>
            <w:r>
              <w:rPr>
                <w:sz w:val="4"/>
                <w:szCs w:val="4"/>
              </w:rPr>
            </w:r>
          </w:p>
        </w:tc>
        <w:tc>
          <w:tcPr>
            <w:tcW w:w="1231" w:type="dxa"/>
            <w:tcBorders/>
            <w:vAlign w:val="center"/>
          </w:tcPr>
          <w:p>
            <w:pPr>
              <w:pStyle w:val="TableContents"/>
              <w:bidi w:val="0"/>
              <w:spacing w:before="0" w:after="283"/>
              <w:jc w:val="left"/>
              <w:rPr>
                <w:sz w:val="4"/>
                <w:szCs w:val="4"/>
              </w:rPr>
            </w:pPr>
            <w:r>
              <w:rPr>
                <w:sz w:val="4"/>
                <w:szCs w:val="4"/>
              </w:rPr>
            </w:r>
          </w:p>
        </w:tc>
        <w:tc>
          <w:tcPr>
            <w:tcW w:w="1231" w:type="dxa"/>
            <w:tcBorders/>
            <w:vAlign w:val="center"/>
          </w:tcPr>
          <w:p>
            <w:pPr>
              <w:pStyle w:val="TableContents"/>
              <w:bidi w:val="0"/>
              <w:spacing w:before="0" w:after="283"/>
              <w:jc w:val="left"/>
              <w:rPr>
                <w:sz w:val="4"/>
                <w:szCs w:val="4"/>
              </w:rPr>
            </w:pPr>
            <w:r>
              <w:rPr>
                <w:sz w:val="4"/>
                <w:szCs w:val="4"/>
              </w:rPr>
            </w:r>
          </w:p>
        </w:tc>
        <w:tc>
          <w:tcPr>
            <w:tcW w:w="1234" w:type="dxa"/>
            <w:tcBorders/>
            <w:vAlign w:val="center"/>
          </w:tcPr>
          <w:p>
            <w:pPr>
              <w:pStyle w:val="TableContents"/>
              <w:bidi w:val="0"/>
              <w:spacing w:before="0" w:after="283"/>
              <w:jc w:val="left"/>
              <w:rPr>
                <w:sz w:val="4"/>
                <w:szCs w:val="4"/>
              </w:rPr>
            </w:pPr>
            <w:r>
              <w:rPr>
                <w:sz w:val="4"/>
                <w:szCs w:val="4"/>
              </w:rPr>
            </w:r>
          </w:p>
        </w:tc>
        <w:tc>
          <w:tcPr>
            <w:tcW w:w="664" w:type="dxa"/>
            <w:tcBorders/>
            <w:vAlign w:val="center"/>
          </w:tcPr>
          <w:p>
            <w:pPr>
              <w:pStyle w:val="TableContents"/>
              <w:bidi w:val="0"/>
              <w:spacing w:before="0" w:after="283"/>
              <w:jc w:val="left"/>
              <w:rPr>
                <w:sz w:val="4"/>
                <w:szCs w:val="4"/>
              </w:rPr>
            </w:pPr>
            <w:r>
              <w:rPr>
                <w:sz w:val="4"/>
                <w:szCs w:val="4"/>
              </w:rPr>
            </w:r>
          </w:p>
        </w:tc>
        <w:tc>
          <w:tcPr>
            <w:tcW w:w="664" w:type="dxa"/>
            <w:tcBorders/>
            <w:vAlign w:val="center"/>
          </w:tcPr>
          <w:p>
            <w:pPr>
              <w:pStyle w:val="TableContents"/>
              <w:bidi w:val="0"/>
              <w:spacing w:before="0" w:after="283"/>
              <w:jc w:val="left"/>
              <w:rPr>
                <w:sz w:val="4"/>
                <w:szCs w:val="4"/>
              </w:rPr>
            </w:pPr>
            <w:r>
              <w:rPr>
                <w:sz w:val="4"/>
                <w:szCs w:val="4"/>
              </w:rPr>
            </w:r>
          </w:p>
        </w:tc>
        <w:tc>
          <w:tcPr>
            <w:tcW w:w="953" w:type="dxa"/>
            <w:tcBorders/>
            <w:vAlign w:val="center"/>
          </w:tcPr>
          <w:p>
            <w:pPr>
              <w:pStyle w:val="TableContents"/>
              <w:bidi w:val="0"/>
              <w:spacing w:before="0" w:after="283"/>
              <w:jc w:val="left"/>
              <w:rPr>
                <w:sz w:val="4"/>
                <w:szCs w:val="4"/>
              </w:rPr>
            </w:pPr>
            <w:r>
              <w:rPr>
                <w:sz w:val="4"/>
                <w:szCs w:val="4"/>
              </w:rPr>
            </w:r>
          </w:p>
        </w:tc>
      </w:tr>
      <w:tr>
        <w:trPr/>
        <w:tc>
          <w:tcPr>
            <w:tcW w:w="1697" w:type="dxa"/>
            <w:gridSpan w:val="3"/>
            <w:vMerge w:val="restart"/>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3"/>
            <w:tcBorders>
              <w:top w:val="single" w:sz="4" w:space="0" w:color="000000"/>
              <w:left w:val="single" w:sz="4" w:space="0" w:color="000000"/>
            </w:tcBorders>
            <w:shd w:fill="DBDBDB" w:val="clear"/>
            <w:tcMar>
              <w:top w:w="30" w:type="dxa"/>
              <w:bottom w:w="0" w:type="dxa"/>
              <w:right w:w="0" w:type="dxa"/>
            </w:tcMar>
            <w:vAlign w:val="center"/>
          </w:tcPr>
          <w:p>
            <w:pPr>
              <w:pStyle w:val="TableContents"/>
              <w:bidi w:val="0"/>
              <w:spacing w:lineRule="auto" w:line="240" w:before="0" w:after="283"/>
              <w:jc w:val="center"/>
              <w:rPr>
                <w:rFonts w:ascii="Lato;sans-serif" w:hAnsi="Lato;sans-serif"/>
                <w:b w:val="false"/>
                <w:color w:val="000000"/>
                <w:sz w:val="20"/>
              </w:rPr>
            </w:pPr>
            <w:r>
              <w:rPr>
                <w:rFonts w:ascii="Lato;sans-serif" w:hAnsi="Lato;sans-serif"/>
                <w:b w:val="false"/>
                <w:color w:val="000000"/>
                <w:sz w:val="20"/>
              </w:rPr>
              <w:t>Tranche</w:t>
            </w:r>
          </w:p>
        </w:tc>
        <w:tc>
          <w:tcPr>
            <w:tcW w:w="1426" w:type="dxa"/>
            <w:gridSpan w:val="3"/>
            <w:tcBorders>
              <w:top w:val="single" w:sz="4" w:space="0" w:color="000000"/>
              <w:left w:val="single" w:sz="4" w:space="0" w:color="000000"/>
            </w:tcBorders>
            <w:shd w:fill="DBDBDB" w:val="clear"/>
            <w:tcMar>
              <w:top w:w="30" w:type="dxa"/>
              <w:bottom w:w="0" w:type="dxa"/>
              <w:right w:w="0" w:type="dxa"/>
            </w:tcMar>
            <w:vAlign w:val="center"/>
          </w:tcPr>
          <w:p>
            <w:pPr>
              <w:pStyle w:val="TableContents"/>
              <w:bidi w:val="0"/>
              <w:spacing w:lineRule="auto" w:line="240" w:before="0" w:after="0"/>
              <w:jc w:val="center"/>
              <w:rPr/>
            </w:pPr>
            <w:r>
              <w:rPr>
                <w:rFonts w:ascii="Lato;sans-serif" w:hAnsi="Lato;sans-serif"/>
                <w:b w:val="false"/>
                <w:color w:val="000000"/>
                <w:sz w:val="20"/>
              </w:rPr>
              <w:t>Stock Price Goal</w:t>
            </w:r>
            <w:r>
              <w:rPr>
                <w:rFonts w:ascii="Lato;sans-serif" w:hAnsi="Lato;sans-serif"/>
                <w:b w:val="false"/>
                <w:color w:val="000000"/>
                <w:sz w:val="13"/>
              </w:rPr>
              <w:t>(1)</w:t>
            </w:r>
          </w:p>
        </w:tc>
        <w:tc>
          <w:tcPr>
            <w:tcW w:w="3696" w:type="dxa"/>
            <w:gridSpan w:val="3"/>
            <w:tcBorders>
              <w:top w:val="single" w:sz="4" w:space="0" w:color="000000"/>
              <w:left w:val="single" w:sz="4" w:space="0" w:color="000000"/>
            </w:tcBorders>
            <w:shd w:fill="DBDBDB" w:val="clear"/>
            <w:tcMar>
              <w:top w:w="30" w:type="dxa"/>
              <w:bottom w:w="0" w:type="dxa"/>
              <w:right w:w="0" w:type="dxa"/>
            </w:tcMar>
            <w:vAlign w:val="center"/>
          </w:tcPr>
          <w:p>
            <w:pPr>
              <w:pStyle w:val="TableContents"/>
              <w:bidi w:val="0"/>
              <w:spacing w:lineRule="auto" w:line="240" w:before="0" w:after="283"/>
              <w:jc w:val="center"/>
              <w:rPr>
                <w:rFonts w:ascii="Lato;sans-serif" w:hAnsi="Lato;sans-serif"/>
                <w:b w:val="false"/>
                <w:color w:val="000000"/>
                <w:sz w:val="20"/>
              </w:rPr>
            </w:pPr>
            <w:r>
              <w:rPr>
                <w:rFonts w:ascii="Lato;sans-serif" w:hAnsi="Lato;sans-serif"/>
                <w:b w:val="false"/>
                <w:color w:val="000000"/>
                <w:sz w:val="20"/>
              </w:rPr>
              <w:t>Stock Price Goal as Percentage of Per Share Fair Market Value as of the Grant Date</w:t>
            </w:r>
          </w:p>
        </w:tc>
        <w:tc>
          <w:tcPr>
            <w:tcW w:w="2281" w:type="dxa"/>
            <w:gridSpan w:val="3"/>
            <w:tcBorders>
              <w:top w:val="single" w:sz="4" w:space="0" w:color="000000"/>
              <w:left w:val="single" w:sz="4" w:space="0" w:color="000000"/>
              <w:right w:val="single" w:sz="4" w:space="0" w:color="000000"/>
            </w:tcBorders>
            <w:shd w:fill="DBDBDB" w:val="clear"/>
            <w:tcMar>
              <w:top w:w="30" w:type="dxa"/>
              <w:bottom w:w="0" w:type="dxa"/>
            </w:tcMar>
            <w:vAlign w:val="center"/>
          </w:tcPr>
          <w:p>
            <w:pPr>
              <w:pStyle w:val="TableContents"/>
              <w:bidi w:val="0"/>
              <w:spacing w:lineRule="auto" w:line="240" w:before="0" w:after="0"/>
              <w:jc w:val="center"/>
              <w:rPr/>
            </w:pPr>
            <w:r>
              <w:rPr>
                <w:rFonts w:ascii="Lato;sans-serif" w:hAnsi="Lato;sans-serif"/>
                <w:b w:val="false"/>
                <w:color w:val="000000"/>
                <w:sz w:val="20"/>
              </w:rPr>
              <w:t>Adjusted Free Cash Flow per Share Goal</w:t>
            </w:r>
            <w:r>
              <w:rPr>
                <w:rFonts w:ascii="Lato;sans-serif" w:hAnsi="Lato;sans-serif"/>
                <w:b w:val="false"/>
                <w:color w:val="000000"/>
                <w:sz w:val="13"/>
              </w:rPr>
              <w:t>(2)</w:t>
            </w:r>
          </w:p>
        </w:tc>
      </w:tr>
      <w:tr>
        <w:trPr/>
        <w:tc>
          <w:tcPr>
            <w:tcW w:w="1697" w:type="dxa"/>
            <w:gridSpan w:val="3"/>
            <w:vMerge w:val="continue"/>
            <w:tcBorders/>
            <w:shd w:fill="DBDBDB" w:val="clear"/>
            <w:tcMar>
              <w:top w:w="0" w:type="dxa"/>
              <w:left w:w="0" w:type="dxa"/>
              <w:bottom w:w="0" w:type="dxa"/>
              <w:right w:w="0" w:type="dxa"/>
            </w:tcMar>
            <w:vAlign w:val="center"/>
          </w:tcPr>
          <w:p>
            <w:pPr>
              <w:pStyle w:val="Normal"/>
              <w:bidi w:val="0"/>
              <w:jc w:val="left"/>
              <w:rPr/>
            </w:pPr>
            <w:r>
              <w:rPr/>
            </w:r>
          </w:p>
        </w:tc>
        <w:tc>
          <w:tcPr>
            <w:tcW w:w="1105" w:type="dxa"/>
            <w:gridSpan w:val="3"/>
            <w:tcBorders>
              <w:top w:val="single" w:sz="4" w:space="0" w:color="000000"/>
              <w:left w:val="single" w:sz="4" w:space="0" w:color="000000"/>
            </w:tcBorders>
            <w:shd w:fill="DBDBDB" w:val="clear"/>
            <w:tcMar>
              <w:top w:w="30" w:type="dxa"/>
              <w:bottom w:w="0" w:type="dxa"/>
              <w:right w:w="0" w:type="dxa"/>
            </w:tcMar>
            <w:vAlign w:val="center"/>
          </w:tcPr>
          <w:p>
            <w:pPr>
              <w:pStyle w:val="TableContents"/>
              <w:bidi w:val="0"/>
              <w:spacing w:lineRule="auto" w:line="240" w:before="0" w:after="283"/>
              <w:jc w:val="center"/>
              <w:rPr>
                <w:rFonts w:ascii="Lato;sans-serif" w:hAnsi="Lato;sans-serif"/>
                <w:b w:val="false"/>
                <w:color w:val="000000"/>
                <w:sz w:val="20"/>
              </w:rPr>
            </w:pPr>
            <w:r>
              <w:rPr>
                <w:rFonts w:ascii="Lato;sans-serif" w:hAnsi="Lato;sans-serif"/>
                <w:b w:val="false"/>
                <w:color w:val="000000"/>
                <w:sz w:val="20"/>
              </w:rPr>
              <w:t>1</w:t>
            </w:r>
          </w:p>
        </w:tc>
        <w:tc>
          <w:tcPr>
            <w:tcW w:w="1426" w:type="dxa"/>
            <w:gridSpan w:val="3"/>
            <w:tcBorders>
              <w:top w:val="single" w:sz="4" w:space="0" w:color="000000"/>
              <w:left w:val="single" w:sz="4" w:space="0" w:color="000000"/>
            </w:tcBorders>
            <w:shd w:fill="DBDBDB" w:val="clear"/>
            <w:tcMar>
              <w:top w:w="30" w:type="dxa"/>
              <w:bottom w:w="0" w:type="dxa"/>
              <w:right w:w="0" w:type="dxa"/>
            </w:tcMar>
            <w:vAlign w:val="center"/>
          </w:tcPr>
          <w:p>
            <w:pPr>
              <w:pStyle w:val="TableContents"/>
              <w:bidi w:val="0"/>
              <w:spacing w:lineRule="auto" w:line="240" w:before="0" w:after="283"/>
              <w:jc w:val="center"/>
              <w:rPr>
                <w:rFonts w:ascii="Lato;sans-serif" w:hAnsi="Lato;sans-serif"/>
                <w:b w:val="false"/>
                <w:color w:val="000000"/>
                <w:sz w:val="20"/>
              </w:rPr>
            </w:pPr>
            <w:r>
              <w:rPr>
                <w:rFonts w:ascii="Lato;sans-serif" w:hAnsi="Lato;sans-serif"/>
                <w:b w:val="false"/>
                <w:color w:val="000000"/>
                <w:sz w:val="20"/>
              </w:rPr>
              <w:t>$40.00</w:t>
            </w:r>
          </w:p>
        </w:tc>
        <w:tc>
          <w:tcPr>
            <w:tcW w:w="3696" w:type="dxa"/>
            <w:gridSpan w:val="3"/>
            <w:tcBorders>
              <w:top w:val="single" w:sz="4" w:space="0" w:color="000000"/>
              <w:left w:val="single" w:sz="4" w:space="0" w:color="000000"/>
            </w:tcBorders>
            <w:shd w:fill="DBDBDB" w:val="clear"/>
            <w:tcMar>
              <w:top w:w="30" w:type="dxa"/>
              <w:bottom w:w="0" w:type="dxa"/>
              <w:right w:w="0" w:type="dxa"/>
            </w:tcMar>
            <w:vAlign w:val="center"/>
          </w:tcPr>
          <w:p>
            <w:pPr>
              <w:pStyle w:val="TableContents"/>
              <w:bidi w:val="0"/>
              <w:spacing w:lineRule="auto" w:line="240" w:before="0" w:after="283"/>
              <w:jc w:val="center"/>
              <w:rPr>
                <w:rFonts w:ascii="Lato;sans-serif" w:hAnsi="Lato;sans-serif"/>
                <w:b w:val="false"/>
                <w:color w:val="000000"/>
                <w:sz w:val="20"/>
              </w:rPr>
            </w:pPr>
            <w:r>
              <w:rPr>
                <w:rFonts w:ascii="Lato;sans-serif" w:hAnsi="Lato;sans-serif"/>
                <w:b w:val="false"/>
                <w:color w:val="000000"/>
                <w:sz w:val="20"/>
              </w:rPr>
              <w:t>414%</w:t>
            </w:r>
          </w:p>
        </w:tc>
        <w:tc>
          <w:tcPr>
            <w:tcW w:w="2281" w:type="dxa"/>
            <w:gridSpan w:val="3"/>
            <w:tcBorders>
              <w:top w:val="single" w:sz="4" w:space="0" w:color="000000"/>
              <w:left w:val="single" w:sz="4" w:space="0" w:color="000000"/>
              <w:right w:val="single" w:sz="4" w:space="0" w:color="000000"/>
            </w:tcBorders>
            <w:shd w:fill="DBDBDB" w:val="clear"/>
            <w:tcMar>
              <w:top w:w="30" w:type="dxa"/>
              <w:bottom w:w="0" w:type="dxa"/>
            </w:tcMar>
            <w:vAlign w:val="center"/>
          </w:tcPr>
          <w:p>
            <w:pPr>
              <w:pStyle w:val="TableContents"/>
              <w:bidi w:val="0"/>
              <w:spacing w:lineRule="auto" w:line="240" w:before="0" w:after="283"/>
              <w:jc w:val="center"/>
              <w:rPr>
                <w:rFonts w:ascii="Lato;sans-serif" w:hAnsi="Lato;sans-serif"/>
                <w:b w:val="false"/>
                <w:color w:val="000000"/>
                <w:sz w:val="20"/>
              </w:rPr>
            </w:pPr>
            <w:r>
              <w:rPr>
                <w:rFonts w:ascii="Lato;sans-serif" w:hAnsi="Lato;sans-serif"/>
                <w:b w:val="false"/>
                <w:color w:val="000000"/>
                <w:sz w:val="20"/>
              </w:rPr>
              <w:t>$2.50</w:t>
            </w:r>
          </w:p>
        </w:tc>
      </w:tr>
      <w:tr>
        <w:trPr/>
        <w:tc>
          <w:tcPr>
            <w:tcW w:w="1697" w:type="dxa"/>
            <w:gridSpan w:val="3"/>
            <w:vMerge w:val="continue"/>
            <w:tcBorders/>
            <w:shd w:fill="DBDBDB" w:val="clear"/>
            <w:tcMar>
              <w:top w:w="0" w:type="dxa"/>
              <w:left w:w="0" w:type="dxa"/>
              <w:bottom w:w="0" w:type="dxa"/>
              <w:right w:w="0" w:type="dxa"/>
            </w:tcMar>
            <w:vAlign w:val="center"/>
          </w:tcPr>
          <w:p>
            <w:pPr>
              <w:pStyle w:val="Normal"/>
              <w:bidi w:val="0"/>
              <w:jc w:val="left"/>
              <w:rPr/>
            </w:pPr>
            <w:r>
              <w:rPr/>
            </w:r>
          </w:p>
        </w:tc>
        <w:tc>
          <w:tcPr>
            <w:tcW w:w="1105" w:type="dxa"/>
            <w:gridSpan w:val="3"/>
            <w:tcBorders>
              <w:top w:val="single" w:sz="4" w:space="0" w:color="000000"/>
              <w:left w:val="single" w:sz="4" w:space="0" w:color="000000"/>
            </w:tcBorders>
            <w:shd w:fill="DBDBDB" w:val="clear"/>
            <w:tcMar>
              <w:top w:w="30" w:type="dxa"/>
              <w:bottom w:w="0" w:type="dxa"/>
              <w:right w:w="0" w:type="dxa"/>
            </w:tcMar>
            <w:vAlign w:val="center"/>
          </w:tcPr>
          <w:p>
            <w:pPr>
              <w:pStyle w:val="TableContents"/>
              <w:bidi w:val="0"/>
              <w:spacing w:lineRule="auto" w:line="240" w:before="0" w:after="283"/>
              <w:jc w:val="center"/>
              <w:rPr>
                <w:rFonts w:ascii="Lato;sans-serif" w:hAnsi="Lato;sans-serif"/>
                <w:b w:val="false"/>
                <w:color w:val="000000"/>
                <w:sz w:val="20"/>
              </w:rPr>
            </w:pPr>
            <w:r>
              <w:rPr>
                <w:rFonts w:ascii="Lato;sans-serif" w:hAnsi="Lato;sans-serif"/>
                <w:b w:val="false"/>
                <w:color w:val="000000"/>
                <w:sz w:val="20"/>
              </w:rPr>
              <w:t>2</w:t>
            </w:r>
          </w:p>
        </w:tc>
        <w:tc>
          <w:tcPr>
            <w:tcW w:w="1426" w:type="dxa"/>
            <w:gridSpan w:val="3"/>
            <w:tcBorders>
              <w:top w:val="single" w:sz="4" w:space="0" w:color="000000"/>
              <w:left w:val="single" w:sz="4" w:space="0" w:color="000000"/>
            </w:tcBorders>
            <w:shd w:fill="DBDBDB" w:val="clear"/>
            <w:tcMar>
              <w:top w:w="30" w:type="dxa"/>
              <w:bottom w:w="0" w:type="dxa"/>
              <w:right w:w="0" w:type="dxa"/>
            </w:tcMar>
            <w:vAlign w:val="center"/>
          </w:tcPr>
          <w:p>
            <w:pPr>
              <w:pStyle w:val="TableContents"/>
              <w:bidi w:val="0"/>
              <w:spacing w:lineRule="auto" w:line="240" w:before="0" w:after="283"/>
              <w:jc w:val="center"/>
              <w:rPr>
                <w:rFonts w:ascii="Lato;sans-serif" w:hAnsi="Lato;sans-serif"/>
                <w:b w:val="false"/>
                <w:color w:val="000000"/>
                <w:sz w:val="20"/>
              </w:rPr>
            </w:pPr>
            <w:r>
              <w:rPr>
                <w:rFonts w:ascii="Lato;sans-serif" w:hAnsi="Lato;sans-serif"/>
                <w:b w:val="false"/>
                <w:color w:val="000000"/>
                <w:sz w:val="20"/>
              </w:rPr>
              <w:t>$60.00</w:t>
            </w:r>
          </w:p>
        </w:tc>
        <w:tc>
          <w:tcPr>
            <w:tcW w:w="3696" w:type="dxa"/>
            <w:gridSpan w:val="3"/>
            <w:tcBorders>
              <w:top w:val="single" w:sz="4" w:space="0" w:color="000000"/>
              <w:left w:val="single" w:sz="4" w:space="0" w:color="000000"/>
            </w:tcBorders>
            <w:shd w:fill="DBDBDB" w:val="clear"/>
            <w:tcMar>
              <w:top w:w="30" w:type="dxa"/>
              <w:bottom w:w="0" w:type="dxa"/>
              <w:right w:w="0" w:type="dxa"/>
            </w:tcMar>
            <w:vAlign w:val="center"/>
          </w:tcPr>
          <w:p>
            <w:pPr>
              <w:pStyle w:val="TableContents"/>
              <w:bidi w:val="0"/>
              <w:spacing w:lineRule="auto" w:line="240" w:before="0" w:after="283"/>
              <w:jc w:val="center"/>
              <w:rPr>
                <w:rFonts w:ascii="Lato;sans-serif" w:hAnsi="Lato;sans-serif"/>
                <w:b w:val="false"/>
                <w:color w:val="000000"/>
                <w:sz w:val="20"/>
              </w:rPr>
            </w:pPr>
            <w:r>
              <w:rPr>
                <w:rFonts w:ascii="Lato;sans-serif" w:hAnsi="Lato;sans-serif"/>
                <w:b w:val="false"/>
                <w:color w:val="000000"/>
                <w:sz w:val="20"/>
              </w:rPr>
              <w:t>620%</w:t>
            </w:r>
          </w:p>
        </w:tc>
        <w:tc>
          <w:tcPr>
            <w:tcW w:w="2281" w:type="dxa"/>
            <w:gridSpan w:val="3"/>
            <w:tcBorders>
              <w:top w:val="single" w:sz="4" w:space="0" w:color="000000"/>
              <w:left w:val="single" w:sz="4" w:space="0" w:color="000000"/>
              <w:right w:val="single" w:sz="4" w:space="0" w:color="000000"/>
            </w:tcBorders>
            <w:shd w:fill="DBDBDB" w:val="clear"/>
            <w:tcMar>
              <w:top w:w="30" w:type="dxa"/>
              <w:bottom w:w="0" w:type="dxa"/>
            </w:tcMar>
            <w:vAlign w:val="center"/>
          </w:tcPr>
          <w:p>
            <w:pPr>
              <w:pStyle w:val="TableContents"/>
              <w:bidi w:val="0"/>
              <w:spacing w:lineRule="auto" w:line="240" w:before="0" w:after="283"/>
              <w:jc w:val="center"/>
              <w:rPr>
                <w:rFonts w:ascii="Lato;sans-serif" w:hAnsi="Lato;sans-serif"/>
                <w:b w:val="false"/>
                <w:color w:val="000000"/>
                <w:sz w:val="20"/>
              </w:rPr>
            </w:pPr>
            <w:r>
              <w:rPr>
                <w:rFonts w:ascii="Lato;sans-serif" w:hAnsi="Lato;sans-serif"/>
                <w:b w:val="false"/>
                <w:color w:val="000000"/>
                <w:sz w:val="20"/>
              </w:rPr>
              <w:t>$3.00</w:t>
            </w:r>
          </w:p>
        </w:tc>
      </w:tr>
      <w:tr>
        <w:trPr/>
        <w:tc>
          <w:tcPr>
            <w:tcW w:w="1697" w:type="dxa"/>
            <w:gridSpan w:val="3"/>
            <w:vMerge w:val="continue"/>
            <w:tcBorders/>
            <w:shd w:fill="DBDBDB" w:val="clear"/>
            <w:tcMar>
              <w:top w:w="0" w:type="dxa"/>
              <w:left w:w="0" w:type="dxa"/>
              <w:bottom w:w="0" w:type="dxa"/>
              <w:right w:w="0" w:type="dxa"/>
            </w:tcMar>
            <w:vAlign w:val="center"/>
          </w:tcPr>
          <w:p>
            <w:pPr>
              <w:pStyle w:val="Normal"/>
              <w:bidi w:val="0"/>
              <w:jc w:val="left"/>
              <w:rPr/>
            </w:pPr>
            <w:r>
              <w:rPr/>
            </w:r>
          </w:p>
        </w:tc>
        <w:tc>
          <w:tcPr>
            <w:tcW w:w="1105" w:type="dxa"/>
            <w:gridSpan w:val="3"/>
            <w:tcBorders>
              <w:top w:val="single" w:sz="4" w:space="0" w:color="000000"/>
              <w:left w:val="single" w:sz="4" w:space="0" w:color="000000"/>
            </w:tcBorders>
            <w:shd w:fill="DBDBDB" w:val="clear"/>
            <w:tcMar>
              <w:top w:w="30" w:type="dxa"/>
              <w:bottom w:w="0" w:type="dxa"/>
              <w:right w:w="0" w:type="dxa"/>
            </w:tcMar>
            <w:vAlign w:val="center"/>
          </w:tcPr>
          <w:p>
            <w:pPr>
              <w:pStyle w:val="TableContents"/>
              <w:bidi w:val="0"/>
              <w:spacing w:lineRule="auto" w:line="240" w:before="0" w:after="283"/>
              <w:jc w:val="center"/>
              <w:rPr>
                <w:rFonts w:ascii="Lato;sans-serif" w:hAnsi="Lato;sans-serif"/>
                <w:b w:val="false"/>
                <w:color w:val="000000"/>
                <w:sz w:val="20"/>
              </w:rPr>
            </w:pPr>
            <w:r>
              <w:rPr>
                <w:rFonts w:ascii="Lato;sans-serif" w:hAnsi="Lato;sans-serif"/>
                <w:b w:val="false"/>
                <w:color w:val="000000"/>
                <w:sz w:val="20"/>
              </w:rPr>
              <w:t>3</w:t>
            </w:r>
          </w:p>
        </w:tc>
        <w:tc>
          <w:tcPr>
            <w:tcW w:w="1426" w:type="dxa"/>
            <w:gridSpan w:val="3"/>
            <w:tcBorders>
              <w:top w:val="single" w:sz="4" w:space="0" w:color="000000"/>
              <w:left w:val="single" w:sz="4" w:space="0" w:color="000000"/>
            </w:tcBorders>
            <w:shd w:fill="DBDBDB" w:val="clear"/>
            <w:tcMar>
              <w:top w:w="30" w:type="dxa"/>
              <w:bottom w:w="0" w:type="dxa"/>
              <w:right w:w="0" w:type="dxa"/>
            </w:tcMar>
            <w:vAlign w:val="center"/>
          </w:tcPr>
          <w:p>
            <w:pPr>
              <w:pStyle w:val="TableContents"/>
              <w:bidi w:val="0"/>
              <w:spacing w:lineRule="auto" w:line="240" w:before="0" w:after="283"/>
              <w:jc w:val="center"/>
              <w:rPr>
                <w:rFonts w:ascii="Lato;sans-serif" w:hAnsi="Lato;sans-serif"/>
                <w:b w:val="false"/>
                <w:color w:val="000000"/>
                <w:sz w:val="20"/>
              </w:rPr>
            </w:pPr>
            <w:r>
              <w:rPr>
                <w:rFonts w:ascii="Lato;sans-serif" w:hAnsi="Lato;sans-serif"/>
                <w:b w:val="false"/>
                <w:color w:val="000000"/>
                <w:sz w:val="20"/>
              </w:rPr>
              <w:t>$70.00</w:t>
            </w:r>
          </w:p>
        </w:tc>
        <w:tc>
          <w:tcPr>
            <w:tcW w:w="3696" w:type="dxa"/>
            <w:gridSpan w:val="3"/>
            <w:tcBorders>
              <w:top w:val="single" w:sz="4" w:space="0" w:color="000000"/>
              <w:left w:val="single" w:sz="4" w:space="0" w:color="000000"/>
            </w:tcBorders>
            <w:shd w:fill="DBDBDB" w:val="clear"/>
            <w:tcMar>
              <w:top w:w="30" w:type="dxa"/>
              <w:bottom w:w="0" w:type="dxa"/>
              <w:right w:w="0" w:type="dxa"/>
            </w:tcMar>
            <w:vAlign w:val="center"/>
          </w:tcPr>
          <w:p>
            <w:pPr>
              <w:pStyle w:val="TableContents"/>
              <w:bidi w:val="0"/>
              <w:spacing w:lineRule="auto" w:line="240" w:before="0" w:after="283"/>
              <w:jc w:val="center"/>
              <w:rPr>
                <w:rFonts w:ascii="Lato;sans-serif" w:hAnsi="Lato;sans-serif"/>
                <w:b w:val="false"/>
                <w:color w:val="000000"/>
                <w:sz w:val="20"/>
              </w:rPr>
            </w:pPr>
            <w:r>
              <w:rPr>
                <w:rFonts w:ascii="Lato;sans-serif" w:hAnsi="Lato;sans-serif"/>
                <w:b w:val="false"/>
                <w:color w:val="000000"/>
                <w:sz w:val="20"/>
              </w:rPr>
              <w:t>724%</w:t>
            </w:r>
          </w:p>
        </w:tc>
        <w:tc>
          <w:tcPr>
            <w:tcW w:w="2281" w:type="dxa"/>
            <w:gridSpan w:val="3"/>
            <w:tcBorders>
              <w:top w:val="single" w:sz="4" w:space="0" w:color="000000"/>
              <w:left w:val="single" w:sz="4" w:space="0" w:color="000000"/>
              <w:right w:val="single" w:sz="4" w:space="0" w:color="000000"/>
            </w:tcBorders>
            <w:shd w:fill="DBDBDB" w:val="clear"/>
            <w:tcMar>
              <w:top w:w="30" w:type="dxa"/>
              <w:bottom w:w="0" w:type="dxa"/>
            </w:tcMar>
            <w:vAlign w:val="center"/>
          </w:tcPr>
          <w:p>
            <w:pPr>
              <w:pStyle w:val="TableContents"/>
              <w:bidi w:val="0"/>
              <w:spacing w:lineRule="auto" w:line="240" w:before="0" w:after="283"/>
              <w:jc w:val="center"/>
              <w:rPr>
                <w:rFonts w:ascii="Lato;sans-serif" w:hAnsi="Lato;sans-serif"/>
                <w:b w:val="false"/>
                <w:color w:val="000000"/>
                <w:sz w:val="20"/>
              </w:rPr>
            </w:pPr>
            <w:r>
              <w:rPr>
                <w:rFonts w:ascii="Lato;sans-serif" w:hAnsi="Lato;sans-serif"/>
                <w:b w:val="false"/>
                <w:color w:val="000000"/>
                <w:sz w:val="20"/>
              </w:rPr>
              <w:t>$3.50</w:t>
            </w:r>
          </w:p>
        </w:tc>
      </w:tr>
      <w:tr>
        <w:trPr/>
        <w:tc>
          <w:tcPr>
            <w:tcW w:w="1697" w:type="dxa"/>
            <w:gridSpan w:val="3"/>
            <w:vMerge w:val="continue"/>
            <w:tcBorders/>
            <w:shd w:fill="DBDBDB" w:val="clear"/>
            <w:tcMar>
              <w:top w:w="0" w:type="dxa"/>
              <w:left w:w="0" w:type="dxa"/>
              <w:bottom w:w="0" w:type="dxa"/>
              <w:right w:w="0" w:type="dxa"/>
            </w:tcMar>
            <w:vAlign w:val="center"/>
          </w:tcPr>
          <w:p>
            <w:pPr>
              <w:pStyle w:val="Normal"/>
              <w:bidi w:val="0"/>
              <w:jc w:val="left"/>
              <w:rPr/>
            </w:pPr>
            <w:r>
              <w:rPr/>
            </w:r>
          </w:p>
        </w:tc>
        <w:tc>
          <w:tcPr>
            <w:tcW w:w="1105" w:type="dxa"/>
            <w:gridSpan w:val="3"/>
            <w:tcBorders>
              <w:top w:val="single" w:sz="4" w:space="0" w:color="000000"/>
              <w:left w:val="single" w:sz="4" w:space="0" w:color="000000"/>
            </w:tcBorders>
            <w:shd w:fill="DBDBDB" w:val="clear"/>
            <w:tcMar>
              <w:top w:w="30" w:type="dxa"/>
              <w:bottom w:w="0" w:type="dxa"/>
              <w:right w:w="0" w:type="dxa"/>
            </w:tcMar>
            <w:vAlign w:val="center"/>
          </w:tcPr>
          <w:p>
            <w:pPr>
              <w:pStyle w:val="TableContents"/>
              <w:bidi w:val="0"/>
              <w:spacing w:lineRule="auto" w:line="240" w:before="0" w:after="283"/>
              <w:jc w:val="center"/>
              <w:rPr>
                <w:rFonts w:ascii="Lato;sans-serif" w:hAnsi="Lato;sans-serif"/>
                <w:b w:val="false"/>
                <w:color w:val="000000"/>
                <w:sz w:val="20"/>
              </w:rPr>
            </w:pPr>
            <w:r>
              <w:rPr>
                <w:rFonts w:ascii="Lato;sans-serif" w:hAnsi="Lato;sans-serif"/>
                <w:b w:val="false"/>
                <w:color w:val="000000"/>
                <w:sz w:val="20"/>
              </w:rPr>
              <w:t>4</w:t>
            </w:r>
          </w:p>
        </w:tc>
        <w:tc>
          <w:tcPr>
            <w:tcW w:w="1426" w:type="dxa"/>
            <w:gridSpan w:val="3"/>
            <w:tcBorders>
              <w:top w:val="single" w:sz="4" w:space="0" w:color="000000"/>
              <w:left w:val="single" w:sz="4" w:space="0" w:color="000000"/>
            </w:tcBorders>
            <w:shd w:fill="DBDBDB" w:val="clear"/>
            <w:tcMar>
              <w:top w:w="30" w:type="dxa"/>
              <w:bottom w:w="0" w:type="dxa"/>
              <w:right w:w="0" w:type="dxa"/>
            </w:tcMar>
            <w:vAlign w:val="center"/>
          </w:tcPr>
          <w:p>
            <w:pPr>
              <w:pStyle w:val="TableContents"/>
              <w:bidi w:val="0"/>
              <w:spacing w:lineRule="auto" w:line="240" w:before="0" w:after="283"/>
              <w:jc w:val="center"/>
              <w:rPr>
                <w:rFonts w:ascii="Lato;sans-serif" w:hAnsi="Lato;sans-serif"/>
                <w:b w:val="false"/>
                <w:color w:val="000000"/>
                <w:sz w:val="20"/>
              </w:rPr>
            </w:pPr>
            <w:r>
              <w:rPr>
                <w:rFonts w:ascii="Lato;sans-serif" w:hAnsi="Lato;sans-serif"/>
                <w:b w:val="false"/>
                <w:color w:val="000000"/>
                <w:sz w:val="20"/>
              </w:rPr>
              <w:t>$80.00</w:t>
            </w:r>
          </w:p>
        </w:tc>
        <w:tc>
          <w:tcPr>
            <w:tcW w:w="3696" w:type="dxa"/>
            <w:gridSpan w:val="3"/>
            <w:tcBorders>
              <w:top w:val="single" w:sz="4" w:space="0" w:color="000000"/>
              <w:left w:val="single" w:sz="4" w:space="0" w:color="000000"/>
            </w:tcBorders>
            <w:shd w:fill="DBDBDB" w:val="clear"/>
            <w:tcMar>
              <w:top w:w="30" w:type="dxa"/>
              <w:bottom w:w="0" w:type="dxa"/>
              <w:right w:w="0" w:type="dxa"/>
            </w:tcMar>
            <w:vAlign w:val="center"/>
          </w:tcPr>
          <w:p>
            <w:pPr>
              <w:pStyle w:val="TableContents"/>
              <w:bidi w:val="0"/>
              <w:spacing w:lineRule="auto" w:line="240" w:before="0" w:after="283"/>
              <w:jc w:val="center"/>
              <w:rPr>
                <w:rFonts w:ascii="Lato;sans-serif" w:hAnsi="Lato;sans-serif"/>
                <w:b w:val="false"/>
                <w:color w:val="000000"/>
                <w:sz w:val="20"/>
              </w:rPr>
            </w:pPr>
            <w:r>
              <w:rPr>
                <w:rFonts w:ascii="Lato;sans-serif" w:hAnsi="Lato;sans-serif"/>
                <w:b w:val="false"/>
                <w:color w:val="000000"/>
                <w:sz w:val="20"/>
              </w:rPr>
              <w:t>827%</w:t>
            </w:r>
          </w:p>
        </w:tc>
        <w:tc>
          <w:tcPr>
            <w:tcW w:w="2281" w:type="dxa"/>
            <w:gridSpan w:val="3"/>
            <w:tcBorders>
              <w:top w:val="single" w:sz="4" w:space="0" w:color="000000"/>
              <w:left w:val="single" w:sz="4" w:space="0" w:color="000000"/>
              <w:right w:val="single" w:sz="4" w:space="0" w:color="000000"/>
            </w:tcBorders>
            <w:shd w:fill="DBDBDB" w:val="clear"/>
            <w:tcMar>
              <w:top w:w="30" w:type="dxa"/>
              <w:bottom w:w="0" w:type="dxa"/>
            </w:tcMar>
            <w:vAlign w:val="center"/>
          </w:tcPr>
          <w:p>
            <w:pPr>
              <w:pStyle w:val="TableContents"/>
              <w:bidi w:val="0"/>
              <w:spacing w:lineRule="auto" w:line="240" w:before="0" w:after="283"/>
              <w:jc w:val="center"/>
              <w:rPr>
                <w:rFonts w:ascii="Lato;sans-serif" w:hAnsi="Lato;sans-serif"/>
                <w:b w:val="false"/>
                <w:color w:val="000000"/>
                <w:sz w:val="20"/>
              </w:rPr>
            </w:pPr>
            <w:r>
              <w:rPr>
                <w:rFonts w:ascii="Lato;sans-serif" w:hAnsi="Lato;sans-serif"/>
                <w:b w:val="false"/>
                <w:color w:val="000000"/>
                <w:sz w:val="20"/>
              </w:rPr>
              <w:t>$4.00</w:t>
            </w:r>
          </w:p>
        </w:tc>
      </w:tr>
      <w:tr>
        <w:trPr/>
        <w:tc>
          <w:tcPr>
            <w:tcW w:w="1697" w:type="dxa"/>
            <w:gridSpan w:val="3"/>
            <w:vMerge w:val="continue"/>
            <w:tcBorders/>
            <w:shd w:fill="DBDBDB" w:val="clear"/>
            <w:tcMar>
              <w:top w:w="0" w:type="dxa"/>
              <w:left w:w="0" w:type="dxa"/>
              <w:bottom w:w="0" w:type="dxa"/>
              <w:right w:w="0" w:type="dxa"/>
            </w:tcMar>
            <w:vAlign w:val="center"/>
          </w:tcPr>
          <w:p>
            <w:pPr>
              <w:pStyle w:val="Normal"/>
              <w:bidi w:val="0"/>
              <w:jc w:val="left"/>
              <w:rPr/>
            </w:pPr>
            <w:r>
              <w:rPr/>
            </w:r>
          </w:p>
        </w:tc>
        <w:tc>
          <w:tcPr>
            <w:tcW w:w="1105" w:type="dxa"/>
            <w:gridSpan w:val="3"/>
            <w:tcBorders>
              <w:top w:val="single" w:sz="4" w:space="0" w:color="000000"/>
              <w:left w:val="single" w:sz="4" w:space="0" w:color="000000"/>
            </w:tcBorders>
            <w:shd w:fill="DBDBDB" w:val="clear"/>
            <w:tcMar>
              <w:top w:w="30" w:type="dxa"/>
              <w:bottom w:w="0" w:type="dxa"/>
              <w:right w:w="0" w:type="dxa"/>
            </w:tcMar>
            <w:vAlign w:val="center"/>
          </w:tcPr>
          <w:p>
            <w:pPr>
              <w:pStyle w:val="TableContents"/>
              <w:bidi w:val="0"/>
              <w:spacing w:lineRule="auto" w:line="240" w:before="0" w:after="283"/>
              <w:jc w:val="center"/>
              <w:rPr>
                <w:rFonts w:ascii="Lato;sans-serif" w:hAnsi="Lato;sans-serif"/>
                <w:b w:val="false"/>
                <w:color w:val="000000"/>
                <w:sz w:val="20"/>
              </w:rPr>
            </w:pPr>
            <w:r>
              <w:rPr>
                <w:rFonts w:ascii="Lato;sans-serif" w:hAnsi="Lato;sans-serif"/>
                <w:b w:val="false"/>
                <w:color w:val="000000"/>
                <w:sz w:val="20"/>
              </w:rPr>
              <w:t>5</w:t>
            </w:r>
          </w:p>
        </w:tc>
        <w:tc>
          <w:tcPr>
            <w:tcW w:w="1426" w:type="dxa"/>
            <w:gridSpan w:val="3"/>
            <w:tcBorders>
              <w:top w:val="single" w:sz="4" w:space="0" w:color="000000"/>
              <w:left w:val="single" w:sz="4" w:space="0" w:color="000000"/>
            </w:tcBorders>
            <w:shd w:fill="DBDBDB" w:val="clear"/>
            <w:tcMar>
              <w:top w:w="30" w:type="dxa"/>
              <w:bottom w:w="0" w:type="dxa"/>
              <w:right w:w="0" w:type="dxa"/>
            </w:tcMar>
            <w:vAlign w:val="center"/>
          </w:tcPr>
          <w:p>
            <w:pPr>
              <w:pStyle w:val="TableContents"/>
              <w:bidi w:val="0"/>
              <w:spacing w:lineRule="auto" w:line="240" w:before="0" w:after="283"/>
              <w:jc w:val="center"/>
              <w:rPr>
                <w:rFonts w:ascii="Lato;sans-serif" w:hAnsi="Lato;sans-serif"/>
                <w:b w:val="false"/>
                <w:color w:val="000000"/>
                <w:sz w:val="20"/>
              </w:rPr>
            </w:pPr>
            <w:r>
              <w:rPr>
                <w:rFonts w:ascii="Lato;sans-serif" w:hAnsi="Lato;sans-serif"/>
                <w:b w:val="false"/>
                <w:color w:val="000000"/>
                <w:sz w:val="20"/>
              </w:rPr>
              <w:t>$90.00</w:t>
            </w:r>
          </w:p>
        </w:tc>
        <w:tc>
          <w:tcPr>
            <w:tcW w:w="3696" w:type="dxa"/>
            <w:gridSpan w:val="3"/>
            <w:tcBorders>
              <w:top w:val="single" w:sz="4" w:space="0" w:color="000000"/>
              <w:left w:val="single" w:sz="4" w:space="0" w:color="000000"/>
            </w:tcBorders>
            <w:shd w:fill="DBDBDB" w:val="clear"/>
            <w:tcMar>
              <w:top w:w="30" w:type="dxa"/>
              <w:bottom w:w="0" w:type="dxa"/>
              <w:right w:w="0" w:type="dxa"/>
            </w:tcMar>
            <w:vAlign w:val="center"/>
          </w:tcPr>
          <w:p>
            <w:pPr>
              <w:pStyle w:val="TableContents"/>
              <w:bidi w:val="0"/>
              <w:spacing w:lineRule="auto" w:line="240" w:before="0" w:after="283"/>
              <w:jc w:val="center"/>
              <w:rPr>
                <w:rFonts w:ascii="Lato;sans-serif" w:hAnsi="Lato;sans-serif"/>
                <w:b w:val="false"/>
                <w:color w:val="000000"/>
                <w:sz w:val="20"/>
              </w:rPr>
            </w:pPr>
            <w:r>
              <w:rPr>
                <w:rFonts w:ascii="Lato;sans-serif" w:hAnsi="Lato;sans-serif"/>
                <w:b w:val="false"/>
                <w:color w:val="000000"/>
                <w:sz w:val="20"/>
              </w:rPr>
              <w:t>931%</w:t>
            </w:r>
          </w:p>
        </w:tc>
        <w:tc>
          <w:tcPr>
            <w:tcW w:w="2281" w:type="dxa"/>
            <w:gridSpan w:val="3"/>
            <w:tcBorders>
              <w:top w:val="single" w:sz="4" w:space="0" w:color="000000"/>
              <w:left w:val="single" w:sz="4" w:space="0" w:color="000000"/>
              <w:right w:val="single" w:sz="4" w:space="0" w:color="000000"/>
            </w:tcBorders>
            <w:shd w:fill="DBDBDB" w:val="clear"/>
            <w:tcMar>
              <w:top w:w="30" w:type="dxa"/>
              <w:bottom w:w="0" w:type="dxa"/>
            </w:tcMar>
            <w:vAlign w:val="center"/>
          </w:tcPr>
          <w:p>
            <w:pPr>
              <w:pStyle w:val="TableContents"/>
              <w:bidi w:val="0"/>
              <w:spacing w:lineRule="auto" w:line="240" w:before="0" w:after="283"/>
              <w:jc w:val="center"/>
              <w:rPr>
                <w:rFonts w:ascii="Lato;sans-serif" w:hAnsi="Lato;sans-serif"/>
                <w:b w:val="false"/>
                <w:color w:val="000000"/>
                <w:sz w:val="20"/>
              </w:rPr>
            </w:pPr>
            <w:r>
              <w:rPr>
                <w:rFonts w:ascii="Lato;sans-serif" w:hAnsi="Lato;sans-serif"/>
                <w:b w:val="false"/>
                <w:color w:val="000000"/>
                <w:sz w:val="20"/>
              </w:rPr>
              <w:t>$4.50</w:t>
            </w:r>
          </w:p>
        </w:tc>
      </w:tr>
      <w:tr>
        <w:trPr/>
        <w:tc>
          <w:tcPr>
            <w:tcW w:w="1697" w:type="dxa"/>
            <w:gridSpan w:val="3"/>
            <w:vMerge w:val="continue"/>
            <w:tcBorders/>
            <w:shd w:fill="DBDBDB" w:val="clear"/>
            <w:tcMar>
              <w:top w:w="0" w:type="dxa"/>
              <w:left w:w="0" w:type="dxa"/>
              <w:bottom w:w="0" w:type="dxa"/>
              <w:right w:w="0" w:type="dxa"/>
            </w:tcMar>
            <w:vAlign w:val="center"/>
          </w:tcPr>
          <w:p>
            <w:pPr>
              <w:pStyle w:val="Normal"/>
              <w:bidi w:val="0"/>
              <w:jc w:val="left"/>
              <w:rPr/>
            </w:pPr>
            <w:r>
              <w:rPr/>
            </w:r>
          </w:p>
        </w:tc>
        <w:tc>
          <w:tcPr>
            <w:tcW w:w="1105" w:type="dxa"/>
            <w:gridSpan w:val="3"/>
            <w:tcBorders>
              <w:top w:val="single" w:sz="4" w:space="0" w:color="000000"/>
              <w:left w:val="single" w:sz="4" w:space="0" w:color="000000"/>
            </w:tcBorders>
            <w:shd w:fill="DBDBDB" w:val="clear"/>
            <w:tcMar>
              <w:top w:w="30" w:type="dxa"/>
              <w:bottom w:w="0" w:type="dxa"/>
              <w:right w:w="0" w:type="dxa"/>
            </w:tcMar>
            <w:vAlign w:val="center"/>
          </w:tcPr>
          <w:p>
            <w:pPr>
              <w:pStyle w:val="TableContents"/>
              <w:bidi w:val="0"/>
              <w:spacing w:lineRule="auto" w:line="240" w:before="0" w:after="283"/>
              <w:jc w:val="center"/>
              <w:rPr>
                <w:rFonts w:ascii="Lato;sans-serif" w:hAnsi="Lato;sans-serif"/>
                <w:b w:val="false"/>
                <w:color w:val="000000"/>
                <w:sz w:val="20"/>
              </w:rPr>
            </w:pPr>
            <w:r>
              <w:rPr>
                <w:rFonts w:ascii="Lato;sans-serif" w:hAnsi="Lato;sans-serif"/>
                <w:b w:val="false"/>
                <w:color w:val="000000"/>
                <w:sz w:val="20"/>
              </w:rPr>
              <w:t>6</w:t>
            </w:r>
          </w:p>
        </w:tc>
        <w:tc>
          <w:tcPr>
            <w:tcW w:w="1426" w:type="dxa"/>
            <w:gridSpan w:val="3"/>
            <w:tcBorders>
              <w:top w:val="single" w:sz="4" w:space="0" w:color="000000"/>
              <w:left w:val="single" w:sz="4" w:space="0" w:color="000000"/>
            </w:tcBorders>
            <w:shd w:fill="DBDBDB" w:val="clear"/>
            <w:tcMar>
              <w:top w:w="30" w:type="dxa"/>
              <w:bottom w:w="0" w:type="dxa"/>
              <w:right w:w="0" w:type="dxa"/>
            </w:tcMar>
            <w:vAlign w:val="center"/>
          </w:tcPr>
          <w:p>
            <w:pPr>
              <w:pStyle w:val="TableContents"/>
              <w:bidi w:val="0"/>
              <w:spacing w:lineRule="auto" w:line="240" w:before="0" w:after="283"/>
              <w:jc w:val="center"/>
              <w:rPr>
                <w:rFonts w:ascii="Lato;sans-serif" w:hAnsi="Lato;sans-serif"/>
                <w:b w:val="false"/>
                <w:color w:val="000000"/>
                <w:sz w:val="20"/>
              </w:rPr>
            </w:pPr>
            <w:r>
              <w:rPr>
                <w:rFonts w:ascii="Lato;sans-serif" w:hAnsi="Lato;sans-serif"/>
                <w:b w:val="false"/>
                <w:color w:val="000000"/>
                <w:sz w:val="20"/>
              </w:rPr>
              <w:t>$100.00</w:t>
            </w:r>
          </w:p>
        </w:tc>
        <w:tc>
          <w:tcPr>
            <w:tcW w:w="3696" w:type="dxa"/>
            <w:gridSpan w:val="3"/>
            <w:tcBorders>
              <w:top w:val="single" w:sz="4" w:space="0" w:color="000000"/>
              <w:left w:val="single" w:sz="4" w:space="0" w:color="000000"/>
            </w:tcBorders>
            <w:shd w:fill="DBDBDB" w:val="clear"/>
            <w:tcMar>
              <w:top w:w="30" w:type="dxa"/>
              <w:bottom w:w="0" w:type="dxa"/>
              <w:right w:w="0" w:type="dxa"/>
            </w:tcMar>
            <w:vAlign w:val="center"/>
          </w:tcPr>
          <w:p>
            <w:pPr>
              <w:pStyle w:val="TableContents"/>
              <w:bidi w:val="0"/>
              <w:spacing w:lineRule="auto" w:line="240" w:before="0" w:after="283"/>
              <w:jc w:val="center"/>
              <w:rPr>
                <w:rFonts w:ascii="Lato;sans-serif" w:hAnsi="Lato;sans-serif"/>
                <w:b w:val="false"/>
                <w:color w:val="000000"/>
                <w:sz w:val="20"/>
              </w:rPr>
            </w:pPr>
            <w:r>
              <w:rPr>
                <w:rFonts w:ascii="Lato;sans-serif" w:hAnsi="Lato;sans-serif"/>
                <w:b w:val="false"/>
                <w:color w:val="000000"/>
                <w:sz w:val="20"/>
              </w:rPr>
              <w:t>1034%</w:t>
            </w:r>
          </w:p>
        </w:tc>
        <w:tc>
          <w:tcPr>
            <w:tcW w:w="2281" w:type="dxa"/>
            <w:gridSpan w:val="3"/>
            <w:tcBorders>
              <w:top w:val="single" w:sz="4" w:space="0" w:color="000000"/>
              <w:left w:val="single" w:sz="4" w:space="0" w:color="000000"/>
              <w:right w:val="single" w:sz="4" w:space="0" w:color="000000"/>
            </w:tcBorders>
            <w:shd w:fill="DBDBDB" w:val="clear"/>
            <w:tcMar>
              <w:top w:w="30" w:type="dxa"/>
              <w:bottom w:w="0" w:type="dxa"/>
            </w:tcMar>
            <w:vAlign w:val="center"/>
          </w:tcPr>
          <w:p>
            <w:pPr>
              <w:pStyle w:val="TableContents"/>
              <w:bidi w:val="0"/>
              <w:spacing w:lineRule="auto" w:line="240" w:before="0" w:after="283"/>
              <w:jc w:val="center"/>
              <w:rPr>
                <w:rFonts w:ascii="Lato;sans-serif" w:hAnsi="Lato;sans-serif"/>
                <w:b w:val="false"/>
                <w:color w:val="000000"/>
                <w:sz w:val="20"/>
              </w:rPr>
            </w:pPr>
            <w:r>
              <w:rPr>
                <w:rFonts w:ascii="Lato;sans-serif" w:hAnsi="Lato;sans-serif"/>
                <w:b w:val="false"/>
                <w:color w:val="000000"/>
                <w:sz w:val="20"/>
              </w:rPr>
              <w:t>$5.00</w:t>
            </w:r>
          </w:p>
        </w:tc>
      </w:tr>
      <w:tr>
        <w:trPr/>
        <w:tc>
          <w:tcPr>
            <w:tcW w:w="169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3"/>
            <w:tcBorders>
              <w:top w:val="single" w:sz="4"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6" w:type="dxa"/>
            <w:gridSpan w:val="3"/>
            <w:tcBorders>
              <w:top w:val="single" w:sz="4"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6" w:type="dxa"/>
            <w:gridSpan w:val="3"/>
            <w:tcBorders>
              <w:top w:val="single" w:sz="4"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1" w:type="dxa"/>
            <w:gridSpan w:val="3"/>
            <w:tcBorders>
              <w:top w:val="single" w:sz="4"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8" w:type="dxa"/>
            <w:gridSpan w:val="12"/>
            <w:tcBorders/>
            <w:shd w:fill="DBDBDB" w:val="clear"/>
            <w:tcMar>
              <w:top w:w="0" w:type="dxa"/>
              <w:left w:w="0" w:type="dxa"/>
              <w:bottom w:w="0" w:type="dxa"/>
              <w:right w:w="0" w:type="dxa"/>
            </w:tcMar>
            <w:vAlign w:val="center"/>
          </w:tcPr>
          <w:p>
            <w:pPr>
              <w:pStyle w:val="TableContents"/>
              <w:bidi w:val="0"/>
              <w:spacing w:lineRule="auto" w:line="240" w:before="0" w:after="0"/>
              <w:ind w:left="0" w:right="0" w:hanging="360"/>
              <w:jc w:val="both"/>
              <w:rPr>
                <w:rFonts w:ascii="Lato;sans-serif" w:hAnsi="Lato;sans-serif"/>
                <w:b w:val="false"/>
                <w:color w:val="000000"/>
                <w:sz w:val="20"/>
              </w:rPr>
            </w:pPr>
            <w:r>
              <w:rPr>
                <w:rFonts w:ascii="Lato;sans-serif" w:hAnsi="Lato;sans-serif"/>
                <w:b w:val="false"/>
                <w:color w:val="000000"/>
                <w:sz w:val="20"/>
              </w:rPr>
              <w:t>(1)Achieved if the average of the closing price per share of the Company’s common stock equals or exceeds the Stock Price Goal during a twenty consecutive trading day period during any 12-month period ending on the last day of each fiscal quarter of the Company within the applicable Performance Measurement Period.</w:t>
            </w:r>
          </w:p>
          <w:p>
            <w:pPr>
              <w:pStyle w:val="TableContents"/>
              <w:bidi w:val="0"/>
              <w:spacing w:lineRule="auto" w:line="240" w:before="0" w:after="180"/>
              <w:ind w:left="0" w:right="0" w:hanging="360"/>
              <w:jc w:val="both"/>
              <w:rPr>
                <w:rFonts w:ascii="Lato;sans-serif" w:hAnsi="Lato;sans-serif"/>
                <w:b w:val="false"/>
                <w:color w:val="000000"/>
                <w:sz w:val="20"/>
              </w:rPr>
            </w:pPr>
            <w:r>
              <w:rPr>
                <w:rFonts w:ascii="Lato;sans-serif" w:hAnsi="Lato;sans-serif"/>
                <w:b w:val="false"/>
                <w:color w:val="000000"/>
                <w:sz w:val="20"/>
              </w:rPr>
              <w:t>(2)Achieved if the amount equal to the adjusted free cash flow on a per share basis equals or exceeds the adjusted free cash flow per share goal during the applicable 12-month period ending on the last day of each fiscal quarter of the Company. Adjusted free cash flow means, for each 12-month period ending on the last day of each fiscal quarter of the Company, the Company’s Unlevered Free Cash Flow as determined in good faith by the Company and consistent with the Company’s historical methodology, less cash interest expense as determined in accordance with GAAP. Please see Appendix A for information about our 2025 Unlevered Free Cash Flow, including reconciliations to the most directly comparable GAAP-based financial measurement.</w:t>
            </w:r>
          </w:p>
          <w:p>
            <w:pPr>
              <w:pStyle w:val="TableContents"/>
              <w:bidi w:val="0"/>
              <w:spacing w:lineRule="auto" w:line="240" w:before="0" w:after="0"/>
              <w:jc w:val="both"/>
              <w:rPr>
                <w:rFonts w:ascii="Lato;sans-serif" w:hAnsi="Lato;sans-serif"/>
                <w:b w:val="false"/>
                <w:color w:val="000000"/>
                <w:sz w:val="20"/>
              </w:rPr>
            </w:pPr>
            <w:r>
              <w:rPr>
                <w:rFonts w:ascii="Lato;sans-serif" w:hAnsi="Lato;sans-serif"/>
                <w:b w:val="false"/>
                <w:color w:val="000000"/>
                <w:sz w:val="20"/>
              </w:rPr>
              <w:t>If the Stock Price Goal and Operational Goal have been achieved prior to the applicable CEO Vesting Date, such portion of the Tranche for which the CEO Vesting Date has not elapsed will remain outstanding and will vest on the applicable CEO Vesting Date, subject to Mr. Schuck’s continued service as Chief Executive Officer or Executive Chairman through such date.</w:t>
            </w:r>
          </w:p>
        </w:tc>
      </w:tr>
      <w:tr>
        <w:trPr/>
        <w:tc>
          <w:tcPr>
            <w:tcW w:w="1697"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Lato;sans-serif" w:hAnsi="Lato;sans-serif"/>
                <w:b/>
                <w:color w:val="000000"/>
                <w:sz w:val="20"/>
              </w:rPr>
            </w:pPr>
            <w:r>
              <w:rPr>
                <w:rFonts w:ascii="Lato;sans-serif" w:hAnsi="Lato;sans-serif"/>
                <w:b/>
                <w:color w:val="000000"/>
                <w:sz w:val="20"/>
              </w:rPr>
              <w:t>Relative Performance Benchmark:</w:t>
            </w:r>
          </w:p>
        </w:tc>
        <w:tc>
          <w:tcPr>
            <w:tcW w:w="8508" w:type="dxa"/>
            <w:gridSpan w:val="12"/>
            <w:tcBorders/>
            <w:tcMar>
              <w:top w:w="0" w:type="dxa"/>
              <w:left w:w="0" w:type="dxa"/>
              <w:bottom w:w="0" w:type="dxa"/>
              <w:right w:w="0" w:type="dxa"/>
            </w:tcMar>
            <w:vAlign w:val="center"/>
          </w:tcPr>
          <w:p>
            <w:pPr>
              <w:pStyle w:val="TableContents"/>
              <w:bidi w:val="0"/>
              <w:spacing w:lineRule="auto" w:line="240" w:before="0" w:after="283"/>
              <w:jc w:val="both"/>
              <w:rPr>
                <w:rFonts w:ascii="Lato;sans-serif" w:hAnsi="Lato;sans-serif"/>
                <w:b w:val="false"/>
                <w:color w:val="000000"/>
                <w:sz w:val="20"/>
              </w:rPr>
            </w:pPr>
            <w:r>
              <w:rPr>
                <w:rFonts w:ascii="Lato;sans-serif" w:hAnsi="Lato;sans-serif"/>
                <w:b w:val="false"/>
                <w:color w:val="000000"/>
                <w:sz w:val="20"/>
              </w:rPr>
              <w:t>To ensure that the Stock Price Goal is not achieved merely because the Company’s stock price appreciates due to broad market inflation, the Stock Price Goal will only be satisfied if the Company’s TSR performance during the applicable 12-month period ending on the last day of each fiscal quarter of the Company is at or above the 25th percentile of all companies in the Russell 3000 Index as of the CEO Option Grant Date.</w:t>
            </w:r>
          </w:p>
        </w:tc>
      </w:tr>
      <w:tr>
        <w:trPr/>
        <w:tc>
          <w:tcPr>
            <w:tcW w:w="1697" w:type="dxa"/>
            <w:gridSpan w:val="3"/>
            <w:tcBorders/>
            <w:shd w:fill="DBDBDB" w:val="clear"/>
            <w:tcMar>
              <w:top w:w="0" w:type="dxa"/>
              <w:left w:w="0" w:type="dxa"/>
              <w:bottom w:w="0" w:type="dxa"/>
              <w:right w:w="0" w:type="dxa"/>
            </w:tcMar>
            <w:vAlign w:val="center"/>
          </w:tcPr>
          <w:p>
            <w:pPr>
              <w:pStyle w:val="TableContents"/>
              <w:bidi w:val="0"/>
              <w:spacing w:lineRule="auto" w:line="276" w:before="0" w:after="283"/>
              <w:jc w:val="left"/>
              <w:rPr>
                <w:rFonts w:ascii="Lato;sans-serif" w:hAnsi="Lato;sans-serif"/>
                <w:b/>
                <w:color w:val="000000"/>
                <w:sz w:val="20"/>
              </w:rPr>
            </w:pPr>
            <w:r>
              <w:rPr>
                <w:rFonts w:ascii="Lato;sans-serif" w:hAnsi="Lato;sans-serif"/>
                <w:b/>
                <w:color w:val="000000"/>
                <w:sz w:val="20"/>
              </w:rPr>
              <w:t>Change in Control Treatment:</w:t>
            </w:r>
          </w:p>
        </w:tc>
        <w:tc>
          <w:tcPr>
            <w:tcW w:w="8508" w:type="dxa"/>
            <w:gridSpan w:val="12"/>
            <w:tcBorders/>
            <w:shd w:fill="DBDBDB" w:val="clear"/>
            <w:tcMar>
              <w:top w:w="0" w:type="dxa"/>
              <w:left w:w="0" w:type="dxa"/>
              <w:bottom w:w="0" w:type="dxa"/>
              <w:right w:w="0" w:type="dxa"/>
            </w:tcMar>
            <w:vAlign w:val="center"/>
          </w:tcPr>
          <w:p>
            <w:pPr>
              <w:pStyle w:val="TableContents"/>
              <w:bidi w:val="0"/>
              <w:spacing w:lineRule="auto" w:line="240" w:before="0" w:after="180"/>
              <w:jc w:val="both"/>
              <w:rPr>
                <w:rFonts w:ascii="Lato;sans-serif" w:hAnsi="Lato;sans-serif"/>
                <w:b w:val="false"/>
                <w:color w:val="000000"/>
                <w:sz w:val="20"/>
              </w:rPr>
            </w:pPr>
            <w:r>
              <w:rPr>
                <w:rFonts w:ascii="Lato;sans-serif" w:hAnsi="Lato;sans-serif"/>
                <w:b w:val="false"/>
                <w:color w:val="000000"/>
                <w:sz w:val="20"/>
              </w:rPr>
              <w:t>Upon a change in control of the Company, only the Stock Price Goal will apply for determining the achievement of the underlying Performance Goals:</w:t>
            </w:r>
          </w:p>
          <w:p>
            <w:pPr>
              <w:pStyle w:val="TableContents"/>
              <w:bidi w:val="0"/>
              <w:spacing w:lineRule="auto" w:line="240" w:before="0" w:after="0"/>
              <w:ind w:left="0" w:right="0" w:hanging="360"/>
              <w:jc w:val="both"/>
              <w:rPr/>
            </w:pPr>
            <w:r>
              <w:rPr>
                <w:color w:val="000000"/>
              </w:rPr>
              <w:t>•</w:t>
            </w:r>
            <w:r>
              <w:rPr>
                <w:rFonts w:ascii="Lato;sans-serif" w:hAnsi="Lato;sans-serif"/>
                <w:b w:val="false"/>
                <w:color w:val="000000"/>
                <w:sz w:val="20"/>
              </w:rPr>
              <w:t>If the transaction price per share received in the change in control equals or exceeds the Stock Price Goal, then the Performance Goal will be satisfied for such Tranche, with linear interpolation for a transaction price between two Stock Price Goals.</w:t>
            </w:r>
          </w:p>
          <w:p>
            <w:pPr>
              <w:pStyle w:val="TableContents"/>
              <w:bidi w:val="0"/>
              <w:spacing w:lineRule="auto" w:line="240" w:before="0" w:after="180"/>
              <w:ind w:left="0" w:right="0" w:hanging="360"/>
              <w:jc w:val="both"/>
              <w:rPr/>
            </w:pPr>
            <w:r>
              <w:rPr>
                <w:color w:val="000000"/>
              </w:rPr>
              <w:t>•</w:t>
            </w:r>
            <w:r>
              <w:rPr>
                <w:rFonts w:ascii="Lato;sans-serif" w:hAnsi="Lato;sans-serif"/>
                <w:b w:val="false"/>
                <w:color w:val="000000"/>
                <w:sz w:val="20"/>
              </w:rPr>
              <w:t>If the transaction price per share received in the change in control is less than the Stock Price Goal for the Tranche, then such Tranche will be forfeited.</w:t>
            </w:r>
          </w:p>
          <w:p>
            <w:pPr>
              <w:pStyle w:val="TableContents"/>
              <w:bidi w:val="0"/>
              <w:spacing w:lineRule="auto" w:line="240" w:before="0" w:after="0"/>
              <w:jc w:val="both"/>
              <w:rPr>
                <w:rFonts w:ascii="Lato;sans-serif" w:hAnsi="Lato;sans-serif"/>
                <w:b w:val="false"/>
                <w:color w:val="000000"/>
                <w:sz w:val="20"/>
              </w:rPr>
            </w:pPr>
            <w:r>
              <w:rPr>
                <w:rFonts w:ascii="Lato;sans-serif" w:hAnsi="Lato;sans-serif"/>
                <w:b w:val="false"/>
                <w:color w:val="000000"/>
                <w:sz w:val="20"/>
              </w:rPr>
              <w:t>If the change in control occurs prior to the applicable CEO Vesting Date, the Tranche(s) for which the Performance Goal has been achieved will remain outstanding and vest based on Mr. Schuck’s continued service through the applicable CEO Vesting Date, subject to accelerated vesting for a qualifying termination in connection with such change in control.</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6480175" cy="352425"/>
                <wp:effectExtent l="0" t="0" r="0" b="0"/>
                <wp:wrapNone/>
                <wp:docPr id="78" name="Frame62"/>
                <a:graphic xmlns:a="http://schemas.openxmlformats.org/drawingml/2006/main">
                  <a:graphicData uri="http://schemas.microsoft.com/office/word/2010/wordprocessingShape">
                    <wps:wsp>
                      <wps:cNvSpPr txBox="1"/>
                      <wps:spPr>
                        <a:xfrm>
                          <a:off x="0" y="0"/>
                          <a:ext cx="6480175" cy="352425"/>
                        </a:xfrm>
                        <a:prstGeom prst="rect"/>
                        <a:solidFill>
                          <a:srgbClr val="FFFFFF"/>
                        </a:solidFill>
                      </wps:spPr>
                      <wps:txbx>
                        <w:txbxContent>
                          <w:p>
                            <w:pPr>
                              <w:pStyle w:val="TextBody"/>
                              <w:bidi w:val="0"/>
                              <w:spacing w:lineRule="auto" w:line="288" w:before="0" w:after="0"/>
                              <w:jc w:val="center"/>
                              <w:rPr>
                                <w:rFonts w:ascii="Lato;sans-serif" w:hAnsi="Lato;sans-serif"/>
                                <w:b w:val="false"/>
                                <w:color w:val="000000"/>
                                <w:sz w:val="20"/>
                              </w:rPr>
                            </w:pPr>
                            <w:r>
                              <w:rPr>
                                <w:rFonts w:ascii="Lato;sans-serif" w:hAnsi="Lato;sans-serif"/>
                                <w:b w:val="false"/>
                                <w:color w:val="000000"/>
                                <w:sz w:val="20"/>
                              </w:rPr>
                              <w:t>56</w:t>
                            </w:r>
                          </w:p>
                          <w:p>
                            <w:pPr>
                              <w:pStyle w:val="TextBody"/>
                              <w:bidi w:val="0"/>
                              <w:spacing w:lineRule="auto" w:line="288" w:before="0" w:after="0"/>
                              <w:jc w:val="left"/>
                              <w:rPr>
                                <w:color w:val="000000"/>
                              </w:rPr>
                            </w:pPr>
                            <w:r>
                              <w:rPr>
                                <w:color w:val="000000"/>
                              </w:rPr>
                              <w:t>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Lato;sans-serif" w:hAnsi="Lato;sans-serif"/>
                          <w:b w:val="false"/>
                          <w:color w:val="000000"/>
                          <w:sz w:val="20"/>
                        </w:rPr>
                      </w:pPr>
                      <w:r>
                        <w:rPr>
                          <w:rFonts w:ascii="Lato;sans-serif" w:hAnsi="Lato;sans-serif"/>
                          <w:b w:val="false"/>
                          <w:color w:val="000000"/>
                          <w:sz w:val="20"/>
                        </w:rPr>
                        <w:t>56</w:t>
                      </w:r>
                    </w:p>
                    <w:p>
                      <w:pPr>
                        <w:pStyle w:val="TextBody"/>
                        <w:bidi w:val="0"/>
                        <w:spacing w:lineRule="auto" w:line="288" w:before="0" w:after="0"/>
                        <w:jc w:val="left"/>
                        <w:rPr>
                          <w:color w:val="000000"/>
                        </w:rPr>
                      </w:pPr>
                      <w:r>
                        <w:rPr>
                          <w:color w:val="000000"/>
                        </w:rPr>
                        <w:t>        </w:t>
                      </w:r>
                    </w:p>
                  </w:txbxContent>
                </v:textbox>
                <w10:wrap type="none"/>
              </v:rect>
            </w:pict>
          </mc:Fallback>
        </mc:AlternateConten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1042"/>
        <w:gridCol w:w="916"/>
        <w:gridCol w:w="918"/>
        <w:gridCol w:w="805"/>
        <w:gridCol w:w="566"/>
        <w:gridCol w:w="566"/>
        <w:gridCol w:w="566"/>
        <w:gridCol w:w="566"/>
        <w:gridCol w:w="566"/>
        <w:gridCol w:w="566"/>
        <w:gridCol w:w="566"/>
        <w:gridCol w:w="566"/>
        <w:gridCol w:w="566"/>
        <w:gridCol w:w="566"/>
        <w:gridCol w:w="864"/>
      </w:tblGrid>
      <w:tr>
        <w:trPr/>
        <w:tc>
          <w:tcPr>
            <w:tcW w:w="1042"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918" w:type="dxa"/>
            <w:tcBorders/>
            <w:vAlign w:val="center"/>
          </w:tcPr>
          <w:p>
            <w:pPr>
              <w:pStyle w:val="TableContents"/>
              <w:bidi w:val="0"/>
              <w:spacing w:before="0" w:after="283"/>
              <w:jc w:val="left"/>
              <w:rPr>
                <w:sz w:val="4"/>
                <w:szCs w:val="4"/>
              </w:rPr>
            </w:pPr>
            <w:r>
              <w:rPr>
                <w:sz w:val="4"/>
                <w:szCs w:val="4"/>
              </w:rPr>
            </w:r>
          </w:p>
        </w:tc>
        <w:tc>
          <w:tcPr>
            <w:tcW w:w="805"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864" w:type="dxa"/>
            <w:tcBorders/>
            <w:vAlign w:val="center"/>
          </w:tcPr>
          <w:p>
            <w:pPr>
              <w:pStyle w:val="TableContents"/>
              <w:bidi w:val="0"/>
              <w:spacing w:before="0" w:after="283"/>
              <w:jc w:val="left"/>
              <w:rPr>
                <w:sz w:val="4"/>
                <w:szCs w:val="4"/>
              </w:rPr>
            </w:pPr>
            <w:r>
              <w:rPr>
                <w:sz w:val="4"/>
                <w:szCs w:val="4"/>
              </w:rPr>
            </w:r>
          </w:p>
        </w:tc>
      </w:tr>
      <w:tr>
        <w:trPr/>
        <w:tc>
          <w:tcPr>
            <w:tcW w:w="2876" w:type="dxa"/>
            <w:gridSpan w:val="3"/>
            <w:tcBorders/>
            <w:shd w:fill="DBDBDB" w:val="clear"/>
            <w:tcMar>
              <w:top w:w="0" w:type="dxa"/>
              <w:left w:w="0" w:type="dxa"/>
              <w:bottom w:w="0" w:type="dxa"/>
              <w:right w:w="0" w:type="dxa"/>
            </w:tcMar>
            <w:vAlign w:val="center"/>
          </w:tcPr>
          <w:p>
            <w:pPr>
              <w:pStyle w:val="TableContents"/>
              <w:bidi w:val="0"/>
              <w:spacing w:lineRule="auto" w:line="276" w:before="0" w:after="283"/>
              <w:jc w:val="left"/>
              <w:rPr>
                <w:rFonts w:ascii="Lato;sans-serif" w:hAnsi="Lato;sans-serif"/>
                <w:b/>
                <w:color w:val="000000"/>
                <w:sz w:val="20"/>
              </w:rPr>
            </w:pPr>
            <w:r>
              <w:rPr>
                <w:rFonts w:ascii="Lato;sans-serif" w:hAnsi="Lato;sans-serif"/>
                <w:b/>
                <w:color w:val="000000"/>
                <w:sz w:val="20"/>
              </w:rPr>
              <w:t>Vesting in Connection with Termination without Cause, due to Death or Disability, or by Mr.</w:t>
              <w:br/>
              <w:t>Schuck for Good Reason</w:t>
            </w:r>
          </w:p>
        </w:tc>
        <w:tc>
          <w:tcPr>
            <w:tcW w:w="7329" w:type="dxa"/>
            <w:gridSpan w:val="12"/>
            <w:tcBorders/>
            <w:shd w:fill="DBDBDB" w:val="clear"/>
            <w:tcMar>
              <w:top w:w="0" w:type="dxa"/>
              <w:left w:w="0" w:type="dxa"/>
              <w:bottom w:w="0" w:type="dxa"/>
              <w:right w:w="0" w:type="dxa"/>
            </w:tcMar>
            <w:vAlign w:val="center"/>
          </w:tcPr>
          <w:p>
            <w:pPr>
              <w:pStyle w:val="TableContents"/>
              <w:bidi w:val="0"/>
              <w:spacing w:lineRule="auto" w:line="240" w:before="0" w:after="180"/>
              <w:jc w:val="both"/>
              <w:rPr>
                <w:rFonts w:ascii="Lato;sans-serif" w:hAnsi="Lato;sans-serif"/>
                <w:b w:val="false"/>
                <w:color w:val="000000"/>
                <w:sz w:val="20"/>
              </w:rPr>
            </w:pPr>
            <w:r>
              <w:rPr>
                <w:rFonts w:ascii="Lato;sans-serif" w:hAnsi="Lato;sans-serif"/>
                <w:b w:val="false"/>
                <w:color w:val="000000"/>
                <w:sz w:val="20"/>
              </w:rPr>
              <w:t>Termination prior to the third (3rd) anniversary of the CEO Option Grant Date and prior to the achievement of Performance Goals, the award will be forfeited.</w:t>
            </w:r>
          </w:p>
          <w:p>
            <w:pPr>
              <w:pStyle w:val="TableContents"/>
              <w:bidi w:val="0"/>
              <w:spacing w:lineRule="auto" w:line="240" w:before="0" w:after="100"/>
              <w:jc w:val="both"/>
              <w:rPr/>
            </w:pPr>
            <w:r>
              <w:rPr>
                <w:rFonts w:ascii="Lato;sans-serif" w:hAnsi="Lato;sans-serif"/>
                <w:b w:val="false"/>
                <w:color w:val="000000"/>
                <w:sz w:val="20"/>
              </w:rPr>
              <w:t>Termination on or after the third (3rd) anniversary of the CEO Option Grant Date and prior to the applicable CEO Vesting Date and achievement of the Performance Goals, the award will remain outstanding for a two-year tail period (“</w:t>
            </w:r>
            <w:r>
              <w:rPr>
                <w:rFonts w:ascii="Lato;sans-serif" w:hAnsi="Lato;sans-serif"/>
                <w:b/>
                <w:i/>
                <w:color w:val="000000"/>
                <w:sz w:val="20"/>
              </w:rPr>
              <w:t>Tail Period</w:t>
            </w:r>
            <w:r>
              <w:rPr>
                <w:color w:val="000000"/>
              </w:rPr>
              <w:t>”</w:t>
            </w:r>
            <w:r>
              <w:rPr>
                <w:rFonts w:ascii="Lato;sans-serif" w:hAnsi="Lato;sans-serif"/>
                <w:b w:val="false"/>
                <w:color w:val="000000"/>
                <w:sz w:val="20"/>
              </w:rPr>
              <w:t>), and if the Performance Goal for a Tranche is achieved during the Tail Period, such Tranche will vest on a pro-rata basis.</w:t>
            </w:r>
          </w:p>
          <w:p>
            <w:pPr>
              <w:pStyle w:val="TableContents"/>
              <w:bidi w:val="0"/>
              <w:spacing w:lineRule="auto" w:line="240" w:before="0" w:after="180"/>
              <w:ind w:left="0" w:right="0" w:hanging="360"/>
              <w:jc w:val="both"/>
              <w:rPr/>
            </w:pPr>
            <w:r>
              <w:rPr>
                <w:color w:val="000000"/>
              </w:rPr>
              <w:t>•</w:t>
            </w:r>
            <w:r>
              <w:rPr>
                <w:rFonts w:ascii="Lato;sans-serif" w:hAnsi="Lato;sans-serif"/>
                <w:b w:val="false"/>
                <w:color w:val="000000"/>
                <w:sz w:val="20"/>
              </w:rPr>
              <w:t>Termination on or after the applicable CEO Vesting Date and prior to the achievement of the Performance Goals, the award will remain outstanding for the Tail Period, and if the Performance Goal is satisfied during the Tail Period, the portion of the Tranche for which the CEO</w:t>
            </w:r>
          </w:p>
          <w:p>
            <w:pPr>
              <w:pStyle w:val="TableContents"/>
              <w:bidi w:val="0"/>
              <w:spacing w:lineRule="auto" w:line="240" w:before="0" w:after="180"/>
              <w:jc w:val="both"/>
              <w:rPr>
                <w:rFonts w:ascii="Lato;sans-serif" w:hAnsi="Lato;sans-serif"/>
                <w:b w:val="false"/>
                <w:color w:val="000000"/>
                <w:sz w:val="20"/>
              </w:rPr>
            </w:pPr>
            <w:r>
              <w:rPr>
                <w:rFonts w:ascii="Lato;sans-serif" w:hAnsi="Lato;sans-serif"/>
                <w:b w:val="false"/>
                <w:color w:val="000000"/>
                <w:sz w:val="20"/>
              </w:rPr>
              <w:t>Vesting Date has elapsed as of the date of the termination will fully vest.</w:t>
            </w:r>
          </w:p>
          <w:p>
            <w:pPr>
              <w:pStyle w:val="TableContents"/>
              <w:bidi w:val="0"/>
              <w:spacing w:lineRule="auto" w:line="240" w:before="0" w:after="0"/>
              <w:jc w:val="both"/>
              <w:rPr>
                <w:rFonts w:ascii="Lato;sans-serif" w:hAnsi="Lato;sans-serif"/>
                <w:b w:val="false"/>
                <w:color w:val="000000"/>
                <w:sz w:val="20"/>
              </w:rPr>
            </w:pPr>
            <w:r>
              <w:rPr>
                <w:rFonts w:ascii="Lato;sans-serif" w:hAnsi="Lato;sans-serif"/>
                <w:b w:val="false"/>
                <w:color w:val="000000"/>
                <w:sz w:val="20"/>
              </w:rPr>
              <w:t>Termination prior to the applicable CEO Vesting Date and after the achievement of the Performance Goals, the Tranche for which the Performance Goals have been satisfied will fully vest.</w:t>
            </w:r>
          </w:p>
        </w:tc>
      </w:tr>
      <w:tr>
        <w:trPr/>
        <w:tc>
          <w:tcPr>
            <w:tcW w:w="2876"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left"/>
              <w:rPr>
                <w:rFonts w:ascii="Lato;sans-serif" w:hAnsi="Lato;sans-serif"/>
                <w:b/>
                <w:color w:val="000000"/>
                <w:sz w:val="20"/>
              </w:rPr>
            </w:pPr>
            <w:r>
              <w:rPr>
                <w:rFonts w:ascii="Lato;sans-serif" w:hAnsi="Lato;sans-serif"/>
                <w:b/>
                <w:color w:val="000000"/>
                <w:sz w:val="20"/>
              </w:rPr>
              <w:t>Resignation (other than due to Good Reason)</w:t>
            </w:r>
          </w:p>
        </w:tc>
        <w:tc>
          <w:tcPr>
            <w:tcW w:w="7329" w:type="dxa"/>
            <w:gridSpan w:val="12"/>
            <w:tcBorders/>
            <w:shd w:fill="FFFFFF" w:val="clear"/>
            <w:tcMar>
              <w:top w:w="0" w:type="dxa"/>
              <w:left w:w="0" w:type="dxa"/>
              <w:bottom w:w="0" w:type="dxa"/>
              <w:right w:w="0" w:type="dxa"/>
            </w:tcMar>
            <w:vAlign w:val="center"/>
          </w:tcPr>
          <w:p>
            <w:pPr>
              <w:pStyle w:val="TableContents"/>
              <w:bidi w:val="0"/>
              <w:spacing w:lineRule="auto" w:line="240" w:before="0" w:after="180"/>
              <w:jc w:val="both"/>
              <w:rPr>
                <w:rFonts w:ascii="Lato;sans-serif" w:hAnsi="Lato;sans-serif"/>
                <w:b w:val="false"/>
                <w:color w:val="000000"/>
                <w:sz w:val="20"/>
              </w:rPr>
            </w:pPr>
            <w:r>
              <w:rPr>
                <w:rFonts w:ascii="Lato;sans-serif" w:hAnsi="Lato;sans-serif"/>
                <w:b w:val="false"/>
                <w:color w:val="000000"/>
                <w:sz w:val="20"/>
              </w:rPr>
              <w:t>Resignation prior to the applicable CEO Vesting Date, forfeit the portion of the CEO Premium-Priced Performance Option associated with such CEO Vesting Date in its entirety.</w:t>
            </w:r>
          </w:p>
          <w:p>
            <w:pPr>
              <w:pStyle w:val="TableContents"/>
              <w:bidi w:val="0"/>
              <w:spacing w:lineRule="auto" w:line="240" w:before="0" w:after="0"/>
              <w:jc w:val="both"/>
              <w:rPr>
                <w:rFonts w:ascii="Lato;sans-serif" w:hAnsi="Lato;sans-serif"/>
                <w:b w:val="false"/>
                <w:color w:val="000000"/>
                <w:sz w:val="20"/>
              </w:rPr>
            </w:pPr>
            <w:r>
              <w:rPr>
                <w:rFonts w:ascii="Lato;sans-serif" w:hAnsi="Lato;sans-serif"/>
                <w:b w:val="false"/>
                <w:color w:val="000000"/>
                <w:sz w:val="20"/>
              </w:rPr>
              <w:t>Resignation after the applicable CEO Vesting Date, forfeit unvested Tranches.</w:t>
            </w:r>
          </w:p>
        </w:tc>
      </w:tr>
      <w:tr>
        <w:trPr/>
        <w:tc>
          <w:tcPr>
            <w:tcW w:w="2876" w:type="dxa"/>
            <w:gridSpan w:val="3"/>
            <w:tcBorders/>
            <w:shd w:fill="DBDBDB" w:val="clear"/>
            <w:tcMar>
              <w:top w:w="0" w:type="dxa"/>
              <w:left w:w="0" w:type="dxa"/>
              <w:bottom w:w="0" w:type="dxa"/>
              <w:right w:w="0" w:type="dxa"/>
            </w:tcMar>
            <w:vAlign w:val="center"/>
          </w:tcPr>
          <w:p>
            <w:pPr>
              <w:pStyle w:val="TableContents"/>
              <w:bidi w:val="0"/>
              <w:spacing w:lineRule="auto" w:line="276" w:before="0" w:after="283"/>
              <w:jc w:val="left"/>
              <w:rPr>
                <w:rFonts w:ascii="Lato;sans-serif" w:hAnsi="Lato;sans-serif"/>
                <w:b/>
                <w:color w:val="000000"/>
                <w:sz w:val="20"/>
              </w:rPr>
            </w:pPr>
            <w:r>
              <w:rPr>
                <w:rFonts w:ascii="Lato;sans-serif" w:hAnsi="Lato;sans-serif"/>
                <w:b/>
                <w:color w:val="000000"/>
                <w:sz w:val="20"/>
              </w:rPr>
              <w:t>Termination for Cause</w:t>
            </w:r>
          </w:p>
        </w:tc>
        <w:tc>
          <w:tcPr>
            <w:tcW w:w="7329" w:type="dxa"/>
            <w:gridSpan w:val="12"/>
            <w:tcBorders/>
            <w:shd w:fill="DBDBDB" w:val="clear"/>
            <w:tcMar>
              <w:top w:w="0" w:type="dxa"/>
              <w:left w:w="0" w:type="dxa"/>
              <w:bottom w:w="0" w:type="dxa"/>
              <w:right w:w="0" w:type="dxa"/>
            </w:tcMar>
            <w:vAlign w:val="center"/>
          </w:tcPr>
          <w:p>
            <w:pPr>
              <w:pStyle w:val="TableContents"/>
              <w:bidi w:val="0"/>
              <w:spacing w:lineRule="auto" w:line="240" w:before="0" w:after="283"/>
              <w:jc w:val="both"/>
              <w:rPr>
                <w:rFonts w:ascii="Lato;sans-serif" w:hAnsi="Lato;sans-serif"/>
                <w:b w:val="false"/>
                <w:color w:val="000000"/>
                <w:sz w:val="20"/>
              </w:rPr>
            </w:pPr>
            <w:r>
              <w:rPr>
                <w:rFonts w:ascii="Lato;sans-serif" w:hAnsi="Lato;sans-serif"/>
                <w:b w:val="false"/>
                <w:color w:val="000000"/>
                <w:sz w:val="20"/>
              </w:rPr>
              <w:t>Forfeit vested and unvested Tranches.</w:t>
            </w:r>
          </w:p>
        </w:tc>
      </w:tr>
    </w:tbl>
    <w:p>
      <w:pPr>
        <w:pStyle w:val="TextBody"/>
        <w:bidi w:val="0"/>
        <w:spacing w:lineRule="auto" w:line="288" w:before="300" w:after="180"/>
        <w:jc w:val="both"/>
        <w:rPr>
          <w:rFonts w:ascii="Lato;sans-serif" w:hAnsi="Lato;sans-serif"/>
          <w:b/>
          <w:i/>
          <w:color w:val="000000"/>
          <w:sz w:val="20"/>
        </w:rPr>
      </w:pPr>
      <w:r>
        <w:rPr>
          <w:rFonts w:ascii="Lato;sans-serif" w:hAnsi="Lato;sans-serif"/>
          <w:b/>
          <w:i/>
          <w:color w:val="000000"/>
          <w:sz w:val="20"/>
        </w:rPr>
        <w:t>Severance and Change in Control Benefits</w:t>
      </w:r>
    </w:p>
    <w:p>
      <w:pPr>
        <w:pStyle w:val="TextBody"/>
        <w:bidi w:val="0"/>
        <w:spacing w:lineRule="auto" w:line="288" w:before="180" w:after="180"/>
        <w:jc w:val="both"/>
        <w:rPr/>
      </w:pPr>
      <w:r>
        <w:rPr>
          <w:rFonts w:ascii="Lato;sans-serif" w:hAnsi="Lato;sans-serif"/>
          <w:b w:val="false"/>
          <w:color w:val="000000"/>
          <w:sz w:val="20"/>
        </w:rPr>
        <w:t>Our NEOs are provided certain protections in the event of their termination of employment under specified circumstances, including following a change in control of the Company, as described in more detail in “</w:t>
      </w:r>
      <w:hyperlink w:anchor="ib09e1ad647de4075ad613c1a43ff4b94_139">
        <w:r>
          <w:rPr>
            <w:rStyle w:val="InternetLink"/>
            <w:rFonts w:ascii="Lato;sans-serif" w:hAnsi="Lato;sans-serif"/>
            <w:b w:val="false"/>
            <w:i/>
            <w:color w:val="0000FF"/>
            <w:sz w:val="20"/>
            <w:u w:val="single"/>
          </w:rPr>
          <w:t>Potential Payments upon Termination or Change in Control</w:t>
        </w:r>
      </w:hyperlink>
      <w:r>
        <w:rPr>
          <w:color w:val="000000"/>
        </w:rPr>
        <w:t xml:space="preserve">” </w:t>
      </w:r>
      <w:r>
        <w:rPr>
          <w:rFonts w:ascii="Lato;sans-serif" w:hAnsi="Lato;sans-serif"/>
          <w:b w:val="false"/>
          <w:color w:val="000000"/>
          <w:sz w:val="20"/>
        </w:rPr>
        <w:t>below. We believe that these protections serve our retention objectives by helping our NEOs maintain continued focus and dedication to their responsibilities to maximize stockholder value, including in the event of a transaction that could result in a change in control of the Company. The chart below describes the material terms of these benefits for our NEOs.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6480175" cy="352425"/>
                <wp:effectExtent l="0" t="0" r="0" b="0"/>
                <wp:wrapNone/>
                <wp:docPr id="79" name="Frame63"/>
                <a:graphic xmlns:a="http://schemas.openxmlformats.org/drawingml/2006/main">
                  <a:graphicData uri="http://schemas.microsoft.com/office/word/2010/wordprocessingShape">
                    <wps:wsp>
                      <wps:cNvSpPr txBox="1"/>
                      <wps:spPr>
                        <a:xfrm>
                          <a:off x="0" y="0"/>
                          <a:ext cx="6480175" cy="352425"/>
                        </a:xfrm>
                        <a:prstGeom prst="rect"/>
                        <a:solidFill>
                          <a:srgbClr val="FFFFFF"/>
                        </a:solidFill>
                      </wps:spPr>
                      <wps:txbx>
                        <w:txbxContent>
                          <w:p>
                            <w:pPr>
                              <w:pStyle w:val="TextBody"/>
                              <w:bidi w:val="0"/>
                              <w:spacing w:lineRule="auto" w:line="288" w:before="0" w:after="0"/>
                              <w:jc w:val="center"/>
                              <w:rPr>
                                <w:rFonts w:ascii="Lato;sans-serif" w:hAnsi="Lato;sans-serif"/>
                                <w:b w:val="false"/>
                                <w:color w:val="000000"/>
                                <w:sz w:val="20"/>
                              </w:rPr>
                            </w:pPr>
                            <w:r>
                              <w:rPr>
                                <w:rFonts w:ascii="Lato;sans-serif" w:hAnsi="Lato;sans-serif"/>
                                <w:b w:val="false"/>
                                <w:color w:val="000000"/>
                                <w:sz w:val="20"/>
                              </w:rPr>
                              <w:t>57</w:t>
                            </w:r>
                          </w:p>
                          <w:p>
                            <w:pPr>
                              <w:pStyle w:val="TextBody"/>
                              <w:bidi w:val="0"/>
                              <w:spacing w:lineRule="auto" w:line="288" w:before="0" w:after="0"/>
                              <w:jc w:val="left"/>
                              <w:rPr>
                                <w:color w:val="000000"/>
                              </w:rPr>
                            </w:pPr>
                            <w:r>
                              <w:rPr>
                                <w:color w:val="000000"/>
                              </w:rPr>
                              <w:t>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Lato;sans-serif" w:hAnsi="Lato;sans-serif"/>
                          <w:b w:val="false"/>
                          <w:color w:val="000000"/>
                          <w:sz w:val="20"/>
                        </w:rPr>
                      </w:pPr>
                      <w:r>
                        <w:rPr>
                          <w:rFonts w:ascii="Lato;sans-serif" w:hAnsi="Lato;sans-serif"/>
                          <w:b w:val="false"/>
                          <w:color w:val="000000"/>
                          <w:sz w:val="20"/>
                        </w:rPr>
                        <w:t>57</w:t>
                      </w:r>
                    </w:p>
                    <w:p>
                      <w:pPr>
                        <w:pStyle w:val="TextBody"/>
                        <w:bidi w:val="0"/>
                        <w:spacing w:lineRule="auto" w:line="288" w:before="0" w:after="0"/>
                        <w:jc w:val="left"/>
                        <w:rPr>
                          <w:color w:val="000000"/>
                        </w:rPr>
                      </w:pPr>
                      <w:r>
                        <w:rPr>
                          <w:color w:val="000000"/>
                        </w:rPr>
                        <w:t>        </w:t>
                      </w:r>
                    </w:p>
                  </w:txbxContent>
                </v:textbox>
                <w10:wrap type="none"/>
              </v:rect>
            </w:pict>
          </mc:Fallback>
        </mc:AlternateConten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974"/>
        <w:gridCol w:w="751"/>
        <w:gridCol w:w="753"/>
        <w:gridCol w:w="2410"/>
        <w:gridCol w:w="2195"/>
        <w:gridCol w:w="3122"/>
      </w:tblGrid>
      <w:tr>
        <w:trPr/>
        <w:tc>
          <w:tcPr>
            <w:tcW w:w="974"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753" w:type="dxa"/>
            <w:tcBorders/>
            <w:vAlign w:val="center"/>
          </w:tcPr>
          <w:p>
            <w:pPr>
              <w:pStyle w:val="TableContents"/>
              <w:bidi w:val="0"/>
              <w:spacing w:before="0" w:after="283"/>
              <w:jc w:val="left"/>
              <w:rPr>
                <w:sz w:val="4"/>
                <w:szCs w:val="4"/>
              </w:rPr>
            </w:pPr>
            <w:r>
              <w:rPr>
                <w:sz w:val="4"/>
                <w:szCs w:val="4"/>
              </w:rPr>
            </w:r>
          </w:p>
        </w:tc>
        <w:tc>
          <w:tcPr>
            <w:tcW w:w="2410" w:type="dxa"/>
            <w:tcBorders/>
            <w:vAlign w:val="center"/>
          </w:tcPr>
          <w:p>
            <w:pPr>
              <w:pStyle w:val="TableContents"/>
              <w:bidi w:val="0"/>
              <w:spacing w:before="0" w:after="283"/>
              <w:jc w:val="left"/>
              <w:rPr>
                <w:sz w:val="4"/>
                <w:szCs w:val="4"/>
              </w:rPr>
            </w:pPr>
            <w:r>
              <w:rPr>
                <w:sz w:val="4"/>
                <w:szCs w:val="4"/>
              </w:rPr>
            </w:r>
          </w:p>
        </w:tc>
        <w:tc>
          <w:tcPr>
            <w:tcW w:w="2195" w:type="dxa"/>
            <w:tcBorders/>
            <w:vAlign w:val="center"/>
          </w:tcPr>
          <w:p>
            <w:pPr>
              <w:pStyle w:val="TableContents"/>
              <w:bidi w:val="0"/>
              <w:spacing w:before="0" w:after="283"/>
              <w:jc w:val="left"/>
              <w:rPr>
                <w:sz w:val="4"/>
                <w:szCs w:val="4"/>
              </w:rPr>
            </w:pPr>
            <w:r>
              <w:rPr>
                <w:sz w:val="4"/>
                <w:szCs w:val="4"/>
              </w:rPr>
            </w:r>
          </w:p>
        </w:tc>
        <w:tc>
          <w:tcPr>
            <w:tcW w:w="3122" w:type="dxa"/>
            <w:tcBorders/>
            <w:vAlign w:val="center"/>
          </w:tcPr>
          <w:p>
            <w:pPr>
              <w:pStyle w:val="TableContents"/>
              <w:bidi w:val="0"/>
              <w:spacing w:before="0" w:after="283"/>
              <w:jc w:val="left"/>
              <w:rPr>
                <w:sz w:val="4"/>
                <w:szCs w:val="4"/>
              </w:rPr>
            </w:pPr>
            <w:r>
              <w:rPr>
                <w:sz w:val="4"/>
                <w:szCs w:val="4"/>
              </w:rPr>
            </w:r>
          </w:p>
        </w:tc>
      </w:tr>
      <w:tr>
        <w:trPr/>
        <w:tc>
          <w:tcPr>
            <w:tcW w:w="2478" w:type="dxa"/>
            <w:gridSpan w:val="3"/>
            <w:tcBorders/>
            <w:shd w:fill="F44238"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color w:val="FFFFFF"/>
                <w:sz w:val="20"/>
              </w:rPr>
            </w:pPr>
            <w:r>
              <w:rPr>
                <w:rFonts w:ascii="Lato;sans-serif" w:hAnsi="Lato;sans-serif"/>
                <w:b/>
                <w:color w:val="FFFFFF"/>
                <w:sz w:val="20"/>
              </w:rPr>
              <w:t>Triggering Event(s)</w:t>
            </w:r>
          </w:p>
        </w:tc>
        <w:tc>
          <w:tcPr>
            <w:tcW w:w="7727" w:type="dxa"/>
            <w:gridSpan w:val="3"/>
            <w:tcBorders/>
            <w:shd w:fill="F44238"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color w:val="FFFFFF"/>
                <w:sz w:val="20"/>
              </w:rPr>
            </w:pPr>
            <w:r>
              <w:rPr>
                <w:rFonts w:ascii="Lato;sans-serif" w:hAnsi="Lato;sans-serif"/>
                <w:b/>
                <w:color w:val="FFFFFF"/>
                <w:sz w:val="20"/>
              </w:rPr>
              <w:t>Benefits</w:t>
            </w:r>
          </w:p>
        </w:tc>
      </w:tr>
      <w:tr>
        <w:trPr/>
        <w:tc>
          <w:tcPr>
            <w:tcW w:w="2478"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20"/>
              </w:rPr>
            </w:pPr>
            <w:r>
              <w:rPr>
                <w:rFonts w:ascii="Lato;sans-serif" w:hAnsi="Lato;sans-serif"/>
                <w:b w:val="false"/>
                <w:color w:val="000000"/>
                <w:sz w:val="20"/>
              </w:rPr>
              <w:t>Employment is terminated without cause or NEO resigns for good reason in connection with a change in control</w:t>
            </w:r>
          </w:p>
        </w:tc>
        <w:tc>
          <w:tcPr>
            <w:tcW w:w="7727"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0"/>
              <w:ind w:left="0" w:right="0" w:hanging="180"/>
              <w:jc w:val="both"/>
              <w:rPr/>
            </w:pPr>
            <w:r>
              <w:rPr>
                <w:color w:val="000000"/>
              </w:rPr>
              <w:t>•</w:t>
            </w:r>
            <w:r>
              <w:rPr>
                <w:rFonts w:ascii="Lato;sans-serif" w:hAnsi="Lato;sans-serif"/>
                <w:b w:val="false"/>
                <w:color w:val="000000"/>
                <w:sz w:val="20"/>
              </w:rPr>
              <w:t xml:space="preserve">A lump sum payment equal to 18 months, in the case of Mr. Schuck, and 9 months, in the case of Mr. O’Brien, Mr. Roth and Ms. McGrane, plus 100% of each such NEO’s annual target cash bonus for the year of termination, in each case, less any amounts already paid for any such year. </w:t>
            </w:r>
          </w:p>
          <w:p>
            <w:pPr>
              <w:pStyle w:val="TableContents"/>
              <w:bidi w:val="0"/>
              <w:spacing w:lineRule="auto" w:line="240" w:before="0" w:after="0"/>
              <w:ind w:left="0" w:right="0" w:hanging="180"/>
              <w:jc w:val="both"/>
              <w:rPr/>
            </w:pPr>
            <w:r>
              <w:rPr>
                <w:color w:val="000000"/>
              </w:rPr>
              <w:t>•</w:t>
            </w:r>
            <w:r>
              <w:rPr>
                <w:rFonts w:ascii="Lato;sans-serif" w:hAnsi="Lato;sans-serif"/>
                <w:b w:val="false"/>
                <w:color w:val="000000"/>
                <w:sz w:val="20"/>
              </w:rPr>
              <w:t>Solely in the case of Mr. Schuck, any earned but unpaid bonus for the prior fiscal year.</w:t>
            </w:r>
          </w:p>
          <w:p>
            <w:pPr>
              <w:pStyle w:val="TableContents"/>
              <w:bidi w:val="0"/>
              <w:spacing w:lineRule="auto" w:line="240" w:before="0" w:after="0"/>
              <w:ind w:left="0" w:right="0" w:hanging="180"/>
              <w:jc w:val="both"/>
              <w:rPr/>
            </w:pPr>
            <w:r>
              <w:rPr>
                <w:color w:val="000000"/>
              </w:rPr>
              <w:t>•</w:t>
            </w:r>
            <w:r>
              <w:rPr>
                <w:rFonts w:ascii="Lato;sans-serif" w:hAnsi="Lato;sans-serif"/>
                <w:b w:val="false"/>
                <w:color w:val="000000"/>
                <w:sz w:val="20"/>
              </w:rPr>
              <w:t>In the case of Mr. Schuck, continuation for 18 months, and in the case of Mr. O’Brien, Mr. Roth and Ms. McGrane, continuation for 12 months, respectively, following the termination date of any health insurance benefits to which such NEO was entitled as of the termination date; and</w:t>
            </w:r>
          </w:p>
          <w:p>
            <w:pPr>
              <w:pStyle w:val="TableContents"/>
              <w:bidi w:val="0"/>
              <w:spacing w:lineRule="auto" w:line="240" w:before="0" w:after="180"/>
              <w:ind w:left="0" w:right="0" w:hanging="180"/>
              <w:jc w:val="both"/>
              <w:rPr/>
            </w:pPr>
            <w:r>
              <w:rPr>
                <w:color w:val="000000"/>
              </w:rPr>
              <w:t>•</w:t>
            </w:r>
            <w:r>
              <w:rPr>
                <w:rFonts w:ascii="Lato;sans-serif" w:hAnsi="Lato;sans-serif"/>
                <w:b w:val="false"/>
                <w:color w:val="000000"/>
                <w:sz w:val="20"/>
              </w:rPr>
              <w:t>100% accelerated vesting of NEO’s outstanding equity awards subject to time-based vesting.</w:t>
            </w:r>
          </w:p>
          <w:p>
            <w:pPr>
              <w:pStyle w:val="TableContents"/>
              <w:bidi w:val="0"/>
              <w:spacing w:lineRule="auto" w:line="240" w:before="0" w:after="0"/>
              <w:jc w:val="both"/>
              <w:rPr>
                <w:rFonts w:ascii="Lato;sans-serif" w:hAnsi="Lato;sans-serif"/>
                <w:b w:val="false"/>
                <w:color w:val="000000"/>
                <w:sz w:val="20"/>
              </w:rPr>
            </w:pPr>
            <w:r>
              <w:rPr>
                <w:rFonts w:ascii="Lato;sans-serif" w:hAnsi="Lato;sans-serif"/>
                <w:b w:val="false"/>
                <w:color w:val="000000"/>
                <w:sz w:val="20"/>
              </w:rPr>
              <w:t>In each case subject to the applicable NEO timely signing a release of claims that becomes effective and continued compliance with such NEO’s restrictive covenants.</w:t>
            </w:r>
          </w:p>
        </w:tc>
      </w:tr>
      <w:tr>
        <w:trPr/>
        <w:tc>
          <w:tcPr>
            <w:tcW w:w="2478"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20"/>
              </w:rPr>
            </w:pPr>
            <w:r>
              <w:rPr>
                <w:rFonts w:ascii="Lato;sans-serif" w:hAnsi="Lato;sans-serif"/>
                <w:b w:val="false"/>
                <w:color w:val="000000"/>
                <w:sz w:val="20"/>
              </w:rPr>
              <w:t>Employment is terminated without cause or resigns for good reason (other than in connection with a change in control)</w:t>
            </w:r>
          </w:p>
        </w:tc>
        <w:tc>
          <w:tcPr>
            <w:tcW w:w="7727" w:type="dxa"/>
            <w:gridSpan w:val="3"/>
            <w:tcBorders/>
            <w:shd w:fill="DBDBDB" w:val="clear"/>
            <w:tcMar>
              <w:top w:w="0" w:type="dxa"/>
              <w:left w:w="0" w:type="dxa"/>
              <w:bottom w:w="0" w:type="dxa"/>
              <w:right w:w="0" w:type="dxa"/>
            </w:tcMar>
            <w:vAlign w:val="center"/>
          </w:tcPr>
          <w:p>
            <w:pPr>
              <w:pStyle w:val="TableContents"/>
              <w:bidi w:val="0"/>
              <w:spacing w:lineRule="auto" w:line="240" w:before="0" w:after="0"/>
              <w:ind w:left="0" w:right="0" w:hanging="180"/>
              <w:jc w:val="both"/>
              <w:rPr/>
            </w:pPr>
            <w:r>
              <w:rPr>
                <w:color w:val="000000"/>
              </w:rPr>
              <w:t>•</w:t>
            </w:r>
            <w:r>
              <w:rPr>
                <w:rFonts w:ascii="Lato;sans-serif" w:hAnsi="Lato;sans-serif"/>
                <w:b w:val="false"/>
                <w:color w:val="000000"/>
                <w:sz w:val="20"/>
              </w:rPr>
              <w:t>A lump sum payment equal to 12 months, in the case of Mr. Schuck, and a lump sum payment equal to 6 months, in the case of Mr. O’Brien, Mr. Roth and Ms. McGrane, of such NEO’s then-current base salary, plus, in the case of Mr. Schuck, a pro-rated portion of their expected target annual cash bonus for the year of termination, and in the case of Mr. O’Brien, Mr. Roth and Ms. McGrane, a pro-rated portion of their respective bonuses based on actual performance determinations, in each case, less any amounts already paid for such year;</w:t>
            </w:r>
          </w:p>
          <w:p>
            <w:pPr>
              <w:pStyle w:val="TableContents"/>
              <w:bidi w:val="0"/>
              <w:spacing w:lineRule="auto" w:line="240" w:before="0" w:after="0"/>
              <w:ind w:left="0" w:right="0" w:hanging="180"/>
              <w:jc w:val="both"/>
              <w:rPr/>
            </w:pPr>
            <w:r>
              <w:rPr>
                <w:color w:val="000000"/>
              </w:rPr>
              <w:t>•</w:t>
            </w:r>
            <w:r>
              <w:rPr>
                <w:rFonts w:ascii="Lato;sans-serif" w:hAnsi="Lato;sans-serif"/>
                <w:b w:val="false"/>
                <w:color w:val="000000"/>
                <w:sz w:val="20"/>
              </w:rPr>
              <w:t>In the case of Mr. Schuck, continuation for 12 months, and in the case of each of Mr. O’Brien, Mr. Roth and Ms. McGrane, continuation for 6 months, respectively, following the termination date of any health insurance benefits to which NEO was entitled as of the termination date; and</w:t>
            </w:r>
          </w:p>
          <w:p>
            <w:pPr>
              <w:pStyle w:val="TableContents"/>
              <w:bidi w:val="0"/>
              <w:spacing w:lineRule="auto" w:line="240" w:before="0" w:after="180"/>
              <w:ind w:left="0" w:right="0" w:hanging="180"/>
              <w:jc w:val="both"/>
              <w:rPr/>
            </w:pPr>
            <w:r>
              <w:rPr>
                <w:color w:val="000000"/>
              </w:rPr>
              <w:t>•</w:t>
            </w:r>
            <w:r>
              <w:rPr>
                <w:rFonts w:ascii="Lato;sans-serif" w:hAnsi="Lato;sans-serif"/>
                <w:b w:val="false"/>
                <w:color w:val="000000"/>
                <w:sz w:val="20"/>
              </w:rPr>
              <w:t>In the case of each NEO, accelerated vesting of the portion of the NEO’s then-unvested equity awards subject to time-based vesting scheduled to vest within 12 months and 3 months, respectively, following the termination date; p</w:t>
            </w:r>
            <w:r>
              <w:rPr>
                <w:rFonts w:ascii="Lato;sans-serif" w:hAnsi="Lato;sans-serif"/>
                <w:b w:val="false"/>
                <w:i/>
                <w:color w:val="000000"/>
                <w:sz w:val="20"/>
              </w:rPr>
              <w:t>rovided</w:t>
            </w:r>
            <w:r>
              <w:rPr>
                <w:rFonts w:ascii="Lato;sans-serif" w:hAnsi="Lato;sans-serif"/>
                <w:b w:val="false"/>
                <w:color w:val="000000"/>
                <w:sz w:val="20"/>
              </w:rPr>
              <w:t xml:space="preserve">, </w:t>
            </w:r>
            <w:r>
              <w:rPr>
                <w:rFonts w:ascii="Lato;sans-serif" w:hAnsi="Lato;sans-serif"/>
                <w:b w:val="false"/>
                <w:i/>
                <w:color w:val="000000"/>
                <w:sz w:val="20"/>
              </w:rPr>
              <w:t>however</w:t>
            </w:r>
            <w:r>
              <w:rPr>
                <w:rFonts w:ascii="Lato;sans-serif" w:hAnsi="Lato;sans-serif"/>
                <w:b w:val="false"/>
                <w:color w:val="000000"/>
                <w:sz w:val="20"/>
              </w:rPr>
              <w:t>, that in the case of Mr. O’Brien, Mr. Roth and Ms. McGrane, such accelerated vesting is subject to a cap on the fair market value of the shares ultimately accelerated based on years of service (up to $2,000,000 for three years of service, $2,750,000 for four years of service, $3,500,000 for five years of service, and $4,250,000 for six or more years of service).</w:t>
            </w:r>
          </w:p>
          <w:p>
            <w:pPr>
              <w:pStyle w:val="TableContents"/>
              <w:bidi w:val="0"/>
              <w:spacing w:lineRule="auto" w:line="240" w:before="0" w:after="0"/>
              <w:jc w:val="both"/>
              <w:rPr>
                <w:rFonts w:ascii="Lato;sans-serif" w:hAnsi="Lato;sans-serif"/>
                <w:b w:val="false"/>
                <w:color w:val="000000"/>
                <w:sz w:val="20"/>
              </w:rPr>
            </w:pPr>
            <w:r>
              <w:rPr>
                <w:rFonts w:ascii="Lato;sans-serif" w:hAnsi="Lato;sans-serif"/>
                <w:b w:val="false"/>
                <w:color w:val="000000"/>
                <w:sz w:val="20"/>
              </w:rPr>
              <w:t>In each case subject to the applicable NEO timely signing a release of claims that becomes effective and continued compliance with such NEO’s restrictive covenants.</w:t>
            </w:r>
          </w:p>
        </w:tc>
      </w:tr>
      <w:tr>
        <w:trPr/>
        <w:tc>
          <w:tcPr>
            <w:tcW w:w="24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20"/>
              </w:rPr>
            </w:pPr>
            <w:r>
              <w:rPr>
                <w:rFonts w:ascii="Lato;sans-serif" w:hAnsi="Lato;sans-serif"/>
                <w:b w:val="false"/>
                <w:color w:val="000000"/>
                <w:sz w:val="20"/>
              </w:rPr>
              <w:t>Employment is terminated due to death or disability</w:t>
            </w:r>
          </w:p>
        </w:tc>
        <w:tc>
          <w:tcPr>
            <w:tcW w:w="7727"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both"/>
              <w:rPr/>
            </w:pPr>
            <w:r>
              <w:rPr>
                <w:color w:val="000000"/>
              </w:rPr>
              <w:t>•</w:t>
            </w:r>
            <w:r>
              <w:rPr>
                <w:rFonts w:ascii="Lato;sans-serif" w:hAnsi="Lato;sans-serif"/>
                <w:b w:val="false"/>
                <w:color w:val="000000"/>
                <w:sz w:val="20"/>
              </w:rPr>
              <w:t>A pro-rated portion of the NEO’s expected annual bonus for the year of termination, less any amounts already paid for such year.</w:t>
            </w:r>
          </w:p>
          <w:p>
            <w:pPr>
              <w:pStyle w:val="TableContents"/>
              <w:bidi w:val="0"/>
              <w:spacing w:lineRule="auto" w:line="240" w:before="0" w:after="0"/>
              <w:ind w:left="0" w:right="0" w:hanging="180"/>
              <w:jc w:val="both"/>
              <w:rPr/>
            </w:pPr>
            <w:r>
              <w:rPr>
                <w:color w:val="000000"/>
              </w:rPr>
              <w:t>•</w:t>
            </w:r>
            <w:r>
              <w:rPr>
                <w:rFonts w:ascii="Lato;sans-serif" w:hAnsi="Lato;sans-serif"/>
                <w:b w:val="false"/>
                <w:color w:val="000000"/>
                <w:sz w:val="20"/>
              </w:rPr>
              <w:t>Up to 5,000 RSUs vest, subject to certain exceptions.</w:t>
            </w:r>
          </w:p>
        </w:tc>
      </w:tr>
    </w:tbl>
    <w:p>
      <w:pPr>
        <w:pStyle w:val="TextBody"/>
        <w:bidi w:val="0"/>
        <w:spacing w:lineRule="auto" w:line="288" w:before="180" w:after="180"/>
        <w:ind w:left="0" w:right="0" w:hanging="360"/>
        <w:jc w:val="both"/>
        <w:rPr>
          <w:rFonts w:ascii="Lato;sans-serif" w:hAnsi="Lato;sans-serif"/>
          <w:b w:val="false"/>
          <w:color w:val="000000"/>
          <w:sz w:val="20"/>
        </w:rPr>
      </w:pPr>
      <w:r>
        <w:rPr>
          <w:rFonts w:ascii="Lato;sans-serif" w:hAnsi="Lato;sans-serif"/>
          <w:b w:val="false"/>
          <w:color w:val="000000"/>
          <w:sz w:val="20"/>
        </w:rPr>
        <w:t>In addition, in the event any of the payments provided for under the executive employment agreements, or otherwise payable to the NEO, would constitute “parachute payments” within the meaning of Section 280G of the Internal Revenue Code and could be subject to the related excise tax under Section 4999 of the Internal Revenue Code, the NEO would be entitled to receive either full payment of benefits or such lesser amount which would result in no portion of the benefits being subject to the excise tax, whichever results in the greater amount of after-tax benefits to such executive. No employment letter with any of our NEOs provides for any tax gross-up payments.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6480175" cy="352425"/>
                <wp:effectExtent l="0" t="0" r="0" b="0"/>
                <wp:wrapNone/>
                <wp:docPr id="80" name="Frame64"/>
                <a:graphic xmlns:a="http://schemas.openxmlformats.org/drawingml/2006/main">
                  <a:graphicData uri="http://schemas.microsoft.com/office/word/2010/wordprocessingShape">
                    <wps:wsp>
                      <wps:cNvSpPr txBox="1"/>
                      <wps:spPr>
                        <a:xfrm>
                          <a:off x="0" y="0"/>
                          <a:ext cx="6480175" cy="352425"/>
                        </a:xfrm>
                        <a:prstGeom prst="rect"/>
                        <a:solidFill>
                          <a:srgbClr val="FFFFFF"/>
                        </a:solidFill>
                      </wps:spPr>
                      <wps:txbx>
                        <w:txbxContent>
                          <w:p>
                            <w:pPr>
                              <w:pStyle w:val="TextBody"/>
                              <w:bidi w:val="0"/>
                              <w:spacing w:lineRule="auto" w:line="288" w:before="0" w:after="0"/>
                              <w:jc w:val="center"/>
                              <w:rPr>
                                <w:rFonts w:ascii="Lato;sans-serif" w:hAnsi="Lato;sans-serif"/>
                                <w:b w:val="false"/>
                                <w:color w:val="000000"/>
                                <w:sz w:val="20"/>
                              </w:rPr>
                            </w:pPr>
                            <w:r>
                              <w:rPr>
                                <w:rFonts w:ascii="Lato;sans-serif" w:hAnsi="Lato;sans-serif"/>
                                <w:b w:val="false"/>
                                <w:color w:val="000000"/>
                                <w:sz w:val="20"/>
                              </w:rPr>
                              <w:t>58</w:t>
                            </w:r>
                          </w:p>
                          <w:p>
                            <w:pPr>
                              <w:pStyle w:val="TextBody"/>
                              <w:bidi w:val="0"/>
                              <w:spacing w:lineRule="auto" w:line="288" w:before="0" w:after="0"/>
                              <w:jc w:val="left"/>
                              <w:rPr>
                                <w:color w:val="000000"/>
                              </w:rPr>
                            </w:pPr>
                            <w:r>
                              <w:rPr>
                                <w:color w:val="000000"/>
                              </w:rPr>
                              <w:t>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Lato;sans-serif" w:hAnsi="Lato;sans-serif"/>
                          <w:b w:val="false"/>
                          <w:color w:val="000000"/>
                          <w:sz w:val="20"/>
                        </w:rPr>
                      </w:pPr>
                      <w:r>
                        <w:rPr>
                          <w:rFonts w:ascii="Lato;sans-serif" w:hAnsi="Lato;sans-serif"/>
                          <w:b w:val="false"/>
                          <w:color w:val="000000"/>
                          <w:sz w:val="20"/>
                        </w:rPr>
                        <w:t>58</w:t>
                      </w:r>
                    </w:p>
                    <w:p>
                      <w:pPr>
                        <w:pStyle w:val="TextBody"/>
                        <w:bidi w:val="0"/>
                        <w:spacing w:lineRule="auto" w:line="288" w:before="0" w:after="0"/>
                        <w:jc w:val="left"/>
                        <w:rPr>
                          <w:color w:val="000000"/>
                        </w:rPr>
                      </w:pPr>
                      <w:r>
                        <w:rPr>
                          <w:color w:val="000000"/>
                        </w:rPr>
                        <w:t>        </w:t>
                      </w:r>
                    </w:p>
                  </w:txbxContent>
                </v:textbox>
                <w10:wrap type="none"/>
              </v:rect>
            </w:pict>
          </mc:Fallback>
        </mc:AlternateContent>
      </w:r>
    </w:p>
    <w:p>
      <w:pPr>
        <w:pStyle w:val="TextBody"/>
        <w:bidi w:val="0"/>
        <w:spacing w:before="0" w:after="0"/>
        <w:jc w:val="left"/>
        <w:rPr/>
      </w:pPr>
      <w:r>
        <w:rPr/>
      </w:r>
    </w:p>
    <w:p>
      <w:pPr>
        <w:pStyle w:val="TextBody"/>
        <w:bidi w:val="0"/>
        <w:spacing w:lineRule="auto" w:line="333" w:before="300" w:after="180"/>
        <w:jc w:val="left"/>
        <w:rPr>
          <w:rFonts w:ascii="Lato;sans-serif" w:hAnsi="Lato;sans-serif"/>
          <w:b/>
          <w:i/>
          <w:color w:val="000000"/>
          <w:sz w:val="20"/>
        </w:rPr>
      </w:pPr>
      <w:r>
        <w:rPr>
          <w:rFonts w:ascii="Lato;sans-serif" w:hAnsi="Lato;sans-serif"/>
          <w:b/>
          <w:i/>
          <w:color w:val="000000"/>
          <w:sz w:val="20"/>
        </w:rPr>
        <w:t>Other Compensation</w:t>
      </w:r>
    </w:p>
    <w:p>
      <w:pPr>
        <w:pStyle w:val="TextBody"/>
        <w:bidi w:val="0"/>
        <w:spacing w:lineRule="auto" w:line="333" w:before="300" w:after="180"/>
        <w:jc w:val="both"/>
        <w:rPr>
          <w:rFonts w:ascii="Lato;sans-serif" w:hAnsi="Lato;sans-serif"/>
          <w:b w:val="false"/>
          <w:i/>
          <w:color w:val="000000"/>
          <w:sz w:val="20"/>
        </w:rPr>
      </w:pPr>
      <w:r>
        <w:rPr>
          <w:rFonts w:ascii="Lato;sans-serif" w:hAnsi="Lato;sans-serif"/>
          <w:b w:val="false"/>
          <w:i/>
          <w:color w:val="000000"/>
          <w:sz w:val="20"/>
        </w:rPr>
        <w:t>Employee Benefits</w:t>
      </w:r>
    </w:p>
    <w:p>
      <w:pPr>
        <w:pStyle w:val="TextBody"/>
        <w:bidi w:val="0"/>
        <w:spacing w:lineRule="auto" w:line="288" w:before="180" w:after="180"/>
        <w:jc w:val="both"/>
        <w:rPr>
          <w:rFonts w:ascii="Lato;sans-serif" w:hAnsi="Lato;sans-serif"/>
          <w:b w:val="false"/>
          <w:color w:val="000000"/>
          <w:sz w:val="20"/>
        </w:rPr>
      </w:pPr>
      <w:r>
        <w:rPr>
          <w:rFonts w:ascii="Lato;sans-serif" w:hAnsi="Lato;sans-serif"/>
          <w:b w:val="false"/>
          <w:color w:val="000000"/>
          <w:sz w:val="20"/>
        </w:rPr>
        <w:t>We provide various employee benefit programs to our NEOs, including medical, vision, and dental benefits. These benefit programs are generally available to all of our employees with certain variations based on jurisdictions and seniority. These benefits are provided to the NEOs to eliminate potential distractions from performing their regular job duties. We believe the cost of these programs is counterbalanced by an increase in productivity by the executives receiving access to them.</w:t>
      </w:r>
    </w:p>
    <w:p>
      <w:pPr>
        <w:pStyle w:val="TextBody"/>
        <w:bidi w:val="0"/>
        <w:spacing w:lineRule="auto" w:line="333" w:before="300" w:after="120"/>
        <w:jc w:val="both"/>
        <w:rPr>
          <w:rFonts w:ascii="Lato;sans-serif" w:hAnsi="Lato;sans-serif"/>
          <w:b w:val="false"/>
          <w:i/>
          <w:color w:val="000000"/>
          <w:sz w:val="20"/>
        </w:rPr>
      </w:pPr>
      <w:r>
        <w:rPr>
          <w:rFonts w:ascii="Lato;sans-serif" w:hAnsi="Lato;sans-serif"/>
          <w:b w:val="false"/>
          <w:i/>
          <w:color w:val="000000"/>
          <w:sz w:val="20"/>
        </w:rPr>
        <w:t>No Executive Perquisites</w:t>
      </w:r>
    </w:p>
    <w:p>
      <w:pPr>
        <w:pStyle w:val="TextBody"/>
        <w:bidi w:val="0"/>
        <w:spacing w:lineRule="auto" w:line="288" w:before="180" w:after="180"/>
        <w:jc w:val="both"/>
        <w:rPr>
          <w:rFonts w:ascii="Lato;sans-serif" w:hAnsi="Lato;sans-serif"/>
          <w:b w:val="false"/>
          <w:color w:val="000000"/>
          <w:sz w:val="20"/>
        </w:rPr>
      </w:pPr>
      <w:r>
        <w:rPr>
          <w:rFonts w:ascii="Lato;sans-serif" w:hAnsi="Lato;sans-serif"/>
          <w:b w:val="false"/>
          <w:color w:val="000000"/>
          <w:sz w:val="20"/>
        </w:rPr>
        <w:t>Executive perquisites are not part of our general compensation philosophy.</w:t>
      </w:r>
    </w:p>
    <w:p>
      <w:pPr>
        <w:pStyle w:val="TextBody"/>
        <w:bidi w:val="0"/>
        <w:spacing w:lineRule="auto" w:line="333" w:before="300" w:after="180"/>
        <w:jc w:val="both"/>
        <w:rPr>
          <w:rFonts w:ascii="Lato;sans-serif" w:hAnsi="Lato;sans-serif"/>
          <w:b w:val="false"/>
          <w:i/>
          <w:color w:val="000000"/>
          <w:sz w:val="20"/>
        </w:rPr>
      </w:pPr>
      <w:r>
        <w:rPr>
          <w:rFonts w:ascii="Lato;sans-serif" w:hAnsi="Lato;sans-serif"/>
          <w:b w:val="false"/>
          <w:i/>
          <w:color w:val="000000"/>
          <w:sz w:val="20"/>
        </w:rPr>
        <w:t>Retirement Plan</w:t>
      </w:r>
    </w:p>
    <w:p>
      <w:pPr>
        <w:pStyle w:val="TextBody"/>
        <w:bidi w:val="0"/>
        <w:spacing w:lineRule="auto" w:line="288" w:before="180" w:after="180"/>
        <w:jc w:val="both"/>
        <w:rPr/>
      </w:pPr>
      <w:r>
        <w:rPr>
          <w:rFonts w:ascii="Lato;sans-serif" w:hAnsi="Lato;sans-serif"/>
          <w:b w:val="false"/>
          <w:color w:val="000000"/>
          <w:sz w:val="20"/>
        </w:rPr>
        <w:t>Our NEOs are eligible to participate in the defined contribution pension plan (the “</w:t>
      </w:r>
      <w:r>
        <w:rPr>
          <w:rFonts w:ascii="Lato;sans-serif" w:hAnsi="Lato;sans-serif"/>
          <w:b/>
          <w:i/>
          <w:color w:val="000000"/>
          <w:sz w:val="20"/>
        </w:rPr>
        <w:t>401(k) Plan</w:t>
      </w:r>
      <w:r>
        <w:rPr>
          <w:color w:val="000000"/>
        </w:rPr>
        <w:t>”</w:t>
      </w:r>
      <w:r>
        <w:rPr>
          <w:rFonts w:ascii="Lato;sans-serif" w:hAnsi="Lato;sans-serif"/>
          <w:b w:val="false"/>
          <w:color w:val="000000"/>
          <w:sz w:val="20"/>
        </w:rPr>
        <w:t>) we maintain for all full-time U.S. employees. The 401(k) Plan is intended to qualify as a tax-qualified plan under Section 401(k) of the Code. The 401(k) Plan provides that each participant may contribute up to 90% of such participant’s compensation pursuant to certain restrictions. In 2025, we matched 50% of the employee’s contribution to the 401(k) plan up to the first 7% of their contribution. We may also make discretionary profit-sharing contributions to eligible participants. We do not have a defined benefit plan or any non-qualified deferred compensation arrangements.</w:t>
      </w:r>
    </w:p>
    <w:p>
      <w:pPr>
        <w:pStyle w:val="TextBody"/>
        <w:bidi w:val="0"/>
        <w:spacing w:lineRule="auto" w:line="288" w:before="180" w:after="180"/>
        <w:jc w:val="both"/>
        <w:rPr/>
      </w:pPr>
      <w:r>
        <w:rPr>
          <w:rFonts w:ascii="Lato;sans-serif" w:hAnsi="Lato;sans-serif"/>
          <w:b w:val="false"/>
          <w:color w:val="000000"/>
          <w:sz w:val="20"/>
        </w:rPr>
        <w:t>The value of perquisites and other personal benefits provided to the NEOs is reflected in the “All Other Compensation” column of the “</w:t>
      </w:r>
      <w:hyperlink w:anchor="ib09e1ad647de4075ad613c1a43ff4b94_124">
        <w:r>
          <w:rPr>
            <w:rStyle w:val="InternetLink"/>
            <w:rFonts w:ascii="Lato;sans-serif" w:hAnsi="Lato;sans-serif"/>
            <w:b w:val="false"/>
            <w:i/>
            <w:color w:val="0000FF"/>
            <w:sz w:val="20"/>
            <w:u w:val="single"/>
          </w:rPr>
          <w:t>Summary Compensation Table</w:t>
        </w:r>
      </w:hyperlink>
      <w:r>
        <w:rPr>
          <w:color w:val="000000"/>
        </w:rPr>
        <w:t xml:space="preserve">” </w:t>
      </w:r>
      <w:r>
        <w:rPr>
          <w:rFonts w:ascii="Lato;sans-serif" w:hAnsi="Lato;sans-serif"/>
          <w:b w:val="false"/>
          <w:color w:val="000000"/>
          <w:sz w:val="20"/>
        </w:rPr>
        <w:t>and the accompanying footnote.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333" w:before="300" w:after="180"/>
        <w:jc w:val="left"/>
        <w:rPr>
          <w:rFonts w:ascii="Lato;sans-serif" w:hAnsi="Lato;sans-serif"/>
          <w:b/>
          <w:color w:val="000000"/>
          <w:sz w:val="20"/>
        </w:rPr>
      </w:pPr>
      <w:r>
        <w:rPr>
          <w:rFonts w:ascii="Lato;sans-serif" w:hAnsi="Lato;sans-serif"/>
          <w:b/>
          <w:color w:val="000000"/>
          <w:sz w:val="20"/>
        </w:rPr>
        <w:t>Other Compensation Policies and Practices</w:t>
      </w:r>
    </w:p>
    <w:p>
      <w:pPr>
        <w:pStyle w:val="TextBody"/>
        <w:bidi w:val="0"/>
        <w:spacing w:lineRule="auto" w:line="333" w:before="300" w:after="180"/>
        <w:jc w:val="both"/>
        <w:rPr>
          <w:rFonts w:ascii="Lato;sans-serif" w:hAnsi="Lato;sans-serif"/>
          <w:b/>
          <w:i/>
          <w:color w:val="000000"/>
          <w:sz w:val="20"/>
        </w:rPr>
      </w:pPr>
      <w:r>
        <w:rPr>
          <w:rFonts w:ascii="Lato;sans-serif" w:hAnsi="Lato;sans-serif"/>
          <w:b/>
          <w:i/>
          <w:color w:val="000000"/>
          <w:sz w:val="20"/>
        </w:rPr>
        <w:t>Clawback</w:t>
      </w:r>
    </w:p>
    <w:p>
      <w:pPr>
        <w:pStyle w:val="TextBody"/>
        <w:bidi w:val="0"/>
        <w:spacing w:lineRule="auto" w:line="288" w:before="180" w:after="180"/>
        <w:jc w:val="both"/>
        <w:rPr>
          <w:rFonts w:ascii="Lato;sans-serif" w:hAnsi="Lato;sans-serif"/>
          <w:b w:val="false"/>
          <w:color w:val="000000"/>
          <w:sz w:val="20"/>
        </w:rPr>
      </w:pPr>
      <w:r>
        <w:rPr>
          <w:rFonts w:ascii="Lato;sans-serif" w:hAnsi="Lato;sans-serif"/>
          <w:b w:val="false"/>
          <w:color w:val="000000"/>
          <w:sz w:val="20"/>
        </w:rPr>
        <w:t>In accordance with the ZoomInfo Technologies Inc. Clawback Policy effective October 2, 2023, the Board will seek reimbursement from covered executive officers (which includes our NEOs) for the amount of erroneously awarded compensation (i.e., the amount of incentive-based compensation received that exceeds the amount of incentive-based compensation that otherwise would have been received had it been determined based on restated amounts) resulting from an accounting restatement due to the material noncompliance of the Company with any financial reporting requirement under the securities laws, including any required accounting restatement (i) to correct an error in previously issued financial statements that is material to the previously issued financial statements or (ii) that would result in a material misstatement if the error were corrected in the current period or left uncorrected in the current period.</w:t>
      </w:r>
    </w:p>
    <w:p>
      <w:pPr>
        <w:pStyle w:val="TextBody"/>
        <w:bidi w:val="0"/>
        <w:spacing w:lineRule="auto" w:line="288" w:before="180" w:after="180"/>
        <w:jc w:val="both"/>
        <w:rPr>
          <w:rFonts w:ascii="Lato;sans-serif" w:hAnsi="Lato;sans-serif"/>
          <w:b w:val="false"/>
          <w:color w:val="000000"/>
          <w:sz w:val="20"/>
        </w:rPr>
      </w:pPr>
      <w:r>
        <w:rPr>
          <w:rFonts w:ascii="Lato;sans-serif" w:hAnsi="Lato;sans-serif"/>
          <w:b w:val="false"/>
          <w:color w:val="000000"/>
          <w:sz w:val="20"/>
        </w:rPr>
        <w:t>In addition, under the terms of our 2020 Omnibus Incentive Plan, if an incentive award recipient, including any of our NEOs, engages in any Detrimental Activity (as defined under the Plan), our Compensation Committee has the authority and discretion to cancel all or part of the recipient’s outstanding awards, or require full or partial forfeiture and/or repayment of any gain that the recipient realized upon the vesting or exercise of awards. “Detrimental Activity” includes unauthorized disclosure of confidential or proprietary information, any activity that would be grounds to terminate the recipient for cause, a breach of any restrictive covenant such as a non-competition agreement, or fraud or conduct contributing to any financial restatements or irregularities.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6480175" cy="352425"/>
                <wp:effectExtent l="0" t="0" r="0" b="0"/>
                <wp:wrapNone/>
                <wp:docPr id="81" name="Frame65"/>
                <a:graphic xmlns:a="http://schemas.openxmlformats.org/drawingml/2006/main">
                  <a:graphicData uri="http://schemas.microsoft.com/office/word/2010/wordprocessingShape">
                    <wps:wsp>
                      <wps:cNvSpPr txBox="1"/>
                      <wps:spPr>
                        <a:xfrm>
                          <a:off x="0" y="0"/>
                          <a:ext cx="6480175" cy="352425"/>
                        </a:xfrm>
                        <a:prstGeom prst="rect"/>
                        <a:solidFill>
                          <a:srgbClr val="FFFFFF"/>
                        </a:solidFill>
                      </wps:spPr>
                      <wps:txbx>
                        <w:txbxContent>
                          <w:p>
                            <w:pPr>
                              <w:pStyle w:val="TextBody"/>
                              <w:bidi w:val="0"/>
                              <w:spacing w:lineRule="auto" w:line="288" w:before="0" w:after="0"/>
                              <w:jc w:val="center"/>
                              <w:rPr>
                                <w:rFonts w:ascii="Lato;sans-serif" w:hAnsi="Lato;sans-serif"/>
                                <w:b w:val="false"/>
                                <w:color w:val="000000"/>
                                <w:sz w:val="20"/>
                              </w:rPr>
                            </w:pPr>
                            <w:r>
                              <w:rPr>
                                <w:rFonts w:ascii="Lato;sans-serif" w:hAnsi="Lato;sans-serif"/>
                                <w:b w:val="false"/>
                                <w:color w:val="000000"/>
                                <w:sz w:val="20"/>
                              </w:rPr>
                              <w:t>59</w:t>
                            </w:r>
                          </w:p>
                          <w:p>
                            <w:pPr>
                              <w:pStyle w:val="TextBody"/>
                              <w:bidi w:val="0"/>
                              <w:spacing w:lineRule="auto" w:line="288" w:before="0" w:after="0"/>
                              <w:jc w:val="left"/>
                              <w:rPr>
                                <w:color w:val="000000"/>
                              </w:rPr>
                            </w:pPr>
                            <w:r>
                              <w:rPr>
                                <w:color w:val="000000"/>
                              </w:rPr>
                              <w:t>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Lato;sans-serif" w:hAnsi="Lato;sans-serif"/>
                          <w:b w:val="false"/>
                          <w:color w:val="000000"/>
                          <w:sz w:val="20"/>
                        </w:rPr>
                      </w:pPr>
                      <w:r>
                        <w:rPr>
                          <w:rFonts w:ascii="Lato;sans-serif" w:hAnsi="Lato;sans-serif"/>
                          <w:b w:val="false"/>
                          <w:color w:val="000000"/>
                          <w:sz w:val="20"/>
                        </w:rPr>
                        <w:t>59</w:t>
                      </w:r>
                    </w:p>
                    <w:p>
                      <w:pPr>
                        <w:pStyle w:val="TextBody"/>
                        <w:bidi w:val="0"/>
                        <w:spacing w:lineRule="auto" w:line="288" w:before="0" w:after="0"/>
                        <w:jc w:val="left"/>
                        <w:rPr>
                          <w:color w:val="000000"/>
                        </w:rPr>
                      </w:pPr>
                      <w:r>
                        <w:rPr>
                          <w:color w:val="000000"/>
                        </w:rPr>
                        <w:t>        </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300" w:after="180"/>
        <w:jc w:val="left"/>
        <w:rPr>
          <w:rFonts w:ascii="Lato;sans-serif" w:hAnsi="Lato;sans-serif"/>
          <w:b/>
          <w:i/>
          <w:color w:val="000000"/>
          <w:sz w:val="20"/>
        </w:rPr>
      </w:pPr>
      <w:r>
        <w:rPr>
          <w:rFonts w:ascii="Lato;sans-serif" w:hAnsi="Lato;sans-serif"/>
          <w:b/>
          <w:i/>
          <w:color w:val="000000"/>
          <w:sz w:val="20"/>
        </w:rPr>
        <w:t>Stock Ownership Guidelines for Non-Employee Directors and Executive Officers</w:t>
      </w:r>
    </w:p>
    <w:p>
      <w:pPr>
        <w:pStyle w:val="TextBody"/>
        <w:bidi w:val="0"/>
        <w:spacing w:lineRule="auto" w:line="288" w:before="180" w:after="180"/>
        <w:jc w:val="both"/>
        <w:rPr>
          <w:rFonts w:ascii="Lato;sans-serif" w:hAnsi="Lato;sans-serif"/>
          <w:b w:val="false"/>
          <w:color w:val="000000"/>
          <w:sz w:val="20"/>
        </w:rPr>
      </w:pPr>
      <w:r>
        <w:rPr>
          <w:rFonts w:ascii="Lato;sans-serif" w:hAnsi="Lato;sans-serif"/>
          <w:b w:val="false"/>
          <w:color w:val="000000"/>
          <w:sz w:val="20"/>
        </w:rPr>
        <w:t>In an effort to further align management and stockholder interests, in October 2023 our Board adopted stock ownership guidelines pursuant to which our non-employee directors and executive officers are required to own shares of the Company’s common stock that have a fair market value equal to the following multiple of the individual’s base salary (or, in the case of a non-employee director, a multiple of the cash annual retainer paid to the non-employee director by the Company):</w:t>
      </w:r>
    </w:p>
    <w:p>
      <w:pPr>
        <w:pStyle w:val="TextBody"/>
        <w:bidi w:val="0"/>
        <w:spacing w:lineRule="auto" w:line="288" w:before="0" w:after="0"/>
        <w:ind w:left="0" w:right="0" w:hanging="360"/>
        <w:jc w:val="both"/>
        <w:rPr/>
      </w:pPr>
      <w:r>
        <w:rPr>
          <w:color w:val="000000"/>
        </w:rPr>
        <w:t>•</w:t>
      </w:r>
      <w:r>
        <w:rPr>
          <w:rFonts w:ascii="Lato;sans-serif" w:hAnsi="Lato;sans-serif"/>
          <w:b w:val="false"/>
          <w:color w:val="000000"/>
          <w:sz w:val="20"/>
        </w:rPr>
        <w:t>Chief Executive Officer: Six times annual base salary;</w:t>
      </w:r>
    </w:p>
    <w:p>
      <w:pPr>
        <w:pStyle w:val="TextBody"/>
        <w:bidi w:val="0"/>
        <w:spacing w:lineRule="auto" w:line="288" w:before="0" w:after="0"/>
        <w:ind w:left="0" w:right="0" w:hanging="360"/>
        <w:jc w:val="both"/>
        <w:rPr/>
      </w:pPr>
      <w:r>
        <w:rPr>
          <w:color w:val="000000"/>
        </w:rPr>
        <w:t>•</w:t>
      </w:r>
      <w:r>
        <w:rPr>
          <w:rFonts w:ascii="Lato;sans-serif" w:hAnsi="Lato;sans-serif"/>
          <w:b w:val="false"/>
          <w:color w:val="000000"/>
          <w:sz w:val="20"/>
        </w:rPr>
        <w:t>Other Executive Officers: Three times annual base salary; and</w:t>
      </w:r>
    </w:p>
    <w:p>
      <w:pPr>
        <w:pStyle w:val="TextBody"/>
        <w:bidi w:val="0"/>
        <w:spacing w:lineRule="auto" w:line="288" w:before="0" w:after="0"/>
        <w:ind w:left="0" w:right="0" w:hanging="360"/>
        <w:jc w:val="both"/>
        <w:rPr/>
      </w:pPr>
      <w:r>
        <w:rPr>
          <w:color w:val="000000"/>
        </w:rPr>
        <w:t>•</w:t>
      </w:r>
      <w:r>
        <w:rPr>
          <w:rFonts w:ascii="Lato;sans-serif" w:hAnsi="Lato;sans-serif"/>
          <w:b w:val="false"/>
          <w:color w:val="000000"/>
          <w:sz w:val="20"/>
        </w:rPr>
        <w:t>Non-Employee Directors: Five times annual cash retainer.</w:t>
      </w:r>
    </w:p>
    <w:p>
      <w:pPr>
        <w:pStyle w:val="TextBody"/>
        <w:bidi w:val="0"/>
        <w:spacing w:lineRule="auto" w:line="288" w:before="180" w:after="180"/>
        <w:jc w:val="both"/>
        <w:rPr>
          <w:rFonts w:ascii="Lato;sans-serif" w:hAnsi="Lato;sans-serif"/>
          <w:b w:val="false"/>
          <w:color w:val="000000"/>
          <w:sz w:val="20"/>
        </w:rPr>
      </w:pPr>
      <w:r>
        <w:rPr>
          <w:rFonts w:ascii="Lato;sans-serif" w:hAnsi="Lato;sans-serif"/>
          <w:b w:val="false"/>
          <w:color w:val="000000"/>
          <w:sz w:val="20"/>
        </w:rPr>
        <w:t>Shares counted to determine ownership include shares:</w:t>
      </w:r>
    </w:p>
    <w:p>
      <w:pPr>
        <w:pStyle w:val="TextBody"/>
        <w:bidi w:val="0"/>
        <w:spacing w:lineRule="auto" w:line="288" w:before="0" w:after="0"/>
        <w:ind w:left="0" w:right="0" w:hanging="360"/>
        <w:jc w:val="both"/>
        <w:rPr/>
      </w:pPr>
      <w:r>
        <w:rPr>
          <w:color w:val="000000"/>
        </w:rPr>
        <w:t>•</w:t>
      </w:r>
      <w:r>
        <w:rPr>
          <w:rFonts w:ascii="Lato;sans-serif" w:hAnsi="Lato;sans-serif"/>
          <w:b w:val="false"/>
          <w:color w:val="000000"/>
          <w:sz w:val="20"/>
        </w:rPr>
        <w:t>Owned directly by the individual or their immediate family members residing in the same household, in each case, including through open market purchases, ESPP (as defined below), or acquired and held upon vesting of Company equity awards, as applicable;</w:t>
      </w:r>
    </w:p>
    <w:p>
      <w:pPr>
        <w:pStyle w:val="TextBody"/>
        <w:bidi w:val="0"/>
        <w:spacing w:lineRule="auto" w:line="288" w:before="0" w:after="0"/>
        <w:ind w:left="0" w:right="0" w:hanging="360"/>
        <w:jc w:val="both"/>
        <w:rPr/>
      </w:pPr>
      <w:r>
        <w:rPr>
          <w:color w:val="000000"/>
        </w:rPr>
        <w:t>•</w:t>
      </w:r>
      <w:r>
        <w:rPr>
          <w:rFonts w:ascii="Lato;sans-serif" w:hAnsi="Lato;sans-serif"/>
          <w:b w:val="false"/>
          <w:color w:val="000000"/>
          <w:sz w:val="20"/>
        </w:rPr>
        <w:t>Held in trust for the benefit of the individual or immediate family members residing in the same household; and</w:t>
      </w:r>
    </w:p>
    <w:p>
      <w:pPr>
        <w:pStyle w:val="TextBody"/>
        <w:bidi w:val="0"/>
        <w:spacing w:lineRule="auto" w:line="288" w:before="0" w:after="0"/>
        <w:ind w:left="0" w:right="0" w:hanging="360"/>
        <w:jc w:val="both"/>
        <w:rPr/>
      </w:pPr>
      <w:r>
        <w:rPr>
          <w:color w:val="000000"/>
        </w:rPr>
        <w:t>•</w:t>
      </w:r>
      <w:r>
        <w:rPr>
          <w:rFonts w:ascii="Lato;sans-serif" w:hAnsi="Lato;sans-serif"/>
          <w:b w:val="false"/>
          <w:color w:val="000000"/>
          <w:sz w:val="20"/>
        </w:rPr>
        <w:t>Shares owned by a partnership, limited liability company or other entity to the extent of the individual’s interest therein (or the interest therein of their immediate family members residing in the same household), provided the individual has or shares power to vote or dispose of the shares.</w:t>
      </w:r>
    </w:p>
    <w:p>
      <w:pPr>
        <w:pStyle w:val="TextBody"/>
        <w:bidi w:val="0"/>
        <w:spacing w:lineRule="auto" w:line="288" w:before="180" w:after="180"/>
        <w:jc w:val="both"/>
        <w:rPr>
          <w:rFonts w:ascii="Lato;sans-serif" w:hAnsi="Lato;sans-serif"/>
          <w:b w:val="false"/>
          <w:color w:val="000000"/>
          <w:sz w:val="20"/>
        </w:rPr>
      </w:pPr>
      <w:r>
        <w:rPr>
          <w:rFonts w:ascii="Lato;sans-serif" w:hAnsi="Lato;sans-serif"/>
          <w:b w:val="false"/>
          <w:color w:val="000000"/>
          <w:sz w:val="20"/>
        </w:rPr>
        <w:t>Vested but unexercised options and unearned RSUs and PSUs are not to be used in determining share ownership for purposes of these stock ownership guidelines.</w:t>
      </w:r>
    </w:p>
    <w:p>
      <w:pPr>
        <w:pStyle w:val="TextBody"/>
        <w:bidi w:val="0"/>
        <w:spacing w:lineRule="auto" w:line="288" w:before="180" w:after="180"/>
        <w:jc w:val="both"/>
        <w:rPr/>
      </w:pPr>
      <w:r>
        <w:rPr>
          <w:rFonts w:ascii="Lato;sans-serif" w:hAnsi="Lato;sans-serif"/>
          <w:b w:val="false"/>
          <w:color w:val="000000"/>
          <w:sz w:val="20"/>
        </w:rPr>
        <w:t>Compliance with the stock ownership guidelines is measured as of April 1 of each year. The applicable share ownership threshold for each covered individual is determined by multiplying the then-current base salary or annual cash retainer by the applicable multiple as of April 1 (the “</w:t>
      </w:r>
      <w:r>
        <w:rPr>
          <w:rFonts w:ascii="Lato;sans-serif" w:hAnsi="Lato;sans-serif"/>
          <w:b/>
          <w:i/>
          <w:color w:val="000000"/>
          <w:sz w:val="20"/>
        </w:rPr>
        <w:t>Calculation Date</w:t>
      </w:r>
      <w:r>
        <w:rPr>
          <w:color w:val="000000"/>
        </w:rPr>
        <w:t>”</w:t>
      </w:r>
      <w:r>
        <w:rPr>
          <w:rFonts w:ascii="Lato;sans-serif" w:hAnsi="Lato;sans-serif"/>
          <w:b w:val="false"/>
          <w:color w:val="000000"/>
          <w:sz w:val="20"/>
        </w:rPr>
        <w:t>) and dividing by the 90-day trailing average of the Company’s common stock, resulting in a fixed number of shares for each individual’s target ownership. This fixed number is then compared to the actual number of shares beneficially owned. The applicable guideline level of Company stock ownership is expected to be satisfied within five years after an individual first becomes subject to the stock ownership guidelines and maintained thereafter for as long as the individual remains an executive officer subject to the guidelines or a non-employee director of the Company. For so long as any individual remains subject to the stock ownership guidelines and until their applicable threshold set forth above is satisfied, such individual will be required to retain at least 50% of the net shares delivered pursuant to awards under the Plan and/or other applicable plan until the guidelines are satisfied.</w:t>
      </w:r>
    </w:p>
    <w:p>
      <w:pPr>
        <w:pStyle w:val="TextBody"/>
        <w:bidi w:val="0"/>
        <w:spacing w:lineRule="auto" w:line="333" w:before="300" w:after="180"/>
        <w:jc w:val="both"/>
        <w:rPr>
          <w:rFonts w:ascii="Lato;sans-serif" w:hAnsi="Lato;sans-serif"/>
          <w:b/>
          <w:i/>
          <w:color w:val="000000"/>
          <w:sz w:val="20"/>
        </w:rPr>
      </w:pPr>
      <w:r>
        <w:rPr>
          <w:rFonts w:ascii="Lato;sans-serif" w:hAnsi="Lato;sans-serif"/>
          <w:b/>
          <w:i/>
          <w:color w:val="000000"/>
          <w:sz w:val="20"/>
        </w:rPr>
        <w:t>Policy Prohibiting Hedging and Pledging of Our Equity Securities</w:t>
      </w:r>
    </w:p>
    <w:p>
      <w:pPr>
        <w:pStyle w:val="TextBody"/>
        <w:bidi w:val="0"/>
        <w:spacing w:lineRule="auto" w:line="288" w:before="120" w:after="120"/>
        <w:jc w:val="both"/>
        <w:rPr/>
      </w:pPr>
      <w:r>
        <w:rPr>
          <w:rFonts w:ascii="Lato;sans-serif" w:hAnsi="Lato;sans-serif"/>
          <w:b w:val="false"/>
          <w:color w:val="000000"/>
          <w:sz w:val="20"/>
        </w:rPr>
        <w:t xml:space="preserve">Our Securities Trading Policy prohibits our employees, including our executive officers and directors, from engaging in short sales, hedging of stock ownership positions, and transactions involving derivative securities relating to our common stock; pledging Company securities as collateral for loans; and holding Company securities in margin accounts. </w:t>
      </w:r>
      <w:r>
        <w:rPr>
          <w:rFonts w:ascii="Lato;sans-serif" w:hAnsi="Lato;sans-serif"/>
          <w:b w:val="false"/>
          <w:color w:val="000000"/>
          <w:sz w:val="20"/>
          <w:shd w:fill="FFFFFF" w:val="clear"/>
        </w:rPr>
        <w:t>No shares of the Company beneficially owned by any director or NEO are pledged or held in a margin account.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6480175" cy="352425"/>
                <wp:effectExtent l="0" t="0" r="0" b="0"/>
                <wp:wrapNone/>
                <wp:docPr id="82" name="Frame66"/>
                <a:graphic xmlns:a="http://schemas.openxmlformats.org/drawingml/2006/main">
                  <a:graphicData uri="http://schemas.microsoft.com/office/word/2010/wordprocessingShape">
                    <wps:wsp>
                      <wps:cNvSpPr txBox="1"/>
                      <wps:spPr>
                        <a:xfrm>
                          <a:off x="0" y="0"/>
                          <a:ext cx="6480175" cy="352425"/>
                        </a:xfrm>
                        <a:prstGeom prst="rect"/>
                        <a:solidFill>
                          <a:srgbClr val="FFFFFF"/>
                        </a:solidFill>
                      </wps:spPr>
                      <wps:txbx>
                        <w:txbxContent>
                          <w:p>
                            <w:pPr>
                              <w:pStyle w:val="TextBody"/>
                              <w:bidi w:val="0"/>
                              <w:spacing w:lineRule="auto" w:line="288" w:before="0" w:after="0"/>
                              <w:jc w:val="center"/>
                              <w:rPr>
                                <w:rFonts w:ascii="Lato;sans-serif" w:hAnsi="Lato;sans-serif"/>
                                <w:b w:val="false"/>
                                <w:color w:val="000000"/>
                                <w:sz w:val="20"/>
                              </w:rPr>
                            </w:pPr>
                            <w:r>
                              <w:rPr>
                                <w:rFonts w:ascii="Lato;sans-serif" w:hAnsi="Lato;sans-serif"/>
                                <w:b w:val="false"/>
                                <w:color w:val="000000"/>
                                <w:sz w:val="20"/>
                              </w:rPr>
                              <w:t>60</w:t>
                            </w:r>
                          </w:p>
                          <w:p>
                            <w:pPr>
                              <w:pStyle w:val="TextBody"/>
                              <w:bidi w:val="0"/>
                              <w:spacing w:lineRule="auto" w:line="288" w:before="0" w:after="0"/>
                              <w:jc w:val="left"/>
                              <w:rPr>
                                <w:color w:val="000000"/>
                              </w:rPr>
                            </w:pPr>
                            <w:r>
                              <w:rPr>
                                <w:color w:val="000000"/>
                              </w:rPr>
                              <w:t>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Lato;sans-serif" w:hAnsi="Lato;sans-serif"/>
                          <w:b w:val="false"/>
                          <w:color w:val="000000"/>
                          <w:sz w:val="20"/>
                        </w:rPr>
                      </w:pPr>
                      <w:r>
                        <w:rPr>
                          <w:rFonts w:ascii="Lato;sans-serif" w:hAnsi="Lato;sans-serif"/>
                          <w:b w:val="false"/>
                          <w:color w:val="000000"/>
                          <w:sz w:val="20"/>
                        </w:rPr>
                        <w:t>60</w:t>
                      </w:r>
                    </w:p>
                    <w:p>
                      <w:pPr>
                        <w:pStyle w:val="TextBody"/>
                        <w:bidi w:val="0"/>
                        <w:spacing w:lineRule="auto" w:line="288" w:before="0" w:after="0"/>
                        <w:jc w:val="left"/>
                        <w:rPr>
                          <w:color w:val="000000"/>
                        </w:rPr>
                      </w:pPr>
                      <w:r>
                        <w:rPr>
                          <w:color w:val="000000"/>
                        </w:rPr>
                        <w:t>        </w:t>
                      </w:r>
                    </w:p>
                  </w:txbxContent>
                </v:textbox>
                <w10:wrap type="none"/>
              </v:rect>
            </w:pict>
          </mc:Fallback>
        </mc:AlternateContent>
      </w:r>
    </w:p>
    <w:p>
      <w:pPr>
        <w:pStyle w:val="TextBody"/>
        <w:bidi w:val="0"/>
        <w:spacing w:before="0" w:after="0"/>
        <w:jc w:val="left"/>
        <w:rPr/>
      </w:pPr>
      <w:r>
        <w:rPr/>
      </w:r>
    </w:p>
    <w:p>
      <w:pPr>
        <w:pStyle w:val="TextBody"/>
        <w:bidi w:val="0"/>
        <w:spacing w:lineRule="auto" w:line="333" w:before="300" w:after="180"/>
        <w:jc w:val="left"/>
        <w:rPr>
          <w:rFonts w:ascii="Lato;sans-serif" w:hAnsi="Lato;sans-serif"/>
          <w:b/>
          <w:color w:val="000000"/>
          <w:sz w:val="20"/>
        </w:rPr>
      </w:pPr>
      <w:r>
        <w:rPr>
          <w:rFonts w:ascii="Lato;sans-serif" w:hAnsi="Lato;sans-serif"/>
          <w:b/>
          <w:color w:val="000000"/>
          <w:sz w:val="20"/>
        </w:rPr>
        <w:t>Tax and Accounting Considerations</w:t>
      </w:r>
    </w:p>
    <w:p>
      <w:pPr>
        <w:pStyle w:val="TextBody"/>
        <w:bidi w:val="0"/>
        <w:spacing w:lineRule="auto" w:line="333" w:before="300" w:after="180"/>
        <w:jc w:val="left"/>
        <w:rPr>
          <w:rFonts w:ascii="Lato;sans-serif" w:hAnsi="Lato;sans-serif"/>
          <w:b/>
          <w:i/>
          <w:color w:val="000000"/>
          <w:sz w:val="20"/>
        </w:rPr>
      </w:pPr>
      <w:r>
        <w:rPr>
          <w:rFonts w:ascii="Lato;sans-serif" w:hAnsi="Lato;sans-serif"/>
          <w:b/>
          <w:i/>
          <w:color w:val="000000"/>
          <w:sz w:val="20"/>
        </w:rPr>
        <w:t>Taxation of “Parachute” Payments and Deferred Compensation</w:t>
      </w:r>
    </w:p>
    <w:p>
      <w:pPr>
        <w:pStyle w:val="TextBody"/>
        <w:bidi w:val="0"/>
        <w:spacing w:lineRule="auto" w:line="288" w:before="180" w:after="180"/>
        <w:jc w:val="both"/>
        <w:rPr/>
      </w:pPr>
      <w:r>
        <w:rPr>
          <w:rFonts w:ascii="Lato;sans-serif" w:hAnsi="Lato;sans-serif"/>
          <w:b w:val="false"/>
          <w:color w:val="000000"/>
          <w:sz w:val="20"/>
        </w:rPr>
        <w:t>We do not provide, and have no obligation to provide, any of our NEOs with a “gross-up” or other reimbursement payment for any tax liability the NEO might owe because of the application of Sections 280G, 4999 or 409A of the Internal Revenue Code of 1986, as amended (the “</w:t>
      </w:r>
      <w:r>
        <w:rPr>
          <w:rFonts w:ascii="Lato;sans-serif" w:hAnsi="Lato;sans-serif"/>
          <w:b/>
          <w:i/>
          <w:color w:val="000000"/>
          <w:sz w:val="20"/>
        </w:rPr>
        <w:t>Code</w:t>
      </w:r>
      <w:r>
        <w:rPr>
          <w:color w:val="000000"/>
        </w:rPr>
        <w:t>”</w:t>
      </w:r>
      <w:r>
        <w:rPr>
          <w:rFonts w:ascii="Lato;sans-serif" w:hAnsi="Lato;sans-serif"/>
          <w:b w:val="false"/>
          <w:color w:val="000000"/>
          <w:sz w:val="20"/>
        </w:rPr>
        <w:t>). If any of the payments or benefits provided for under the change of control and severance agreements or otherwise payable to an NEO would constitute “parachute payments” within the meaning of Section 280G of the Code and could be subject to the related excise tax, the NEO would receive either full payment of such payments and benefits or such lesser amount that would cause no portion of the payments and benefits being subject to the excise tax, whichever results in the greater after-tax benefits to the NEO.</w:t>
      </w:r>
    </w:p>
    <w:p>
      <w:pPr>
        <w:pStyle w:val="TextBody"/>
        <w:bidi w:val="0"/>
        <w:spacing w:lineRule="auto" w:line="333" w:before="300" w:after="180"/>
        <w:jc w:val="both"/>
        <w:rPr>
          <w:rFonts w:ascii="Lato;sans-serif" w:hAnsi="Lato;sans-serif"/>
          <w:b/>
          <w:i/>
          <w:color w:val="000000"/>
          <w:sz w:val="20"/>
        </w:rPr>
      </w:pPr>
      <w:r>
        <w:rPr>
          <w:rFonts w:ascii="Lato;sans-serif" w:hAnsi="Lato;sans-serif"/>
          <w:b/>
          <w:i/>
          <w:color w:val="000000"/>
          <w:sz w:val="20"/>
        </w:rPr>
        <w:t>Deductibility of Executive Compensation</w:t>
      </w:r>
    </w:p>
    <w:p>
      <w:pPr>
        <w:pStyle w:val="TextBody"/>
        <w:bidi w:val="0"/>
        <w:spacing w:lineRule="auto" w:line="288" w:before="180" w:after="180"/>
        <w:jc w:val="both"/>
        <w:rPr>
          <w:rFonts w:ascii="Lato;sans-serif" w:hAnsi="Lato;sans-serif"/>
          <w:b w:val="false"/>
          <w:color w:val="000000"/>
          <w:sz w:val="20"/>
        </w:rPr>
      </w:pPr>
      <w:r>
        <w:rPr>
          <w:rFonts w:ascii="Lato;sans-serif" w:hAnsi="Lato;sans-serif"/>
          <w:b w:val="false"/>
          <w:color w:val="000000"/>
          <w:sz w:val="20"/>
        </w:rPr>
        <w:t>Section 162(m) of the Code generally limits the amount we may deduct from our federal income taxes for compensation paid to our Chief Executive Officer and other U.S.-based executive officers to $1 million per executive officer per year, subject to certain exceptions. We have not previously taken the deductibility limit imposed by Section 162(m) into consideration in setting compensation for our executive officers and do not currently have any immediate plans to do so. The Compensation Committee has authorized, and may in the future, in its judgment, authorize, compensation payments that are not fully tax deductible when it believes that such payments are appropriate to attract and retain executive talent or meet other business objectives. The Compensation Committee intends to continue to compensate our current and former executive officers in a manner consistent with our best interests and the best interests of our stockholders.</w:t>
      </w:r>
    </w:p>
    <w:p>
      <w:pPr>
        <w:pStyle w:val="TextBody"/>
        <w:bidi w:val="0"/>
        <w:spacing w:lineRule="auto" w:line="333" w:before="300" w:after="180"/>
        <w:jc w:val="left"/>
        <w:rPr>
          <w:rFonts w:ascii="Lato;sans-serif" w:hAnsi="Lato;sans-serif"/>
          <w:b/>
          <w:i/>
          <w:color w:val="000000"/>
          <w:sz w:val="20"/>
        </w:rPr>
      </w:pPr>
      <w:r>
        <w:rPr>
          <w:rFonts w:ascii="Lato;sans-serif" w:hAnsi="Lato;sans-serif"/>
          <w:b/>
          <w:i/>
          <w:color w:val="000000"/>
          <w:sz w:val="20"/>
        </w:rPr>
        <w:t>Accounting for Stock-Based Compensation</w:t>
      </w:r>
    </w:p>
    <w:p>
      <w:pPr>
        <w:pStyle w:val="TextBody"/>
        <w:bidi w:val="0"/>
        <w:spacing w:lineRule="auto" w:line="288" w:before="180" w:after="180"/>
        <w:jc w:val="both"/>
        <w:rPr/>
      </w:pPr>
      <w:r>
        <w:rPr>
          <w:rFonts w:ascii="Lato;sans-serif" w:hAnsi="Lato;sans-serif"/>
          <w:b w:val="false"/>
          <w:color w:val="000000"/>
          <w:sz w:val="20"/>
        </w:rPr>
        <w:t>Under Financial Accounting Standard Board ASC Topic 718 (“</w:t>
      </w:r>
      <w:r>
        <w:rPr>
          <w:rFonts w:ascii="Lato;sans-serif" w:hAnsi="Lato;sans-serif"/>
          <w:b/>
          <w:i/>
          <w:color w:val="000000"/>
          <w:sz w:val="20"/>
        </w:rPr>
        <w:t>ASC 718</w:t>
      </w:r>
      <w:r>
        <w:rPr>
          <w:color w:val="000000"/>
        </w:rPr>
        <w:t>”</w:t>
      </w:r>
      <w:r>
        <w:rPr>
          <w:rFonts w:ascii="Lato;sans-serif" w:hAnsi="Lato;sans-serif"/>
          <w:b w:val="false"/>
          <w:color w:val="000000"/>
          <w:sz w:val="20"/>
        </w:rPr>
        <w:t>), we are required to estimate and record an expense for each award of equity compensation over the vesting period of the award. We record share-based compensation expense on an ongoing basis according to ASC 718. The accounting impact of our compensation programs is one of many factors that the Compensation Committee considers in determining the structure and size of our executive compensation programs.</w:t>
      </w:r>
    </w:p>
    <w:p>
      <w:pPr>
        <w:pStyle w:val="TextBody"/>
        <w:bidi w:val="0"/>
        <w:spacing w:lineRule="auto" w:line="288" w:before="180" w:after="180"/>
        <w:jc w:val="both"/>
        <w:rPr>
          <w:rFonts w:ascii="Lato;sans-serif" w:hAnsi="Lato;sans-serif"/>
          <w:b w:val="false"/>
          <w:color w:val="000000"/>
          <w:sz w:val="20"/>
        </w:rPr>
      </w:pPr>
      <w:r>
        <w:rPr>
          <w:rFonts w:ascii="Lato;sans-serif" w:hAnsi="Lato;sans-serif"/>
          <w:b w:val="false"/>
          <w:color w:val="000000"/>
          <w:sz w:val="20"/>
        </w:rPr>
        <w:t>ASC 718 requires us to measure the compensation expense for all share-based payment awards made to our employees and non-employee members of our Board, based on the grant date “fair value” of these awards. This calculation is performed for accounting purposes and reported in the executive compensation tables below, even though the recipient may never realize any value from such awards.</w:t>
      </w:r>
    </w:p>
    <w:p>
      <w:pPr>
        <w:pStyle w:val="TextBody"/>
        <w:bidi w:val="0"/>
        <w:spacing w:lineRule="auto" w:line="333" w:before="300" w:after="180"/>
        <w:jc w:val="both"/>
        <w:rPr>
          <w:rFonts w:ascii="Lato;sans-serif" w:hAnsi="Lato;sans-serif"/>
          <w:b/>
          <w:i/>
          <w:color w:val="000000"/>
          <w:sz w:val="20"/>
        </w:rPr>
      </w:pPr>
      <w:r>
        <w:rPr>
          <w:rFonts w:ascii="Lato;sans-serif" w:hAnsi="Lato;sans-serif"/>
          <w:b/>
          <w:i/>
          <w:color w:val="000000"/>
          <w:sz w:val="20"/>
        </w:rPr>
        <w:t>Performance-Based Awards under our 2020 Omnibus Incentive Plan</w:t>
      </w:r>
    </w:p>
    <w:p>
      <w:pPr>
        <w:pStyle w:val="TextBody"/>
        <w:bidi w:val="0"/>
        <w:spacing w:lineRule="auto" w:line="288" w:before="0" w:after="0"/>
        <w:jc w:val="both"/>
        <w:rPr>
          <w:rFonts w:ascii="Lato;sans-serif" w:hAnsi="Lato;sans-serif"/>
          <w:b w:val="false"/>
          <w:color w:val="000000"/>
          <w:sz w:val="20"/>
        </w:rPr>
      </w:pPr>
      <w:r>
        <w:rPr>
          <w:rFonts w:ascii="Lato;sans-serif" w:hAnsi="Lato;sans-serif"/>
          <w:b w:val="false"/>
          <w:color w:val="000000"/>
          <w:sz w:val="20"/>
        </w:rPr>
        <w:t xml:space="preserve">From time to time, we may grant equity-based or cash-based awards under the 2020 Omnibus Incentive Plan that will become earned or will vest and become exercisable upon the attainment of Performance Conditions. For purposes of this Proxy Statement, “Performance Conditions” means specific levels of performance of the Company (and/or one or more of its subsidiaries, divisions or operational and/or business units, product lines, brands, business segments, administrative departments, or any combination of the foregoing), which may be determined in accordance with GAAP or on a non-GAAP basis on, without limitation, the following measures: (i) net earnings, net income (before or after taxes), or consolidated net income; (ii) basic or diluted earnings per share (before or after taxes); (iii) revenue, net revenue, net revenue growth, annual recurring revenue, or net new annual recurring revenue; (iv) gross revenue or gross revenue growth, gross profit or gross profit growth; (v) operating income or net operating profit (before or after taxes); (vi) return measures (including, but not limited to, return on investment, assets, capital, employed capital, invested capital, equity, or sales); (vii) cash flow measures (including, but not limited to, operating cash flow, free cash flow, or cash flow return on capital), which may be but are not required to be measured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6480175" cy="352425"/>
                <wp:effectExtent l="0" t="0" r="0" b="0"/>
                <wp:wrapNone/>
                <wp:docPr id="83" name="Frame67"/>
                <a:graphic xmlns:a="http://schemas.openxmlformats.org/drawingml/2006/main">
                  <a:graphicData uri="http://schemas.microsoft.com/office/word/2010/wordprocessingShape">
                    <wps:wsp>
                      <wps:cNvSpPr txBox="1"/>
                      <wps:spPr>
                        <a:xfrm>
                          <a:off x="0" y="0"/>
                          <a:ext cx="6480175" cy="352425"/>
                        </a:xfrm>
                        <a:prstGeom prst="rect"/>
                        <a:solidFill>
                          <a:srgbClr val="FFFFFF"/>
                        </a:solidFill>
                      </wps:spPr>
                      <wps:txbx>
                        <w:txbxContent>
                          <w:p>
                            <w:pPr>
                              <w:pStyle w:val="TextBody"/>
                              <w:bidi w:val="0"/>
                              <w:spacing w:lineRule="auto" w:line="288" w:before="0" w:after="0"/>
                              <w:jc w:val="center"/>
                              <w:rPr>
                                <w:rFonts w:ascii="Lato;sans-serif" w:hAnsi="Lato;sans-serif"/>
                                <w:b w:val="false"/>
                                <w:color w:val="000000"/>
                                <w:sz w:val="20"/>
                              </w:rPr>
                            </w:pPr>
                            <w:r>
                              <w:rPr>
                                <w:rFonts w:ascii="Lato;sans-serif" w:hAnsi="Lato;sans-serif"/>
                                <w:b w:val="false"/>
                                <w:color w:val="000000"/>
                                <w:sz w:val="20"/>
                              </w:rPr>
                              <w:t>61</w:t>
                            </w:r>
                          </w:p>
                          <w:p>
                            <w:pPr>
                              <w:pStyle w:val="TextBody"/>
                              <w:bidi w:val="0"/>
                              <w:spacing w:lineRule="auto" w:line="288" w:before="0" w:after="0"/>
                              <w:jc w:val="left"/>
                              <w:rPr>
                                <w:color w:val="000000"/>
                              </w:rPr>
                            </w:pPr>
                            <w:r>
                              <w:rPr>
                                <w:color w:val="000000"/>
                              </w:rPr>
                              <w:t>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Lato;sans-serif" w:hAnsi="Lato;sans-serif"/>
                          <w:b w:val="false"/>
                          <w:color w:val="000000"/>
                          <w:sz w:val="20"/>
                        </w:rPr>
                      </w:pPr>
                      <w:r>
                        <w:rPr>
                          <w:rFonts w:ascii="Lato;sans-serif" w:hAnsi="Lato;sans-serif"/>
                          <w:b w:val="false"/>
                          <w:color w:val="000000"/>
                          <w:sz w:val="20"/>
                        </w:rPr>
                        <w:t>61</w:t>
                      </w:r>
                    </w:p>
                    <w:p>
                      <w:pPr>
                        <w:pStyle w:val="TextBody"/>
                        <w:bidi w:val="0"/>
                        <w:spacing w:lineRule="auto" w:line="288" w:before="0" w:after="0"/>
                        <w:jc w:val="left"/>
                        <w:rPr>
                          <w:color w:val="000000"/>
                        </w:rPr>
                      </w:pPr>
                      <w:r>
                        <w:rPr>
                          <w:color w:val="000000"/>
                        </w:rPr>
                        <w:t>        </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rFonts w:ascii="Lato;sans-serif" w:hAnsi="Lato;sans-serif"/>
          <w:b w:val="false"/>
          <w:color w:val="000000"/>
          <w:sz w:val="20"/>
        </w:rPr>
      </w:pPr>
      <w:r>
        <w:rPr>
          <w:rFonts w:ascii="Lato;sans-serif" w:hAnsi="Lato;sans-serif"/>
          <w:b w:val="false"/>
          <w:color w:val="000000"/>
          <w:sz w:val="20"/>
        </w:rPr>
        <w:t>on a per share basis; (viii) actual or adjusted earnings before or after interest, taxes, depreciation, and/or amortization (including EBIT and EBITDA); (ix) gross or net operating margins; (x) productivity ratios; (xi) share price (including, but not limited to, growth measures and total stockholder return); (xii) expense targets or cost reduction goals, general and administrative expense savings; (xiii) operating efficiency; (xiv) objective measures of customer/client satisfaction; (xv) working capital targets; (xvi) measures of economic value added or other ‘value creation’ metrics; (xvii) enterprise value; (xviii) sales; (xix) stockholder return; (xx) customer/client retention; (xxi) competitive market metrics; (xxii) employee retention; (xxiii) objective measures of personal targets, goals, or completion of projects (including, but not limited to, succession and hiring projects, completion of specific acquisitions, dispositions, reorganizations, or other corporate transactions or capital-raising transactions, expansions of specific business operations, and meeting divisional or project budgets); (xxiv) comparisons of continuing operations to other operations; (xxv) market share; (xxvi) customer growth, including growth by customer category or annual contract value; (xxvii) cost of capital, debt leverage, year-end cash position or book value; (xxviii) strategic objectives; or (xxix) any combination of the foregoing. Any one or more of the aforementioned performance criteria may be stated as a percentage of another performance criteria, or used on an absolute or relative basis to measure the performance of one or more of the Company or its subsidiaries as a whole or any divisions or operational and/or business units, product lines, brands, business segments, or administrative departments of the Company and/or one or more of its subsidiaries or any combination thereof, as the Compensation Committee of our Board of Directors or such other committee of our Board of Directors to which it has properly delegated power, or if no such committee or subcommittee exists, our Board of Directors may deem appropriate, or any of the above performance criteria may be compared to the performance of a selected group of comparison companies, or a published or special index that such committee, in its sole discretion, deems appropriate, or as compared to various stock market indices.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333" w:before="300" w:after="180"/>
        <w:jc w:val="left"/>
        <w:rPr>
          <w:rFonts w:ascii="Lato;sans-serif" w:hAnsi="Lato;sans-serif"/>
          <w:b/>
          <w:color w:val="000000"/>
          <w:sz w:val="20"/>
        </w:rPr>
      </w:pPr>
      <w:r>
        <w:rPr>
          <w:rFonts w:ascii="Lato;sans-serif" w:hAnsi="Lato;sans-serif"/>
          <w:b/>
          <w:color w:val="000000"/>
          <w:sz w:val="20"/>
        </w:rPr>
        <w:t>Compensation Risk Assessment</w:t>
      </w:r>
    </w:p>
    <w:p>
      <w:pPr>
        <w:pStyle w:val="TextBody"/>
        <w:bidi w:val="0"/>
        <w:spacing w:lineRule="auto" w:line="288" w:before="180" w:after="180"/>
        <w:jc w:val="both"/>
        <w:rPr>
          <w:rFonts w:ascii="Lato;sans-serif" w:hAnsi="Lato;sans-serif"/>
          <w:b w:val="false"/>
          <w:color w:val="000000"/>
          <w:sz w:val="20"/>
        </w:rPr>
      </w:pPr>
      <w:r>
        <w:rPr>
          <w:rFonts w:ascii="Lato;sans-serif" w:hAnsi="Lato;sans-serif"/>
          <w:b w:val="false"/>
          <w:color w:val="000000"/>
          <w:sz w:val="20"/>
        </w:rPr>
        <w:t>In consultation with management, our Compensation Committee has assessed our compensation plans, policies and practices for all employees, including our NEOs, and concluded that they do not create risks that are reasonably likely to have a material adverse effect on our Company. This risk assessment included, among other things, a review of our cash and equity incentive-based compensation plans to ensure that they are aligned with our company performance goals and do not encourage our employees to take inappropriate risks and overall target total direct compensation to ensure an appropriate balance between fixed and variable pay components. Our Compensation Committee conducts this assessment annually.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333" w:before="300" w:after="180"/>
        <w:jc w:val="left"/>
        <w:rPr>
          <w:rFonts w:ascii="Lato;sans-serif" w:hAnsi="Lato;sans-serif"/>
          <w:b/>
          <w:color w:val="000000"/>
          <w:sz w:val="20"/>
        </w:rPr>
      </w:pPr>
      <w:r>
        <w:rPr>
          <w:rFonts w:ascii="Lato;sans-serif" w:hAnsi="Lato;sans-serif"/>
          <w:b/>
          <w:color w:val="000000"/>
          <w:sz w:val="20"/>
        </w:rPr>
        <w:t>Compensation Committee Report</w:t>
      </w:r>
    </w:p>
    <w:p>
      <w:pPr>
        <w:pStyle w:val="TextBody"/>
        <w:bidi w:val="0"/>
        <w:spacing w:lineRule="auto" w:line="288" w:before="180" w:after="180"/>
        <w:jc w:val="both"/>
        <w:rPr/>
      </w:pPr>
      <w:r>
        <w:rPr>
          <w:rFonts w:ascii="Lato;sans-serif" w:hAnsi="Lato;sans-serif"/>
          <w:b w:val="false"/>
          <w:color w:val="000000"/>
          <w:sz w:val="20"/>
        </w:rPr>
        <w:t>The Compensation Committee has reviewed and discussed with the Company’s management the executive compensation discussion and analysis (the “</w:t>
      </w:r>
      <w:r>
        <w:rPr>
          <w:rFonts w:ascii="Lato;sans-serif" w:hAnsi="Lato;sans-serif"/>
          <w:b/>
          <w:i/>
          <w:color w:val="000000"/>
          <w:sz w:val="20"/>
        </w:rPr>
        <w:t>CD&amp;A</w:t>
      </w:r>
      <w:r>
        <w:rPr>
          <w:color w:val="000000"/>
        </w:rPr>
        <w:t>”</w:t>
      </w:r>
      <w:r>
        <w:rPr>
          <w:rFonts w:ascii="Lato;sans-serif" w:hAnsi="Lato;sans-serif"/>
          <w:b w:val="false"/>
          <w:color w:val="000000"/>
          <w:sz w:val="20"/>
        </w:rPr>
        <w:t>) contained in this Proxy Statement. Based on this review and discussion, the Compensation Committee has recommended to our Board of Directors that the CD&amp;A be included in this Proxy Statement and incorporated into our Annual Report on Form 10-K for the fiscal year ended December 31, 2025.</w:t>
      </w:r>
    </w:p>
    <w:p>
      <w:pPr>
        <w:pStyle w:val="TextBody"/>
        <w:bidi w:val="0"/>
        <w:spacing w:lineRule="auto" w:line="288" w:before="180" w:after="180"/>
        <w:jc w:val="both"/>
        <w:rPr>
          <w:rFonts w:ascii="Lato;sans-serif" w:hAnsi="Lato;sans-serif"/>
          <w:b w:val="false"/>
          <w:color w:val="000000"/>
          <w:sz w:val="20"/>
        </w:rPr>
      </w:pPr>
      <w:r>
        <w:rPr>
          <w:rFonts w:ascii="Lato;sans-serif" w:hAnsi="Lato;sans-serif"/>
          <w:b w:val="false"/>
          <w:color w:val="000000"/>
          <w:sz w:val="20"/>
        </w:rPr>
        <w:t>Respectfully submitted by the members of the Compensation Committee of the Board.</w:t>
      </w:r>
    </w:p>
    <w:p>
      <w:pPr>
        <w:pStyle w:val="TextBody"/>
        <w:bidi w:val="0"/>
        <w:spacing w:lineRule="auto" w:line="288" w:before="180" w:after="180"/>
        <w:jc w:val="both"/>
        <w:rPr>
          <w:rFonts w:ascii="Lato;sans-serif" w:hAnsi="Lato;sans-serif"/>
          <w:b w:val="false"/>
          <w:color w:val="000000"/>
          <w:sz w:val="20"/>
        </w:rPr>
      </w:pPr>
      <w:r>
        <w:rPr>
          <w:rFonts w:ascii="Lato;sans-serif" w:hAnsi="Lato;sans-serif"/>
          <w:b w:val="false"/>
          <w:color w:val="000000"/>
          <w:sz w:val="20"/>
        </w:rPr>
        <w:t>Owen Wurzbacher, Chair</w:t>
      </w:r>
    </w:p>
    <w:p>
      <w:pPr>
        <w:pStyle w:val="TextBody"/>
        <w:bidi w:val="0"/>
        <w:spacing w:lineRule="auto" w:line="288" w:before="0" w:after="0"/>
        <w:jc w:val="both"/>
        <w:rPr>
          <w:rFonts w:ascii="Lato;sans-serif" w:hAnsi="Lato;sans-serif"/>
          <w:b w:val="false"/>
          <w:color w:val="000000"/>
          <w:sz w:val="20"/>
        </w:rPr>
      </w:pPr>
      <w:r>
        <w:rPr>
          <w:rFonts w:ascii="Lato;sans-serif" w:hAnsi="Lato;sans-serif"/>
          <w:b w:val="false"/>
          <w:color w:val="000000"/>
          <w:sz w:val="20"/>
        </w:rPr>
        <w:t>Ashley S. Evans</w:t>
      </w:r>
    </w:p>
    <w:p>
      <w:pPr>
        <w:pStyle w:val="TextBody"/>
        <w:bidi w:val="0"/>
        <w:spacing w:lineRule="auto" w:line="288" w:before="0" w:after="0"/>
        <w:jc w:val="both"/>
        <w:rPr>
          <w:rFonts w:ascii="Lato;sans-serif" w:hAnsi="Lato;sans-serif"/>
          <w:b w:val="false"/>
          <w:color w:val="000000"/>
          <w:sz w:val="20"/>
        </w:rPr>
      </w:pPr>
      <w:r>
        <w:rPr>
          <w:rFonts w:ascii="Lato;sans-serif" w:hAnsi="Lato;sans-serif"/>
          <w:b w:val="false"/>
          <w:color w:val="000000"/>
          <w:sz w:val="20"/>
        </w:rPr>
        <w:t>Alison Gleeson</w:t>
      </w:r>
    </w:p>
    <w:p>
      <w:pPr>
        <w:pStyle w:val="TextBody"/>
        <w:bidi w:val="0"/>
        <w:spacing w:lineRule="auto" w:line="288" w:before="0" w:after="0"/>
        <w:jc w:val="both"/>
        <w:rPr>
          <w:rFonts w:ascii="Lato;sans-serif" w:hAnsi="Lato;sans-serif"/>
          <w:b w:val="false"/>
          <w:color w:val="000000"/>
          <w:sz w:val="20"/>
        </w:rPr>
      </w:pPr>
      <w:r>
        <w:rPr>
          <w:rFonts w:ascii="Lato;sans-serif" w:hAnsi="Lato;sans-serif"/>
          <w:b w:val="false"/>
          <w:color w:val="000000"/>
          <w:sz w:val="20"/>
        </w:rPr>
        <w:t>D. Randall Winn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8">
                <wp:simplePos x="0" y="0"/>
                <wp:positionH relativeFrom="character">
                  <wp:align>left</wp:align>
                </wp:positionH>
                <wp:positionV relativeFrom="line">
                  <wp:posOffset>635</wp:posOffset>
                </wp:positionV>
                <wp:extent cx="6480175" cy="352425"/>
                <wp:effectExtent l="0" t="0" r="0" b="0"/>
                <wp:wrapNone/>
                <wp:docPr id="84" name="Frame68"/>
                <a:graphic xmlns:a="http://schemas.openxmlformats.org/drawingml/2006/main">
                  <a:graphicData uri="http://schemas.microsoft.com/office/word/2010/wordprocessingShape">
                    <wps:wsp>
                      <wps:cNvSpPr txBox="1"/>
                      <wps:spPr>
                        <a:xfrm>
                          <a:off x="0" y="0"/>
                          <a:ext cx="6480175" cy="352425"/>
                        </a:xfrm>
                        <a:prstGeom prst="rect"/>
                        <a:solidFill>
                          <a:srgbClr val="FFFFFF"/>
                        </a:solidFill>
                      </wps:spPr>
                      <wps:txbx>
                        <w:txbxContent>
                          <w:p>
                            <w:pPr>
                              <w:pStyle w:val="TextBody"/>
                              <w:bidi w:val="0"/>
                              <w:spacing w:lineRule="auto" w:line="288" w:before="0" w:after="0"/>
                              <w:jc w:val="center"/>
                              <w:rPr>
                                <w:rFonts w:ascii="Lato;sans-serif" w:hAnsi="Lato;sans-serif"/>
                                <w:b w:val="false"/>
                                <w:color w:val="000000"/>
                                <w:sz w:val="20"/>
                              </w:rPr>
                            </w:pPr>
                            <w:r>
                              <w:rPr>
                                <w:rFonts w:ascii="Lato;sans-serif" w:hAnsi="Lato;sans-serif"/>
                                <w:b w:val="false"/>
                                <w:color w:val="000000"/>
                                <w:sz w:val="20"/>
                              </w:rPr>
                              <w:t>62</w:t>
                            </w:r>
                          </w:p>
                          <w:p>
                            <w:pPr>
                              <w:pStyle w:val="TextBody"/>
                              <w:bidi w:val="0"/>
                              <w:spacing w:lineRule="auto" w:line="288" w:before="0" w:after="0"/>
                              <w:jc w:val="left"/>
                              <w:rPr>
                                <w:color w:val="000000"/>
                              </w:rPr>
                            </w:pPr>
                            <w:r>
                              <w:rPr>
                                <w:color w:val="000000"/>
                              </w:rPr>
                              <w:t>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Lato;sans-serif" w:hAnsi="Lato;sans-serif"/>
                          <w:b w:val="false"/>
                          <w:color w:val="000000"/>
                          <w:sz w:val="20"/>
                        </w:rPr>
                      </w:pPr>
                      <w:r>
                        <w:rPr>
                          <w:rFonts w:ascii="Lato;sans-serif" w:hAnsi="Lato;sans-serif"/>
                          <w:b w:val="false"/>
                          <w:color w:val="000000"/>
                          <w:sz w:val="20"/>
                        </w:rPr>
                        <w:t>62</w:t>
                      </w:r>
                    </w:p>
                    <w:p>
                      <w:pPr>
                        <w:pStyle w:val="TextBody"/>
                        <w:bidi w:val="0"/>
                        <w:spacing w:lineRule="auto" w:line="288" w:before="0" w:after="0"/>
                        <w:jc w:val="left"/>
                        <w:rPr>
                          <w:color w:val="000000"/>
                        </w:rPr>
                      </w:pPr>
                      <w:r>
                        <w:rPr>
                          <w:color w:val="000000"/>
                        </w:rPr>
                        <w:t>        </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300" w:after="180"/>
        <w:jc w:val="center"/>
        <w:rPr>
          <w:rFonts w:ascii="Lato;sans-serif" w:hAnsi="Lato;sans-serif"/>
          <w:b/>
          <w:color w:val="000000"/>
          <w:sz w:val="20"/>
        </w:rPr>
      </w:pPr>
      <w:r>
        <w:rPr>
          <w:rFonts w:ascii="Lato;sans-serif" w:hAnsi="Lato;sans-serif"/>
          <w:b/>
          <w:color w:val="000000"/>
          <w:sz w:val="20"/>
        </w:rPr>
        <w:t>EXECUTIVE COMPENSATION TABLES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333" w:before="300" w:after="180"/>
        <w:jc w:val="left"/>
        <w:rPr>
          <w:rFonts w:ascii="Lato;sans-serif" w:hAnsi="Lato;sans-serif"/>
          <w:b/>
          <w:color w:val="000000"/>
          <w:sz w:val="20"/>
        </w:rPr>
      </w:pPr>
      <w:r>
        <w:rPr>
          <w:rFonts w:ascii="Lato;sans-serif" w:hAnsi="Lato;sans-serif"/>
          <w:b/>
          <w:color w:val="000000"/>
          <w:sz w:val="20"/>
        </w:rPr>
        <w:t>Summary Compensation Table</w:t>
      </w:r>
    </w:p>
    <w:p>
      <w:pPr>
        <w:pStyle w:val="TextBody"/>
        <w:bidi w:val="0"/>
        <w:spacing w:lineRule="auto" w:line="288" w:before="180" w:after="180"/>
        <w:jc w:val="both"/>
        <w:rPr>
          <w:rFonts w:ascii="Lato;sans-serif" w:hAnsi="Lato;sans-serif"/>
          <w:b w:val="false"/>
          <w:color w:val="000000"/>
          <w:sz w:val="20"/>
        </w:rPr>
      </w:pPr>
      <w:r>
        <w:rPr>
          <w:rFonts w:ascii="Lato;sans-serif" w:hAnsi="Lato;sans-serif"/>
          <w:b w:val="false"/>
          <w:color w:val="000000"/>
          <w:sz w:val="20"/>
        </w:rPr>
        <w:t>The following table presents summary information regarding the total compensation awarded to, earned by, or paid to each of our Named Executive Officers, for their service for the fiscal years indicated.</w:t>
      </w:r>
    </w:p>
    <w:tbl>
      <w:tblPr>
        <w:tblW w:w="11790" w:type="dxa"/>
        <w:jc w:val="left"/>
        <w:tblInd w:w="0" w:type="dxa"/>
        <w:tblLayout w:type="fixed"/>
        <w:tblCellMar>
          <w:top w:w="28" w:type="dxa"/>
          <w:left w:w="28" w:type="dxa"/>
          <w:bottom w:w="28" w:type="dxa"/>
          <w:right w:w="28" w:type="dxa"/>
        </w:tblCellMar>
      </w:tblPr>
      <w:tblGrid>
        <w:gridCol w:w="495"/>
        <w:gridCol w:w="330"/>
        <w:gridCol w:w="331"/>
        <w:gridCol w:w="109"/>
        <w:gridCol w:w="109"/>
        <w:gridCol w:w="109"/>
        <w:gridCol w:w="174"/>
        <w:gridCol w:w="174"/>
        <w:gridCol w:w="178"/>
        <w:gridCol w:w="109"/>
        <w:gridCol w:w="109"/>
        <w:gridCol w:w="109"/>
        <w:gridCol w:w="330"/>
        <w:gridCol w:w="225"/>
        <w:gridCol w:w="226"/>
        <w:gridCol w:w="109"/>
        <w:gridCol w:w="109"/>
        <w:gridCol w:w="109"/>
        <w:gridCol w:w="284"/>
        <w:gridCol w:w="251"/>
        <w:gridCol w:w="246"/>
        <w:gridCol w:w="109"/>
        <w:gridCol w:w="109"/>
        <w:gridCol w:w="109"/>
        <w:gridCol w:w="400"/>
        <w:gridCol w:w="265"/>
        <w:gridCol w:w="266"/>
        <w:gridCol w:w="109"/>
        <w:gridCol w:w="109"/>
        <w:gridCol w:w="109"/>
        <w:gridCol w:w="475"/>
        <w:gridCol w:w="280"/>
        <w:gridCol w:w="281"/>
        <w:gridCol w:w="109"/>
        <w:gridCol w:w="109"/>
        <w:gridCol w:w="109"/>
        <w:gridCol w:w="480"/>
        <w:gridCol w:w="480"/>
        <w:gridCol w:w="481"/>
        <w:gridCol w:w="109"/>
        <w:gridCol w:w="109"/>
        <w:gridCol w:w="109"/>
        <w:gridCol w:w="480"/>
        <w:gridCol w:w="480"/>
        <w:gridCol w:w="481"/>
        <w:gridCol w:w="109"/>
        <w:gridCol w:w="109"/>
        <w:gridCol w:w="109"/>
        <w:gridCol w:w="315"/>
        <w:gridCol w:w="315"/>
        <w:gridCol w:w="451"/>
      </w:tblGrid>
      <w:tr>
        <w:trPr/>
        <w:tc>
          <w:tcPr>
            <w:tcW w:w="495"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0"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5"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r>
      <w:tr>
        <w:trPr/>
        <w:tc>
          <w:tcPr>
            <w:tcW w:w="1156" w:type="dxa"/>
            <w:gridSpan w:val="3"/>
            <w:tcBorders>
              <w:bottom w:val="single" w:sz="4" w:space="0" w:color="000000"/>
            </w:tcBorders>
            <w:shd w:fill="F44238" w:val="clear"/>
            <w:tcMar>
              <w:top w:w="0" w:type="dxa"/>
              <w:left w:w="0" w:type="dxa"/>
              <w:bottom w:w="30" w:type="dxa"/>
              <w:right w:w="0" w:type="dxa"/>
            </w:tcMar>
            <w:vAlign w:val="center"/>
          </w:tcPr>
          <w:p>
            <w:pPr>
              <w:pStyle w:val="TableContents"/>
              <w:bidi w:val="0"/>
              <w:spacing w:lineRule="auto" w:line="240" w:before="0" w:after="283"/>
              <w:jc w:val="left"/>
              <w:rPr>
                <w:rFonts w:ascii="Lato;sans-serif" w:hAnsi="Lato;sans-serif"/>
                <w:b/>
                <w:color w:val="FFFFFF"/>
                <w:sz w:val="16"/>
              </w:rPr>
            </w:pPr>
            <w:r>
              <w:rPr>
                <w:rFonts w:ascii="Lato;sans-serif" w:hAnsi="Lato;sans-serif"/>
                <w:b/>
                <w:color w:val="FFFFFF"/>
                <w:sz w:val="16"/>
              </w:rPr>
              <w:t>Name and Principal Position</w:t>
            </w:r>
          </w:p>
        </w:tc>
        <w:tc>
          <w:tcPr>
            <w:tcW w:w="327" w:type="dxa"/>
            <w:gridSpan w:val="3"/>
            <w:tcBorders/>
            <w:shd w:fill="F4423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F44238" w:val="clear"/>
            <w:tcMar>
              <w:top w:w="0" w:type="dxa"/>
              <w:left w:w="0" w:type="dxa"/>
              <w:bottom w:w="0" w:type="dxa"/>
              <w:right w:w="0" w:type="dxa"/>
            </w:tcMar>
            <w:vAlign w:val="center"/>
          </w:tcPr>
          <w:p>
            <w:pPr>
              <w:pStyle w:val="TableContents"/>
              <w:bidi w:val="0"/>
              <w:spacing w:lineRule="auto" w:line="240" w:before="0" w:after="283"/>
              <w:jc w:val="center"/>
              <w:rPr>
                <w:rFonts w:ascii="Lato;sans-serif" w:hAnsi="Lato;sans-serif"/>
                <w:b/>
                <w:color w:val="FFFFFF"/>
                <w:sz w:val="16"/>
              </w:rPr>
            </w:pPr>
            <w:r>
              <w:rPr>
                <w:rFonts w:ascii="Lato;sans-serif" w:hAnsi="Lato;sans-serif"/>
                <w:b/>
                <w:color w:val="FFFFFF"/>
                <w:sz w:val="16"/>
              </w:rPr>
              <w:t>Year</w:t>
            </w:r>
          </w:p>
        </w:tc>
        <w:tc>
          <w:tcPr>
            <w:tcW w:w="327" w:type="dxa"/>
            <w:gridSpan w:val="3"/>
            <w:tcBorders/>
            <w:shd w:fill="F4423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F44238" w:val="clear"/>
            <w:tcMar>
              <w:top w:w="0" w:type="dxa"/>
              <w:left w:w="0" w:type="dxa"/>
              <w:bottom w:w="0" w:type="dxa"/>
              <w:right w:w="0" w:type="dxa"/>
            </w:tcMar>
            <w:vAlign w:val="center"/>
          </w:tcPr>
          <w:p>
            <w:pPr>
              <w:pStyle w:val="TableContents"/>
              <w:bidi w:val="0"/>
              <w:spacing w:lineRule="auto" w:line="288" w:before="53" w:after="30"/>
              <w:jc w:val="center"/>
              <w:rPr/>
            </w:pPr>
            <w:r>
              <w:rPr>
                <w:rFonts w:ascii="Lato;sans-serif" w:hAnsi="Lato;sans-serif"/>
                <w:b/>
                <w:color w:val="FFFFFF"/>
                <w:sz w:val="16"/>
                <w:shd w:fill="F44238" w:val="clear"/>
              </w:rPr>
              <w:t>Salary ($)</w:t>
            </w:r>
            <w:r>
              <w:rPr>
                <w:rFonts w:ascii="Lato;sans-serif" w:hAnsi="Lato;sans-serif"/>
                <w:b/>
                <w:color w:val="FFFFFF"/>
                <w:sz w:val="10"/>
                <w:shd w:fill="F44238" w:val="clear"/>
              </w:rPr>
              <w:t>(1)</w:t>
            </w:r>
          </w:p>
        </w:tc>
        <w:tc>
          <w:tcPr>
            <w:tcW w:w="327" w:type="dxa"/>
            <w:gridSpan w:val="3"/>
            <w:tcBorders/>
            <w:shd w:fill="F4423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F44238" w:val="clear"/>
            <w:tcMar>
              <w:top w:w="0" w:type="dxa"/>
              <w:left w:w="0" w:type="dxa"/>
              <w:bottom w:w="0" w:type="dxa"/>
              <w:right w:w="0" w:type="dxa"/>
            </w:tcMar>
            <w:vAlign w:val="center"/>
          </w:tcPr>
          <w:p>
            <w:pPr>
              <w:pStyle w:val="TableContents"/>
              <w:bidi w:val="0"/>
              <w:spacing w:lineRule="auto" w:line="240" w:before="53" w:after="30"/>
              <w:jc w:val="center"/>
              <w:rPr/>
            </w:pPr>
            <w:r>
              <w:rPr>
                <w:rFonts w:ascii="Lato;sans-serif" w:hAnsi="Lato;sans-serif"/>
                <w:b/>
                <w:color w:val="FFFFFF"/>
                <w:sz w:val="16"/>
              </w:rPr>
              <w:t>Bonus</w:t>
            </w:r>
            <w:r>
              <w:rPr>
                <w:rFonts w:ascii="Lato;sans-serif" w:hAnsi="Lato;sans-serif"/>
                <w:b/>
                <w:color w:val="FFFFFF"/>
                <w:sz w:val="10"/>
              </w:rPr>
              <w:t>(2)</w:t>
            </w:r>
          </w:p>
        </w:tc>
        <w:tc>
          <w:tcPr>
            <w:tcW w:w="327" w:type="dxa"/>
            <w:gridSpan w:val="3"/>
            <w:tcBorders/>
            <w:shd w:fill="F4423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F44238" w:val="clear"/>
            <w:tcMar>
              <w:top w:w="0" w:type="dxa"/>
              <w:left w:w="0" w:type="dxa"/>
              <w:bottom w:w="0" w:type="dxa"/>
              <w:right w:w="0" w:type="dxa"/>
            </w:tcMar>
            <w:vAlign w:val="center"/>
          </w:tcPr>
          <w:p>
            <w:pPr>
              <w:pStyle w:val="TableContents"/>
              <w:bidi w:val="0"/>
              <w:spacing w:lineRule="auto" w:line="240" w:before="53" w:after="30"/>
              <w:jc w:val="center"/>
              <w:rPr/>
            </w:pPr>
            <w:r>
              <w:rPr>
                <w:rFonts w:ascii="Lato;sans-serif" w:hAnsi="Lato;sans-serif"/>
                <w:b/>
                <w:color w:val="FFFFFF"/>
                <w:sz w:val="16"/>
              </w:rPr>
              <w:t>Stock Awards ($)</w:t>
            </w:r>
            <w:r>
              <w:rPr>
                <w:rFonts w:ascii="Lato;sans-serif" w:hAnsi="Lato;sans-serif"/>
                <w:b/>
                <w:color w:val="FFFFFF"/>
                <w:sz w:val="10"/>
              </w:rPr>
              <w:t>(3)</w:t>
            </w:r>
          </w:p>
        </w:tc>
        <w:tc>
          <w:tcPr>
            <w:tcW w:w="327" w:type="dxa"/>
            <w:gridSpan w:val="3"/>
            <w:tcBorders/>
            <w:shd w:fill="F4423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F44238" w:val="clear"/>
            <w:tcMar>
              <w:top w:w="0" w:type="dxa"/>
              <w:left w:w="0" w:type="dxa"/>
              <w:bottom w:w="0" w:type="dxa"/>
              <w:right w:w="0" w:type="dxa"/>
            </w:tcMar>
            <w:vAlign w:val="center"/>
          </w:tcPr>
          <w:p>
            <w:pPr>
              <w:pStyle w:val="TableContents"/>
              <w:bidi w:val="0"/>
              <w:spacing w:lineRule="auto" w:line="240" w:before="0" w:after="0"/>
              <w:jc w:val="center"/>
              <w:rPr/>
            </w:pPr>
            <w:r>
              <w:rPr>
                <w:rFonts w:ascii="Lato;sans-serif" w:hAnsi="Lato;sans-serif"/>
                <w:b/>
                <w:color w:val="FFFFFF"/>
                <w:sz w:val="16"/>
              </w:rPr>
              <w:t>Option Awards</w:t>
            </w:r>
            <w:r>
              <w:rPr>
                <w:rFonts w:ascii="Lato;sans-serif" w:hAnsi="Lato;sans-serif"/>
                <w:b/>
                <w:color w:val="FFFFFF"/>
                <w:sz w:val="10"/>
              </w:rPr>
              <w:t>(4)</w:t>
            </w:r>
          </w:p>
        </w:tc>
        <w:tc>
          <w:tcPr>
            <w:tcW w:w="327" w:type="dxa"/>
            <w:gridSpan w:val="3"/>
            <w:tcBorders/>
            <w:shd w:fill="F4423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gridSpan w:val="3"/>
            <w:tcBorders/>
            <w:shd w:fill="F44238" w:val="clear"/>
            <w:tcMar>
              <w:top w:w="0" w:type="dxa"/>
              <w:left w:w="0" w:type="dxa"/>
              <w:bottom w:w="0" w:type="dxa"/>
              <w:right w:w="0" w:type="dxa"/>
            </w:tcMar>
            <w:vAlign w:val="center"/>
          </w:tcPr>
          <w:p>
            <w:pPr>
              <w:pStyle w:val="TableContents"/>
              <w:bidi w:val="0"/>
              <w:spacing w:lineRule="auto" w:line="240" w:before="53" w:after="30"/>
              <w:jc w:val="center"/>
              <w:rPr/>
            </w:pPr>
            <w:r>
              <w:rPr>
                <w:rFonts w:ascii="Lato;sans-serif" w:hAnsi="Lato;sans-serif"/>
                <w:b/>
                <w:color w:val="FFFFFF"/>
                <w:sz w:val="16"/>
              </w:rPr>
              <w:t>Non-Equity Incentive Plan Compensation ($)</w:t>
            </w:r>
            <w:r>
              <w:rPr>
                <w:rFonts w:ascii="Lato;sans-serif" w:hAnsi="Lato;sans-serif"/>
                <w:b/>
                <w:color w:val="FFFFFF"/>
                <w:sz w:val="10"/>
              </w:rPr>
              <w:t>(5)</w:t>
            </w:r>
          </w:p>
        </w:tc>
        <w:tc>
          <w:tcPr>
            <w:tcW w:w="327" w:type="dxa"/>
            <w:gridSpan w:val="3"/>
            <w:tcBorders/>
            <w:shd w:fill="F4423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gridSpan w:val="3"/>
            <w:tcBorders/>
            <w:shd w:fill="F44238" w:val="clear"/>
            <w:tcMar>
              <w:top w:w="0" w:type="dxa"/>
              <w:left w:w="0" w:type="dxa"/>
              <w:bottom w:w="0" w:type="dxa"/>
              <w:right w:w="0" w:type="dxa"/>
            </w:tcMar>
            <w:vAlign w:val="center"/>
          </w:tcPr>
          <w:p>
            <w:pPr>
              <w:pStyle w:val="TableContents"/>
              <w:bidi w:val="0"/>
              <w:spacing w:lineRule="auto" w:line="240" w:before="53" w:after="30"/>
              <w:jc w:val="center"/>
              <w:rPr/>
            </w:pPr>
            <w:r>
              <w:rPr>
                <w:rFonts w:ascii="Lato;sans-serif" w:hAnsi="Lato;sans-serif"/>
                <w:b/>
                <w:color w:val="FFFFFF"/>
                <w:sz w:val="16"/>
              </w:rPr>
              <w:t>All Other Compensation ($)</w:t>
            </w:r>
            <w:r>
              <w:rPr>
                <w:rFonts w:ascii="Lato;sans-serif" w:hAnsi="Lato;sans-serif"/>
                <w:b/>
                <w:color w:val="FFFFFF"/>
                <w:sz w:val="10"/>
              </w:rPr>
              <w:t>(6)</w:t>
            </w:r>
          </w:p>
        </w:tc>
        <w:tc>
          <w:tcPr>
            <w:tcW w:w="327" w:type="dxa"/>
            <w:gridSpan w:val="3"/>
            <w:tcBorders/>
            <w:shd w:fill="F4423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shd w:fill="F44238" w:val="clear"/>
            <w:tcMar>
              <w:top w:w="0" w:type="dxa"/>
              <w:left w:w="0" w:type="dxa"/>
              <w:bottom w:w="0" w:type="dxa"/>
              <w:right w:w="0" w:type="dxa"/>
            </w:tcMar>
            <w:vAlign w:val="center"/>
          </w:tcPr>
          <w:p>
            <w:pPr>
              <w:pStyle w:val="TableContents"/>
              <w:bidi w:val="0"/>
              <w:spacing w:lineRule="auto" w:line="240" w:before="0" w:after="283"/>
              <w:jc w:val="center"/>
              <w:rPr>
                <w:rFonts w:ascii="Lato;sans-serif" w:hAnsi="Lato;sans-serif"/>
                <w:b/>
                <w:color w:val="FFFFFF"/>
                <w:sz w:val="16"/>
              </w:rPr>
            </w:pPr>
            <w:r>
              <w:rPr>
                <w:rFonts w:ascii="Lato;sans-serif" w:hAnsi="Lato;sans-serif"/>
                <w:b/>
                <w:color w:val="FFFFFF"/>
                <w:sz w:val="16"/>
              </w:rPr>
              <w:t>Total ($)</w:t>
            </w:r>
          </w:p>
        </w:tc>
      </w:tr>
      <w:tr>
        <w:trPr/>
        <w:tc>
          <w:tcPr>
            <w:tcW w:w="1156" w:type="dxa"/>
            <w:gridSpan w:val="3"/>
            <w:vMerge w:val="restart"/>
            <w:tcBorders/>
            <w:tcMar>
              <w:top w:w="0" w:type="dxa"/>
              <w:left w:w="0" w:type="dxa"/>
              <w:bottom w:w="0" w:type="dxa"/>
              <w:right w:w="0" w:type="dxa"/>
            </w:tcMar>
            <w:vAlign w:val="center"/>
          </w:tcPr>
          <w:p>
            <w:pPr>
              <w:pStyle w:val="TableContents"/>
              <w:bidi w:val="0"/>
              <w:spacing w:lineRule="auto" w:line="288" w:before="33" w:after="283"/>
              <w:jc w:val="left"/>
              <w:rPr>
                <w:rFonts w:ascii="Lato;sans-serif" w:hAnsi="Lato;sans-serif"/>
                <w:b w:val="false"/>
                <w:color w:val="000000"/>
                <w:sz w:val="16"/>
              </w:rPr>
            </w:pPr>
            <w:r>
              <w:rPr>
                <w:rFonts w:ascii="Lato;sans-serif" w:hAnsi="Lato;sans-serif"/>
                <w:b w:val="false"/>
                <w:color w:val="000000"/>
                <w:sz w:val="16"/>
              </w:rPr>
              <w:t>Henry L. Schuck    </w:t>
            </w:r>
          </w:p>
          <w:p>
            <w:pPr>
              <w:pStyle w:val="TableContents"/>
              <w:bidi w:val="0"/>
              <w:spacing w:lineRule="auto" w:line="288" w:before="0" w:after="30"/>
              <w:jc w:val="left"/>
              <w:rPr>
                <w:rFonts w:ascii="Lato;sans-serif" w:hAnsi="Lato;sans-serif"/>
                <w:b w:val="false"/>
                <w:i/>
                <w:color w:val="000000"/>
                <w:sz w:val="16"/>
              </w:rPr>
            </w:pPr>
            <w:r>
              <w:rPr>
                <w:rFonts w:ascii="Lato;sans-serif" w:hAnsi="Lato;sans-serif"/>
                <w:b w:val="false"/>
                <w:i/>
                <w:color w:val="000000"/>
                <w:sz w:val="16"/>
              </w:rPr>
              <w:t xml:space="preserve">Chief Executive Officer and Chairman of the Board </w:t>
            </w:r>
          </w:p>
        </w:tc>
        <w:tc>
          <w:tcPr>
            <w:tcW w:w="32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Lato;sans-serif" w:hAnsi="Lato;sans-serif"/>
                <w:b w:val="false"/>
                <w:color w:val="000000"/>
                <w:sz w:val="16"/>
              </w:rPr>
            </w:pPr>
            <w:r>
              <w:rPr>
                <w:rFonts w:ascii="Lato;sans-serif" w:hAnsi="Lato;sans-serif"/>
                <w:b w:val="false"/>
                <w:color w:val="000000"/>
                <w:sz w:val="16"/>
              </w:rPr>
              <w:t>2025</w:t>
            </w:r>
          </w:p>
        </w:tc>
        <w:tc>
          <w:tcPr>
            <w:tcW w:w="32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Lato;sans-serif" w:hAnsi="Lato;sans-serif"/>
                <w:b w:val="false"/>
                <w:color w:val="000000"/>
                <w:sz w:val="16"/>
              </w:rPr>
            </w:pPr>
            <w:r>
              <w:rPr>
                <w:rFonts w:ascii="Lato;sans-serif" w:hAnsi="Lato;sans-serif"/>
                <w:b w:val="false"/>
                <w:color w:val="000000"/>
                <w:sz w:val="16"/>
              </w:rPr>
              <w:t>591,625</w:t>
            </w:r>
          </w:p>
        </w:tc>
        <w:tc>
          <w:tcPr>
            <w:tcW w:w="32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Lato;sans-serif" w:hAnsi="Lato;sans-serif"/>
                <w:b w:val="false"/>
                <w:color w:val="000000"/>
                <w:sz w:val="16"/>
              </w:rPr>
            </w:pPr>
            <w:r>
              <w:rPr>
                <w:rFonts w:ascii="Lato;sans-serif" w:hAnsi="Lato;sans-serif"/>
                <w:b w:val="false"/>
                <w:color w:val="000000"/>
                <w:sz w:val="16"/>
              </w:rPr>
              <w:t>32,356,780</w:t>
            </w:r>
          </w:p>
        </w:tc>
        <w:tc>
          <w:tcPr>
            <w:tcW w:w="32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Lato;sans-serif" w:hAnsi="Lato;sans-serif"/>
                <w:b w:val="false"/>
                <w:color w:val="000000"/>
                <w:sz w:val="16"/>
              </w:rPr>
            </w:pPr>
            <w:r>
              <w:rPr>
                <w:rFonts w:ascii="Lato;sans-serif" w:hAnsi="Lato;sans-serif"/>
                <w:b w:val="false"/>
                <w:color w:val="000000"/>
                <w:sz w:val="16"/>
              </w:rPr>
              <w:t>337,292</w:t>
            </w:r>
          </w:p>
        </w:tc>
        <w:tc>
          <w:tcPr>
            <w:tcW w:w="32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Lato;sans-serif" w:hAnsi="Lato;sans-serif"/>
                <w:b w:val="false"/>
                <w:color w:val="000000"/>
                <w:sz w:val="16"/>
              </w:rPr>
            </w:pPr>
            <w:r>
              <w:rPr>
                <w:rFonts w:ascii="Lato;sans-serif" w:hAnsi="Lato;sans-serif"/>
                <w:b w:val="false"/>
                <w:color w:val="000000"/>
                <w:sz w:val="16"/>
              </w:rPr>
              <w:t>12,050</w:t>
            </w:r>
          </w:p>
        </w:tc>
        <w:tc>
          <w:tcPr>
            <w:tcW w:w="32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Lato;sans-serif" w:hAnsi="Lato;sans-serif"/>
                <w:b w:val="false"/>
                <w:color w:val="000000"/>
                <w:sz w:val="16"/>
              </w:rPr>
            </w:pPr>
            <w:r>
              <w:rPr>
                <w:rFonts w:ascii="Lato;sans-serif" w:hAnsi="Lato;sans-serif"/>
                <w:b w:val="false"/>
                <w:color w:val="000000"/>
                <w:sz w:val="16"/>
              </w:rPr>
              <w:t>33,297,747</w:t>
            </w:r>
          </w:p>
        </w:tc>
      </w:tr>
      <w:tr>
        <w:trPr/>
        <w:tc>
          <w:tcPr>
            <w:tcW w:w="115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Lato;sans-serif" w:hAnsi="Lato;sans-serif"/>
                <w:b w:val="false"/>
                <w:color w:val="000000"/>
                <w:sz w:val="16"/>
              </w:rPr>
            </w:pPr>
            <w:r>
              <w:rPr>
                <w:rFonts w:ascii="Lato;sans-serif" w:hAnsi="Lato;sans-serif"/>
                <w:b w:val="false"/>
                <w:color w:val="000000"/>
                <w:sz w:val="16"/>
              </w:rPr>
              <w:t>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Lato;sans-serif" w:hAnsi="Lato;sans-serif"/>
                <w:b w:val="false"/>
                <w:color w:val="000000"/>
                <w:sz w:val="16"/>
              </w:rPr>
            </w:pPr>
            <w:r>
              <w:rPr>
                <w:rFonts w:ascii="Lato;sans-serif" w:hAnsi="Lato;sans-serif"/>
                <w:b w:val="false"/>
                <w:color w:val="000000"/>
                <w:sz w:val="16"/>
              </w:rPr>
              <w:t>562,410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Lato;sans-serif" w:hAnsi="Lato;sans-serif"/>
                <w:b w:val="false"/>
                <w:color w:val="000000"/>
                <w:sz w:val="16"/>
              </w:rPr>
            </w:pPr>
            <w:r>
              <w:rPr>
                <w:rFonts w:ascii="Lato;sans-serif" w:hAnsi="Lato;sans-serif"/>
                <w:b w:val="false"/>
                <w:color w:val="000000"/>
                <w:sz w:val="16"/>
              </w:rPr>
              <w:t>5,550,604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Lato;sans-serif" w:hAnsi="Lato;sans-serif"/>
                <w:b w:val="false"/>
                <w:color w:val="000000"/>
                <w:sz w:val="16"/>
              </w:rPr>
            </w:pPr>
            <w:r>
              <w:rPr>
                <w:rFonts w:ascii="Lato;sans-serif" w:hAnsi="Lato;sans-serif"/>
                <w:b w:val="false"/>
                <w:color w:val="000000"/>
                <w:sz w:val="16"/>
              </w:rPr>
              <w:t>129,351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Lato;sans-serif" w:hAnsi="Lato;sans-serif"/>
                <w:b w:val="false"/>
                <w:color w:val="000000"/>
                <w:sz w:val="16"/>
              </w:rPr>
            </w:pPr>
            <w:r>
              <w:rPr>
                <w:rFonts w:ascii="Lato;sans-serif" w:hAnsi="Lato;sans-serif"/>
                <w:b w:val="false"/>
                <w:color w:val="000000"/>
                <w:sz w:val="16"/>
              </w:rPr>
              <w:t>11,500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Lato;sans-serif" w:hAnsi="Lato;sans-serif"/>
                <w:b w:val="false"/>
                <w:color w:val="000000"/>
                <w:sz w:val="16"/>
              </w:rPr>
            </w:pPr>
            <w:r>
              <w:rPr>
                <w:rFonts w:ascii="Lato;sans-serif" w:hAnsi="Lato;sans-serif"/>
                <w:b w:val="false"/>
                <w:color w:val="000000"/>
                <w:sz w:val="16"/>
              </w:rPr>
              <w:t>6,253,865</w:t>
            </w:r>
          </w:p>
        </w:tc>
      </w:tr>
      <w:tr>
        <w:trPr/>
        <w:tc>
          <w:tcPr>
            <w:tcW w:w="115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Lato;sans-serif" w:hAnsi="Lato;sans-serif"/>
                <w:b w:val="false"/>
                <w:color w:val="000000"/>
                <w:sz w:val="16"/>
              </w:rPr>
            </w:pPr>
            <w:r>
              <w:rPr>
                <w:rFonts w:ascii="Lato;sans-serif" w:hAnsi="Lato;sans-serif"/>
                <w:b w:val="false"/>
                <w:color w:val="000000"/>
                <w:sz w:val="16"/>
              </w:rPr>
              <w:t>2023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Lato;sans-serif" w:hAnsi="Lato;sans-serif"/>
                <w:b w:val="false"/>
                <w:color w:val="000000"/>
                <w:sz w:val="16"/>
              </w:rPr>
            </w:pPr>
            <w:r>
              <w:rPr>
                <w:rFonts w:ascii="Lato;sans-serif" w:hAnsi="Lato;sans-serif"/>
                <w:b w:val="false"/>
                <w:color w:val="000000"/>
                <w:sz w:val="16"/>
              </w:rPr>
              <w:t>550,000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Lato;sans-serif" w:hAnsi="Lato;sans-serif"/>
                <w:b w:val="false"/>
                <w:color w:val="000000"/>
                <w:sz w:val="16"/>
              </w:rPr>
            </w:pPr>
            <w:r>
              <w:rPr>
                <w:rFonts w:ascii="Lato;sans-serif" w:hAnsi="Lato;sans-serif"/>
                <w:b w:val="false"/>
                <w:color w:val="000000"/>
                <w:sz w:val="16"/>
              </w:rPr>
              <w:t>4,412,514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Lato;sans-serif" w:hAnsi="Lato;sans-serif"/>
                <w:b w:val="false"/>
                <w:color w:val="000000"/>
                <w:sz w:val="16"/>
              </w:rPr>
            </w:pPr>
            <w:r>
              <w:rPr>
                <w:rFonts w:ascii="Lato;sans-serif" w:hAnsi="Lato;sans-serif"/>
                <w:b w:val="false"/>
                <w:color w:val="000000"/>
                <w:sz w:val="16"/>
              </w:rPr>
              <w:t>11,250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Lato;sans-serif" w:hAnsi="Lato;sans-serif"/>
                <w:b w:val="false"/>
                <w:color w:val="000000"/>
                <w:sz w:val="16"/>
              </w:rPr>
            </w:pPr>
            <w:r>
              <w:rPr>
                <w:rFonts w:ascii="Lato;sans-serif" w:hAnsi="Lato;sans-serif"/>
                <w:b w:val="false"/>
                <w:color w:val="000000"/>
                <w:sz w:val="16"/>
              </w:rPr>
              <w:t>4,973,764</w:t>
            </w:r>
          </w:p>
        </w:tc>
      </w:tr>
      <w:tr>
        <w:trPr/>
        <w:tc>
          <w:tcPr>
            <w:tcW w:w="1156" w:type="dxa"/>
            <w:gridSpan w:val="3"/>
            <w:vMerge w:val="restart"/>
            <w:tcBorders/>
            <w:shd w:fill="DBDBDB" w:val="clear"/>
            <w:tcMar>
              <w:top w:w="0" w:type="dxa"/>
              <w:left w:w="0" w:type="dxa"/>
              <w:bottom w:w="0" w:type="dxa"/>
              <w:right w:w="0" w:type="dxa"/>
            </w:tcMar>
            <w:vAlign w:val="center"/>
          </w:tcPr>
          <w:p>
            <w:pPr>
              <w:pStyle w:val="TableContents"/>
              <w:bidi w:val="0"/>
              <w:spacing w:lineRule="auto" w:line="288" w:before="33" w:after="283"/>
              <w:jc w:val="left"/>
              <w:rPr>
                <w:rFonts w:ascii="Lato;sans-serif" w:hAnsi="Lato;sans-serif"/>
                <w:b w:val="false"/>
                <w:color w:val="000000"/>
                <w:sz w:val="16"/>
              </w:rPr>
            </w:pPr>
            <w:r>
              <w:rPr>
                <w:rFonts w:ascii="Lato;sans-serif" w:hAnsi="Lato;sans-serif"/>
                <w:b w:val="false"/>
                <w:color w:val="000000"/>
                <w:sz w:val="16"/>
              </w:rPr>
              <w:t>Michael Graham O'Brien    </w:t>
            </w:r>
          </w:p>
          <w:p>
            <w:pPr>
              <w:pStyle w:val="TableContents"/>
              <w:bidi w:val="0"/>
              <w:spacing w:lineRule="auto" w:line="240" w:before="0" w:after="0"/>
              <w:jc w:val="left"/>
              <w:rPr>
                <w:rFonts w:ascii="Lato;sans-serif" w:hAnsi="Lato;sans-serif"/>
                <w:b w:val="false"/>
                <w:i/>
                <w:color w:val="000000"/>
                <w:sz w:val="16"/>
              </w:rPr>
            </w:pPr>
            <w:r>
              <w:rPr>
                <w:rFonts w:ascii="Lato;sans-serif" w:hAnsi="Lato;sans-serif"/>
                <w:b w:val="false"/>
                <w:i/>
                <w:color w:val="000000"/>
                <w:sz w:val="16"/>
              </w:rPr>
              <w:t>Chief Financial Officer</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Lato;sans-serif" w:hAnsi="Lato;sans-serif"/>
                <w:b w:val="false"/>
                <w:color w:val="000000"/>
                <w:sz w:val="16"/>
              </w:rPr>
            </w:pPr>
            <w:r>
              <w:rPr>
                <w:rFonts w:ascii="Lato;sans-serif" w:hAnsi="Lato;sans-serif"/>
                <w:b w:val="false"/>
                <w:color w:val="000000"/>
                <w:sz w:val="16"/>
              </w:rPr>
              <w:t>2025</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Lato;sans-serif" w:hAnsi="Lato;sans-serif"/>
                <w:b w:val="false"/>
                <w:color w:val="000000"/>
                <w:sz w:val="16"/>
              </w:rPr>
            </w:pPr>
            <w:r>
              <w:rPr>
                <w:rFonts w:ascii="Lato;sans-serif" w:hAnsi="Lato;sans-serif"/>
                <w:b w:val="false"/>
                <w:color w:val="000000"/>
                <w:sz w:val="16"/>
              </w:rPr>
              <w:t>465,000</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Lato;sans-serif" w:hAnsi="Lato;sans-serif"/>
                <w:b w:val="false"/>
                <w:color w:val="000000"/>
                <w:sz w:val="16"/>
              </w:rPr>
            </w:pPr>
            <w:r>
              <w:rPr>
                <w:rFonts w:ascii="Lato;sans-serif" w:hAnsi="Lato;sans-serif"/>
                <w:b w:val="false"/>
                <w:color w:val="000000"/>
                <w:sz w:val="16"/>
              </w:rPr>
              <w:t>6,523,103</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Lato;sans-serif" w:hAnsi="Lato;sans-serif"/>
                <w:b w:val="false"/>
                <w:color w:val="000000"/>
                <w:sz w:val="16"/>
              </w:rPr>
            </w:pPr>
            <w:r>
              <w:rPr>
                <w:rFonts w:ascii="Lato;sans-serif" w:hAnsi="Lato;sans-serif"/>
                <w:b w:val="false"/>
                <w:color w:val="000000"/>
                <w:sz w:val="16"/>
              </w:rPr>
              <w:t>143,774</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Lato;sans-serif" w:hAnsi="Lato;sans-serif"/>
                <w:b w:val="false"/>
                <w:color w:val="000000"/>
                <w:sz w:val="16"/>
              </w:rPr>
            </w:pPr>
            <w:r>
              <w:rPr>
                <w:rFonts w:ascii="Lato;sans-serif" w:hAnsi="Lato;sans-serif"/>
                <w:b w:val="false"/>
                <w:color w:val="000000"/>
                <w:sz w:val="16"/>
              </w:rPr>
              <w:t>20,770</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Lato;sans-serif" w:hAnsi="Lato;sans-serif"/>
                <w:b w:val="false"/>
                <w:color w:val="000000"/>
                <w:sz w:val="16"/>
              </w:rPr>
            </w:pPr>
            <w:r>
              <w:rPr>
                <w:rFonts w:ascii="Lato;sans-serif" w:hAnsi="Lato;sans-serif"/>
                <w:b w:val="false"/>
                <w:color w:val="000000"/>
                <w:sz w:val="16"/>
              </w:rPr>
              <w:t>7,152,647</w:t>
            </w:r>
          </w:p>
        </w:tc>
      </w:tr>
      <w:tr>
        <w:trPr/>
        <w:tc>
          <w:tcPr>
            <w:tcW w:w="1156" w:type="dxa"/>
            <w:gridSpan w:val="3"/>
            <w:vMerge w:val="continue"/>
            <w:tcBorders/>
            <w:shd w:fill="DBDBDB" w:val="clear"/>
            <w:tcMar>
              <w:top w:w="0" w:type="dxa"/>
              <w:left w:w="0" w:type="dxa"/>
              <w:bottom w:w="0" w:type="dxa"/>
              <w:right w:w="0" w:type="dxa"/>
            </w:tcMar>
            <w:vAlign w:val="center"/>
          </w:tcPr>
          <w:p>
            <w:pPr>
              <w:pStyle w:val="Normal"/>
              <w:bidi w:val="0"/>
              <w:jc w:val="left"/>
              <w:rPr/>
            </w:pPr>
            <w:r>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Lato;sans-serif" w:hAnsi="Lato;sans-serif"/>
                <w:b w:val="false"/>
                <w:color w:val="000000"/>
                <w:sz w:val="16"/>
              </w:rPr>
            </w:pPr>
            <w:r>
              <w:rPr>
                <w:rFonts w:ascii="Lato;sans-serif" w:hAnsi="Lato;sans-serif"/>
                <w:b w:val="false"/>
                <w:color w:val="000000"/>
                <w:sz w:val="16"/>
              </w:rPr>
              <w:t>2024</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Lato;sans-serif" w:hAnsi="Lato;sans-serif"/>
                <w:b w:val="false"/>
                <w:color w:val="000000"/>
                <w:sz w:val="16"/>
              </w:rPr>
            </w:pPr>
            <w:r>
              <w:rPr>
                <w:rFonts w:ascii="Lato;sans-serif" w:hAnsi="Lato;sans-serif"/>
                <w:b w:val="false"/>
                <w:color w:val="000000"/>
                <w:sz w:val="16"/>
              </w:rPr>
              <w:t>354,333</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Lato;sans-serif" w:hAnsi="Lato;sans-serif"/>
                <w:b w:val="false"/>
                <w:color w:val="000000"/>
                <w:sz w:val="16"/>
              </w:rPr>
            </w:pPr>
            <w:r>
              <w:rPr>
                <w:rFonts w:ascii="Lato;sans-serif" w:hAnsi="Lato;sans-serif"/>
                <w:b w:val="false"/>
                <w:color w:val="000000"/>
                <w:sz w:val="16"/>
              </w:rPr>
              <w:t>1,205,000</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Lato;sans-serif" w:hAnsi="Lato;sans-serif"/>
                <w:b w:val="false"/>
                <w:color w:val="000000"/>
                <w:sz w:val="16"/>
              </w:rPr>
            </w:pPr>
            <w:r>
              <w:rPr>
                <w:rFonts w:ascii="Lato;sans-serif" w:hAnsi="Lato;sans-serif"/>
                <w:b w:val="false"/>
                <w:color w:val="000000"/>
                <w:sz w:val="16"/>
              </w:rPr>
              <w:t>185,196</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Lato;sans-serif" w:hAnsi="Lato;sans-serif"/>
                <w:b w:val="false"/>
                <w:color w:val="000000"/>
                <w:sz w:val="16"/>
              </w:rPr>
            </w:pPr>
            <w:r>
              <w:rPr>
                <w:rFonts w:ascii="Lato;sans-serif" w:hAnsi="Lato;sans-serif"/>
                <w:b w:val="false"/>
                <w:color w:val="000000"/>
                <w:sz w:val="16"/>
              </w:rPr>
              <w:t>8,991</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Lato;sans-serif" w:hAnsi="Lato;sans-serif"/>
                <w:b w:val="false"/>
                <w:color w:val="000000"/>
                <w:sz w:val="16"/>
              </w:rPr>
            </w:pPr>
            <w:r>
              <w:rPr>
                <w:rFonts w:ascii="Lato;sans-serif" w:hAnsi="Lato;sans-serif"/>
                <w:b w:val="false"/>
                <w:color w:val="000000"/>
                <w:sz w:val="16"/>
              </w:rPr>
              <w:t>1,753,520</w:t>
            </w:r>
          </w:p>
        </w:tc>
      </w:tr>
      <w:tr>
        <w:trPr/>
        <w:tc>
          <w:tcPr>
            <w:tcW w:w="1156" w:type="dxa"/>
            <w:gridSpan w:val="3"/>
            <w:tcBorders/>
            <w:shd w:fill="FFFFFF" w:val="clear"/>
            <w:tcMar>
              <w:top w:w="0" w:type="dxa"/>
              <w:left w:w="0" w:type="dxa"/>
              <w:bottom w:w="0" w:type="dxa"/>
              <w:right w:w="0" w:type="dxa"/>
            </w:tcMar>
            <w:vAlign w:val="center"/>
          </w:tcPr>
          <w:p>
            <w:pPr>
              <w:pStyle w:val="TableContents"/>
              <w:bidi w:val="0"/>
              <w:spacing w:lineRule="auto" w:line="288" w:before="33" w:after="283"/>
              <w:jc w:val="left"/>
              <w:rPr>
                <w:rFonts w:ascii="Lato;sans-serif" w:hAnsi="Lato;sans-serif"/>
                <w:b w:val="false"/>
                <w:color w:val="000000"/>
                <w:sz w:val="16"/>
              </w:rPr>
            </w:pPr>
            <w:r>
              <w:rPr>
                <w:rFonts w:ascii="Lato;sans-serif" w:hAnsi="Lato;sans-serif"/>
                <w:b w:val="false"/>
                <w:color w:val="000000"/>
                <w:sz w:val="16"/>
              </w:rPr>
              <w:t>James Roth    </w:t>
            </w:r>
          </w:p>
          <w:p>
            <w:pPr>
              <w:pStyle w:val="TableContents"/>
              <w:bidi w:val="0"/>
              <w:spacing w:lineRule="auto" w:line="240" w:before="0" w:after="0"/>
              <w:jc w:val="left"/>
              <w:rPr>
                <w:rFonts w:ascii="Lato;sans-serif" w:hAnsi="Lato;sans-serif"/>
                <w:b w:val="false"/>
                <w:i/>
                <w:color w:val="000000"/>
                <w:sz w:val="16"/>
              </w:rPr>
            </w:pPr>
            <w:r>
              <w:rPr>
                <w:rFonts w:ascii="Lato;sans-serif" w:hAnsi="Lato;sans-serif"/>
                <w:b w:val="false"/>
                <w:i/>
                <w:color w:val="000000"/>
                <w:sz w:val="16"/>
              </w:rPr>
              <w:t>Chief Revenue Officer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Lato;sans-serif" w:hAnsi="Lato;sans-serif"/>
                <w:b w:val="false"/>
                <w:color w:val="000000"/>
                <w:sz w:val="16"/>
              </w:rPr>
            </w:pPr>
            <w:r>
              <w:rPr>
                <w:rFonts w:ascii="Lato;sans-serif" w:hAnsi="Lato;sans-serif"/>
                <w:b w:val="false"/>
                <w:color w:val="000000"/>
                <w:sz w:val="16"/>
              </w:rPr>
              <w:t>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Lato;sans-serif" w:hAnsi="Lato;sans-serif"/>
                <w:b w:val="false"/>
                <w:color w:val="000000"/>
                <w:sz w:val="16"/>
              </w:rPr>
            </w:pPr>
            <w:r>
              <w:rPr>
                <w:rFonts w:ascii="Lato;sans-serif" w:hAnsi="Lato;sans-serif"/>
                <w:b w:val="false"/>
                <w:color w:val="000000"/>
                <w:sz w:val="16"/>
              </w:rPr>
              <w:t>500,000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Lato;sans-serif" w:hAnsi="Lato;sans-serif"/>
                <w:b w:val="false"/>
                <w:color w:val="000000"/>
                <w:sz w:val="16"/>
              </w:rPr>
            </w:pPr>
            <w:r>
              <w:rPr>
                <w:rFonts w:ascii="Lato;sans-serif" w:hAnsi="Lato;sans-serif"/>
                <w:b w:val="false"/>
                <w:color w:val="000000"/>
                <w:sz w:val="16"/>
              </w:rPr>
              <w:t>475,000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Lato;sans-serif" w:hAnsi="Lato;sans-serif"/>
                <w:b w:val="false"/>
                <w:color w:val="000000"/>
                <w:sz w:val="16"/>
              </w:rPr>
            </w:pPr>
            <w:r>
              <w:rPr>
                <w:rFonts w:ascii="Lato;sans-serif" w:hAnsi="Lato;sans-serif"/>
                <w:b w:val="false"/>
                <w:color w:val="000000"/>
                <w:sz w:val="16"/>
              </w:rPr>
              <w:t>3,870,105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Lato;sans-serif" w:hAnsi="Lato;sans-serif"/>
                <w:b w:val="false"/>
                <w:color w:val="000000"/>
                <w:sz w:val="16"/>
              </w:rPr>
            </w:pPr>
            <w:r>
              <w:rPr>
                <w:rFonts w:ascii="Lato;sans-serif" w:hAnsi="Lato;sans-serif"/>
                <w:b w:val="false"/>
                <w:color w:val="000000"/>
                <w:sz w:val="16"/>
              </w:rPr>
              <w:t>285,000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Lato;sans-serif" w:hAnsi="Lato;sans-serif"/>
                <w:b w:val="false"/>
                <w:color w:val="000000"/>
                <w:sz w:val="16"/>
              </w:rPr>
            </w:pPr>
            <w:r>
              <w:rPr>
                <w:rFonts w:ascii="Lato;sans-serif" w:hAnsi="Lato;sans-serif"/>
                <w:b w:val="false"/>
                <w:color w:val="000000"/>
                <w:sz w:val="16"/>
              </w:rPr>
              <w:t>2,020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Lato;sans-serif" w:hAnsi="Lato;sans-serif"/>
                <w:b w:val="false"/>
                <w:color w:val="000000"/>
                <w:sz w:val="16"/>
              </w:rPr>
            </w:pPr>
            <w:r>
              <w:rPr>
                <w:rFonts w:ascii="Lato;sans-serif" w:hAnsi="Lato;sans-serif"/>
                <w:b w:val="false"/>
                <w:color w:val="000000"/>
                <w:sz w:val="16"/>
              </w:rPr>
              <w:t>5,132,125</w:t>
            </w:r>
          </w:p>
        </w:tc>
      </w:tr>
      <w:tr>
        <w:trPr/>
        <w:tc>
          <w:tcPr>
            <w:tcW w:w="1156" w:type="dxa"/>
            <w:gridSpan w:val="3"/>
            <w:tcBorders/>
            <w:shd w:fill="DBDBDB" w:val="clear"/>
            <w:tcMar>
              <w:top w:w="0" w:type="dxa"/>
              <w:left w:w="0" w:type="dxa"/>
              <w:bottom w:w="0" w:type="dxa"/>
              <w:right w:w="0" w:type="dxa"/>
            </w:tcMar>
            <w:vAlign w:val="center"/>
          </w:tcPr>
          <w:p>
            <w:pPr>
              <w:pStyle w:val="TableContents"/>
              <w:bidi w:val="0"/>
              <w:spacing w:lineRule="auto" w:line="240" w:before="53" w:after="283"/>
              <w:jc w:val="left"/>
              <w:rPr>
                <w:rFonts w:ascii="Lato;sans-serif" w:hAnsi="Lato;sans-serif"/>
                <w:b w:val="false"/>
                <w:color w:val="000000"/>
                <w:sz w:val="16"/>
              </w:rPr>
            </w:pPr>
            <w:r>
              <w:rPr>
                <w:rFonts w:ascii="Lato;sans-serif" w:hAnsi="Lato;sans-serif"/>
                <w:b w:val="false"/>
                <w:color w:val="000000"/>
                <w:sz w:val="16"/>
              </w:rPr>
              <w:t>Ashley McGrane    </w:t>
            </w:r>
          </w:p>
          <w:p>
            <w:pPr>
              <w:pStyle w:val="TableContents"/>
              <w:bidi w:val="0"/>
              <w:spacing w:lineRule="auto" w:line="240" w:before="0" w:after="30"/>
              <w:jc w:val="left"/>
              <w:rPr>
                <w:rFonts w:ascii="Lato;sans-serif" w:hAnsi="Lato;sans-serif"/>
                <w:b w:val="false"/>
                <w:i/>
                <w:color w:val="000000"/>
                <w:sz w:val="16"/>
              </w:rPr>
            </w:pPr>
            <w:r>
              <w:rPr>
                <w:rFonts w:ascii="Lato;sans-serif" w:hAnsi="Lato;sans-serif"/>
                <w:b w:val="false"/>
                <w:i/>
                <w:color w:val="000000"/>
                <w:sz w:val="16"/>
              </w:rPr>
              <w:t>EVP, General Counsel &amp; Corporate Secretary</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Lato;sans-serif" w:hAnsi="Lato;sans-serif"/>
                <w:b w:val="false"/>
                <w:color w:val="000000"/>
                <w:sz w:val="16"/>
              </w:rPr>
            </w:pPr>
            <w:r>
              <w:rPr>
                <w:rFonts w:ascii="Lato;sans-serif" w:hAnsi="Lato;sans-serif"/>
                <w:b w:val="false"/>
                <w:color w:val="000000"/>
                <w:sz w:val="16"/>
              </w:rPr>
              <w:t>2025</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Lato;sans-serif" w:hAnsi="Lato;sans-serif"/>
                <w:b w:val="false"/>
                <w:color w:val="000000"/>
                <w:sz w:val="16"/>
              </w:rPr>
            </w:pPr>
            <w:r>
              <w:rPr>
                <w:rFonts w:ascii="Lato;sans-serif" w:hAnsi="Lato;sans-serif"/>
                <w:b w:val="false"/>
                <w:color w:val="000000"/>
                <w:sz w:val="16"/>
              </w:rPr>
              <w:t>418,750</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Lato;sans-serif" w:hAnsi="Lato;sans-serif"/>
                <w:b w:val="false"/>
                <w:color w:val="000000"/>
                <w:sz w:val="16"/>
              </w:rPr>
            </w:pPr>
            <w:r>
              <w:rPr>
                <w:rFonts w:ascii="Lato;sans-serif" w:hAnsi="Lato;sans-serif"/>
                <w:b w:val="false"/>
                <w:color w:val="000000"/>
                <w:sz w:val="16"/>
              </w:rPr>
              <w:t>1,584,400</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Lato;sans-serif" w:hAnsi="Lato;sans-serif"/>
                <w:b w:val="false"/>
                <w:color w:val="000000"/>
                <w:sz w:val="16"/>
              </w:rPr>
            </w:pPr>
            <w:r>
              <w:rPr>
                <w:rFonts w:ascii="Lato;sans-serif" w:hAnsi="Lato;sans-serif"/>
                <w:b w:val="false"/>
                <w:color w:val="000000"/>
                <w:sz w:val="16"/>
              </w:rPr>
              <w:t>119,368</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Lato;sans-serif" w:hAnsi="Lato;sans-serif"/>
                <w:b w:val="false"/>
                <w:color w:val="000000"/>
                <w:sz w:val="16"/>
              </w:rPr>
            </w:pPr>
            <w:r>
              <w:rPr>
                <w:rFonts w:ascii="Lato;sans-serif" w:hAnsi="Lato;sans-serif"/>
                <w:b w:val="false"/>
                <w:color w:val="000000"/>
                <w:sz w:val="16"/>
              </w:rPr>
              <w:t>8,008</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Lato;sans-serif" w:hAnsi="Lato;sans-serif"/>
                <w:b w:val="false"/>
                <w:color w:val="000000"/>
                <w:sz w:val="16"/>
              </w:rPr>
            </w:pPr>
            <w:r>
              <w:rPr>
                <w:rFonts w:ascii="Lato;sans-serif" w:hAnsi="Lato;sans-serif"/>
                <w:b w:val="false"/>
                <w:color w:val="000000"/>
                <w:sz w:val="16"/>
              </w:rPr>
              <w:t>2,130,526</w:t>
            </w:r>
          </w:p>
        </w:tc>
      </w:tr>
    </w:tbl>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__________________</w:t>
      </w:r>
    </w:p>
    <w:p>
      <w:pPr>
        <w:pStyle w:val="TextBody"/>
        <w:bidi w:val="0"/>
        <w:spacing w:lineRule="auto" w:line="288" w:before="0" w:after="100"/>
        <w:ind w:left="0" w:right="0" w:hanging="360"/>
        <w:jc w:val="both"/>
        <w:rPr/>
      </w:pPr>
      <w:r>
        <w:rPr>
          <w:rFonts w:ascii="Lato;sans-serif" w:hAnsi="Lato;sans-serif"/>
          <w:b w:val="false"/>
          <w:color w:val="000000"/>
          <w:sz w:val="16"/>
        </w:rPr>
        <w:t>(1)The amounts reported represent the named executive officer’s base salary earned during the fiscal year covered. For Mr. Roth and Ms. McGrane only, these amounts also include amounts earned by them prior to the date they became executive officers during the covered fiscal year. For additional information relating to base salaries, see the section entitled “</w:t>
      </w:r>
      <w:r>
        <w:rPr>
          <w:rFonts w:ascii="Lato;sans-serif" w:hAnsi="Lato;sans-serif"/>
          <w:b w:val="false"/>
          <w:i/>
          <w:color w:val="000000"/>
          <w:sz w:val="16"/>
        </w:rPr>
        <w:t>Executive Compensation Discussion and Analysis—Components of our Annual Compensation Program and 2025 Compensation—Base Salary</w:t>
      </w:r>
      <w:r>
        <w:rPr>
          <w:rFonts w:ascii="Lato;sans-serif" w:hAnsi="Lato;sans-serif"/>
          <w:b w:val="false"/>
          <w:color w:val="000000"/>
          <w:sz w:val="16"/>
        </w:rPr>
        <w:t>.”</w:t>
      </w:r>
    </w:p>
    <w:p>
      <w:pPr>
        <w:pStyle w:val="TextBody"/>
        <w:bidi w:val="0"/>
        <w:spacing w:lineRule="auto" w:line="288" w:before="0" w:after="100"/>
        <w:ind w:left="0" w:right="0" w:hanging="360"/>
        <w:jc w:val="both"/>
        <w:rPr/>
      </w:pPr>
      <w:r>
        <w:rPr>
          <w:rFonts w:ascii="Lato;sans-serif" w:hAnsi="Lato;sans-serif"/>
          <w:b w:val="false"/>
          <w:color w:val="000000"/>
          <w:sz w:val="16"/>
        </w:rPr>
        <w:t xml:space="preserve">(2)The amounts reported in this column relate solely to Mr. Roth, our Chief Revenue Officer, who was eligible to receive an additional incentive award subject to the Company’s achievement of certain net revenue retention metrics. </w:t>
        <w:br/>
        <w:t>On February 5, 2026, the Compensation Committee determined that because net revenue retention for the fiscal year ended December 31, 2025 was 90%, Mr. Roth’s CRO Performance-Based Cash Incentive Award was only partially attained between the 50% and 25% payout thresholds, and after giving effect to linear interpolation, resulted in a payout of $475,000. For additional information relating to Mr. Roth’s Stretch Cash Bonus, see the section entitled “</w:t>
      </w:r>
      <w:hyperlink w:anchor="ib09e1ad647de4075ad613c1a43ff4b94_94">
        <w:r>
          <w:rPr>
            <w:rStyle w:val="InternetLink"/>
            <w:rFonts w:ascii="Lato;sans-serif" w:hAnsi="Lato;sans-serif"/>
            <w:b w:val="false"/>
            <w:i/>
            <w:color w:val="0000FF"/>
            <w:sz w:val="16"/>
            <w:u w:val="single"/>
          </w:rPr>
          <w:t>Executive Compensation Discussion and Analysis</w:t>
        </w:r>
      </w:hyperlink>
      <w:r>
        <w:rPr>
          <w:color w:val="000000"/>
        </w:rPr>
        <w:t>—</w:t>
      </w:r>
      <w:r>
        <w:rPr>
          <w:rFonts w:ascii="Lato;sans-serif" w:hAnsi="Lato;sans-serif"/>
          <w:b w:val="false"/>
          <w:i/>
          <w:color w:val="000000"/>
          <w:sz w:val="16"/>
        </w:rPr>
        <w:t>Components of our Annual Compensation Program and 2025 Compensation — Additional Net Revenue Retention Performance-Based Cash Incentive Award</w:t>
      </w:r>
      <w:r>
        <w:rPr>
          <w:rFonts w:ascii="Lato;sans-serif" w:hAnsi="Lato;sans-serif"/>
          <w:b w:val="false"/>
          <w:color w:val="000000"/>
          <w:sz w:val="16"/>
        </w:rPr>
        <w:t>.”</w:t>
      </w:r>
    </w:p>
    <w:p>
      <w:pPr>
        <w:pStyle w:val="TextBody"/>
        <w:bidi w:val="0"/>
        <w:spacing w:lineRule="auto" w:line="288" w:before="0" w:after="100"/>
        <w:ind w:left="0" w:right="0" w:hanging="360"/>
        <w:jc w:val="both"/>
        <w:rPr/>
      </w:pPr>
      <w:r>
        <w:rPr>
          <w:rFonts w:ascii="Lato;sans-serif" w:hAnsi="Lato;sans-serif"/>
          <w:b w:val="false"/>
          <w:color w:val="000000"/>
          <w:sz w:val="16"/>
        </w:rPr>
        <w:t>(3)Represents the aggregate grant date fair value of stock awards granted, computed in accordance with Financial Accounting Standards Board Accounting Standards Codification Topic 718, Compensation-Stock Compensation (“</w:t>
      </w:r>
      <w:r>
        <w:rPr>
          <w:rFonts w:ascii="Lato;sans-serif" w:hAnsi="Lato;sans-serif"/>
          <w:b/>
          <w:i/>
          <w:color w:val="000000"/>
          <w:sz w:val="16"/>
        </w:rPr>
        <w:t>Topic 718</w:t>
      </w:r>
      <w:r>
        <w:rPr>
          <w:color w:val="000000"/>
        </w:rPr>
        <w:t>”</w:t>
      </w:r>
      <w:r>
        <w:rPr>
          <w:rFonts w:ascii="Lato;sans-serif" w:hAnsi="Lato;sans-serif"/>
          <w:b w:val="false"/>
          <w:color w:val="000000"/>
          <w:sz w:val="16"/>
        </w:rPr>
        <w:t>), without taking into account estimated forfeitures. The fiscal 2023 stock awards consist of grants of restricted stock units and phantom units of HSKB Funds II, LLC (the “</w:t>
      </w:r>
      <w:r>
        <w:rPr>
          <w:rFonts w:ascii="Lato;sans-serif" w:hAnsi="Lato;sans-serif"/>
          <w:b/>
          <w:i/>
          <w:color w:val="000000"/>
          <w:sz w:val="16"/>
        </w:rPr>
        <w:t>HSKB Phantom Units</w:t>
      </w:r>
      <w:r>
        <w:rPr>
          <w:color w:val="000000"/>
        </w:rPr>
        <w:t>”</w:t>
      </w:r>
      <w:r>
        <w:rPr>
          <w:rFonts w:ascii="Lato;sans-serif" w:hAnsi="Lato;sans-serif"/>
          <w:b w:val="false"/>
          <w:color w:val="000000"/>
          <w:sz w:val="16"/>
        </w:rPr>
        <w:t>) issued under the 2020 Omnibus Incentive Plan. Similar to the Company’s RSUs, the HSKB Phantom Units are time-based restricted stock units, which upon vesting, settle into shares of the Company’s common stock on a one-for-one basis.</w:t>
      </w:r>
    </w:p>
    <w:p>
      <w:pPr>
        <w:pStyle w:val="TextBody"/>
        <w:bidi w:val="0"/>
        <w:spacing w:lineRule="auto" w:line="288" w:before="0" w:after="160"/>
        <w:jc w:val="both"/>
        <w:rPr>
          <w:rFonts w:ascii="Lato;sans-serif" w:hAnsi="Lato;sans-serif"/>
          <w:b w:val="false"/>
          <w:color w:val="000000"/>
          <w:sz w:val="16"/>
        </w:rPr>
      </w:pPr>
      <w:r>
        <w:rPr>
          <w:rFonts w:ascii="Lato;sans-serif" w:hAnsi="Lato;sans-serif"/>
          <w:b w:val="false"/>
          <w:color w:val="000000"/>
          <w:sz w:val="16"/>
        </w:rPr>
        <w:t>The value for the FCFps PSUs included for the applicable NEOs is based on the target number of shares subject to such awards, which results in an award value of: (i) $2,317,685 in the case of Mr. O’Brien, (ii) $1,607,700 in the case of Mr. Roth and (iii) $652,400 in the case of Ms. McGrane. Assuming the maximum performance level is achieved with respect to each such NEO’s FCFps PSUs, the grant date fair value of such awards would be (i) $3,476,528.18 in the case of Mr. O’Brien, (ii) $2,411,550.00 in the case of Mr. Roth and (iii) $978,600.00 in the case of Ms. McGrane.</w:t>
      </w:r>
    </w:p>
    <w:p>
      <w:pPr>
        <w:pStyle w:val="TextBody"/>
        <w:bidi w:val="0"/>
        <w:spacing w:lineRule="auto" w:line="288" w:before="0" w:after="160"/>
        <w:ind w:left="0" w:right="0" w:hanging="360"/>
        <w:jc w:val="both"/>
        <w:rPr/>
      </w:pPr>
      <w:r>
        <w:rPr>
          <w:rFonts w:ascii="Lato;sans-serif" w:hAnsi="Lato;sans-serif"/>
          <w:b w:val="false"/>
          <w:color w:val="000000"/>
          <w:sz w:val="16"/>
        </w:rPr>
        <w:t>(4)Represents the aggregate grant date fair value of the CEO Premium-Priced Performance Option granted to Mr. Schuck, computed in accordance with Financial Accounting Standards Board Accounting Standards Codification Topic 718, Compensation-Stock Compensation (“</w:t>
      </w:r>
      <w:r>
        <w:rPr>
          <w:rFonts w:ascii="Lato;sans-serif" w:hAnsi="Lato;sans-serif"/>
          <w:b/>
          <w:i/>
          <w:color w:val="000000"/>
          <w:sz w:val="16"/>
        </w:rPr>
        <w:t>Topic 718</w:t>
      </w:r>
      <w:r>
        <w:rPr>
          <w:color w:val="000000"/>
        </w:rPr>
        <w:t>”</w:t>
      </w:r>
      <w:r>
        <w:rPr>
          <w:rFonts w:ascii="Lato;sans-serif" w:hAnsi="Lato;sans-serif"/>
          <w:b w:val="false"/>
          <w:color w:val="000000"/>
          <w:sz w:val="16"/>
        </w:rPr>
        <w:t>), without taking into account estimated forfeitures.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9">
                <wp:simplePos x="0" y="0"/>
                <wp:positionH relativeFrom="character">
                  <wp:align>left</wp:align>
                </wp:positionH>
                <wp:positionV relativeFrom="line">
                  <wp:posOffset>635</wp:posOffset>
                </wp:positionV>
                <wp:extent cx="6480175" cy="352425"/>
                <wp:effectExtent l="0" t="0" r="0" b="0"/>
                <wp:wrapNone/>
                <wp:docPr id="85" name="Frame69"/>
                <a:graphic xmlns:a="http://schemas.openxmlformats.org/drawingml/2006/main">
                  <a:graphicData uri="http://schemas.microsoft.com/office/word/2010/wordprocessingShape">
                    <wps:wsp>
                      <wps:cNvSpPr txBox="1"/>
                      <wps:spPr>
                        <a:xfrm>
                          <a:off x="0" y="0"/>
                          <a:ext cx="6480175" cy="352425"/>
                        </a:xfrm>
                        <a:prstGeom prst="rect"/>
                        <a:solidFill>
                          <a:srgbClr val="FFFFFF"/>
                        </a:solidFill>
                      </wps:spPr>
                      <wps:txbx>
                        <w:txbxContent>
                          <w:p>
                            <w:pPr>
                              <w:pStyle w:val="TextBody"/>
                              <w:bidi w:val="0"/>
                              <w:spacing w:lineRule="auto" w:line="288" w:before="0" w:after="0"/>
                              <w:jc w:val="center"/>
                              <w:rPr>
                                <w:rFonts w:ascii="Lato;sans-serif" w:hAnsi="Lato;sans-serif"/>
                                <w:b w:val="false"/>
                                <w:color w:val="000000"/>
                                <w:sz w:val="20"/>
                              </w:rPr>
                            </w:pPr>
                            <w:r>
                              <w:rPr>
                                <w:rFonts w:ascii="Lato;sans-serif" w:hAnsi="Lato;sans-serif"/>
                                <w:b w:val="false"/>
                                <w:color w:val="000000"/>
                                <w:sz w:val="20"/>
                              </w:rPr>
                              <w:t>63</w:t>
                            </w:r>
                          </w:p>
                          <w:p>
                            <w:pPr>
                              <w:pStyle w:val="TextBody"/>
                              <w:bidi w:val="0"/>
                              <w:spacing w:lineRule="auto" w:line="288" w:before="0" w:after="0"/>
                              <w:jc w:val="left"/>
                              <w:rPr>
                                <w:color w:val="000000"/>
                              </w:rPr>
                            </w:pPr>
                            <w:r>
                              <w:rPr>
                                <w:color w:val="000000"/>
                              </w:rPr>
                              <w:t>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Lato;sans-serif" w:hAnsi="Lato;sans-serif"/>
                          <w:b w:val="false"/>
                          <w:color w:val="000000"/>
                          <w:sz w:val="20"/>
                        </w:rPr>
                      </w:pPr>
                      <w:r>
                        <w:rPr>
                          <w:rFonts w:ascii="Lato;sans-serif" w:hAnsi="Lato;sans-serif"/>
                          <w:b w:val="false"/>
                          <w:color w:val="000000"/>
                          <w:sz w:val="20"/>
                        </w:rPr>
                        <w:t>63</w:t>
                      </w:r>
                    </w:p>
                    <w:p>
                      <w:pPr>
                        <w:pStyle w:val="TextBody"/>
                        <w:bidi w:val="0"/>
                        <w:spacing w:lineRule="auto" w:line="288" w:before="0" w:after="0"/>
                        <w:jc w:val="left"/>
                        <w:rPr>
                          <w:color w:val="000000"/>
                        </w:rPr>
                      </w:pPr>
                      <w:r>
                        <w:rPr>
                          <w:color w:val="000000"/>
                        </w:rPr>
                        <w:t>        </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60"/>
        <w:jc w:val="both"/>
        <w:rPr/>
      </w:pPr>
      <w:r>
        <w:rPr>
          <w:rFonts w:ascii="Lato;sans-serif" w:hAnsi="Lato;sans-serif"/>
          <w:b w:val="false"/>
          <w:color w:val="000000"/>
          <w:sz w:val="16"/>
        </w:rPr>
        <w:t xml:space="preserve">The value for the CEO Premium-Priced Performance Option included for Mr. Schuck is based on a total aggregate of 9,678,000 stock options available under the applicable award, and further determined based on a weighted average grant date fair value of $3.34 per share. The Company determined the fair value of the CEO Premium-Priced Performance Option by using a Monte Carlo simulation approach with the following assumptions: risk-free interest rate of 3.96%, expected term of ten years, expected volatility of 52.34%, and dividend yield of 0%. For additional information relating to the CEO Premium-Priced Performance Option, including our assumptions, see </w:t>
      </w:r>
      <w:r>
        <w:rPr>
          <w:rFonts w:ascii="Lato;sans-serif" w:hAnsi="Lato;sans-serif"/>
          <w:b w:val="false"/>
          <w:i/>
          <w:color w:val="000000"/>
          <w:sz w:val="16"/>
        </w:rPr>
        <w:t>Note 13: “Equity-based Compensation” to our audited consolidated financial statements included in Part II, Item 8 of our 2025 10-K</w:t>
      </w:r>
      <w:r>
        <w:rPr>
          <w:rFonts w:ascii="Lato;sans-serif" w:hAnsi="Lato;sans-serif"/>
          <w:b w:val="false"/>
          <w:color w:val="000000"/>
          <w:sz w:val="16"/>
        </w:rPr>
        <w:t>.”</w:t>
      </w:r>
    </w:p>
    <w:p>
      <w:pPr>
        <w:pStyle w:val="TextBody"/>
        <w:bidi w:val="0"/>
        <w:spacing w:lineRule="auto" w:line="288" w:before="0" w:after="160"/>
        <w:ind w:left="0" w:right="0" w:hanging="360"/>
        <w:jc w:val="both"/>
        <w:rPr/>
      </w:pPr>
      <w:r>
        <w:rPr>
          <w:rFonts w:ascii="Lato;sans-serif" w:hAnsi="Lato;sans-serif"/>
          <w:b w:val="false"/>
          <w:color w:val="000000"/>
          <w:sz w:val="16"/>
        </w:rPr>
        <w:t>(5)Amounts in this column include cash incentive bonuses earned by our NEOs in the fiscal years referenced. See “</w:t>
      </w:r>
      <w:hyperlink w:anchor="ib09e1ad647de4075ad613c1a43ff4b94_94">
        <w:r>
          <w:rPr>
            <w:rStyle w:val="InternetLink"/>
            <w:rFonts w:ascii="Lato;sans-serif" w:hAnsi="Lato;sans-serif"/>
            <w:b w:val="false"/>
            <w:i/>
            <w:color w:val="0000FF"/>
            <w:sz w:val="16"/>
            <w:u w:val="single"/>
          </w:rPr>
          <w:t>Executive Compensation Discussion and Analysis</w:t>
        </w:r>
      </w:hyperlink>
      <w:r>
        <w:rPr>
          <w:color w:val="000000"/>
        </w:rPr>
        <w:t xml:space="preserve">” </w:t>
      </w:r>
      <w:r>
        <w:rPr>
          <w:rFonts w:ascii="Lato;sans-serif" w:hAnsi="Lato;sans-serif"/>
          <w:b w:val="false"/>
          <w:color w:val="000000"/>
          <w:sz w:val="16"/>
        </w:rPr>
        <w:t>above.</w:t>
      </w:r>
    </w:p>
    <w:p>
      <w:pPr>
        <w:pStyle w:val="TextBody"/>
        <w:bidi w:val="0"/>
        <w:spacing w:lineRule="auto" w:line="288" w:before="0" w:after="160"/>
        <w:jc w:val="both"/>
        <w:rPr>
          <w:rFonts w:ascii="Lato;sans-serif" w:hAnsi="Lato;sans-serif"/>
          <w:b w:val="false"/>
          <w:color w:val="000000"/>
          <w:sz w:val="16"/>
        </w:rPr>
      </w:pPr>
      <w:r>
        <w:rPr>
          <w:rFonts w:ascii="Lato;sans-serif" w:hAnsi="Lato;sans-serif"/>
          <w:b w:val="false"/>
          <w:color w:val="000000"/>
          <w:sz w:val="16"/>
        </w:rPr>
        <w:t>Mr. O’Brien’s 2024 cash incentive bonus reflects his service as an NEO for a portion of fiscal year 2024. As previously disclosed in our Proxy Statement for 2024, Mr. O’Brien was entitled to receive, for his 2024 performance year, which began on January 1, 2024, and ended on December 31, 2024, the target percentage for his cash bonus, pro-rated from January 1, 2024 until September 5, 2024 at 30% of his salary (which was $310,000 on an annual basis) prior to this interim appointment, and from September 6, 2024 until December 31, 2024, at 50% of his new base salary of $450,000. In recognition of Mr. O’Brien’s exceptional performance while serving as both Interim Chief Financial Officer and Vice President of Financial Planning and Analysis during the second half of 2024, the Compensation Committee exercised its discretion and applied an individual performance modifier, such that Mr. O’Brien received 100% of his pro forma target bonus for the year, along with an additional $50,000 special cash bonus.</w:t>
      </w:r>
    </w:p>
    <w:p>
      <w:pPr>
        <w:pStyle w:val="TextBody"/>
        <w:bidi w:val="0"/>
        <w:spacing w:lineRule="auto" w:line="288" w:before="0" w:after="0"/>
        <w:ind w:left="0" w:right="0" w:hanging="360"/>
        <w:jc w:val="both"/>
        <w:rPr/>
      </w:pPr>
      <w:r>
        <w:rPr>
          <w:rFonts w:ascii="Lato;sans-serif" w:hAnsi="Lato;sans-serif"/>
          <w:b w:val="false"/>
          <w:color w:val="000000"/>
          <w:sz w:val="16"/>
        </w:rPr>
        <w:t>(6)The amounts reported represent our 401(k) Plan matching contributions and the imputed income from group-term life (GTL) insurance provided to our NEOs, and further, solely in the case of Mr. O’Brien, the amounts also include a “synthetic” tax receivable agreement-related payment of $11,332 that he received as a result of holding an indirect interest in ZoomInfo Holdings LLC that was converted to common stock of ZoomInfo Technologies Inc. at the time of the Company’s IPO. For a description of our 401(k) Plan, see “</w:t>
      </w:r>
      <w:hyperlink w:anchor="ib09e1ad647de4075ad613c1a43ff4b94_94">
        <w:r>
          <w:rPr>
            <w:rStyle w:val="InternetLink"/>
            <w:rFonts w:ascii="Lato;sans-serif" w:hAnsi="Lato;sans-serif"/>
            <w:b w:val="false"/>
            <w:i/>
            <w:color w:val="0000FF"/>
            <w:sz w:val="16"/>
            <w:u w:val="single"/>
          </w:rPr>
          <w:t>Executive Compensation Discussion and Analysis</w:t>
        </w:r>
      </w:hyperlink>
      <w:r>
        <w:rPr>
          <w:color w:val="000000"/>
        </w:rPr>
        <w:t xml:space="preserve">” </w:t>
      </w:r>
      <w:r>
        <w:rPr>
          <w:rFonts w:ascii="Lato;sans-serif" w:hAnsi="Lato;sans-serif"/>
          <w:b w:val="false"/>
          <w:color w:val="000000"/>
          <w:sz w:val="16"/>
        </w:rPr>
        <w:t>above.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0">
                <wp:simplePos x="0" y="0"/>
                <wp:positionH relativeFrom="character">
                  <wp:align>left</wp:align>
                </wp:positionH>
                <wp:positionV relativeFrom="line">
                  <wp:posOffset>635</wp:posOffset>
                </wp:positionV>
                <wp:extent cx="6480175" cy="352425"/>
                <wp:effectExtent l="0" t="0" r="0" b="0"/>
                <wp:wrapNone/>
                <wp:docPr id="86" name="Frame70"/>
                <a:graphic xmlns:a="http://schemas.openxmlformats.org/drawingml/2006/main">
                  <a:graphicData uri="http://schemas.microsoft.com/office/word/2010/wordprocessingShape">
                    <wps:wsp>
                      <wps:cNvSpPr txBox="1"/>
                      <wps:spPr>
                        <a:xfrm>
                          <a:off x="0" y="0"/>
                          <a:ext cx="6480175" cy="352425"/>
                        </a:xfrm>
                        <a:prstGeom prst="rect"/>
                        <a:solidFill>
                          <a:srgbClr val="FFFFFF"/>
                        </a:solidFill>
                      </wps:spPr>
                      <wps:txbx>
                        <w:txbxContent>
                          <w:p>
                            <w:pPr>
                              <w:pStyle w:val="TextBody"/>
                              <w:bidi w:val="0"/>
                              <w:spacing w:lineRule="auto" w:line="288" w:before="0" w:after="0"/>
                              <w:jc w:val="center"/>
                              <w:rPr>
                                <w:rFonts w:ascii="Lato;sans-serif" w:hAnsi="Lato;sans-serif"/>
                                <w:b w:val="false"/>
                                <w:color w:val="000000"/>
                                <w:sz w:val="20"/>
                              </w:rPr>
                            </w:pPr>
                            <w:r>
                              <w:rPr>
                                <w:rFonts w:ascii="Lato;sans-serif" w:hAnsi="Lato;sans-serif"/>
                                <w:b w:val="false"/>
                                <w:color w:val="000000"/>
                                <w:sz w:val="20"/>
                              </w:rPr>
                              <w:t>64</w:t>
                            </w:r>
                          </w:p>
                          <w:p>
                            <w:pPr>
                              <w:pStyle w:val="TextBody"/>
                              <w:bidi w:val="0"/>
                              <w:spacing w:lineRule="auto" w:line="288" w:before="0" w:after="0"/>
                              <w:jc w:val="left"/>
                              <w:rPr>
                                <w:color w:val="000000"/>
                              </w:rPr>
                            </w:pPr>
                            <w:r>
                              <w:rPr>
                                <w:color w:val="000000"/>
                              </w:rPr>
                              <w:t>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Lato;sans-serif" w:hAnsi="Lato;sans-serif"/>
                          <w:b w:val="false"/>
                          <w:color w:val="000000"/>
                          <w:sz w:val="20"/>
                        </w:rPr>
                      </w:pPr>
                      <w:r>
                        <w:rPr>
                          <w:rFonts w:ascii="Lato;sans-serif" w:hAnsi="Lato;sans-serif"/>
                          <w:b w:val="false"/>
                          <w:color w:val="000000"/>
                          <w:sz w:val="20"/>
                        </w:rPr>
                        <w:t>64</w:t>
                      </w:r>
                    </w:p>
                    <w:p>
                      <w:pPr>
                        <w:pStyle w:val="TextBody"/>
                        <w:bidi w:val="0"/>
                        <w:spacing w:lineRule="auto" w:line="288" w:before="0" w:after="0"/>
                        <w:jc w:val="left"/>
                        <w:rPr>
                          <w:color w:val="000000"/>
                        </w:rPr>
                      </w:pPr>
                      <w:r>
                        <w:rPr>
                          <w:color w:val="000000"/>
                        </w:rPr>
                        <w:t>        </w:t>
                      </w:r>
                    </w:p>
                  </w:txbxContent>
                </v:textbox>
                <w10:wrap type="none"/>
              </v:rect>
            </w:pict>
          </mc:Fallback>
        </mc:AlternateContent>
      </w:r>
    </w:p>
    <w:p>
      <w:pPr>
        <w:pStyle w:val="TextBody"/>
        <w:bidi w:val="0"/>
        <w:spacing w:before="0" w:after="0"/>
        <w:jc w:val="left"/>
        <w:rPr/>
      </w:pPr>
      <w:r>
        <w:rPr/>
      </w:r>
    </w:p>
    <w:p>
      <w:pPr>
        <w:pStyle w:val="TextBody"/>
        <w:bidi w:val="0"/>
        <w:spacing w:lineRule="auto" w:line="333" w:before="300" w:after="180"/>
        <w:jc w:val="left"/>
        <w:rPr>
          <w:rFonts w:ascii="Lato;sans-serif" w:hAnsi="Lato;sans-serif"/>
          <w:b/>
          <w:color w:val="000000"/>
          <w:sz w:val="20"/>
        </w:rPr>
      </w:pPr>
      <w:r>
        <w:rPr>
          <w:rFonts w:ascii="Lato;sans-serif" w:hAnsi="Lato;sans-serif"/>
          <w:b/>
          <w:color w:val="000000"/>
          <w:sz w:val="20"/>
        </w:rPr>
        <w:t>Grants of Plan-Based Awards in Fiscal 2025</w:t>
      </w:r>
    </w:p>
    <w:p>
      <w:pPr>
        <w:pStyle w:val="TextBody"/>
        <w:bidi w:val="0"/>
        <w:spacing w:lineRule="auto" w:line="288" w:before="0" w:after="120"/>
        <w:jc w:val="both"/>
        <w:rPr/>
      </w:pPr>
      <w:r>
        <w:rPr>
          <w:rFonts w:ascii="Lato;sans-serif" w:hAnsi="Lato;sans-serif"/>
          <w:b w:val="false"/>
          <w:color w:val="000000"/>
          <w:sz w:val="20"/>
        </w:rPr>
        <w:t>The following table presents information regarding grants of plan-based awards during 2025 to our NEOs. The non-equity incentive plan awards were granted under our 2025</w:t>
      </w:r>
      <w:r>
        <w:rPr>
          <w:color w:val="000000"/>
          <w:shd w:fill="FFFFFF" w:val="clear"/>
        </w:rPr>
        <w:t xml:space="preserve"> </w:t>
      </w:r>
      <w:r>
        <w:rPr>
          <w:rFonts w:ascii="Lato;sans-serif" w:hAnsi="Lato;sans-serif"/>
          <w:b w:val="false"/>
          <w:color w:val="000000"/>
          <w:sz w:val="20"/>
          <w:shd w:fill="FFFFFF" w:val="clear"/>
        </w:rPr>
        <w:t>Cash Incentive Bonus Plan, as described in greater detail in “</w:t>
      </w:r>
      <w:hyperlink w:anchor="ib09e1ad647de4075ad613c1a43ff4b94_94">
        <w:r>
          <w:rPr>
            <w:rStyle w:val="InternetLink"/>
            <w:rFonts w:ascii="Lato;sans-serif" w:hAnsi="Lato;sans-serif"/>
            <w:b w:val="false"/>
            <w:i/>
            <w:color w:val="0000FF"/>
            <w:sz w:val="20"/>
            <w:u w:val="single"/>
            <w:shd w:fill="FFFFFF" w:val="clear"/>
          </w:rPr>
          <w:t>Executive Compensation Discussion and Analysis</w:t>
        </w:r>
      </w:hyperlink>
      <w:r>
        <w:rPr>
          <w:color w:val="000000"/>
          <w:shd w:fill="FFFFFF" w:val="clear"/>
        </w:rPr>
        <w:t xml:space="preserve">” </w:t>
      </w:r>
      <w:r>
        <w:rPr>
          <w:rFonts w:ascii="Lato;sans-serif" w:hAnsi="Lato;sans-serif"/>
          <w:b w:val="false"/>
          <w:color w:val="000000"/>
          <w:sz w:val="20"/>
          <w:shd w:fill="FFFFFF" w:val="clear"/>
        </w:rPr>
        <w:t>above.</w:t>
      </w:r>
      <w:r>
        <w:rPr>
          <w:color w:val="000000"/>
        </w:rPr>
        <w:t xml:space="preserve"> </w:t>
      </w:r>
      <w:r>
        <w:rPr>
          <w:rFonts w:ascii="Lato;sans-serif" w:hAnsi="Lato;sans-serif"/>
          <w:b w:val="false"/>
          <w:color w:val="000000"/>
          <w:sz w:val="20"/>
        </w:rPr>
        <w:t>The equity incentive plan awards were granted under our 2020 Omnibus Incentive Plan. The vesting schedule for the awards is set forth below in the table “</w:t>
      </w:r>
      <w:r>
        <w:rPr>
          <w:rFonts w:ascii="Lato;sans-serif" w:hAnsi="Lato;sans-serif"/>
          <w:b w:val="false"/>
          <w:i/>
          <w:color w:val="000000"/>
          <w:sz w:val="20"/>
        </w:rPr>
        <w:t>Outstanding Equity Awards at 2025 Fiscal Year-End</w:t>
      </w:r>
      <w:r>
        <w:rPr>
          <w:rFonts w:ascii="Lato;sans-serif" w:hAnsi="Lato;sans-serif"/>
          <w:b w:val="false"/>
          <w:color w:val="000000"/>
          <w:sz w:val="20"/>
        </w:rPr>
        <w:t>.”</w:t>
      </w:r>
    </w:p>
    <w:tbl>
      <w:tblPr>
        <w:tblW w:w="11193" w:type="dxa"/>
        <w:jc w:val="left"/>
        <w:tblInd w:w="0" w:type="dxa"/>
        <w:tblLayout w:type="fixed"/>
        <w:tblCellMar>
          <w:top w:w="28" w:type="dxa"/>
          <w:left w:w="28" w:type="dxa"/>
          <w:bottom w:w="28" w:type="dxa"/>
          <w:right w:w="28" w:type="dxa"/>
        </w:tblCellMar>
      </w:tblPr>
      <w:tblGrid>
        <w:gridCol w:w="420"/>
        <w:gridCol w:w="224"/>
        <w:gridCol w:w="227"/>
        <w:gridCol w:w="544"/>
        <w:gridCol w:w="544"/>
        <w:gridCol w:w="368"/>
        <w:gridCol w:w="109"/>
        <w:gridCol w:w="109"/>
        <w:gridCol w:w="109"/>
        <w:gridCol w:w="295"/>
        <w:gridCol w:w="295"/>
        <w:gridCol w:w="296"/>
        <w:gridCol w:w="109"/>
        <w:gridCol w:w="109"/>
        <w:gridCol w:w="109"/>
        <w:gridCol w:w="436"/>
        <w:gridCol w:w="436"/>
        <w:gridCol w:w="179"/>
        <w:gridCol w:w="109"/>
        <w:gridCol w:w="109"/>
        <w:gridCol w:w="109"/>
        <w:gridCol w:w="436"/>
        <w:gridCol w:w="236"/>
        <w:gridCol w:w="109"/>
        <w:gridCol w:w="109"/>
        <w:gridCol w:w="109"/>
        <w:gridCol w:w="109"/>
        <w:gridCol w:w="436"/>
        <w:gridCol w:w="436"/>
        <w:gridCol w:w="119"/>
        <w:gridCol w:w="109"/>
        <w:gridCol w:w="109"/>
        <w:gridCol w:w="109"/>
        <w:gridCol w:w="285"/>
        <w:gridCol w:w="285"/>
        <w:gridCol w:w="286"/>
        <w:gridCol w:w="109"/>
        <w:gridCol w:w="109"/>
        <w:gridCol w:w="109"/>
        <w:gridCol w:w="400"/>
        <w:gridCol w:w="265"/>
        <w:gridCol w:w="266"/>
        <w:gridCol w:w="109"/>
        <w:gridCol w:w="109"/>
        <w:gridCol w:w="109"/>
        <w:gridCol w:w="486"/>
        <w:gridCol w:w="246"/>
        <w:gridCol w:w="349"/>
      </w:tblGrid>
      <w:tr>
        <w:trPr/>
        <w:tc>
          <w:tcPr>
            <w:tcW w:w="420"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0"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r>
      <w:tr>
        <w:trPr/>
        <w:tc>
          <w:tcPr>
            <w:tcW w:w="871" w:type="dxa"/>
            <w:gridSpan w:val="3"/>
            <w:tcBorders/>
            <w:shd w:fill="F4423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6" w:type="dxa"/>
            <w:gridSpan w:val="3"/>
            <w:tcBorders/>
            <w:shd w:fill="F4423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4423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F4423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4423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77" w:type="dxa"/>
            <w:gridSpan w:val="15"/>
            <w:tcBorders/>
            <w:shd w:fill="F44238" w:val="clear"/>
            <w:tcMar>
              <w:top w:w="0" w:type="dxa"/>
              <w:left w:w="0" w:type="dxa"/>
              <w:bottom w:w="0" w:type="dxa"/>
              <w:right w:w="0" w:type="dxa"/>
            </w:tcMar>
            <w:vAlign w:val="center"/>
          </w:tcPr>
          <w:p>
            <w:pPr>
              <w:pStyle w:val="TableContents"/>
              <w:bidi w:val="0"/>
              <w:spacing w:lineRule="auto" w:line="288" w:before="0" w:after="0"/>
              <w:jc w:val="center"/>
              <w:rPr/>
            </w:pPr>
            <w:r>
              <w:rPr>
                <w:rFonts w:ascii="Lato;sans-serif" w:hAnsi="Lato;sans-serif"/>
                <w:b/>
                <w:color w:val="FFFFFF"/>
                <w:sz w:val="16"/>
              </w:rPr>
              <w:t>Estimated Future Payouts Under Non-Equity Incentive Plan Awards</w:t>
            </w:r>
            <w:r>
              <w:rPr>
                <w:rFonts w:ascii="Lato;sans-serif" w:hAnsi="Lato;sans-serif"/>
                <w:b/>
                <w:color w:val="FFFFFF"/>
                <w:sz w:val="10"/>
              </w:rPr>
              <w:t>(1)</w:t>
            </w:r>
          </w:p>
        </w:tc>
        <w:tc>
          <w:tcPr>
            <w:tcW w:w="327" w:type="dxa"/>
            <w:gridSpan w:val="3"/>
            <w:tcBorders/>
            <w:shd w:fill="F4423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vMerge w:val="restart"/>
            <w:tcBorders/>
            <w:shd w:fill="F44238" w:val="clear"/>
            <w:tcMar>
              <w:top w:w="0" w:type="dxa"/>
              <w:left w:w="0" w:type="dxa"/>
              <w:bottom w:w="0" w:type="dxa"/>
              <w:right w:w="0" w:type="dxa"/>
            </w:tcMar>
            <w:vAlign w:val="center"/>
          </w:tcPr>
          <w:p>
            <w:pPr>
              <w:pStyle w:val="TableContents"/>
              <w:bidi w:val="0"/>
              <w:spacing w:lineRule="auto" w:line="288" w:before="53" w:after="30"/>
              <w:jc w:val="center"/>
              <w:rPr>
                <w:rFonts w:ascii="Lato;sans-serif" w:hAnsi="Lato;sans-serif"/>
                <w:b/>
                <w:color w:val="FFFFFF"/>
                <w:sz w:val="16"/>
                <w:shd w:fill="F44238" w:val="clear"/>
              </w:rPr>
            </w:pPr>
            <w:r>
              <w:rPr>
                <w:rFonts w:ascii="Lato;sans-serif" w:hAnsi="Lato;sans-serif"/>
                <w:b/>
                <w:color w:val="FFFFFF"/>
                <w:sz w:val="16"/>
                <w:shd w:fill="F44238" w:val="clear"/>
              </w:rPr>
              <w:t>All Other Stock Awards: Number of Shares of Stock or Units (#)</w:t>
            </w:r>
          </w:p>
        </w:tc>
        <w:tc>
          <w:tcPr>
            <w:tcW w:w="327" w:type="dxa"/>
            <w:gridSpan w:val="3"/>
            <w:tcBorders/>
            <w:shd w:fill="F4423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vMerge w:val="restart"/>
            <w:tcBorders/>
            <w:shd w:fill="F44238" w:val="clear"/>
            <w:tcMar>
              <w:top w:w="0" w:type="dxa"/>
              <w:left w:w="0" w:type="dxa"/>
              <w:bottom w:w="0" w:type="dxa"/>
              <w:right w:w="0" w:type="dxa"/>
            </w:tcMar>
            <w:vAlign w:val="center"/>
          </w:tcPr>
          <w:p>
            <w:pPr>
              <w:pStyle w:val="TableContents"/>
              <w:bidi w:val="0"/>
              <w:spacing w:lineRule="auto" w:line="288" w:before="0" w:after="283"/>
              <w:jc w:val="center"/>
              <w:rPr>
                <w:rFonts w:ascii="Lato;sans-serif" w:hAnsi="Lato;sans-serif"/>
                <w:b/>
                <w:color w:val="FFFFFF"/>
                <w:sz w:val="16"/>
              </w:rPr>
            </w:pPr>
            <w:r>
              <w:rPr>
                <w:rFonts w:ascii="Lato;sans-serif" w:hAnsi="Lato;sans-serif"/>
                <w:b/>
                <w:color w:val="FFFFFF"/>
                <w:sz w:val="16"/>
              </w:rPr>
              <w:t>Option Awards</w:t>
            </w:r>
          </w:p>
        </w:tc>
        <w:tc>
          <w:tcPr>
            <w:tcW w:w="327" w:type="dxa"/>
            <w:gridSpan w:val="3"/>
            <w:tcBorders/>
            <w:shd w:fill="F4423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vMerge w:val="restart"/>
            <w:tcBorders/>
            <w:shd w:fill="F44238" w:val="clear"/>
            <w:tcMar>
              <w:top w:w="0" w:type="dxa"/>
              <w:left w:w="0" w:type="dxa"/>
              <w:bottom w:w="0" w:type="dxa"/>
              <w:right w:w="0" w:type="dxa"/>
            </w:tcMar>
            <w:vAlign w:val="center"/>
          </w:tcPr>
          <w:p>
            <w:pPr>
              <w:pStyle w:val="TableContents"/>
              <w:bidi w:val="0"/>
              <w:spacing w:lineRule="auto" w:line="240" w:before="0" w:after="283"/>
              <w:jc w:val="center"/>
              <w:rPr>
                <w:rFonts w:ascii="Lato;sans-serif" w:hAnsi="Lato;sans-serif"/>
                <w:b/>
                <w:color w:val="FFFFFF"/>
                <w:sz w:val="16"/>
              </w:rPr>
            </w:pPr>
            <w:r>
              <w:rPr>
                <w:rFonts w:ascii="Lato;sans-serif" w:hAnsi="Lato;sans-serif"/>
                <w:b/>
                <w:color w:val="FFFFFF"/>
                <w:sz w:val="16"/>
              </w:rPr>
              <w:t>Grant Date Fair Value of Stock and Option Awards ($)</w:t>
            </w:r>
          </w:p>
        </w:tc>
      </w:tr>
      <w:tr>
        <w:trPr/>
        <w:tc>
          <w:tcPr>
            <w:tcW w:w="871" w:type="dxa"/>
            <w:gridSpan w:val="3"/>
            <w:tcBorders/>
            <w:shd w:fill="F44238"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color w:val="FFFFFF"/>
                <w:sz w:val="16"/>
              </w:rPr>
            </w:pPr>
            <w:r>
              <w:rPr>
                <w:rFonts w:ascii="Lato;sans-serif" w:hAnsi="Lato;sans-serif"/>
                <w:b/>
                <w:color w:val="FFFFFF"/>
                <w:sz w:val="16"/>
              </w:rPr>
              <w:t>Name</w:t>
            </w:r>
          </w:p>
        </w:tc>
        <w:tc>
          <w:tcPr>
            <w:tcW w:w="1456" w:type="dxa"/>
            <w:gridSpan w:val="3"/>
            <w:tcBorders/>
            <w:shd w:fill="F44238" w:val="clear"/>
            <w:tcMar>
              <w:top w:w="0" w:type="dxa"/>
              <w:left w:w="0" w:type="dxa"/>
              <w:bottom w:w="0" w:type="dxa"/>
              <w:right w:w="0" w:type="dxa"/>
            </w:tcMar>
            <w:vAlign w:val="center"/>
          </w:tcPr>
          <w:p>
            <w:pPr>
              <w:pStyle w:val="TableContents"/>
              <w:bidi w:val="0"/>
              <w:spacing w:lineRule="auto" w:line="288" w:before="0" w:after="0"/>
              <w:ind w:left="0" w:right="0" w:firstLine="270"/>
              <w:jc w:val="center"/>
              <w:rPr/>
            </w:pPr>
            <w:r>
              <w:rPr>
                <w:rFonts w:ascii="Lato;sans-serif" w:hAnsi="Lato;sans-serif"/>
                <w:b/>
                <w:color w:val="FFFFFF"/>
                <w:sz w:val="16"/>
              </w:rPr>
              <w:t>Award Type</w:t>
            </w:r>
            <w:r>
              <w:rPr>
                <w:rFonts w:ascii="Lato;sans-serif" w:hAnsi="Lato;sans-serif"/>
                <w:b/>
                <w:color w:val="FFFFFF"/>
                <w:sz w:val="10"/>
              </w:rPr>
              <w:t>(2)</w:t>
            </w:r>
          </w:p>
        </w:tc>
        <w:tc>
          <w:tcPr>
            <w:tcW w:w="327" w:type="dxa"/>
            <w:gridSpan w:val="3"/>
            <w:tcBorders/>
            <w:shd w:fill="F4423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F44238" w:val="clear"/>
            <w:tcMar>
              <w:top w:w="0" w:type="dxa"/>
              <w:left w:w="0" w:type="dxa"/>
              <w:bottom w:w="0" w:type="dxa"/>
              <w:right w:w="0" w:type="dxa"/>
            </w:tcMar>
            <w:vAlign w:val="center"/>
          </w:tcPr>
          <w:p>
            <w:pPr>
              <w:pStyle w:val="TableContents"/>
              <w:bidi w:val="0"/>
              <w:spacing w:lineRule="auto" w:line="288" w:before="53" w:after="30"/>
              <w:ind w:left="0" w:right="0" w:firstLine="270"/>
              <w:jc w:val="center"/>
              <w:rPr>
                <w:rFonts w:ascii="Lato;sans-serif" w:hAnsi="Lato;sans-serif"/>
                <w:b/>
                <w:color w:val="FFFFFF"/>
                <w:sz w:val="16"/>
              </w:rPr>
            </w:pPr>
            <w:r>
              <w:rPr>
                <w:rFonts w:ascii="Lato;sans-serif" w:hAnsi="Lato;sans-serif"/>
                <w:b/>
                <w:color w:val="FFFFFF"/>
                <w:sz w:val="16"/>
              </w:rPr>
              <w:t>Grant Date</w:t>
            </w:r>
          </w:p>
        </w:tc>
        <w:tc>
          <w:tcPr>
            <w:tcW w:w="327" w:type="dxa"/>
            <w:gridSpan w:val="3"/>
            <w:tcBorders/>
            <w:shd w:fill="F4423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F44238" w:val="clear"/>
            <w:tcMar>
              <w:top w:w="0" w:type="dxa"/>
              <w:left w:w="0" w:type="dxa"/>
              <w:bottom w:w="0" w:type="dxa"/>
              <w:right w:w="0" w:type="dxa"/>
            </w:tcMar>
            <w:vAlign w:val="center"/>
          </w:tcPr>
          <w:p>
            <w:pPr>
              <w:pStyle w:val="TableContents"/>
              <w:bidi w:val="0"/>
              <w:spacing w:lineRule="auto" w:line="288" w:before="53" w:after="30"/>
              <w:jc w:val="center"/>
              <w:rPr>
                <w:rFonts w:ascii="Lato;sans-serif" w:hAnsi="Lato;sans-serif"/>
                <w:b/>
                <w:color w:val="FFFFFF"/>
                <w:sz w:val="16"/>
                <w:shd w:fill="F44238" w:val="clear"/>
              </w:rPr>
            </w:pPr>
            <w:r>
              <w:rPr>
                <w:rFonts w:ascii="Lato;sans-serif" w:hAnsi="Lato;sans-serif"/>
                <w:b/>
                <w:color w:val="FFFFFF"/>
                <w:sz w:val="16"/>
                <w:shd w:fill="F44238" w:val="clear"/>
              </w:rPr>
              <w:t>Threshold ($)</w:t>
            </w:r>
          </w:p>
        </w:tc>
        <w:tc>
          <w:tcPr>
            <w:tcW w:w="327" w:type="dxa"/>
            <w:gridSpan w:val="3"/>
            <w:tcBorders/>
            <w:shd w:fill="F4423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F44238" w:val="clear"/>
            <w:tcMar>
              <w:top w:w="0" w:type="dxa"/>
              <w:left w:w="0" w:type="dxa"/>
              <w:bottom w:w="0" w:type="dxa"/>
              <w:right w:w="0" w:type="dxa"/>
            </w:tcMar>
            <w:vAlign w:val="center"/>
          </w:tcPr>
          <w:p>
            <w:pPr>
              <w:pStyle w:val="TableContents"/>
              <w:bidi w:val="0"/>
              <w:spacing w:lineRule="auto" w:line="288" w:before="53" w:after="30"/>
              <w:jc w:val="center"/>
              <w:rPr>
                <w:rFonts w:ascii="Lato;sans-serif" w:hAnsi="Lato;sans-serif"/>
                <w:b/>
                <w:color w:val="FFFFFF"/>
                <w:sz w:val="16"/>
                <w:shd w:fill="F44238" w:val="clear"/>
              </w:rPr>
            </w:pPr>
            <w:r>
              <w:rPr>
                <w:rFonts w:ascii="Lato;sans-serif" w:hAnsi="Lato;sans-serif"/>
                <w:b/>
                <w:color w:val="FFFFFF"/>
                <w:sz w:val="16"/>
                <w:shd w:fill="F44238" w:val="clear"/>
              </w:rPr>
              <w:t>Target ($)</w:t>
            </w:r>
          </w:p>
        </w:tc>
        <w:tc>
          <w:tcPr>
            <w:tcW w:w="327" w:type="dxa"/>
            <w:gridSpan w:val="3"/>
            <w:tcBorders/>
            <w:shd w:fill="F4423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F44238" w:val="clear"/>
            <w:tcMar>
              <w:top w:w="0" w:type="dxa"/>
              <w:left w:w="0" w:type="dxa"/>
              <w:bottom w:w="0" w:type="dxa"/>
              <w:right w:w="0" w:type="dxa"/>
            </w:tcMar>
            <w:vAlign w:val="center"/>
          </w:tcPr>
          <w:p>
            <w:pPr>
              <w:pStyle w:val="TableContents"/>
              <w:bidi w:val="0"/>
              <w:spacing w:lineRule="auto" w:line="288" w:before="53" w:after="30"/>
              <w:jc w:val="center"/>
              <w:rPr>
                <w:rFonts w:ascii="Lato;sans-serif" w:hAnsi="Lato;sans-serif"/>
                <w:b/>
                <w:color w:val="FFFFFF"/>
                <w:sz w:val="16"/>
                <w:shd w:fill="F44238" w:val="clear"/>
              </w:rPr>
            </w:pPr>
            <w:r>
              <w:rPr>
                <w:rFonts w:ascii="Lato;sans-serif" w:hAnsi="Lato;sans-serif"/>
                <w:b/>
                <w:color w:val="FFFFFF"/>
                <w:sz w:val="16"/>
                <w:shd w:fill="F44238" w:val="clear"/>
              </w:rPr>
              <w:t>Maximum ($)</w:t>
            </w:r>
          </w:p>
        </w:tc>
        <w:tc>
          <w:tcPr>
            <w:tcW w:w="327" w:type="dxa"/>
            <w:gridSpan w:val="3"/>
            <w:tcBorders/>
            <w:shd w:fill="F4423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vMerge w:val="continue"/>
            <w:tcBorders/>
            <w:shd w:fill="F44238" w:val="clear"/>
            <w:tcMar>
              <w:top w:w="0" w:type="dxa"/>
              <w:left w:w="0" w:type="dxa"/>
              <w:bottom w:w="0" w:type="dxa"/>
              <w:right w:w="0" w:type="dxa"/>
            </w:tcMar>
            <w:vAlign w:val="center"/>
          </w:tcPr>
          <w:p>
            <w:pPr>
              <w:pStyle w:val="Normal"/>
              <w:bidi w:val="0"/>
              <w:jc w:val="left"/>
              <w:rPr/>
            </w:pPr>
            <w:r>
              <w:rPr/>
            </w:r>
          </w:p>
        </w:tc>
        <w:tc>
          <w:tcPr>
            <w:tcW w:w="327" w:type="dxa"/>
            <w:gridSpan w:val="3"/>
            <w:tcBorders/>
            <w:shd w:fill="F4423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vMerge w:val="continue"/>
            <w:tcBorders/>
            <w:shd w:fill="F44238" w:val="clear"/>
            <w:tcMar>
              <w:top w:w="0" w:type="dxa"/>
              <w:left w:w="0" w:type="dxa"/>
              <w:bottom w:w="0" w:type="dxa"/>
              <w:right w:w="0" w:type="dxa"/>
            </w:tcMar>
            <w:vAlign w:val="center"/>
          </w:tcPr>
          <w:p>
            <w:pPr>
              <w:pStyle w:val="Normal"/>
              <w:bidi w:val="0"/>
              <w:jc w:val="left"/>
              <w:rPr/>
            </w:pPr>
            <w:r>
              <w:rPr/>
            </w:r>
          </w:p>
        </w:tc>
        <w:tc>
          <w:tcPr>
            <w:tcW w:w="327" w:type="dxa"/>
            <w:gridSpan w:val="3"/>
            <w:tcBorders/>
            <w:shd w:fill="F4423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vMerge w:val="continue"/>
            <w:tcBorders/>
            <w:shd w:fill="F44238" w:val="clear"/>
            <w:tcMar>
              <w:top w:w="0" w:type="dxa"/>
              <w:left w:w="0" w:type="dxa"/>
              <w:bottom w:w="0" w:type="dxa"/>
              <w:right w:w="0" w:type="dxa"/>
            </w:tcMar>
            <w:vAlign w:val="center"/>
          </w:tcPr>
          <w:p>
            <w:pPr>
              <w:pStyle w:val="Normal"/>
              <w:bidi w:val="0"/>
              <w:jc w:val="left"/>
              <w:rPr/>
            </w:pPr>
            <w:r>
              <w:rPr/>
            </w:r>
          </w:p>
        </w:tc>
      </w:tr>
      <w:tr>
        <w:trPr/>
        <w:tc>
          <w:tcPr>
            <w:tcW w:w="871"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0"/>
              <w:jc w:val="left"/>
              <w:rPr>
                <w:rFonts w:ascii="Lato;sans-serif" w:hAnsi="Lato;sans-serif"/>
                <w:b w:val="false"/>
                <w:color w:val="000000"/>
                <w:sz w:val="16"/>
              </w:rPr>
            </w:pPr>
            <w:r>
              <w:rPr>
                <w:rFonts w:ascii="Lato;sans-serif" w:hAnsi="Lato;sans-serif"/>
                <w:b w:val="false"/>
                <w:color w:val="000000"/>
                <w:sz w:val="16"/>
              </w:rPr>
              <w:t>Henry L. Schuck</w:t>
            </w:r>
          </w:p>
        </w:tc>
        <w:tc>
          <w:tcPr>
            <w:tcW w:w="1456"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Lato;sans-serif" w:hAnsi="Lato;sans-serif"/>
                <w:b w:val="false"/>
                <w:color w:val="000000"/>
                <w:sz w:val="16"/>
              </w:rPr>
            </w:pPr>
            <w:r>
              <w:rPr>
                <w:rFonts w:ascii="Lato;sans-serif" w:hAnsi="Lato;sans-serif"/>
                <w:b w:val="false"/>
                <w:color w:val="000000"/>
                <w:sz w:val="16"/>
              </w:rPr>
              <w:t>Cash</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Lato;sans-serif" w:hAnsi="Lato;sans-serif"/>
                <w:b w:val="false"/>
                <w:color w:val="000000"/>
                <w:sz w:val="16"/>
              </w:rPr>
            </w:pPr>
            <w:r>
              <w:rPr>
                <w:rFonts w:ascii="Lato;sans-serif" w:hAnsi="Lato;sans-serif"/>
                <w:b w:val="false"/>
                <w:color w:val="000000"/>
                <w:sz w:val="16"/>
              </w:rPr>
              <w:t>600,000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Lato;sans-serif" w:hAnsi="Lato;sans-serif"/>
                <w:b w:val="false"/>
                <w:color w:val="000000"/>
                <w:sz w:val="16"/>
              </w:rPr>
            </w:pPr>
            <w:r>
              <w:rPr>
                <w:rFonts w:ascii="Lato;sans-serif" w:hAnsi="Lato;sans-serif"/>
                <w:b w:val="false"/>
                <w:color w:val="000000"/>
                <w:sz w:val="16"/>
              </w:rPr>
              <w:t>750,000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r>
      <w:tr>
        <w:trPr/>
        <w:tc>
          <w:tcPr>
            <w:tcW w:w="8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Lato;sans-serif" w:hAnsi="Lato;sans-serif"/>
                <w:b w:val="false"/>
                <w:color w:val="000000"/>
                <w:sz w:val="16"/>
              </w:rPr>
            </w:pPr>
            <w:r>
              <w:rPr>
                <w:rFonts w:ascii="Lato;sans-serif" w:hAnsi="Lato;sans-serif"/>
                <w:b w:val="false"/>
                <w:color w:val="000000"/>
                <w:sz w:val="16"/>
              </w:rPr>
              <w:t>CEO Premium-Priced Performance Option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Lato;sans-serif" w:hAnsi="Lato;sans-serif"/>
                <w:b w:val="false"/>
                <w:color w:val="000000"/>
                <w:sz w:val="16"/>
              </w:rPr>
            </w:pPr>
            <w:r>
              <w:rPr>
                <w:rFonts w:ascii="Lato;sans-serif" w:hAnsi="Lato;sans-serif"/>
                <w:b w:val="false"/>
                <w:color w:val="000000"/>
                <w:sz w:val="16"/>
              </w:rPr>
              <w:t>11/26/2025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Lato;sans-serif" w:hAnsi="Lato;sans-serif"/>
                <w:b w:val="false"/>
                <w:color w:val="000000"/>
                <w:sz w:val="16"/>
              </w:rPr>
            </w:pPr>
            <w:r>
              <w:rPr>
                <w:rFonts w:ascii="Lato;sans-serif" w:hAnsi="Lato;sans-serif"/>
                <w:b w:val="false"/>
                <w:color w:val="000000"/>
                <w:sz w:val="16"/>
              </w:rPr>
              <w:t>9,678,000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Lato;sans-serif" w:hAnsi="Lato;sans-serif"/>
                <w:b w:val="false"/>
                <w:color w:val="000000"/>
                <w:sz w:val="16"/>
              </w:rPr>
            </w:pPr>
            <w:r>
              <w:rPr>
                <w:rFonts w:ascii="Lato;sans-serif" w:hAnsi="Lato;sans-serif"/>
                <w:b w:val="false"/>
                <w:color w:val="000000"/>
                <w:sz w:val="16"/>
              </w:rPr>
              <w:t>32,356,780</w:t>
            </w:r>
          </w:p>
        </w:tc>
      </w:tr>
      <w:tr>
        <w:trPr/>
        <w:tc>
          <w:tcPr>
            <w:tcW w:w="871" w:type="dxa"/>
            <w:gridSpan w:val="3"/>
            <w:tcBorders/>
            <w:shd w:fill="DBDBDB" w:val="clear"/>
            <w:tcMar>
              <w:top w:w="0" w:type="dxa"/>
              <w:left w:w="0" w:type="dxa"/>
              <w:bottom w:w="0" w:type="dxa"/>
              <w:right w:w="0" w:type="dxa"/>
            </w:tcMar>
            <w:vAlign w:val="center"/>
          </w:tcPr>
          <w:p>
            <w:pPr>
              <w:pStyle w:val="TableContents"/>
              <w:bidi w:val="0"/>
              <w:spacing w:lineRule="auto" w:line="288" w:before="0" w:after="0"/>
              <w:jc w:val="left"/>
              <w:rPr>
                <w:rFonts w:ascii="Lato;sans-serif" w:hAnsi="Lato;sans-serif"/>
                <w:b w:val="false"/>
                <w:color w:val="000000"/>
                <w:sz w:val="16"/>
              </w:rPr>
            </w:pPr>
            <w:r>
              <w:rPr>
                <w:rFonts w:ascii="Lato;sans-serif" w:hAnsi="Lato;sans-serif"/>
                <w:b w:val="false"/>
                <w:color w:val="000000"/>
                <w:sz w:val="16"/>
              </w:rPr>
              <w:t>Michael Graham O'Brien</w:t>
            </w:r>
          </w:p>
        </w:tc>
        <w:tc>
          <w:tcPr>
            <w:tcW w:w="1456"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Lato;sans-serif" w:hAnsi="Lato;sans-serif"/>
                <w:b w:val="false"/>
                <w:color w:val="000000"/>
                <w:sz w:val="16"/>
              </w:rPr>
            </w:pPr>
            <w:r>
              <w:rPr>
                <w:rFonts w:ascii="Lato;sans-serif" w:hAnsi="Lato;sans-serif"/>
                <w:b w:val="false"/>
                <w:color w:val="000000"/>
                <w:sz w:val="16"/>
              </w:rPr>
              <w:t>Cash</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Lato;sans-serif" w:hAnsi="Lato;sans-serif"/>
                <w:b w:val="false"/>
                <w:color w:val="000000"/>
                <w:sz w:val="16"/>
              </w:rPr>
            </w:pPr>
            <w:r>
              <w:rPr>
                <w:rFonts w:ascii="Lato;sans-serif" w:hAnsi="Lato;sans-serif"/>
                <w:b w:val="false"/>
                <w:color w:val="000000"/>
                <w:sz w:val="16"/>
              </w:rPr>
              <w:t>282,000</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Lato;sans-serif" w:hAnsi="Lato;sans-serif"/>
                <w:b w:val="false"/>
                <w:color w:val="000000"/>
                <w:sz w:val="16"/>
              </w:rPr>
            </w:pPr>
            <w:r>
              <w:rPr>
                <w:rFonts w:ascii="Lato;sans-serif" w:hAnsi="Lato;sans-serif"/>
                <w:b w:val="false"/>
                <w:color w:val="000000"/>
                <w:sz w:val="16"/>
              </w:rPr>
              <w:t>352,500</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r>
      <w:tr>
        <w:trPr/>
        <w:tc>
          <w:tcPr>
            <w:tcW w:w="871"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6" w:type="dxa"/>
            <w:gridSpan w:val="3"/>
            <w:tcBorders/>
            <w:shd w:fill="DBDBDB" w:val="clear"/>
            <w:tcMar>
              <w:top w:w="0" w:type="dxa"/>
              <w:left w:w="0" w:type="dxa"/>
              <w:bottom w:w="0" w:type="dxa"/>
              <w:right w:w="0" w:type="dxa"/>
            </w:tcMar>
            <w:vAlign w:val="center"/>
          </w:tcPr>
          <w:p>
            <w:pPr>
              <w:pStyle w:val="TableContents"/>
              <w:bidi w:val="0"/>
              <w:spacing w:lineRule="auto" w:line="240" w:before="0" w:after="0"/>
              <w:jc w:val="center"/>
              <w:rPr>
                <w:rFonts w:ascii="Lato;sans-serif" w:hAnsi="Lato;sans-serif"/>
                <w:b w:val="false"/>
                <w:color w:val="000000"/>
                <w:sz w:val="16"/>
              </w:rPr>
            </w:pPr>
            <w:r>
              <w:rPr>
                <w:rFonts w:ascii="Lato;sans-serif" w:hAnsi="Lato;sans-serif"/>
                <w:b w:val="false"/>
                <w:color w:val="000000"/>
                <w:sz w:val="16"/>
              </w:rPr>
              <w:t>FCFps PSUs</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Lato;sans-serif" w:hAnsi="Lato;sans-serif"/>
                <w:b w:val="false"/>
                <w:color w:val="000000"/>
                <w:sz w:val="16"/>
              </w:rPr>
            </w:pPr>
            <w:r>
              <w:rPr>
                <w:rFonts w:ascii="Lato;sans-serif" w:hAnsi="Lato;sans-serif"/>
                <w:b w:val="false"/>
                <w:color w:val="000000"/>
                <w:sz w:val="16"/>
              </w:rPr>
              <w:t>7/31/2025</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Lato;sans-serif" w:hAnsi="Lato;sans-serif"/>
                <w:b w:val="false"/>
                <w:color w:val="000000"/>
                <w:sz w:val="16"/>
              </w:rPr>
            </w:pPr>
            <w:r>
              <w:rPr>
                <w:rFonts w:ascii="Lato;sans-serif" w:hAnsi="Lato;sans-serif"/>
                <w:b w:val="false"/>
                <w:color w:val="000000"/>
                <w:sz w:val="16"/>
              </w:rPr>
              <w:t>161,905</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Lato;sans-serif" w:hAnsi="Lato;sans-serif"/>
                <w:b w:val="false"/>
                <w:color w:val="000000"/>
                <w:sz w:val="16"/>
              </w:rPr>
            </w:pPr>
            <w:r>
              <w:rPr>
                <w:rFonts w:ascii="Lato;sans-serif" w:hAnsi="Lato;sans-serif"/>
                <w:b w:val="false"/>
                <w:color w:val="000000"/>
                <w:sz w:val="16"/>
              </w:rPr>
              <w:t>1,763,145</w:t>
            </w:r>
          </w:p>
        </w:tc>
      </w:tr>
      <w:tr>
        <w:trPr/>
        <w:tc>
          <w:tcPr>
            <w:tcW w:w="871"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6"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Lato;sans-serif" w:hAnsi="Lato;sans-serif"/>
                <w:b w:val="false"/>
                <w:color w:val="000000"/>
                <w:sz w:val="16"/>
              </w:rPr>
            </w:pPr>
            <w:r>
              <w:rPr>
                <w:rFonts w:ascii="Lato;sans-serif" w:hAnsi="Lato;sans-serif"/>
                <w:b w:val="false"/>
                <w:color w:val="000000"/>
                <w:sz w:val="16"/>
              </w:rPr>
              <w:t>FCFps PSUs</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Lato;sans-serif" w:hAnsi="Lato;sans-serif"/>
                <w:b w:val="false"/>
                <w:color w:val="000000"/>
                <w:sz w:val="16"/>
              </w:rPr>
            </w:pPr>
            <w:r>
              <w:rPr>
                <w:rFonts w:ascii="Lato;sans-serif" w:hAnsi="Lato;sans-serif"/>
                <w:b w:val="false"/>
                <w:color w:val="000000"/>
                <w:sz w:val="16"/>
              </w:rPr>
              <w:t>5/30/2025</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Lato;sans-serif" w:hAnsi="Lato;sans-serif"/>
                <w:b w:val="false"/>
                <w:color w:val="000000"/>
                <w:sz w:val="16"/>
              </w:rPr>
            </w:pPr>
            <w:r>
              <w:rPr>
                <w:rFonts w:ascii="Lato;sans-serif" w:hAnsi="Lato;sans-serif"/>
                <w:b w:val="false"/>
                <w:color w:val="000000"/>
                <w:sz w:val="16"/>
              </w:rPr>
              <w:t>59,500</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Lato;sans-serif" w:hAnsi="Lato;sans-serif"/>
                <w:b w:val="false"/>
                <w:color w:val="000000"/>
                <w:sz w:val="16"/>
              </w:rPr>
            </w:pPr>
            <w:r>
              <w:rPr>
                <w:rFonts w:ascii="Lato;sans-serif" w:hAnsi="Lato;sans-serif"/>
                <w:b w:val="false"/>
                <w:color w:val="000000"/>
                <w:sz w:val="16"/>
              </w:rPr>
              <w:t>554,540</w:t>
            </w:r>
          </w:p>
        </w:tc>
      </w:tr>
      <w:tr>
        <w:trPr/>
        <w:tc>
          <w:tcPr>
            <w:tcW w:w="871"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6"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Lato;sans-serif" w:hAnsi="Lato;sans-serif"/>
                <w:b w:val="false"/>
                <w:color w:val="000000"/>
                <w:sz w:val="16"/>
              </w:rPr>
            </w:pPr>
            <w:r>
              <w:rPr>
                <w:rFonts w:ascii="Lato;sans-serif" w:hAnsi="Lato;sans-serif"/>
                <w:b w:val="false"/>
                <w:color w:val="000000"/>
                <w:sz w:val="16"/>
              </w:rPr>
              <w:t>RSUs</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Lato;sans-serif" w:hAnsi="Lato;sans-serif"/>
                <w:b w:val="false"/>
                <w:color w:val="000000"/>
                <w:sz w:val="16"/>
              </w:rPr>
            </w:pPr>
            <w:r>
              <w:rPr>
                <w:rFonts w:ascii="Lato;sans-serif" w:hAnsi="Lato;sans-serif"/>
                <w:b w:val="false"/>
                <w:color w:val="000000"/>
                <w:sz w:val="16"/>
              </w:rPr>
              <w:t>7/31/2025</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Lato;sans-serif" w:hAnsi="Lato;sans-serif"/>
                <w:b w:val="false"/>
                <w:color w:val="000000"/>
                <w:sz w:val="16"/>
              </w:rPr>
            </w:pPr>
            <w:r>
              <w:rPr>
                <w:rFonts w:ascii="Lato;sans-serif" w:hAnsi="Lato;sans-serif"/>
                <w:b w:val="false"/>
                <w:color w:val="000000"/>
                <w:sz w:val="16"/>
              </w:rPr>
              <w:t>276,924</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Lato;sans-serif" w:hAnsi="Lato;sans-serif"/>
                <w:b w:val="false"/>
                <w:color w:val="000000"/>
                <w:sz w:val="16"/>
              </w:rPr>
            </w:pPr>
            <w:r>
              <w:rPr>
                <w:rFonts w:ascii="Lato;sans-serif" w:hAnsi="Lato;sans-serif"/>
                <w:b w:val="false"/>
                <w:color w:val="000000"/>
                <w:sz w:val="16"/>
              </w:rPr>
              <w:t>3,015,702</w:t>
            </w:r>
          </w:p>
        </w:tc>
      </w:tr>
      <w:tr>
        <w:trPr/>
        <w:tc>
          <w:tcPr>
            <w:tcW w:w="871"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6"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Lato;sans-serif" w:hAnsi="Lato;sans-serif"/>
                <w:b w:val="false"/>
                <w:color w:val="000000"/>
                <w:sz w:val="16"/>
              </w:rPr>
            </w:pPr>
            <w:r>
              <w:rPr>
                <w:rFonts w:ascii="Lato;sans-serif" w:hAnsi="Lato;sans-serif"/>
                <w:b w:val="false"/>
                <w:color w:val="000000"/>
                <w:sz w:val="16"/>
              </w:rPr>
              <w:t>RSUs</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Lato;sans-serif" w:hAnsi="Lato;sans-serif"/>
                <w:b w:val="false"/>
                <w:color w:val="000000"/>
                <w:sz w:val="16"/>
              </w:rPr>
            </w:pPr>
            <w:r>
              <w:rPr>
                <w:rFonts w:ascii="Lato;sans-serif" w:hAnsi="Lato;sans-serif"/>
                <w:b w:val="false"/>
                <w:color w:val="000000"/>
                <w:sz w:val="16"/>
              </w:rPr>
              <w:t>7/31/2025</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Lato;sans-serif" w:hAnsi="Lato;sans-serif"/>
                <w:b w:val="false"/>
                <w:color w:val="000000"/>
                <w:sz w:val="16"/>
              </w:rPr>
            </w:pPr>
            <w:r>
              <w:rPr>
                <w:rFonts w:ascii="Lato;sans-serif" w:hAnsi="Lato;sans-serif"/>
                <w:b w:val="false"/>
                <w:color w:val="000000"/>
                <w:sz w:val="16"/>
              </w:rPr>
              <w:t>29,400</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Lato;sans-serif" w:hAnsi="Lato;sans-serif"/>
                <w:b w:val="false"/>
                <w:color w:val="000000"/>
                <w:sz w:val="16"/>
              </w:rPr>
            </w:pPr>
            <w:r>
              <w:rPr>
                <w:rFonts w:ascii="Lato;sans-serif" w:hAnsi="Lato;sans-serif"/>
                <w:b w:val="false"/>
                <w:color w:val="000000"/>
                <w:sz w:val="16"/>
              </w:rPr>
              <w:t>320,166</w:t>
            </w:r>
          </w:p>
        </w:tc>
      </w:tr>
      <w:tr>
        <w:trPr/>
        <w:tc>
          <w:tcPr>
            <w:tcW w:w="871"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6"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Lato;sans-serif" w:hAnsi="Lato;sans-serif"/>
                <w:b w:val="false"/>
                <w:color w:val="000000"/>
                <w:sz w:val="16"/>
              </w:rPr>
            </w:pPr>
            <w:r>
              <w:rPr>
                <w:rFonts w:ascii="Lato;sans-serif" w:hAnsi="Lato;sans-serif"/>
                <w:b w:val="false"/>
                <w:color w:val="000000"/>
                <w:sz w:val="16"/>
              </w:rPr>
              <w:t>RSUs</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Lato;sans-serif" w:hAnsi="Lato;sans-serif"/>
                <w:b w:val="false"/>
                <w:color w:val="000000"/>
                <w:sz w:val="16"/>
              </w:rPr>
            </w:pPr>
            <w:r>
              <w:rPr>
                <w:rFonts w:ascii="Lato;sans-serif" w:hAnsi="Lato;sans-serif"/>
                <w:b w:val="false"/>
                <w:color w:val="000000"/>
                <w:sz w:val="16"/>
              </w:rPr>
              <w:t>5/15/2025</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Lato;sans-serif" w:hAnsi="Lato;sans-serif"/>
                <w:b w:val="false"/>
                <w:color w:val="000000"/>
                <w:sz w:val="16"/>
              </w:rPr>
            </w:pPr>
            <w:r>
              <w:rPr>
                <w:rFonts w:ascii="Lato;sans-serif" w:hAnsi="Lato;sans-serif"/>
                <w:b w:val="false"/>
                <w:color w:val="000000"/>
                <w:sz w:val="16"/>
              </w:rPr>
              <w:t>85,000</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Lato;sans-serif" w:hAnsi="Lato;sans-serif"/>
                <w:b w:val="false"/>
                <w:color w:val="000000"/>
                <w:sz w:val="16"/>
              </w:rPr>
            </w:pPr>
            <w:r>
              <w:rPr>
                <w:rFonts w:ascii="Lato;sans-serif" w:hAnsi="Lato;sans-serif"/>
                <w:b w:val="false"/>
                <w:color w:val="000000"/>
                <w:sz w:val="16"/>
              </w:rPr>
              <w:t>869,550</w:t>
            </w:r>
          </w:p>
        </w:tc>
      </w:tr>
      <w:tr>
        <w:trPr/>
        <w:tc>
          <w:tcPr>
            <w:tcW w:w="87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Lato;sans-serif" w:hAnsi="Lato;sans-serif"/>
                <w:b w:val="false"/>
                <w:color w:val="000000"/>
                <w:sz w:val="16"/>
              </w:rPr>
            </w:pPr>
            <w:r>
              <w:rPr>
                <w:rFonts w:ascii="Lato;sans-serif" w:hAnsi="Lato;sans-serif"/>
                <w:b w:val="false"/>
                <w:color w:val="000000"/>
                <w:sz w:val="16"/>
              </w:rPr>
              <w:t>James Roth</w:t>
            </w:r>
          </w:p>
        </w:tc>
        <w:tc>
          <w:tcPr>
            <w:tcW w:w="14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Lato;sans-serif" w:hAnsi="Lato;sans-serif"/>
                <w:b w:val="false"/>
                <w:color w:val="000000"/>
                <w:sz w:val="16"/>
              </w:rPr>
            </w:pPr>
            <w:r>
              <w:rPr>
                <w:rFonts w:ascii="Lato;sans-serif" w:hAnsi="Lato;sans-serif"/>
                <w:b w:val="false"/>
                <w:color w:val="000000"/>
                <w:sz w:val="16"/>
              </w:rPr>
              <w:t>Cash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Lato;sans-serif" w:hAnsi="Lato;sans-serif"/>
                <w:b w:val="false"/>
                <w:color w:val="000000"/>
                <w:sz w:val="16"/>
              </w:rPr>
            </w:pPr>
            <w:r>
              <w:rPr>
                <w:rFonts w:ascii="Lato;sans-serif" w:hAnsi="Lato;sans-serif"/>
                <w:b w:val="false"/>
                <w:color w:val="000000"/>
                <w:sz w:val="16"/>
              </w:rPr>
              <w:t>500,000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Lato;sans-serif" w:hAnsi="Lato;sans-serif"/>
                <w:b w:val="false"/>
                <w:color w:val="000000"/>
                <w:sz w:val="16"/>
              </w:rPr>
            </w:pPr>
            <w:r>
              <w:rPr>
                <w:rFonts w:ascii="Lato;sans-serif" w:hAnsi="Lato;sans-serif"/>
                <w:b w:val="false"/>
                <w:color w:val="000000"/>
                <w:sz w:val="16"/>
              </w:rPr>
              <w:t>625,000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r>
      <w:tr>
        <w:trPr/>
        <w:tc>
          <w:tcPr>
            <w:tcW w:w="8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Lato;sans-serif" w:hAnsi="Lato;sans-serif"/>
                <w:b w:val="false"/>
                <w:color w:val="000000"/>
                <w:sz w:val="16"/>
              </w:rPr>
            </w:pPr>
            <w:r>
              <w:rPr>
                <w:rFonts w:ascii="Lato;sans-serif" w:hAnsi="Lato;sans-serif"/>
                <w:b w:val="false"/>
                <w:color w:val="000000"/>
                <w:sz w:val="16"/>
              </w:rPr>
              <w:t>FCFps PSUs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Lato;sans-serif" w:hAnsi="Lato;sans-serif"/>
                <w:b w:val="false"/>
                <w:color w:val="000000"/>
                <w:sz w:val="16"/>
              </w:rPr>
            </w:pPr>
            <w:r>
              <w:rPr>
                <w:rFonts w:ascii="Lato;sans-serif" w:hAnsi="Lato;sans-serif"/>
                <w:b w:val="false"/>
                <w:color w:val="000000"/>
                <w:sz w:val="16"/>
              </w:rPr>
              <w:t>5/30/2025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Lato;sans-serif" w:hAnsi="Lato;sans-serif"/>
                <w:b w:val="false"/>
                <w:color w:val="000000"/>
                <w:sz w:val="16"/>
              </w:rPr>
            </w:pPr>
            <w:r>
              <w:rPr>
                <w:rFonts w:ascii="Lato;sans-serif" w:hAnsi="Lato;sans-serif"/>
                <w:b w:val="false"/>
                <w:color w:val="000000"/>
                <w:sz w:val="16"/>
              </w:rPr>
              <w:t>172,500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Lato;sans-serif" w:hAnsi="Lato;sans-serif"/>
                <w:b w:val="false"/>
                <w:color w:val="000000"/>
                <w:sz w:val="16"/>
              </w:rPr>
            </w:pPr>
            <w:r>
              <w:rPr>
                <w:rFonts w:ascii="Lato;sans-serif" w:hAnsi="Lato;sans-serif"/>
                <w:b w:val="false"/>
                <w:color w:val="000000"/>
                <w:sz w:val="16"/>
              </w:rPr>
              <w:t>1,607,700</w:t>
            </w:r>
          </w:p>
        </w:tc>
      </w:tr>
      <w:tr>
        <w:trPr/>
        <w:tc>
          <w:tcPr>
            <w:tcW w:w="8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Lato;sans-serif" w:hAnsi="Lato;sans-serif"/>
                <w:b w:val="false"/>
                <w:color w:val="000000"/>
                <w:sz w:val="16"/>
              </w:rPr>
            </w:pPr>
            <w:r>
              <w:rPr>
                <w:rFonts w:ascii="Lato;sans-serif" w:hAnsi="Lato;sans-serif"/>
                <w:b w:val="false"/>
                <w:color w:val="000000"/>
                <w:sz w:val="16"/>
              </w:rPr>
              <w:t>RSUs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Lato;sans-serif" w:hAnsi="Lato;sans-serif"/>
                <w:b w:val="false"/>
                <w:color w:val="000000"/>
                <w:sz w:val="16"/>
              </w:rPr>
            </w:pPr>
            <w:r>
              <w:rPr>
                <w:rFonts w:ascii="Lato;sans-serif" w:hAnsi="Lato;sans-serif"/>
                <w:b w:val="false"/>
                <w:color w:val="000000"/>
                <w:sz w:val="16"/>
              </w:rPr>
              <w:t>5/15/2025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Lato;sans-serif" w:hAnsi="Lato;sans-serif"/>
                <w:b w:val="false"/>
                <w:color w:val="000000"/>
                <w:sz w:val="16"/>
              </w:rPr>
            </w:pPr>
            <w:r>
              <w:rPr>
                <w:rFonts w:ascii="Lato;sans-serif" w:hAnsi="Lato;sans-serif"/>
                <w:b w:val="false"/>
                <w:color w:val="000000"/>
                <w:sz w:val="16"/>
              </w:rPr>
              <w:t>221,154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Lato;sans-serif" w:hAnsi="Lato;sans-serif"/>
                <w:b w:val="false"/>
                <w:color w:val="000000"/>
                <w:sz w:val="16"/>
              </w:rPr>
            </w:pPr>
            <w:r>
              <w:rPr>
                <w:rFonts w:ascii="Lato;sans-serif" w:hAnsi="Lato;sans-serif"/>
                <w:b w:val="false"/>
                <w:color w:val="000000"/>
                <w:sz w:val="16"/>
              </w:rPr>
              <w:t>2,262,405</w:t>
            </w:r>
          </w:p>
        </w:tc>
      </w:tr>
      <w:tr>
        <w:trPr/>
        <w:tc>
          <w:tcPr>
            <w:tcW w:w="871" w:type="dxa"/>
            <w:gridSpan w:val="3"/>
            <w:tcBorders/>
            <w:shd w:fill="DBDBDB" w:val="clear"/>
            <w:tcMar>
              <w:top w:w="0" w:type="dxa"/>
              <w:left w:w="0" w:type="dxa"/>
              <w:bottom w:w="0" w:type="dxa"/>
              <w:right w:w="0" w:type="dxa"/>
            </w:tcMar>
            <w:vAlign w:val="center"/>
          </w:tcPr>
          <w:p>
            <w:pPr>
              <w:pStyle w:val="TableContents"/>
              <w:bidi w:val="0"/>
              <w:spacing w:lineRule="auto" w:line="288" w:before="0" w:after="0"/>
              <w:jc w:val="left"/>
              <w:rPr>
                <w:rFonts w:ascii="Lato;sans-serif" w:hAnsi="Lato;sans-serif"/>
                <w:b w:val="false"/>
                <w:color w:val="000000"/>
                <w:sz w:val="16"/>
              </w:rPr>
            </w:pPr>
            <w:r>
              <w:rPr>
                <w:rFonts w:ascii="Lato;sans-serif" w:hAnsi="Lato;sans-serif"/>
                <w:b w:val="false"/>
                <w:color w:val="000000"/>
                <w:sz w:val="16"/>
              </w:rPr>
              <w:t>Ashley McGrane</w:t>
            </w:r>
          </w:p>
        </w:tc>
        <w:tc>
          <w:tcPr>
            <w:tcW w:w="1456"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Lato;sans-serif" w:hAnsi="Lato;sans-serif"/>
                <w:b w:val="false"/>
                <w:color w:val="000000"/>
                <w:sz w:val="16"/>
              </w:rPr>
            </w:pPr>
            <w:r>
              <w:rPr>
                <w:rFonts w:ascii="Lato;sans-serif" w:hAnsi="Lato;sans-serif"/>
                <w:b w:val="false"/>
                <w:color w:val="000000"/>
                <w:sz w:val="16"/>
              </w:rPr>
              <w:t>Cash</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Lato;sans-serif" w:hAnsi="Lato;sans-serif"/>
                <w:b w:val="false"/>
                <w:color w:val="000000"/>
                <w:sz w:val="16"/>
              </w:rPr>
            </w:pPr>
            <w:r>
              <w:rPr>
                <w:rFonts w:ascii="Lato;sans-serif" w:hAnsi="Lato;sans-serif"/>
                <w:b w:val="false"/>
                <w:color w:val="000000"/>
                <w:sz w:val="16"/>
              </w:rPr>
              <w:t>212,500</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Lato;sans-serif" w:hAnsi="Lato;sans-serif"/>
                <w:b w:val="false"/>
                <w:color w:val="000000"/>
                <w:sz w:val="16"/>
              </w:rPr>
            </w:pPr>
            <w:r>
              <w:rPr>
                <w:rFonts w:ascii="Lato;sans-serif" w:hAnsi="Lato;sans-serif"/>
                <w:b w:val="false"/>
                <w:color w:val="000000"/>
                <w:sz w:val="16"/>
              </w:rPr>
              <w:t>265,625</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r>
      <w:tr>
        <w:trPr/>
        <w:tc>
          <w:tcPr>
            <w:tcW w:w="871"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6"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Lato;sans-serif" w:hAnsi="Lato;sans-serif"/>
                <w:b w:val="false"/>
                <w:color w:val="000000"/>
                <w:sz w:val="16"/>
              </w:rPr>
            </w:pPr>
            <w:r>
              <w:rPr>
                <w:rFonts w:ascii="Lato;sans-serif" w:hAnsi="Lato;sans-serif"/>
                <w:b w:val="false"/>
                <w:color w:val="000000"/>
                <w:sz w:val="16"/>
              </w:rPr>
              <w:t>FCFps PSUs</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Lato;sans-serif" w:hAnsi="Lato;sans-serif"/>
                <w:b w:val="false"/>
                <w:color w:val="000000"/>
                <w:sz w:val="16"/>
              </w:rPr>
            </w:pPr>
            <w:r>
              <w:rPr>
                <w:rFonts w:ascii="Lato;sans-serif" w:hAnsi="Lato;sans-serif"/>
                <w:b w:val="false"/>
                <w:color w:val="000000"/>
                <w:sz w:val="16"/>
              </w:rPr>
              <w:t>5/30/2025</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Lato;sans-serif" w:hAnsi="Lato;sans-serif"/>
                <w:b w:val="false"/>
                <w:color w:val="000000"/>
                <w:sz w:val="16"/>
              </w:rPr>
            </w:pPr>
            <w:r>
              <w:rPr>
                <w:rFonts w:ascii="Lato;sans-serif" w:hAnsi="Lato;sans-serif"/>
                <w:b w:val="false"/>
                <w:color w:val="000000"/>
                <w:sz w:val="16"/>
              </w:rPr>
              <w:t>70,000</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Lato;sans-serif" w:hAnsi="Lato;sans-serif"/>
                <w:b w:val="false"/>
                <w:color w:val="000000"/>
                <w:sz w:val="16"/>
              </w:rPr>
            </w:pPr>
            <w:r>
              <w:rPr>
                <w:rFonts w:ascii="Lato;sans-serif" w:hAnsi="Lato;sans-serif"/>
                <w:b w:val="false"/>
                <w:color w:val="000000"/>
                <w:sz w:val="16"/>
              </w:rPr>
              <w:t>652,400</w:t>
            </w:r>
          </w:p>
        </w:tc>
      </w:tr>
      <w:tr>
        <w:trPr/>
        <w:tc>
          <w:tcPr>
            <w:tcW w:w="871"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6"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Lato;sans-serif" w:hAnsi="Lato;sans-serif"/>
                <w:b w:val="false"/>
                <w:color w:val="000000"/>
                <w:sz w:val="16"/>
              </w:rPr>
            </w:pPr>
            <w:r>
              <w:rPr>
                <w:rFonts w:ascii="Lato;sans-serif" w:hAnsi="Lato;sans-serif"/>
                <w:b w:val="false"/>
                <w:color w:val="000000"/>
                <w:sz w:val="16"/>
              </w:rPr>
              <w:t>RSUs</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Lato;sans-serif" w:hAnsi="Lato;sans-serif"/>
                <w:b w:val="false"/>
                <w:color w:val="000000"/>
                <w:sz w:val="16"/>
              </w:rPr>
            </w:pPr>
            <w:r>
              <w:rPr>
                <w:rFonts w:ascii="Lato;sans-serif" w:hAnsi="Lato;sans-serif"/>
                <w:b w:val="false"/>
                <w:color w:val="000000"/>
                <w:sz w:val="16"/>
              </w:rPr>
              <w:t>5/30/2025</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Lato;sans-serif" w:hAnsi="Lato;sans-serif"/>
                <w:b w:val="false"/>
                <w:color w:val="000000"/>
                <w:sz w:val="16"/>
              </w:rPr>
            </w:pPr>
            <w:r>
              <w:rPr>
                <w:rFonts w:ascii="Lato;sans-serif" w:hAnsi="Lato;sans-serif"/>
                <w:b w:val="false"/>
                <w:color w:val="000000"/>
                <w:sz w:val="16"/>
              </w:rPr>
              <w:t>100,000</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Lato;sans-serif" w:hAnsi="Lato;sans-serif"/>
                <w:b w:val="false"/>
                <w:color w:val="000000"/>
                <w:sz w:val="16"/>
              </w:rPr>
            </w:pPr>
            <w:r>
              <w:rPr>
                <w:rFonts w:ascii="Lato;sans-serif" w:hAnsi="Lato;sans-serif"/>
                <w:b w:val="false"/>
                <w:color w:val="000000"/>
                <w:sz w:val="16"/>
              </w:rPr>
              <w:t>932,000</w:t>
            </w:r>
          </w:p>
        </w:tc>
      </w:tr>
    </w:tbl>
    <w:p>
      <w:pPr>
        <w:pStyle w:val="TextBody"/>
        <w:bidi w:val="0"/>
        <w:spacing w:lineRule="auto" w:line="333"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__________________</w:t>
      </w:r>
    </w:p>
    <w:p>
      <w:pPr>
        <w:pStyle w:val="TextBody"/>
        <w:bidi w:val="0"/>
        <w:spacing w:lineRule="auto" w:line="288" w:before="0" w:after="0"/>
        <w:ind w:left="0" w:right="0" w:hanging="360"/>
        <w:jc w:val="both"/>
        <w:rPr/>
      </w:pPr>
      <w:r>
        <w:rPr>
          <w:rFonts w:ascii="Lato;sans-serif" w:hAnsi="Lato;sans-serif"/>
          <w:b w:val="false"/>
          <w:color w:val="000000"/>
          <w:sz w:val="16"/>
        </w:rPr>
        <w:t>(1)Represents the range of possible payouts to our NEOs under the 2025 Cash Bonus Incentive Plan, which range between no payout at 0% achievement and payout at the maximum capped at 125% of the applicable target annual bonus opportunity, as further described above under “</w:t>
      </w:r>
      <w:hyperlink w:anchor="ib09e1ad647de4075ad613c1a43ff4b94_94">
        <w:r>
          <w:rPr>
            <w:rStyle w:val="InternetLink"/>
          </w:rPr>
          <w:t xml:space="preserve">Executive Compensation Discussion </w:t>
        </w:r>
      </w:hyperlink>
      <w:hyperlink w:anchor="ib09e1ad647de4075ad613c1a43ff4b94_94">
        <w:r>
          <w:rPr>
            <w:rStyle w:val="InternetLink"/>
          </w:rPr>
          <w:t>and</w:t>
        </w:r>
      </w:hyperlink>
      <w:hyperlink w:anchor="ib09e1ad647de4075ad613c1a43ff4b94_94">
        <w:r>
          <w:rPr>
            <w:rStyle w:val="InternetLink"/>
          </w:rPr>
          <w:t xml:space="preserve"> Analysis</w:t>
        </w:r>
      </w:hyperlink>
      <w:r>
        <w:rPr>
          <w:color w:val="000000"/>
        </w:rPr>
        <w:t>”</w:t>
      </w:r>
      <w:r>
        <w:rPr>
          <w:rFonts w:ascii="Lato;sans-serif" w:hAnsi="Lato;sans-serif"/>
          <w:b w:val="false"/>
          <w:color w:val="000000"/>
          <w:sz w:val="16"/>
        </w:rPr>
        <w:t>.</w:t>
      </w:r>
    </w:p>
    <w:p>
      <w:pPr>
        <w:pStyle w:val="TextBody"/>
        <w:bidi w:val="0"/>
        <w:spacing w:lineRule="auto" w:line="288" w:before="0" w:after="0"/>
        <w:ind w:left="0" w:right="0" w:hanging="360"/>
        <w:jc w:val="both"/>
        <w:rPr/>
      </w:pPr>
      <w:r>
        <w:rPr>
          <w:rFonts w:ascii="Lato;sans-serif" w:hAnsi="Lato;sans-serif"/>
          <w:b w:val="false"/>
          <w:color w:val="000000"/>
          <w:sz w:val="16"/>
        </w:rPr>
        <w:t>(2)Terms of the equity awards are summarized in “</w:t>
      </w:r>
      <w:hyperlink w:anchor="ib09e1ad647de4075ad613c1a43ff4b94_94">
        <w:r>
          <w:rPr>
            <w:rStyle w:val="InternetLink"/>
            <w:rFonts w:ascii="Lato;sans-serif" w:hAnsi="Lato;sans-serif"/>
            <w:b w:val="false"/>
            <w:i/>
            <w:color w:val="0000FF"/>
            <w:sz w:val="16"/>
            <w:u w:val="single"/>
          </w:rPr>
          <w:t>Executive Compensation Discussion and Analysis</w:t>
        </w:r>
      </w:hyperlink>
      <w:r>
        <w:rPr>
          <w:color w:val="000000"/>
        </w:rPr>
        <w:t xml:space="preserve">” </w:t>
      </w:r>
      <w:r>
        <w:rPr>
          <w:rFonts w:ascii="Lato;sans-serif" w:hAnsi="Lato;sans-serif"/>
          <w:b w:val="false"/>
          <w:color w:val="000000"/>
          <w:sz w:val="16"/>
        </w:rPr>
        <w:t>above. The assumptions made when calculating the amounts are found in Note 13: “</w:t>
      </w:r>
      <w:r>
        <w:rPr>
          <w:rFonts w:ascii="Lato;sans-serif" w:hAnsi="Lato;sans-serif"/>
          <w:b w:val="false"/>
          <w:i/>
          <w:color w:val="000000"/>
          <w:sz w:val="16"/>
        </w:rPr>
        <w:t>Equity-based Compensation</w:t>
      </w:r>
      <w:r>
        <w:rPr>
          <w:color w:val="000000"/>
        </w:rPr>
        <w:t xml:space="preserve">” </w:t>
      </w:r>
      <w:r>
        <w:rPr>
          <w:rFonts w:ascii="Lato;sans-serif" w:hAnsi="Lato;sans-serif"/>
          <w:b w:val="false"/>
          <w:color w:val="000000"/>
          <w:sz w:val="16"/>
        </w:rPr>
        <w:t>to our audited consolidated financial statements included in Part II, Item 8 of our 2025 10-K.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1">
                <wp:simplePos x="0" y="0"/>
                <wp:positionH relativeFrom="character">
                  <wp:align>left</wp:align>
                </wp:positionH>
                <wp:positionV relativeFrom="line">
                  <wp:posOffset>635</wp:posOffset>
                </wp:positionV>
                <wp:extent cx="6480175" cy="352425"/>
                <wp:effectExtent l="0" t="0" r="0" b="0"/>
                <wp:wrapNone/>
                <wp:docPr id="87" name="Frame71"/>
                <a:graphic xmlns:a="http://schemas.openxmlformats.org/drawingml/2006/main">
                  <a:graphicData uri="http://schemas.microsoft.com/office/word/2010/wordprocessingShape">
                    <wps:wsp>
                      <wps:cNvSpPr txBox="1"/>
                      <wps:spPr>
                        <a:xfrm>
                          <a:off x="0" y="0"/>
                          <a:ext cx="6480175" cy="352425"/>
                        </a:xfrm>
                        <a:prstGeom prst="rect"/>
                        <a:solidFill>
                          <a:srgbClr val="FFFFFF"/>
                        </a:solidFill>
                      </wps:spPr>
                      <wps:txbx>
                        <w:txbxContent>
                          <w:p>
                            <w:pPr>
                              <w:pStyle w:val="TextBody"/>
                              <w:bidi w:val="0"/>
                              <w:spacing w:lineRule="auto" w:line="288" w:before="0" w:after="0"/>
                              <w:jc w:val="center"/>
                              <w:rPr>
                                <w:rFonts w:ascii="Lato;sans-serif" w:hAnsi="Lato;sans-serif"/>
                                <w:b w:val="false"/>
                                <w:color w:val="000000"/>
                                <w:sz w:val="20"/>
                              </w:rPr>
                            </w:pPr>
                            <w:r>
                              <w:rPr>
                                <w:rFonts w:ascii="Lato;sans-serif" w:hAnsi="Lato;sans-serif"/>
                                <w:b w:val="false"/>
                                <w:color w:val="000000"/>
                                <w:sz w:val="20"/>
                              </w:rPr>
                              <w:t>65</w:t>
                            </w:r>
                          </w:p>
                          <w:p>
                            <w:pPr>
                              <w:pStyle w:val="TextBody"/>
                              <w:bidi w:val="0"/>
                              <w:spacing w:lineRule="auto" w:line="288" w:before="0" w:after="0"/>
                              <w:jc w:val="left"/>
                              <w:rPr>
                                <w:color w:val="000000"/>
                              </w:rPr>
                            </w:pPr>
                            <w:r>
                              <w:rPr>
                                <w:color w:val="000000"/>
                              </w:rPr>
                              <w:t>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Lato;sans-serif" w:hAnsi="Lato;sans-serif"/>
                          <w:b w:val="false"/>
                          <w:color w:val="000000"/>
                          <w:sz w:val="20"/>
                        </w:rPr>
                      </w:pPr>
                      <w:r>
                        <w:rPr>
                          <w:rFonts w:ascii="Lato;sans-serif" w:hAnsi="Lato;sans-serif"/>
                          <w:b w:val="false"/>
                          <w:color w:val="000000"/>
                          <w:sz w:val="20"/>
                        </w:rPr>
                        <w:t>65</w:t>
                      </w:r>
                    </w:p>
                    <w:p>
                      <w:pPr>
                        <w:pStyle w:val="TextBody"/>
                        <w:bidi w:val="0"/>
                        <w:spacing w:lineRule="auto" w:line="288" w:before="0" w:after="0"/>
                        <w:jc w:val="left"/>
                        <w:rPr>
                          <w:color w:val="000000"/>
                        </w:rPr>
                      </w:pPr>
                      <w:r>
                        <w:rPr>
                          <w:color w:val="000000"/>
                        </w:rPr>
                        <w:t>        </w:t>
                      </w:r>
                    </w:p>
                  </w:txbxContent>
                </v:textbox>
                <w10:wrap type="none"/>
              </v:rect>
            </w:pict>
          </mc:Fallback>
        </mc:AlternateContent>
      </w:r>
    </w:p>
    <w:p>
      <w:pPr>
        <w:pStyle w:val="TextBody"/>
        <w:bidi w:val="0"/>
        <w:spacing w:before="0" w:after="0"/>
        <w:jc w:val="left"/>
        <w:rPr/>
      </w:pPr>
      <w:r>
        <w:rPr/>
      </w:r>
    </w:p>
    <w:p>
      <w:pPr>
        <w:pStyle w:val="TextBody"/>
        <w:bidi w:val="0"/>
        <w:spacing w:lineRule="auto" w:line="333" w:before="300" w:after="120"/>
        <w:jc w:val="left"/>
        <w:rPr>
          <w:rFonts w:ascii="Lato;sans-serif" w:hAnsi="Lato;sans-serif"/>
          <w:b/>
          <w:color w:val="000000"/>
          <w:sz w:val="20"/>
        </w:rPr>
      </w:pPr>
      <w:r>
        <w:rPr>
          <w:rFonts w:ascii="Lato;sans-serif" w:hAnsi="Lato;sans-serif"/>
          <w:b/>
          <w:color w:val="000000"/>
          <w:sz w:val="20"/>
        </w:rPr>
        <w:t>Outstanding Equity Awards at 2025 Fiscal Year-End</w:t>
      </w:r>
    </w:p>
    <w:p>
      <w:pPr>
        <w:pStyle w:val="TextBody"/>
        <w:bidi w:val="0"/>
        <w:spacing w:lineRule="auto" w:line="288" w:before="120" w:after="120"/>
        <w:jc w:val="both"/>
        <w:rPr>
          <w:rFonts w:ascii="Lato;sans-serif" w:hAnsi="Lato;sans-serif"/>
          <w:b w:val="false"/>
          <w:color w:val="000000"/>
          <w:sz w:val="20"/>
        </w:rPr>
      </w:pPr>
      <w:r>
        <w:rPr>
          <w:rFonts w:ascii="Lato;sans-serif" w:hAnsi="Lato;sans-serif"/>
          <w:b w:val="false"/>
          <w:color w:val="000000"/>
          <w:sz w:val="20"/>
        </w:rPr>
        <w:t>The following table sets forth information regarding outstanding equity awards made to the NEOs as of December 31, 2025.</w:t>
      </w:r>
    </w:p>
    <w:tbl>
      <w:tblPr>
        <w:tblW w:w="10205" w:type="dxa"/>
        <w:jc w:val="left"/>
        <w:tblInd w:w="0" w:type="dxa"/>
        <w:tblLayout w:type="fixed"/>
        <w:tblCellMar>
          <w:top w:w="28" w:type="dxa"/>
          <w:left w:w="28" w:type="dxa"/>
          <w:bottom w:w="28" w:type="dxa"/>
          <w:right w:w="28" w:type="dxa"/>
        </w:tblCellMar>
      </w:tblPr>
      <w:tblGrid>
        <w:gridCol w:w="363"/>
        <w:gridCol w:w="227"/>
        <w:gridCol w:w="231"/>
        <w:gridCol w:w="206"/>
        <w:gridCol w:w="206"/>
        <w:gridCol w:w="207"/>
        <w:gridCol w:w="490"/>
        <w:gridCol w:w="490"/>
        <w:gridCol w:w="494"/>
        <w:gridCol w:w="438"/>
        <w:gridCol w:w="438"/>
        <w:gridCol w:w="439"/>
        <w:gridCol w:w="299"/>
        <w:gridCol w:w="299"/>
        <w:gridCol w:w="300"/>
        <w:gridCol w:w="358"/>
        <w:gridCol w:w="358"/>
        <w:gridCol w:w="359"/>
        <w:gridCol w:w="289"/>
        <w:gridCol w:w="289"/>
        <w:gridCol w:w="290"/>
        <w:gridCol w:w="445"/>
        <w:gridCol w:w="266"/>
        <w:gridCol w:w="267"/>
        <w:gridCol w:w="354"/>
        <w:gridCol w:w="354"/>
        <w:gridCol w:w="356"/>
        <w:gridCol w:w="315"/>
        <w:gridCol w:w="315"/>
        <w:gridCol w:w="463"/>
      </w:tblGrid>
      <w:tr>
        <w:trPr/>
        <w:tc>
          <w:tcPr>
            <w:tcW w:w="363"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490" w:type="dxa"/>
            <w:tcBorders/>
            <w:vAlign w:val="center"/>
          </w:tcPr>
          <w:p>
            <w:pPr>
              <w:pStyle w:val="TableContents"/>
              <w:bidi w:val="0"/>
              <w:spacing w:before="0" w:after="283"/>
              <w:jc w:val="left"/>
              <w:rPr>
                <w:sz w:val="4"/>
                <w:szCs w:val="4"/>
              </w:rPr>
            </w:pPr>
            <w:r>
              <w:rPr>
                <w:sz w:val="4"/>
                <w:szCs w:val="4"/>
              </w:rPr>
            </w:r>
          </w:p>
        </w:tc>
        <w:tc>
          <w:tcPr>
            <w:tcW w:w="490" w:type="dxa"/>
            <w:tcBorders/>
            <w:vAlign w:val="center"/>
          </w:tcPr>
          <w:p>
            <w:pPr>
              <w:pStyle w:val="TableContents"/>
              <w:bidi w:val="0"/>
              <w:spacing w:before="0" w:after="283"/>
              <w:jc w:val="left"/>
              <w:rPr>
                <w:sz w:val="4"/>
                <w:szCs w:val="4"/>
              </w:rPr>
            </w:pPr>
            <w:r>
              <w:rPr>
                <w:sz w:val="4"/>
                <w:szCs w:val="4"/>
              </w:rPr>
            </w:r>
          </w:p>
        </w:tc>
        <w:tc>
          <w:tcPr>
            <w:tcW w:w="494" w:type="dxa"/>
            <w:tcBorders/>
            <w:vAlign w:val="center"/>
          </w:tcPr>
          <w:p>
            <w:pPr>
              <w:pStyle w:val="TableContents"/>
              <w:bidi w:val="0"/>
              <w:spacing w:before="0" w:after="283"/>
              <w:jc w:val="left"/>
              <w:rPr>
                <w:sz w:val="4"/>
                <w:szCs w:val="4"/>
              </w:rPr>
            </w:pPr>
            <w:r>
              <w:rPr>
                <w:sz w:val="4"/>
                <w:szCs w:val="4"/>
              </w:rPr>
            </w:r>
          </w:p>
        </w:tc>
        <w:tc>
          <w:tcPr>
            <w:tcW w:w="438" w:type="dxa"/>
            <w:tcBorders/>
            <w:vAlign w:val="center"/>
          </w:tcPr>
          <w:p>
            <w:pPr>
              <w:pStyle w:val="TableContents"/>
              <w:bidi w:val="0"/>
              <w:spacing w:before="0" w:after="283"/>
              <w:jc w:val="left"/>
              <w:rPr>
                <w:sz w:val="4"/>
                <w:szCs w:val="4"/>
              </w:rPr>
            </w:pPr>
            <w:r>
              <w:rPr>
                <w:sz w:val="4"/>
                <w:szCs w:val="4"/>
              </w:rPr>
            </w:r>
          </w:p>
        </w:tc>
        <w:tc>
          <w:tcPr>
            <w:tcW w:w="438"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445"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463" w:type="dxa"/>
            <w:tcBorders/>
            <w:vAlign w:val="center"/>
          </w:tcPr>
          <w:p>
            <w:pPr>
              <w:pStyle w:val="TableContents"/>
              <w:bidi w:val="0"/>
              <w:spacing w:before="0" w:after="283"/>
              <w:jc w:val="left"/>
              <w:rPr>
                <w:sz w:val="4"/>
                <w:szCs w:val="4"/>
              </w:rPr>
            </w:pPr>
            <w:r>
              <w:rPr>
                <w:sz w:val="4"/>
                <w:szCs w:val="4"/>
              </w:rPr>
            </w:r>
          </w:p>
        </w:tc>
      </w:tr>
      <w:tr>
        <w:trPr/>
        <w:tc>
          <w:tcPr>
            <w:tcW w:w="821" w:type="dxa"/>
            <w:gridSpan w:val="3"/>
            <w:tcBorders/>
            <w:shd w:fill="F4423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9" w:type="dxa"/>
            <w:gridSpan w:val="3"/>
            <w:tcBorders/>
            <w:shd w:fill="F4423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4" w:type="dxa"/>
            <w:gridSpan w:val="3"/>
            <w:tcBorders/>
            <w:shd w:fill="F4423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88" w:type="dxa"/>
            <w:gridSpan w:val="9"/>
            <w:tcBorders/>
            <w:shd w:fill="F44238" w:val="clear"/>
            <w:tcMar>
              <w:top w:w="0" w:type="dxa"/>
              <w:left w:w="0" w:type="dxa"/>
              <w:bottom w:w="0" w:type="dxa"/>
              <w:right w:w="0" w:type="dxa"/>
            </w:tcMar>
            <w:vAlign w:val="center"/>
          </w:tcPr>
          <w:p>
            <w:pPr>
              <w:pStyle w:val="TableContents"/>
              <w:bidi w:val="0"/>
              <w:spacing w:lineRule="auto" w:line="240" w:before="0" w:after="283"/>
              <w:jc w:val="center"/>
              <w:rPr>
                <w:rFonts w:ascii="Lato;sans-serif" w:hAnsi="Lato;sans-serif"/>
                <w:b/>
                <w:color w:val="FFFFFF"/>
                <w:sz w:val="16"/>
              </w:rPr>
            </w:pPr>
            <w:r>
              <w:rPr>
                <w:rFonts w:ascii="Lato;sans-serif" w:hAnsi="Lato;sans-serif"/>
                <w:b/>
                <w:color w:val="FFFFFF"/>
                <w:sz w:val="16"/>
              </w:rPr>
              <w:t>Option Awards</w:t>
            </w:r>
          </w:p>
        </w:tc>
        <w:tc>
          <w:tcPr>
            <w:tcW w:w="4003" w:type="dxa"/>
            <w:gridSpan w:val="12"/>
            <w:tcBorders/>
            <w:shd w:fill="F44238" w:val="clear"/>
            <w:tcMar>
              <w:top w:w="0" w:type="dxa"/>
              <w:left w:w="0" w:type="dxa"/>
              <w:bottom w:w="0" w:type="dxa"/>
              <w:right w:w="0" w:type="dxa"/>
            </w:tcMar>
            <w:vAlign w:val="center"/>
          </w:tcPr>
          <w:p>
            <w:pPr>
              <w:pStyle w:val="TableContents"/>
              <w:bidi w:val="0"/>
              <w:spacing w:lineRule="auto" w:line="240" w:before="0" w:after="283"/>
              <w:jc w:val="center"/>
              <w:rPr>
                <w:rFonts w:ascii="Lato;sans-serif" w:hAnsi="Lato;sans-serif"/>
                <w:b/>
                <w:color w:val="FFFFFF"/>
                <w:sz w:val="16"/>
              </w:rPr>
            </w:pPr>
            <w:r>
              <w:rPr>
                <w:rFonts w:ascii="Lato;sans-serif" w:hAnsi="Lato;sans-serif"/>
                <w:b/>
                <w:color w:val="FFFFFF"/>
                <w:sz w:val="16"/>
              </w:rPr>
              <w:t>Stock Awards</w:t>
            </w:r>
          </w:p>
        </w:tc>
      </w:tr>
      <w:tr>
        <w:trPr/>
        <w:tc>
          <w:tcPr>
            <w:tcW w:w="821" w:type="dxa"/>
            <w:gridSpan w:val="3"/>
            <w:tcBorders/>
            <w:shd w:fill="F44238"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color w:val="FFFFFF"/>
                <w:sz w:val="16"/>
              </w:rPr>
            </w:pPr>
            <w:r>
              <w:rPr>
                <w:rFonts w:ascii="Lato;sans-serif" w:hAnsi="Lato;sans-serif"/>
                <w:b/>
                <w:color w:val="FFFFFF"/>
                <w:sz w:val="16"/>
              </w:rPr>
              <w:t>Name</w:t>
            </w:r>
          </w:p>
        </w:tc>
        <w:tc>
          <w:tcPr>
            <w:tcW w:w="619" w:type="dxa"/>
            <w:gridSpan w:val="3"/>
            <w:tcBorders/>
            <w:shd w:fill="F44238" w:val="clear"/>
            <w:tcMar>
              <w:top w:w="0" w:type="dxa"/>
              <w:left w:w="0" w:type="dxa"/>
              <w:bottom w:w="0" w:type="dxa"/>
              <w:right w:w="0" w:type="dxa"/>
            </w:tcMar>
            <w:vAlign w:val="center"/>
          </w:tcPr>
          <w:p>
            <w:pPr>
              <w:pStyle w:val="TableContents"/>
              <w:bidi w:val="0"/>
              <w:spacing w:lineRule="auto" w:line="240" w:before="0" w:after="283"/>
              <w:jc w:val="center"/>
              <w:rPr>
                <w:rFonts w:ascii="Lato;sans-serif" w:hAnsi="Lato;sans-serif"/>
                <w:b/>
                <w:color w:val="FFFFFF"/>
                <w:sz w:val="16"/>
              </w:rPr>
            </w:pPr>
            <w:r>
              <w:rPr>
                <w:rFonts w:ascii="Lato;sans-serif" w:hAnsi="Lato;sans-serif"/>
                <w:b/>
                <w:color w:val="FFFFFF"/>
                <w:sz w:val="16"/>
              </w:rPr>
              <w:t>Grant Date</w:t>
            </w:r>
          </w:p>
        </w:tc>
        <w:tc>
          <w:tcPr>
            <w:tcW w:w="1474" w:type="dxa"/>
            <w:gridSpan w:val="3"/>
            <w:tcBorders/>
            <w:shd w:fill="F44238" w:val="clear"/>
            <w:tcMar>
              <w:top w:w="0" w:type="dxa"/>
              <w:left w:w="0" w:type="dxa"/>
              <w:bottom w:w="0" w:type="dxa"/>
              <w:right w:w="0" w:type="dxa"/>
            </w:tcMar>
            <w:vAlign w:val="center"/>
          </w:tcPr>
          <w:p>
            <w:pPr>
              <w:pStyle w:val="TableContents"/>
              <w:bidi w:val="0"/>
              <w:spacing w:lineRule="auto" w:line="240" w:before="0" w:after="0"/>
              <w:jc w:val="center"/>
              <w:rPr>
                <w:rFonts w:ascii="Lato;sans-serif" w:hAnsi="Lato;sans-serif"/>
                <w:b/>
                <w:color w:val="FFFFFF"/>
                <w:sz w:val="16"/>
              </w:rPr>
            </w:pPr>
            <w:r>
              <w:rPr>
                <w:rFonts w:ascii="Lato;sans-serif" w:hAnsi="Lato;sans-serif"/>
                <w:b/>
                <w:color w:val="FFFFFF"/>
                <w:sz w:val="16"/>
              </w:rPr>
              <w:t>Award Type</w:t>
            </w:r>
          </w:p>
        </w:tc>
        <w:tc>
          <w:tcPr>
            <w:tcW w:w="1315" w:type="dxa"/>
            <w:gridSpan w:val="3"/>
            <w:tcBorders>
              <w:top w:val="single" w:sz="4" w:space="0" w:color="000000"/>
            </w:tcBorders>
            <w:shd w:fill="F44238" w:val="clear"/>
            <w:tcMar>
              <w:top w:w="30" w:type="dxa"/>
              <w:left w:w="0" w:type="dxa"/>
              <w:bottom w:w="0" w:type="dxa"/>
              <w:right w:w="0" w:type="dxa"/>
            </w:tcMar>
            <w:vAlign w:val="center"/>
          </w:tcPr>
          <w:p>
            <w:pPr>
              <w:pStyle w:val="TableContents"/>
              <w:bidi w:val="0"/>
              <w:spacing w:lineRule="auto" w:line="240" w:before="0" w:after="0"/>
              <w:jc w:val="center"/>
              <w:rPr/>
            </w:pPr>
            <w:r>
              <w:rPr>
                <w:rFonts w:ascii="Lato;sans-serif" w:hAnsi="Lato;sans-serif"/>
                <w:b/>
                <w:color w:val="FFFFFF"/>
                <w:sz w:val="16"/>
              </w:rPr>
              <w:t>Equity Incentive Plan Awards: Number of Securities Underlying Unexercised Unearned Options (#)</w:t>
            </w:r>
            <w:r>
              <w:rPr>
                <w:rFonts w:ascii="Lato;sans-serif" w:hAnsi="Lato;sans-serif"/>
                <w:b/>
                <w:color w:val="FFFFFF"/>
                <w:sz w:val="10"/>
              </w:rPr>
              <w:t>(1)</w:t>
            </w:r>
          </w:p>
        </w:tc>
        <w:tc>
          <w:tcPr>
            <w:tcW w:w="898" w:type="dxa"/>
            <w:gridSpan w:val="3"/>
            <w:tcBorders>
              <w:top w:val="single" w:sz="4" w:space="0" w:color="000000"/>
            </w:tcBorders>
            <w:shd w:fill="F44238" w:val="clear"/>
            <w:tcMar>
              <w:top w:w="30" w:type="dxa"/>
              <w:left w:w="0" w:type="dxa"/>
              <w:bottom w:w="0" w:type="dxa"/>
              <w:right w:w="0" w:type="dxa"/>
            </w:tcMar>
            <w:vAlign w:val="center"/>
          </w:tcPr>
          <w:p>
            <w:pPr>
              <w:pStyle w:val="TableContents"/>
              <w:bidi w:val="0"/>
              <w:spacing w:lineRule="auto" w:line="240" w:before="0" w:after="283"/>
              <w:jc w:val="center"/>
              <w:rPr>
                <w:rFonts w:ascii="Lato;sans-serif" w:hAnsi="Lato;sans-serif"/>
                <w:b/>
                <w:color w:val="FFFFFF"/>
                <w:sz w:val="16"/>
              </w:rPr>
            </w:pPr>
            <w:r>
              <w:rPr>
                <w:rFonts w:ascii="Lato;sans-serif" w:hAnsi="Lato;sans-serif"/>
                <w:b/>
                <w:color w:val="FFFFFF"/>
                <w:sz w:val="16"/>
              </w:rPr>
              <w:t>Option Exercise Price (S)</w:t>
            </w:r>
          </w:p>
        </w:tc>
        <w:tc>
          <w:tcPr>
            <w:tcW w:w="1075" w:type="dxa"/>
            <w:gridSpan w:val="3"/>
            <w:tcBorders>
              <w:top w:val="single" w:sz="4" w:space="0" w:color="000000"/>
            </w:tcBorders>
            <w:shd w:fill="F44238" w:val="clear"/>
            <w:tcMar>
              <w:top w:w="30" w:type="dxa"/>
              <w:left w:w="0" w:type="dxa"/>
              <w:bottom w:w="0" w:type="dxa"/>
              <w:right w:w="0" w:type="dxa"/>
            </w:tcMar>
            <w:vAlign w:val="center"/>
          </w:tcPr>
          <w:p>
            <w:pPr>
              <w:pStyle w:val="TableContents"/>
              <w:bidi w:val="0"/>
              <w:spacing w:lineRule="auto" w:line="240" w:before="0" w:after="283"/>
              <w:jc w:val="center"/>
              <w:rPr>
                <w:rFonts w:ascii="Lato;sans-serif" w:hAnsi="Lato;sans-serif"/>
                <w:b/>
                <w:color w:val="FFFFFF"/>
                <w:sz w:val="16"/>
              </w:rPr>
            </w:pPr>
            <w:r>
              <w:rPr>
                <w:rFonts w:ascii="Lato;sans-serif" w:hAnsi="Lato;sans-serif"/>
                <w:b/>
                <w:color w:val="FFFFFF"/>
                <w:sz w:val="16"/>
              </w:rPr>
              <w:t>Option Expiration Date</w:t>
            </w:r>
          </w:p>
        </w:tc>
        <w:tc>
          <w:tcPr>
            <w:tcW w:w="868" w:type="dxa"/>
            <w:gridSpan w:val="3"/>
            <w:tcBorders>
              <w:top w:val="single" w:sz="4" w:space="0" w:color="000000"/>
            </w:tcBorders>
            <w:shd w:fill="F44238" w:val="clear"/>
            <w:tcMar>
              <w:top w:w="30" w:type="dxa"/>
              <w:left w:w="0" w:type="dxa"/>
              <w:bottom w:w="0" w:type="dxa"/>
              <w:right w:w="0" w:type="dxa"/>
            </w:tcMar>
            <w:vAlign w:val="center"/>
          </w:tcPr>
          <w:p>
            <w:pPr>
              <w:pStyle w:val="TableContents"/>
              <w:bidi w:val="0"/>
              <w:spacing w:lineRule="auto" w:line="240" w:before="0" w:after="283"/>
              <w:jc w:val="center"/>
              <w:rPr>
                <w:rFonts w:ascii="Lato;sans-serif" w:hAnsi="Lato;sans-serif"/>
                <w:b/>
                <w:color w:val="FFFFFF"/>
                <w:sz w:val="16"/>
              </w:rPr>
            </w:pPr>
            <w:r>
              <w:rPr>
                <w:rFonts w:ascii="Lato;sans-serif" w:hAnsi="Lato;sans-serif"/>
                <w:b/>
                <w:color w:val="FFFFFF"/>
                <w:sz w:val="16"/>
              </w:rPr>
              <w:t>Number of Shares or Units of Stock That Have Not Vested (#)</w:t>
            </w:r>
          </w:p>
        </w:tc>
        <w:tc>
          <w:tcPr>
            <w:tcW w:w="978" w:type="dxa"/>
            <w:gridSpan w:val="3"/>
            <w:tcBorders>
              <w:top w:val="single" w:sz="4" w:space="0" w:color="000000"/>
            </w:tcBorders>
            <w:shd w:fill="F44238" w:val="clear"/>
            <w:tcMar>
              <w:top w:w="30" w:type="dxa"/>
              <w:left w:w="0" w:type="dxa"/>
              <w:bottom w:w="0" w:type="dxa"/>
              <w:right w:w="0" w:type="dxa"/>
            </w:tcMar>
            <w:vAlign w:val="center"/>
          </w:tcPr>
          <w:p>
            <w:pPr>
              <w:pStyle w:val="TableContents"/>
              <w:bidi w:val="0"/>
              <w:spacing w:lineRule="auto" w:line="288" w:before="33" w:after="30"/>
              <w:jc w:val="center"/>
              <w:rPr/>
            </w:pPr>
            <w:r>
              <w:rPr>
                <w:rFonts w:ascii="Lato;sans-serif" w:hAnsi="Lato;sans-serif"/>
                <w:b/>
                <w:color w:val="FFFFFF"/>
                <w:sz w:val="16"/>
              </w:rPr>
              <w:t>Market Value of Shares or Units of Stock That Have Not Vested ($)</w:t>
            </w:r>
            <w:r>
              <w:rPr>
                <w:rFonts w:ascii="Lato;sans-serif" w:hAnsi="Lato;sans-serif"/>
                <w:b/>
                <w:color w:val="FFFFFF"/>
                <w:sz w:val="10"/>
              </w:rPr>
              <w:t>(2)</w:t>
            </w:r>
          </w:p>
        </w:tc>
        <w:tc>
          <w:tcPr>
            <w:tcW w:w="1064" w:type="dxa"/>
            <w:gridSpan w:val="3"/>
            <w:tcBorders>
              <w:top w:val="single" w:sz="4" w:space="0" w:color="000000"/>
            </w:tcBorders>
            <w:shd w:fill="F44238" w:val="clear"/>
            <w:tcMar>
              <w:top w:w="30" w:type="dxa"/>
              <w:left w:w="0" w:type="dxa"/>
              <w:bottom w:w="0" w:type="dxa"/>
              <w:right w:w="0" w:type="dxa"/>
            </w:tcMar>
            <w:vAlign w:val="center"/>
          </w:tcPr>
          <w:p>
            <w:pPr>
              <w:pStyle w:val="TableContents"/>
              <w:bidi w:val="0"/>
              <w:spacing w:lineRule="auto" w:line="240" w:before="0" w:after="283"/>
              <w:jc w:val="center"/>
              <w:rPr>
                <w:rFonts w:ascii="Lato;sans-serif" w:hAnsi="Lato;sans-serif"/>
                <w:b/>
                <w:color w:val="FFFFFF"/>
                <w:sz w:val="16"/>
              </w:rPr>
            </w:pPr>
            <w:r>
              <w:rPr>
                <w:rFonts w:ascii="Lato;sans-serif" w:hAnsi="Lato;sans-serif"/>
                <w:b/>
                <w:color w:val="FFFFFF"/>
                <w:sz w:val="16"/>
              </w:rPr>
              <w:t>Equity Incentive Plan Awards: Number of Unearned Shares or Units of Stock That Have Not Vested (#)</w:t>
            </w:r>
          </w:p>
        </w:tc>
        <w:tc>
          <w:tcPr>
            <w:tcW w:w="1093" w:type="dxa"/>
            <w:gridSpan w:val="3"/>
            <w:tcBorders>
              <w:top w:val="single" w:sz="4" w:space="0" w:color="000000"/>
            </w:tcBorders>
            <w:shd w:fill="F44238" w:val="clear"/>
            <w:tcMar>
              <w:top w:w="30" w:type="dxa"/>
              <w:left w:w="0" w:type="dxa"/>
              <w:bottom w:w="0" w:type="dxa"/>
              <w:right w:w="0" w:type="dxa"/>
            </w:tcMar>
            <w:vAlign w:val="center"/>
          </w:tcPr>
          <w:p>
            <w:pPr>
              <w:pStyle w:val="TableContents"/>
              <w:bidi w:val="0"/>
              <w:spacing w:lineRule="auto" w:line="288" w:before="33" w:after="30"/>
              <w:jc w:val="center"/>
              <w:rPr/>
            </w:pPr>
            <w:r>
              <w:rPr>
                <w:rFonts w:ascii="Lato;sans-serif" w:hAnsi="Lato;sans-serif"/>
                <w:b/>
                <w:color w:val="FFFFFF"/>
                <w:sz w:val="16"/>
              </w:rPr>
              <w:t>Equity Incentive Plan Awards: Market Value of Shares or Units of Stock That Have Not Vested ($)</w:t>
            </w:r>
            <w:r>
              <w:rPr>
                <w:rFonts w:ascii="Lato;sans-serif" w:hAnsi="Lato;sans-serif"/>
                <w:b/>
                <w:color w:val="FFFFFF"/>
                <w:sz w:val="10"/>
              </w:rPr>
              <w:t>(2)</w:t>
            </w:r>
          </w:p>
        </w:tc>
      </w:tr>
      <w:tr>
        <w:trPr/>
        <w:tc>
          <w:tcPr>
            <w:tcW w:w="821" w:type="dxa"/>
            <w:gridSpan w:val="3"/>
            <w:vMerge w:val="restart"/>
            <w:tcBorders>
              <w:top w:val="single" w:sz="4" w:space="0" w:color="000000"/>
            </w:tcBorders>
            <w:tcMar>
              <w:top w:w="30" w:type="dxa"/>
              <w:left w:w="0" w:type="dxa"/>
              <w:bottom w:w="0" w:type="dxa"/>
              <w:right w:w="0" w:type="dxa"/>
            </w:tcMar>
            <w:vAlign w:val="center"/>
          </w:tcPr>
          <w:p>
            <w:pPr>
              <w:pStyle w:val="TableContents"/>
              <w:bidi w:val="0"/>
              <w:spacing w:lineRule="auto" w:line="333" w:before="0" w:after="283"/>
              <w:jc w:val="left"/>
              <w:rPr>
                <w:rFonts w:ascii="Lato;sans-serif" w:hAnsi="Lato;sans-serif"/>
                <w:b w:val="false"/>
                <w:color w:val="000000"/>
                <w:sz w:val="16"/>
              </w:rPr>
            </w:pPr>
            <w:r>
              <w:rPr>
                <w:rFonts w:ascii="Lato;sans-serif" w:hAnsi="Lato;sans-serif"/>
                <w:b w:val="false"/>
                <w:color w:val="000000"/>
                <w:sz w:val="16"/>
              </w:rPr>
              <w:t>Henry L Schuck</w:t>
            </w:r>
          </w:p>
        </w:tc>
        <w:tc>
          <w:tcPr>
            <w:tcW w:w="619"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Lato;sans-serif" w:hAnsi="Lato;sans-serif"/>
                <w:b w:val="false"/>
                <w:color w:val="000000"/>
                <w:sz w:val="16"/>
              </w:rPr>
            </w:pPr>
            <w:r>
              <w:rPr>
                <w:rFonts w:ascii="Lato;sans-serif" w:hAnsi="Lato;sans-serif"/>
                <w:b w:val="false"/>
                <w:color w:val="000000"/>
                <w:sz w:val="16"/>
              </w:rPr>
              <w:t>11/26/2025</w:t>
            </w:r>
          </w:p>
        </w:tc>
        <w:tc>
          <w:tcPr>
            <w:tcW w:w="1474"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Lato;sans-serif" w:hAnsi="Lato;sans-serif"/>
                <w:b w:val="false"/>
                <w:color w:val="000000"/>
                <w:sz w:val="16"/>
              </w:rPr>
              <w:t>CEO Premium-Priced Performance Option</w:t>
            </w:r>
            <w:r>
              <w:rPr>
                <w:rFonts w:ascii="Lato;sans-serif" w:hAnsi="Lato;sans-serif"/>
                <w:b w:val="false"/>
                <w:color w:val="000000"/>
                <w:sz w:val="10"/>
              </w:rPr>
              <w:t>(3)</w:t>
            </w:r>
          </w:p>
        </w:tc>
        <w:tc>
          <w:tcPr>
            <w:tcW w:w="1315"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Lato;sans-serif" w:hAnsi="Lato;sans-serif"/>
                <w:b w:val="false"/>
                <w:color w:val="000000"/>
                <w:sz w:val="16"/>
              </w:rPr>
            </w:pPr>
            <w:r>
              <w:rPr>
                <w:rFonts w:ascii="Lato;sans-serif" w:hAnsi="Lato;sans-serif"/>
                <w:b w:val="false"/>
                <w:color w:val="000000"/>
                <w:sz w:val="16"/>
              </w:rPr>
              <w:t>9,678,000</w:t>
            </w:r>
          </w:p>
        </w:tc>
        <w:tc>
          <w:tcPr>
            <w:tcW w:w="898"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Lato;sans-serif" w:hAnsi="Lato;sans-serif"/>
                <w:b w:val="false"/>
                <w:color w:val="000000"/>
                <w:sz w:val="16"/>
              </w:rPr>
            </w:pPr>
            <w:r>
              <w:rPr>
                <w:rFonts w:ascii="Lato;sans-serif" w:hAnsi="Lato;sans-serif"/>
                <w:b w:val="false"/>
                <w:color w:val="000000"/>
                <w:sz w:val="16"/>
              </w:rPr>
              <w:t>$13.54</w:t>
            </w:r>
          </w:p>
        </w:tc>
        <w:tc>
          <w:tcPr>
            <w:tcW w:w="1075"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Lato;sans-serif" w:hAnsi="Lato;sans-serif"/>
                <w:b w:val="false"/>
                <w:color w:val="000000"/>
                <w:sz w:val="16"/>
              </w:rPr>
            </w:pPr>
            <w:r>
              <w:rPr>
                <w:rFonts w:ascii="Lato;sans-serif" w:hAnsi="Lato;sans-serif"/>
                <w:b w:val="false"/>
                <w:color w:val="000000"/>
                <w:sz w:val="16"/>
              </w:rPr>
              <w:t>11/26/2035</w:t>
            </w:r>
          </w:p>
        </w:tc>
        <w:tc>
          <w:tcPr>
            <w:tcW w:w="868"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978"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Lato;sans-serif" w:hAnsi="Lato;sans-serif"/>
                <w:b w:val="false"/>
                <w:color w:val="000000"/>
                <w:sz w:val="16"/>
              </w:rPr>
            </w:pPr>
            <w:r>
              <w:rPr>
                <w:rFonts w:ascii="Lato;sans-serif" w:hAnsi="Lato;sans-serif"/>
                <w:b w:val="false"/>
                <w:color w:val="000000"/>
                <w:sz w:val="16"/>
              </w:rPr>
              <w:t>$—</w:t>
            </w:r>
          </w:p>
        </w:tc>
        <w:tc>
          <w:tcPr>
            <w:tcW w:w="1064"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093"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Lato;sans-serif" w:hAnsi="Lato;sans-serif"/>
                <w:b w:val="false"/>
                <w:color w:val="000000"/>
                <w:sz w:val="16"/>
              </w:rPr>
            </w:pPr>
            <w:r>
              <w:rPr>
                <w:rFonts w:ascii="Lato;sans-serif" w:hAnsi="Lato;sans-serif"/>
                <w:b w:val="false"/>
                <w:color w:val="000000"/>
                <w:sz w:val="16"/>
              </w:rPr>
              <w:t>$—</w:t>
            </w:r>
          </w:p>
        </w:tc>
      </w:tr>
      <w:tr>
        <w:trPr/>
        <w:tc>
          <w:tcPr>
            <w:tcW w:w="821" w:type="dxa"/>
            <w:gridSpan w:val="3"/>
            <w:vMerge w:val="continue"/>
            <w:tcBorders>
              <w:top w:val="single" w:sz="4" w:space="0" w:color="000000"/>
            </w:tcBorders>
            <w:tcMar>
              <w:top w:w="30" w:type="dxa"/>
              <w:left w:w="0" w:type="dxa"/>
              <w:bottom w:w="0" w:type="dxa"/>
              <w:right w:w="0" w:type="dxa"/>
            </w:tcMar>
            <w:vAlign w:val="center"/>
          </w:tcPr>
          <w:p>
            <w:pPr>
              <w:pStyle w:val="Normal"/>
              <w:bidi w:val="0"/>
              <w:jc w:val="left"/>
              <w:rPr/>
            </w:pPr>
            <w:r>
              <w:rPr/>
            </w:r>
          </w:p>
        </w:tc>
        <w:tc>
          <w:tcPr>
            <w:tcW w:w="6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Lato;sans-serif" w:hAnsi="Lato;sans-serif"/>
                <w:b w:val="false"/>
                <w:color w:val="000000"/>
                <w:sz w:val="16"/>
              </w:rPr>
            </w:pPr>
            <w:r>
              <w:rPr>
                <w:rFonts w:ascii="Lato;sans-serif" w:hAnsi="Lato;sans-serif"/>
                <w:b w:val="false"/>
                <w:color w:val="000000"/>
                <w:sz w:val="16"/>
              </w:rPr>
              <w:t>5/29/2024</w:t>
            </w:r>
          </w:p>
        </w:tc>
        <w:tc>
          <w:tcPr>
            <w:tcW w:w="147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r>
              <w:rPr>
                <w:rFonts w:ascii="Lato;sans-serif" w:hAnsi="Lato;sans-serif"/>
                <w:b w:val="false"/>
                <w:color w:val="000000"/>
                <w:sz w:val="16"/>
              </w:rPr>
              <w:t>FCFps PSUs</w:t>
            </w:r>
            <w:r>
              <w:rPr>
                <w:rFonts w:ascii="Lato;sans-serif" w:hAnsi="Lato;sans-serif"/>
                <w:b w:val="false"/>
                <w:color w:val="000000"/>
                <w:sz w:val="10"/>
              </w:rPr>
              <w:t>(4)(7)</w:t>
            </w:r>
          </w:p>
        </w:tc>
        <w:tc>
          <w:tcPr>
            <w:tcW w:w="1315"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898"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075"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868"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978"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0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Lato;sans-serif" w:hAnsi="Lato;sans-serif"/>
                <w:b w:val="false"/>
                <w:color w:val="000000"/>
                <w:sz w:val="16"/>
              </w:rPr>
            </w:pPr>
            <w:r>
              <w:rPr>
                <w:rFonts w:ascii="Lato;sans-serif" w:hAnsi="Lato;sans-serif"/>
                <w:b w:val="false"/>
                <w:color w:val="000000"/>
                <w:sz w:val="16"/>
              </w:rPr>
              <w:t>58,824</w:t>
            </w:r>
          </w:p>
        </w:tc>
        <w:tc>
          <w:tcPr>
            <w:tcW w:w="109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Lato;sans-serif" w:hAnsi="Lato;sans-serif"/>
                <w:b w:val="false"/>
                <w:color w:val="000000"/>
                <w:sz w:val="16"/>
              </w:rPr>
            </w:pPr>
            <w:r>
              <w:rPr>
                <w:rFonts w:ascii="Lato;sans-serif" w:hAnsi="Lato;sans-serif"/>
                <w:b w:val="false"/>
                <w:color w:val="000000"/>
                <w:sz w:val="16"/>
              </w:rPr>
              <w:t>598,240</w:t>
            </w:r>
          </w:p>
        </w:tc>
      </w:tr>
      <w:tr>
        <w:trPr/>
        <w:tc>
          <w:tcPr>
            <w:tcW w:w="821" w:type="dxa"/>
            <w:gridSpan w:val="3"/>
            <w:vMerge w:val="continue"/>
            <w:tcBorders>
              <w:top w:val="single" w:sz="4" w:space="0" w:color="000000"/>
            </w:tcBorders>
            <w:tcMar>
              <w:top w:w="30" w:type="dxa"/>
              <w:left w:w="0" w:type="dxa"/>
              <w:bottom w:w="0" w:type="dxa"/>
              <w:right w:w="0" w:type="dxa"/>
            </w:tcMar>
            <w:vAlign w:val="center"/>
          </w:tcPr>
          <w:p>
            <w:pPr>
              <w:pStyle w:val="Normal"/>
              <w:bidi w:val="0"/>
              <w:jc w:val="left"/>
              <w:rPr/>
            </w:pPr>
            <w:r>
              <w:rPr/>
            </w:r>
          </w:p>
        </w:tc>
        <w:tc>
          <w:tcPr>
            <w:tcW w:w="6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Lato;sans-serif" w:hAnsi="Lato;sans-serif"/>
                <w:b w:val="false"/>
                <w:color w:val="000000"/>
                <w:sz w:val="16"/>
              </w:rPr>
            </w:pPr>
            <w:r>
              <w:rPr>
                <w:rFonts w:ascii="Lato;sans-serif" w:hAnsi="Lato;sans-serif"/>
                <w:b w:val="false"/>
                <w:color w:val="000000"/>
                <w:sz w:val="16"/>
              </w:rPr>
              <w:t>5/29/2024</w:t>
            </w:r>
          </w:p>
        </w:tc>
        <w:tc>
          <w:tcPr>
            <w:tcW w:w="147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r>
              <w:rPr>
                <w:rFonts w:ascii="Lato;sans-serif" w:hAnsi="Lato;sans-serif"/>
                <w:b w:val="false"/>
                <w:color w:val="000000"/>
                <w:sz w:val="16"/>
              </w:rPr>
              <w:t>Market-Based PSUs</w:t>
            </w:r>
            <w:r>
              <w:rPr>
                <w:rFonts w:ascii="Lato;sans-serif" w:hAnsi="Lato;sans-serif"/>
                <w:b w:val="false"/>
                <w:color w:val="000000"/>
                <w:sz w:val="10"/>
              </w:rPr>
              <w:t>(5)(7)</w:t>
            </w:r>
          </w:p>
        </w:tc>
        <w:tc>
          <w:tcPr>
            <w:tcW w:w="1315"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898"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075"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868"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978"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0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Lato;sans-serif" w:hAnsi="Lato;sans-serif"/>
                <w:b w:val="false"/>
                <w:color w:val="000000"/>
                <w:sz w:val="16"/>
              </w:rPr>
            </w:pPr>
            <w:r>
              <w:rPr>
                <w:rFonts w:ascii="Lato;sans-serif" w:hAnsi="Lato;sans-serif"/>
                <w:b w:val="false"/>
                <w:color w:val="000000"/>
                <w:sz w:val="16"/>
              </w:rPr>
              <w:t>294,118</w:t>
            </w:r>
          </w:p>
        </w:tc>
        <w:tc>
          <w:tcPr>
            <w:tcW w:w="109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Lato;sans-serif" w:hAnsi="Lato;sans-serif"/>
                <w:b w:val="false"/>
                <w:color w:val="000000"/>
                <w:sz w:val="16"/>
              </w:rPr>
            </w:pPr>
            <w:r>
              <w:rPr>
                <w:rFonts w:ascii="Lato;sans-serif" w:hAnsi="Lato;sans-serif"/>
                <w:b w:val="false"/>
                <w:color w:val="000000"/>
                <w:sz w:val="16"/>
              </w:rPr>
              <w:t>2,991,180</w:t>
            </w:r>
          </w:p>
        </w:tc>
      </w:tr>
      <w:tr>
        <w:trPr/>
        <w:tc>
          <w:tcPr>
            <w:tcW w:w="821" w:type="dxa"/>
            <w:gridSpan w:val="3"/>
            <w:vMerge w:val="continue"/>
            <w:tcBorders>
              <w:top w:val="single" w:sz="4" w:space="0" w:color="000000"/>
            </w:tcBorders>
            <w:tcMar>
              <w:top w:w="30" w:type="dxa"/>
              <w:left w:w="0" w:type="dxa"/>
              <w:bottom w:w="0" w:type="dxa"/>
              <w:right w:w="0" w:type="dxa"/>
            </w:tcMar>
            <w:vAlign w:val="center"/>
          </w:tcPr>
          <w:p>
            <w:pPr>
              <w:pStyle w:val="Normal"/>
              <w:bidi w:val="0"/>
              <w:jc w:val="left"/>
              <w:rPr/>
            </w:pPr>
            <w:r>
              <w:rPr/>
            </w:r>
          </w:p>
        </w:tc>
        <w:tc>
          <w:tcPr>
            <w:tcW w:w="6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Lato;sans-serif" w:hAnsi="Lato;sans-serif"/>
                <w:b w:val="false"/>
                <w:color w:val="000000"/>
                <w:sz w:val="16"/>
              </w:rPr>
            </w:pPr>
            <w:r>
              <w:rPr>
                <w:rFonts w:ascii="Lato;sans-serif" w:hAnsi="Lato;sans-serif"/>
                <w:b w:val="false"/>
                <w:color w:val="000000"/>
                <w:sz w:val="16"/>
              </w:rPr>
              <w:t>5/29/2024</w:t>
            </w:r>
          </w:p>
        </w:tc>
        <w:tc>
          <w:tcPr>
            <w:tcW w:w="1474"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Lato;sans-serif" w:hAnsi="Lato;sans-serif"/>
                <w:b w:val="false"/>
                <w:color w:val="000000"/>
                <w:sz w:val="16"/>
              </w:rPr>
              <w:t>RSU</w:t>
            </w:r>
            <w:r>
              <w:rPr>
                <w:rFonts w:ascii="Lato;sans-serif" w:hAnsi="Lato;sans-serif"/>
                <w:b w:val="false"/>
                <w:color w:val="000000"/>
                <w:sz w:val="10"/>
              </w:rPr>
              <w:t>(6)(7)</w:t>
            </w:r>
          </w:p>
        </w:tc>
        <w:tc>
          <w:tcPr>
            <w:tcW w:w="1315"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898"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075"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86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Lato;sans-serif" w:hAnsi="Lato;sans-serif"/>
                <w:b w:val="false"/>
                <w:color w:val="000000"/>
                <w:sz w:val="16"/>
              </w:rPr>
            </w:pPr>
            <w:r>
              <w:rPr>
                <w:rFonts w:ascii="Lato;sans-serif" w:hAnsi="Lato;sans-serif"/>
                <w:b w:val="false"/>
                <w:color w:val="000000"/>
                <w:sz w:val="16"/>
              </w:rPr>
              <w:t>137,869</w:t>
            </w:r>
          </w:p>
        </w:tc>
        <w:tc>
          <w:tcPr>
            <w:tcW w:w="97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Lato;sans-serif" w:hAnsi="Lato;sans-serif"/>
                <w:b w:val="false"/>
                <w:color w:val="000000"/>
                <w:sz w:val="16"/>
              </w:rPr>
            </w:pPr>
            <w:r>
              <w:rPr>
                <w:rFonts w:ascii="Lato;sans-serif" w:hAnsi="Lato;sans-serif"/>
                <w:b w:val="false"/>
                <w:color w:val="000000"/>
                <w:sz w:val="16"/>
              </w:rPr>
              <w:t>1,402,128</w:t>
            </w:r>
          </w:p>
        </w:tc>
        <w:tc>
          <w:tcPr>
            <w:tcW w:w="1064"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093"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r>
      <w:tr>
        <w:trPr/>
        <w:tc>
          <w:tcPr>
            <w:tcW w:w="821" w:type="dxa"/>
            <w:gridSpan w:val="3"/>
            <w:vMerge w:val="restart"/>
            <w:tcBorders/>
            <w:shd w:fill="DBDBDB" w:val="clear"/>
            <w:tcMar>
              <w:top w:w="0" w:type="dxa"/>
              <w:left w:w="0" w:type="dxa"/>
              <w:bottom w:w="0" w:type="dxa"/>
              <w:right w:w="0" w:type="dxa"/>
            </w:tcMar>
            <w:vAlign w:val="center"/>
          </w:tcPr>
          <w:p>
            <w:pPr>
              <w:pStyle w:val="TableContents"/>
              <w:bidi w:val="0"/>
              <w:spacing w:lineRule="auto" w:line="333" w:before="0" w:after="283"/>
              <w:jc w:val="left"/>
              <w:rPr>
                <w:rFonts w:ascii="Lato;sans-serif" w:hAnsi="Lato;sans-serif"/>
                <w:b w:val="false"/>
                <w:color w:val="000000"/>
                <w:sz w:val="16"/>
              </w:rPr>
            </w:pPr>
            <w:r>
              <w:rPr>
                <w:rFonts w:ascii="Lato;sans-serif" w:hAnsi="Lato;sans-serif"/>
                <w:b w:val="false"/>
                <w:color w:val="000000"/>
                <w:sz w:val="16"/>
              </w:rPr>
              <w:t>Michael Graham O'Brien</w:t>
            </w:r>
          </w:p>
        </w:tc>
        <w:tc>
          <w:tcPr>
            <w:tcW w:w="619"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Lato;sans-serif" w:hAnsi="Lato;sans-serif"/>
                <w:b w:val="false"/>
                <w:color w:val="000000"/>
                <w:sz w:val="16"/>
              </w:rPr>
            </w:pPr>
            <w:r>
              <w:rPr>
                <w:rFonts w:ascii="Lato;sans-serif" w:hAnsi="Lato;sans-serif"/>
                <w:b w:val="false"/>
                <w:color w:val="000000"/>
                <w:sz w:val="16"/>
              </w:rPr>
              <w:t>7/31/2025</w:t>
            </w:r>
          </w:p>
        </w:tc>
        <w:tc>
          <w:tcPr>
            <w:tcW w:w="1474" w:type="dxa"/>
            <w:gridSpan w:val="3"/>
            <w:tcBorders/>
            <w:shd w:fill="DBDBDB" w:val="clear"/>
            <w:tcMar>
              <w:top w:w="0" w:type="dxa"/>
              <w:left w:w="0" w:type="dxa"/>
              <w:bottom w:w="0" w:type="dxa"/>
              <w:right w:w="0" w:type="dxa"/>
            </w:tcMar>
            <w:vAlign w:val="center"/>
          </w:tcPr>
          <w:p>
            <w:pPr>
              <w:pStyle w:val="TableContents"/>
              <w:bidi w:val="0"/>
              <w:spacing w:lineRule="auto" w:line="240" w:before="0" w:after="0"/>
              <w:jc w:val="center"/>
              <w:rPr/>
            </w:pPr>
            <w:r>
              <w:rPr>
                <w:rFonts w:ascii="Lato;sans-serif" w:hAnsi="Lato;sans-serif"/>
                <w:b w:val="false"/>
                <w:color w:val="000000"/>
                <w:sz w:val="16"/>
              </w:rPr>
              <w:t>FCFps PSUs</w:t>
            </w:r>
            <w:r>
              <w:rPr>
                <w:rFonts w:ascii="Lato;sans-serif" w:hAnsi="Lato;sans-serif"/>
                <w:b w:val="false"/>
                <w:color w:val="000000"/>
                <w:sz w:val="10"/>
              </w:rPr>
              <w:t>(8)</w:t>
            </w:r>
          </w:p>
        </w:tc>
        <w:tc>
          <w:tcPr>
            <w:tcW w:w="1315"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898"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075"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868"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978"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06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Lato;sans-serif" w:hAnsi="Lato;sans-serif"/>
                <w:b w:val="false"/>
                <w:color w:val="000000"/>
                <w:sz w:val="16"/>
              </w:rPr>
            </w:pPr>
            <w:r>
              <w:rPr>
                <w:rFonts w:ascii="Lato;sans-serif" w:hAnsi="Lato;sans-serif"/>
                <w:b w:val="false"/>
                <w:color w:val="000000"/>
                <w:sz w:val="16"/>
              </w:rPr>
              <w:t>161,905</w:t>
            </w:r>
          </w:p>
        </w:tc>
        <w:tc>
          <w:tcPr>
            <w:tcW w:w="1093"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Lato;sans-serif" w:hAnsi="Lato;sans-serif"/>
                <w:b w:val="false"/>
                <w:color w:val="000000"/>
                <w:sz w:val="16"/>
              </w:rPr>
            </w:pPr>
            <w:r>
              <w:rPr>
                <w:rFonts w:ascii="Lato;sans-serif" w:hAnsi="Lato;sans-serif"/>
                <w:b w:val="false"/>
                <w:color w:val="000000"/>
                <w:sz w:val="16"/>
              </w:rPr>
              <w:t>1,646,574</w:t>
            </w:r>
          </w:p>
        </w:tc>
      </w:tr>
      <w:tr>
        <w:trPr/>
        <w:tc>
          <w:tcPr>
            <w:tcW w:w="821" w:type="dxa"/>
            <w:gridSpan w:val="3"/>
            <w:vMerge w:val="continue"/>
            <w:tcBorders/>
            <w:shd w:fill="DBDBDB" w:val="clear"/>
            <w:tcMar>
              <w:top w:w="0" w:type="dxa"/>
              <w:left w:w="0" w:type="dxa"/>
              <w:bottom w:w="0" w:type="dxa"/>
              <w:right w:w="0" w:type="dxa"/>
            </w:tcMar>
            <w:vAlign w:val="center"/>
          </w:tcPr>
          <w:p>
            <w:pPr>
              <w:pStyle w:val="Normal"/>
              <w:bidi w:val="0"/>
              <w:jc w:val="left"/>
              <w:rPr/>
            </w:pPr>
            <w:r>
              <w:rPr/>
            </w:r>
          </w:p>
        </w:tc>
        <w:tc>
          <w:tcPr>
            <w:tcW w:w="619"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Lato;sans-serif" w:hAnsi="Lato;sans-serif"/>
                <w:b w:val="false"/>
                <w:color w:val="000000"/>
                <w:sz w:val="16"/>
              </w:rPr>
            </w:pPr>
            <w:r>
              <w:rPr>
                <w:rFonts w:ascii="Lato;sans-serif" w:hAnsi="Lato;sans-serif"/>
                <w:b w:val="false"/>
                <w:color w:val="000000"/>
                <w:sz w:val="16"/>
              </w:rPr>
              <w:t>7/31/2025</w:t>
            </w:r>
          </w:p>
        </w:tc>
        <w:tc>
          <w:tcPr>
            <w:tcW w:w="1474" w:type="dxa"/>
            <w:gridSpan w:val="3"/>
            <w:tcBorders/>
            <w:shd w:fill="DBDBDB" w:val="clear"/>
            <w:tcMar>
              <w:top w:w="0" w:type="dxa"/>
              <w:left w:w="0" w:type="dxa"/>
              <w:bottom w:w="0" w:type="dxa"/>
              <w:right w:w="0" w:type="dxa"/>
            </w:tcMar>
            <w:vAlign w:val="center"/>
          </w:tcPr>
          <w:p>
            <w:pPr>
              <w:pStyle w:val="TableContents"/>
              <w:bidi w:val="0"/>
              <w:spacing w:lineRule="auto" w:line="240" w:before="0" w:after="0"/>
              <w:jc w:val="center"/>
              <w:rPr/>
            </w:pPr>
            <w:r>
              <w:rPr>
                <w:rFonts w:ascii="Lato;sans-serif" w:hAnsi="Lato;sans-serif"/>
                <w:b w:val="false"/>
                <w:color w:val="000000"/>
                <w:sz w:val="16"/>
              </w:rPr>
              <w:t>RSU</w:t>
            </w:r>
            <w:r>
              <w:rPr>
                <w:rFonts w:ascii="Lato;sans-serif" w:hAnsi="Lato;sans-serif"/>
                <w:b w:val="false"/>
                <w:color w:val="000000"/>
                <w:sz w:val="10"/>
              </w:rPr>
              <w:t>(9)</w:t>
            </w:r>
          </w:p>
        </w:tc>
        <w:tc>
          <w:tcPr>
            <w:tcW w:w="1315"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898"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075"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868"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Lato;sans-serif" w:hAnsi="Lato;sans-serif"/>
                <w:b w:val="false"/>
                <w:color w:val="000000"/>
                <w:sz w:val="16"/>
              </w:rPr>
            </w:pPr>
            <w:r>
              <w:rPr>
                <w:rFonts w:ascii="Lato;sans-serif" w:hAnsi="Lato;sans-serif"/>
                <w:b w:val="false"/>
                <w:color w:val="000000"/>
                <w:sz w:val="16"/>
              </w:rPr>
              <w:t>276,924</w:t>
            </w:r>
          </w:p>
        </w:tc>
        <w:tc>
          <w:tcPr>
            <w:tcW w:w="978"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Lato;sans-serif" w:hAnsi="Lato;sans-serif"/>
                <w:b w:val="false"/>
                <w:color w:val="000000"/>
                <w:sz w:val="16"/>
              </w:rPr>
            </w:pPr>
            <w:r>
              <w:rPr>
                <w:rFonts w:ascii="Lato;sans-serif" w:hAnsi="Lato;sans-serif"/>
                <w:b w:val="false"/>
                <w:color w:val="000000"/>
                <w:sz w:val="16"/>
              </w:rPr>
              <w:t>2,816,317</w:t>
            </w:r>
          </w:p>
        </w:tc>
        <w:tc>
          <w:tcPr>
            <w:tcW w:w="106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093"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r>
      <w:tr>
        <w:trPr/>
        <w:tc>
          <w:tcPr>
            <w:tcW w:w="821" w:type="dxa"/>
            <w:gridSpan w:val="3"/>
            <w:vMerge w:val="continue"/>
            <w:tcBorders/>
            <w:shd w:fill="DBDBDB" w:val="clear"/>
            <w:tcMar>
              <w:top w:w="0" w:type="dxa"/>
              <w:left w:w="0" w:type="dxa"/>
              <w:bottom w:w="0" w:type="dxa"/>
              <w:right w:w="0" w:type="dxa"/>
            </w:tcMar>
            <w:vAlign w:val="center"/>
          </w:tcPr>
          <w:p>
            <w:pPr>
              <w:pStyle w:val="Normal"/>
              <w:bidi w:val="0"/>
              <w:jc w:val="left"/>
              <w:rPr/>
            </w:pPr>
            <w:r>
              <w:rPr/>
            </w:r>
          </w:p>
        </w:tc>
        <w:tc>
          <w:tcPr>
            <w:tcW w:w="619"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Lato;sans-serif" w:hAnsi="Lato;sans-serif"/>
                <w:b w:val="false"/>
                <w:color w:val="000000"/>
                <w:sz w:val="16"/>
              </w:rPr>
            </w:pPr>
            <w:r>
              <w:rPr>
                <w:rFonts w:ascii="Lato;sans-serif" w:hAnsi="Lato;sans-serif"/>
                <w:b w:val="false"/>
                <w:color w:val="000000"/>
                <w:sz w:val="16"/>
              </w:rPr>
              <w:t>5/30/2025</w:t>
            </w:r>
          </w:p>
        </w:tc>
        <w:tc>
          <w:tcPr>
            <w:tcW w:w="1474" w:type="dxa"/>
            <w:gridSpan w:val="3"/>
            <w:tcBorders/>
            <w:shd w:fill="DBDBDB" w:val="clear"/>
            <w:tcMar>
              <w:top w:w="0" w:type="dxa"/>
              <w:left w:w="0" w:type="dxa"/>
              <w:bottom w:w="0" w:type="dxa"/>
              <w:right w:w="0" w:type="dxa"/>
            </w:tcMar>
            <w:vAlign w:val="center"/>
          </w:tcPr>
          <w:p>
            <w:pPr>
              <w:pStyle w:val="TableContents"/>
              <w:bidi w:val="0"/>
              <w:spacing w:lineRule="auto" w:line="240" w:before="0" w:after="0"/>
              <w:jc w:val="center"/>
              <w:rPr/>
            </w:pPr>
            <w:r>
              <w:rPr>
                <w:rFonts w:ascii="Lato;sans-serif" w:hAnsi="Lato;sans-serif"/>
                <w:b w:val="false"/>
                <w:color w:val="000000"/>
                <w:sz w:val="16"/>
              </w:rPr>
              <w:t>FCFps PSUs</w:t>
            </w:r>
            <w:r>
              <w:rPr>
                <w:rFonts w:ascii="Lato;sans-serif" w:hAnsi="Lato;sans-serif"/>
                <w:b w:val="false"/>
                <w:color w:val="000000"/>
                <w:sz w:val="10"/>
              </w:rPr>
              <w:t>(10)</w:t>
            </w:r>
          </w:p>
        </w:tc>
        <w:tc>
          <w:tcPr>
            <w:tcW w:w="1315"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898"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075"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868"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978"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06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Lato;sans-serif" w:hAnsi="Lato;sans-serif"/>
                <w:b w:val="false"/>
                <w:color w:val="000000"/>
                <w:sz w:val="16"/>
              </w:rPr>
            </w:pPr>
            <w:r>
              <w:rPr>
                <w:rFonts w:ascii="Lato;sans-serif" w:hAnsi="Lato;sans-serif"/>
                <w:b w:val="false"/>
                <w:color w:val="000000"/>
                <w:sz w:val="16"/>
              </w:rPr>
              <w:t>59,500</w:t>
            </w:r>
          </w:p>
        </w:tc>
        <w:tc>
          <w:tcPr>
            <w:tcW w:w="1093"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Lato;sans-serif" w:hAnsi="Lato;sans-serif"/>
                <w:b w:val="false"/>
                <w:color w:val="000000"/>
                <w:sz w:val="16"/>
              </w:rPr>
            </w:pPr>
            <w:r>
              <w:rPr>
                <w:rFonts w:ascii="Lato;sans-serif" w:hAnsi="Lato;sans-serif"/>
                <w:b w:val="false"/>
                <w:color w:val="000000"/>
                <w:sz w:val="16"/>
              </w:rPr>
              <w:t>605,115</w:t>
            </w:r>
          </w:p>
        </w:tc>
      </w:tr>
      <w:tr>
        <w:trPr/>
        <w:tc>
          <w:tcPr>
            <w:tcW w:w="821" w:type="dxa"/>
            <w:gridSpan w:val="3"/>
            <w:vMerge w:val="continue"/>
            <w:tcBorders/>
            <w:shd w:fill="DBDBDB" w:val="clear"/>
            <w:tcMar>
              <w:top w:w="0" w:type="dxa"/>
              <w:left w:w="0" w:type="dxa"/>
              <w:bottom w:w="0" w:type="dxa"/>
              <w:right w:w="0" w:type="dxa"/>
            </w:tcMar>
            <w:vAlign w:val="center"/>
          </w:tcPr>
          <w:p>
            <w:pPr>
              <w:pStyle w:val="Normal"/>
              <w:bidi w:val="0"/>
              <w:jc w:val="left"/>
              <w:rPr/>
            </w:pPr>
            <w:r>
              <w:rPr/>
            </w:r>
          </w:p>
        </w:tc>
        <w:tc>
          <w:tcPr>
            <w:tcW w:w="619"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Lato;sans-serif" w:hAnsi="Lato;sans-serif"/>
                <w:b w:val="false"/>
                <w:color w:val="000000"/>
                <w:sz w:val="16"/>
              </w:rPr>
            </w:pPr>
            <w:r>
              <w:rPr>
                <w:rFonts w:ascii="Lato;sans-serif" w:hAnsi="Lato;sans-serif"/>
                <w:b w:val="false"/>
                <w:color w:val="000000"/>
                <w:sz w:val="16"/>
              </w:rPr>
              <w:t>5/15/2025</w:t>
            </w:r>
          </w:p>
        </w:tc>
        <w:tc>
          <w:tcPr>
            <w:tcW w:w="1474" w:type="dxa"/>
            <w:gridSpan w:val="3"/>
            <w:tcBorders/>
            <w:shd w:fill="DBDBDB" w:val="clear"/>
            <w:tcMar>
              <w:top w:w="0" w:type="dxa"/>
              <w:left w:w="0" w:type="dxa"/>
              <w:bottom w:w="0" w:type="dxa"/>
              <w:right w:w="0" w:type="dxa"/>
            </w:tcMar>
            <w:vAlign w:val="center"/>
          </w:tcPr>
          <w:p>
            <w:pPr>
              <w:pStyle w:val="TableContents"/>
              <w:bidi w:val="0"/>
              <w:spacing w:lineRule="auto" w:line="240" w:before="0" w:after="0"/>
              <w:jc w:val="center"/>
              <w:rPr/>
            </w:pPr>
            <w:r>
              <w:rPr>
                <w:rFonts w:ascii="Lato;sans-serif" w:hAnsi="Lato;sans-serif"/>
                <w:b w:val="false"/>
                <w:color w:val="000000"/>
                <w:sz w:val="16"/>
              </w:rPr>
              <w:t>RSU</w:t>
            </w:r>
            <w:r>
              <w:rPr>
                <w:rFonts w:ascii="Lato;sans-serif" w:hAnsi="Lato;sans-serif"/>
                <w:b w:val="false"/>
                <w:color w:val="000000"/>
                <w:sz w:val="10"/>
              </w:rPr>
              <w:t>(11)</w:t>
            </w:r>
          </w:p>
        </w:tc>
        <w:tc>
          <w:tcPr>
            <w:tcW w:w="1315"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898"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075"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868"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Lato;sans-serif" w:hAnsi="Lato;sans-serif"/>
                <w:b w:val="false"/>
                <w:color w:val="000000"/>
                <w:sz w:val="16"/>
              </w:rPr>
            </w:pPr>
            <w:r>
              <w:rPr>
                <w:rFonts w:ascii="Lato;sans-serif" w:hAnsi="Lato;sans-serif"/>
                <w:b w:val="false"/>
                <w:color w:val="000000"/>
                <w:sz w:val="16"/>
              </w:rPr>
              <w:t>85,000</w:t>
            </w:r>
          </w:p>
        </w:tc>
        <w:tc>
          <w:tcPr>
            <w:tcW w:w="978"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Lato;sans-serif" w:hAnsi="Lato;sans-serif"/>
                <w:b w:val="false"/>
                <w:color w:val="000000"/>
                <w:sz w:val="16"/>
              </w:rPr>
            </w:pPr>
            <w:r>
              <w:rPr>
                <w:rFonts w:ascii="Lato;sans-serif" w:hAnsi="Lato;sans-serif"/>
                <w:b w:val="false"/>
                <w:color w:val="000000"/>
                <w:sz w:val="16"/>
              </w:rPr>
              <w:t>864,450</w:t>
            </w:r>
          </w:p>
        </w:tc>
        <w:tc>
          <w:tcPr>
            <w:tcW w:w="106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093"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r>
      <w:tr>
        <w:trPr/>
        <w:tc>
          <w:tcPr>
            <w:tcW w:w="821" w:type="dxa"/>
            <w:gridSpan w:val="3"/>
            <w:vMerge w:val="continue"/>
            <w:tcBorders/>
            <w:shd w:fill="DBDBDB" w:val="clear"/>
            <w:tcMar>
              <w:top w:w="0" w:type="dxa"/>
              <w:left w:w="0" w:type="dxa"/>
              <w:bottom w:w="0" w:type="dxa"/>
              <w:right w:w="0" w:type="dxa"/>
            </w:tcMar>
            <w:vAlign w:val="center"/>
          </w:tcPr>
          <w:p>
            <w:pPr>
              <w:pStyle w:val="Normal"/>
              <w:bidi w:val="0"/>
              <w:jc w:val="left"/>
              <w:rPr/>
            </w:pPr>
            <w:r>
              <w:rPr/>
            </w:r>
          </w:p>
        </w:tc>
        <w:tc>
          <w:tcPr>
            <w:tcW w:w="619"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Lato;sans-serif" w:hAnsi="Lato;sans-serif"/>
                <w:b w:val="false"/>
                <w:color w:val="000000"/>
                <w:sz w:val="16"/>
              </w:rPr>
            </w:pPr>
            <w:r>
              <w:rPr>
                <w:rFonts w:ascii="Lato;sans-serif" w:hAnsi="Lato;sans-serif"/>
                <w:b w:val="false"/>
                <w:color w:val="000000"/>
                <w:sz w:val="16"/>
              </w:rPr>
              <w:t>9/10/2024</w:t>
            </w:r>
          </w:p>
        </w:tc>
        <w:tc>
          <w:tcPr>
            <w:tcW w:w="1474" w:type="dxa"/>
            <w:gridSpan w:val="3"/>
            <w:tcBorders/>
            <w:shd w:fill="DBDBDB" w:val="clear"/>
            <w:tcMar>
              <w:top w:w="0" w:type="dxa"/>
              <w:left w:w="0" w:type="dxa"/>
              <w:bottom w:w="0" w:type="dxa"/>
              <w:right w:w="0" w:type="dxa"/>
            </w:tcMar>
            <w:vAlign w:val="center"/>
          </w:tcPr>
          <w:p>
            <w:pPr>
              <w:pStyle w:val="TableContents"/>
              <w:bidi w:val="0"/>
              <w:spacing w:lineRule="auto" w:line="240" w:before="0" w:after="0"/>
              <w:jc w:val="center"/>
              <w:rPr/>
            </w:pPr>
            <w:r>
              <w:rPr>
                <w:rFonts w:ascii="Lato;sans-serif" w:hAnsi="Lato;sans-serif"/>
                <w:b w:val="false"/>
                <w:color w:val="000000"/>
                <w:sz w:val="16"/>
              </w:rPr>
              <w:t>RSU</w:t>
            </w:r>
            <w:r>
              <w:rPr>
                <w:rFonts w:ascii="Lato;sans-serif" w:hAnsi="Lato;sans-serif"/>
                <w:b w:val="false"/>
                <w:color w:val="000000"/>
                <w:sz w:val="10"/>
              </w:rPr>
              <w:t>(12)</w:t>
            </w:r>
          </w:p>
        </w:tc>
        <w:tc>
          <w:tcPr>
            <w:tcW w:w="1315"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898"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075"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868"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Lato;sans-serif" w:hAnsi="Lato;sans-serif"/>
                <w:b w:val="false"/>
                <w:color w:val="000000"/>
                <w:sz w:val="16"/>
              </w:rPr>
            </w:pPr>
            <w:r>
              <w:rPr>
                <w:rFonts w:ascii="Lato;sans-serif" w:hAnsi="Lato;sans-serif"/>
                <w:b w:val="false"/>
                <w:color w:val="000000"/>
                <w:sz w:val="16"/>
              </w:rPr>
              <w:t>93,750</w:t>
            </w:r>
          </w:p>
        </w:tc>
        <w:tc>
          <w:tcPr>
            <w:tcW w:w="978"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Lato;sans-serif" w:hAnsi="Lato;sans-serif"/>
                <w:b w:val="false"/>
                <w:color w:val="000000"/>
                <w:sz w:val="16"/>
              </w:rPr>
            </w:pPr>
            <w:r>
              <w:rPr>
                <w:rFonts w:ascii="Lato;sans-serif" w:hAnsi="Lato;sans-serif"/>
                <w:b w:val="false"/>
                <w:color w:val="000000"/>
                <w:sz w:val="16"/>
              </w:rPr>
              <w:t>953,438</w:t>
            </w:r>
          </w:p>
        </w:tc>
        <w:tc>
          <w:tcPr>
            <w:tcW w:w="106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093"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r>
      <w:tr>
        <w:trPr/>
        <w:tc>
          <w:tcPr>
            <w:tcW w:w="821" w:type="dxa"/>
            <w:gridSpan w:val="3"/>
            <w:vMerge w:val="continue"/>
            <w:tcBorders/>
            <w:shd w:fill="DBDBDB" w:val="clear"/>
            <w:tcMar>
              <w:top w:w="0" w:type="dxa"/>
              <w:left w:w="0" w:type="dxa"/>
              <w:bottom w:w="0" w:type="dxa"/>
              <w:right w:w="0" w:type="dxa"/>
            </w:tcMar>
            <w:vAlign w:val="center"/>
          </w:tcPr>
          <w:p>
            <w:pPr>
              <w:pStyle w:val="Normal"/>
              <w:bidi w:val="0"/>
              <w:jc w:val="left"/>
              <w:rPr/>
            </w:pPr>
            <w:r>
              <w:rPr/>
            </w:r>
          </w:p>
        </w:tc>
        <w:tc>
          <w:tcPr>
            <w:tcW w:w="619"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Lato;sans-serif" w:hAnsi="Lato;sans-serif"/>
                <w:b w:val="false"/>
                <w:color w:val="000000"/>
                <w:sz w:val="16"/>
              </w:rPr>
            </w:pPr>
            <w:r>
              <w:rPr>
                <w:rFonts w:ascii="Lato;sans-serif" w:hAnsi="Lato;sans-serif"/>
                <w:b w:val="false"/>
                <w:color w:val="000000"/>
                <w:sz w:val="16"/>
              </w:rPr>
              <w:t>9/10/2024</w:t>
            </w:r>
          </w:p>
        </w:tc>
        <w:tc>
          <w:tcPr>
            <w:tcW w:w="1474" w:type="dxa"/>
            <w:gridSpan w:val="3"/>
            <w:tcBorders/>
            <w:shd w:fill="DBDBDB" w:val="clear"/>
            <w:tcMar>
              <w:top w:w="0" w:type="dxa"/>
              <w:left w:w="0" w:type="dxa"/>
              <w:bottom w:w="0" w:type="dxa"/>
              <w:right w:w="0" w:type="dxa"/>
            </w:tcMar>
            <w:vAlign w:val="center"/>
          </w:tcPr>
          <w:p>
            <w:pPr>
              <w:pStyle w:val="TableContents"/>
              <w:bidi w:val="0"/>
              <w:spacing w:lineRule="auto" w:line="240" w:before="0" w:after="0"/>
              <w:jc w:val="center"/>
              <w:rPr/>
            </w:pPr>
            <w:r>
              <w:rPr>
                <w:rFonts w:ascii="Lato;sans-serif" w:hAnsi="Lato;sans-serif"/>
                <w:b w:val="false"/>
                <w:color w:val="000000"/>
                <w:sz w:val="16"/>
              </w:rPr>
              <w:t>RSU</w:t>
            </w:r>
            <w:r>
              <w:rPr>
                <w:rFonts w:ascii="Lato;sans-serif" w:hAnsi="Lato;sans-serif"/>
                <w:b w:val="false"/>
                <w:color w:val="000000"/>
                <w:sz w:val="10"/>
              </w:rPr>
              <w:t>(13)</w:t>
            </w:r>
          </w:p>
        </w:tc>
        <w:tc>
          <w:tcPr>
            <w:tcW w:w="1315"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898"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075"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868"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Lato;sans-serif" w:hAnsi="Lato;sans-serif"/>
                <w:b w:val="false"/>
                <w:color w:val="000000"/>
                <w:sz w:val="16"/>
              </w:rPr>
            </w:pPr>
            <w:r>
              <w:rPr>
                <w:rFonts w:ascii="Lato;sans-serif" w:hAnsi="Lato;sans-serif"/>
                <w:b w:val="false"/>
                <w:color w:val="000000"/>
                <w:sz w:val="16"/>
              </w:rPr>
              <w:t>29,400</w:t>
            </w:r>
          </w:p>
        </w:tc>
        <w:tc>
          <w:tcPr>
            <w:tcW w:w="978"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Lato;sans-serif" w:hAnsi="Lato;sans-serif"/>
                <w:b w:val="false"/>
                <w:color w:val="000000"/>
                <w:sz w:val="16"/>
              </w:rPr>
            </w:pPr>
            <w:r>
              <w:rPr>
                <w:rFonts w:ascii="Lato;sans-serif" w:hAnsi="Lato;sans-serif"/>
                <w:b w:val="false"/>
                <w:color w:val="000000"/>
                <w:sz w:val="16"/>
              </w:rPr>
              <w:t>298,998</w:t>
            </w:r>
          </w:p>
        </w:tc>
        <w:tc>
          <w:tcPr>
            <w:tcW w:w="106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093"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r>
      <w:tr>
        <w:trPr/>
        <w:tc>
          <w:tcPr>
            <w:tcW w:w="821" w:type="dxa"/>
            <w:gridSpan w:val="3"/>
            <w:vMerge w:val="continue"/>
            <w:tcBorders/>
            <w:shd w:fill="DBDBDB" w:val="clear"/>
            <w:tcMar>
              <w:top w:w="0" w:type="dxa"/>
              <w:left w:w="0" w:type="dxa"/>
              <w:bottom w:w="0" w:type="dxa"/>
              <w:right w:w="0" w:type="dxa"/>
            </w:tcMar>
            <w:vAlign w:val="center"/>
          </w:tcPr>
          <w:p>
            <w:pPr>
              <w:pStyle w:val="Normal"/>
              <w:bidi w:val="0"/>
              <w:jc w:val="left"/>
              <w:rPr/>
            </w:pPr>
            <w:r>
              <w:rPr/>
            </w:r>
          </w:p>
        </w:tc>
        <w:tc>
          <w:tcPr>
            <w:tcW w:w="619"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Lato;sans-serif" w:hAnsi="Lato;sans-serif"/>
                <w:b w:val="false"/>
                <w:color w:val="000000"/>
                <w:sz w:val="16"/>
              </w:rPr>
            </w:pPr>
            <w:r>
              <w:rPr>
                <w:rFonts w:ascii="Lato;sans-serif" w:hAnsi="Lato;sans-serif"/>
                <w:b w:val="false"/>
                <w:color w:val="000000"/>
                <w:sz w:val="16"/>
              </w:rPr>
              <w:t>12/29/2023</w:t>
            </w:r>
          </w:p>
        </w:tc>
        <w:tc>
          <w:tcPr>
            <w:tcW w:w="1474" w:type="dxa"/>
            <w:gridSpan w:val="3"/>
            <w:tcBorders/>
            <w:shd w:fill="DBDBDB" w:val="clear"/>
            <w:tcMar>
              <w:top w:w="0" w:type="dxa"/>
              <w:left w:w="0" w:type="dxa"/>
              <w:bottom w:w="0" w:type="dxa"/>
              <w:right w:w="0" w:type="dxa"/>
            </w:tcMar>
            <w:vAlign w:val="center"/>
          </w:tcPr>
          <w:p>
            <w:pPr>
              <w:pStyle w:val="TableContents"/>
              <w:bidi w:val="0"/>
              <w:spacing w:lineRule="auto" w:line="240" w:before="0" w:after="0"/>
              <w:jc w:val="center"/>
              <w:rPr/>
            </w:pPr>
            <w:r>
              <w:rPr>
                <w:rFonts w:ascii="Lato;sans-serif" w:hAnsi="Lato;sans-serif"/>
                <w:b w:val="false"/>
                <w:color w:val="000000"/>
                <w:sz w:val="16"/>
              </w:rPr>
              <w:t>RSU</w:t>
            </w:r>
            <w:r>
              <w:rPr>
                <w:rFonts w:ascii="Lato;sans-serif" w:hAnsi="Lato;sans-serif"/>
                <w:b w:val="false"/>
                <w:color w:val="000000"/>
                <w:sz w:val="10"/>
              </w:rPr>
              <w:t>(14)</w:t>
            </w:r>
          </w:p>
        </w:tc>
        <w:tc>
          <w:tcPr>
            <w:tcW w:w="1315"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898"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075"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868"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Lato;sans-serif" w:hAnsi="Lato;sans-serif"/>
                <w:b w:val="false"/>
                <w:color w:val="000000"/>
                <w:sz w:val="16"/>
              </w:rPr>
            </w:pPr>
            <w:r>
              <w:rPr>
                <w:rFonts w:ascii="Lato;sans-serif" w:hAnsi="Lato;sans-serif"/>
                <w:b w:val="false"/>
                <w:color w:val="000000"/>
                <w:sz w:val="16"/>
              </w:rPr>
              <w:t>27,750</w:t>
            </w:r>
          </w:p>
        </w:tc>
        <w:tc>
          <w:tcPr>
            <w:tcW w:w="978"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Lato;sans-serif" w:hAnsi="Lato;sans-serif"/>
                <w:b w:val="false"/>
                <w:color w:val="000000"/>
                <w:sz w:val="16"/>
              </w:rPr>
            </w:pPr>
            <w:r>
              <w:rPr>
                <w:rFonts w:ascii="Lato;sans-serif" w:hAnsi="Lato;sans-serif"/>
                <w:b w:val="false"/>
                <w:color w:val="000000"/>
                <w:sz w:val="16"/>
              </w:rPr>
              <w:t>282,218</w:t>
            </w:r>
          </w:p>
        </w:tc>
        <w:tc>
          <w:tcPr>
            <w:tcW w:w="106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093"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r>
      <w:tr>
        <w:trPr/>
        <w:tc>
          <w:tcPr>
            <w:tcW w:w="821" w:type="dxa"/>
            <w:gridSpan w:val="3"/>
            <w:vMerge w:val="continue"/>
            <w:tcBorders/>
            <w:shd w:fill="DBDBDB" w:val="clear"/>
            <w:tcMar>
              <w:top w:w="0" w:type="dxa"/>
              <w:left w:w="0" w:type="dxa"/>
              <w:bottom w:w="0" w:type="dxa"/>
              <w:right w:w="0" w:type="dxa"/>
            </w:tcMar>
            <w:vAlign w:val="center"/>
          </w:tcPr>
          <w:p>
            <w:pPr>
              <w:pStyle w:val="Normal"/>
              <w:bidi w:val="0"/>
              <w:jc w:val="left"/>
              <w:rPr/>
            </w:pPr>
            <w:r>
              <w:rPr/>
            </w:r>
          </w:p>
        </w:tc>
        <w:tc>
          <w:tcPr>
            <w:tcW w:w="619"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Lato;sans-serif" w:hAnsi="Lato;sans-serif"/>
                <w:b w:val="false"/>
                <w:color w:val="000000"/>
                <w:sz w:val="16"/>
              </w:rPr>
            </w:pPr>
            <w:r>
              <w:rPr>
                <w:rFonts w:ascii="Lato;sans-serif" w:hAnsi="Lato;sans-serif"/>
                <w:b w:val="false"/>
                <w:color w:val="000000"/>
                <w:sz w:val="16"/>
              </w:rPr>
              <w:t>12/1/2023</w:t>
            </w:r>
          </w:p>
        </w:tc>
        <w:tc>
          <w:tcPr>
            <w:tcW w:w="1474" w:type="dxa"/>
            <w:gridSpan w:val="3"/>
            <w:tcBorders/>
            <w:shd w:fill="DBDBDB" w:val="clear"/>
            <w:tcMar>
              <w:top w:w="0" w:type="dxa"/>
              <w:left w:w="0" w:type="dxa"/>
              <w:bottom w:w="0" w:type="dxa"/>
              <w:right w:w="0" w:type="dxa"/>
            </w:tcMar>
            <w:vAlign w:val="center"/>
          </w:tcPr>
          <w:p>
            <w:pPr>
              <w:pStyle w:val="TableContents"/>
              <w:bidi w:val="0"/>
              <w:spacing w:lineRule="auto" w:line="240" w:before="0" w:after="0"/>
              <w:jc w:val="center"/>
              <w:rPr/>
            </w:pPr>
            <w:r>
              <w:rPr>
                <w:rFonts w:ascii="Lato;sans-serif" w:hAnsi="Lato;sans-serif"/>
                <w:b w:val="false"/>
                <w:color w:val="000000"/>
                <w:sz w:val="16"/>
              </w:rPr>
              <w:t>HSKB Phantom Units</w:t>
            </w:r>
            <w:r>
              <w:rPr>
                <w:rFonts w:ascii="Lato;sans-serif" w:hAnsi="Lato;sans-serif"/>
                <w:b w:val="false"/>
                <w:color w:val="000000"/>
                <w:sz w:val="10"/>
              </w:rPr>
              <w:t>(15)</w:t>
            </w:r>
          </w:p>
        </w:tc>
        <w:tc>
          <w:tcPr>
            <w:tcW w:w="1315"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898"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075"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868"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Lato;sans-serif" w:hAnsi="Lato;sans-serif"/>
                <w:b w:val="false"/>
                <w:color w:val="000000"/>
                <w:sz w:val="16"/>
              </w:rPr>
            </w:pPr>
            <w:r>
              <w:rPr>
                <w:rFonts w:ascii="Lato;sans-serif" w:hAnsi="Lato;sans-serif"/>
                <w:b w:val="false"/>
                <w:color w:val="000000"/>
                <w:sz w:val="16"/>
              </w:rPr>
              <w:t>6,167</w:t>
            </w:r>
          </w:p>
        </w:tc>
        <w:tc>
          <w:tcPr>
            <w:tcW w:w="978"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Lato;sans-serif" w:hAnsi="Lato;sans-serif"/>
                <w:b w:val="false"/>
                <w:color w:val="000000"/>
                <w:sz w:val="16"/>
              </w:rPr>
            </w:pPr>
            <w:r>
              <w:rPr>
                <w:rFonts w:ascii="Lato;sans-serif" w:hAnsi="Lato;sans-serif"/>
                <w:b w:val="false"/>
                <w:color w:val="000000"/>
                <w:sz w:val="16"/>
              </w:rPr>
              <w:t>62,718</w:t>
            </w:r>
          </w:p>
        </w:tc>
        <w:tc>
          <w:tcPr>
            <w:tcW w:w="106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093"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r>
      <w:tr>
        <w:trPr/>
        <w:tc>
          <w:tcPr>
            <w:tcW w:w="821" w:type="dxa"/>
            <w:gridSpan w:val="3"/>
            <w:vMerge w:val="continue"/>
            <w:tcBorders/>
            <w:shd w:fill="DBDBDB" w:val="clear"/>
            <w:tcMar>
              <w:top w:w="0" w:type="dxa"/>
              <w:left w:w="0" w:type="dxa"/>
              <w:bottom w:w="0" w:type="dxa"/>
              <w:right w:w="0" w:type="dxa"/>
            </w:tcMar>
            <w:vAlign w:val="center"/>
          </w:tcPr>
          <w:p>
            <w:pPr>
              <w:pStyle w:val="Normal"/>
              <w:bidi w:val="0"/>
              <w:jc w:val="left"/>
              <w:rPr/>
            </w:pPr>
            <w:r>
              <w:rPr/>
            </w:r>
          </w:p>
        </w:tc>
        <w:tc>
          <w:tcPr>
            <w:tcW w:w="619"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Lato;sans-serif" w:hAnsi="Lato;sans-serif"/>
                <w:b w:val="false"/>
                <w:color w:val="000000"/>
                <w:sz w:val="16"/>
              </w:rPr>
            </w:pPr>
            <w:r>
              <w:rPr>
                <w:rFonts w:ascii="Lato;sans-serif" w:hAnsi="Lato;sans-serif"/>
                <w:b w:val="false"/>
                <w:color w:val="000000"/>
                <w:sz w:val="16"/>
              </w:rPr>
              <w:t>10/25/2023</w:t>
            </w:r>
          </w:p>
        </w:tc>
        <w:tc>
          <w:tcPr>
            <w:tcW w:w="1474" w:type="dxa"/>
            <w:gridSpan w:val="3"/>
            <w:tcBorders/>
            <w:shd w:fill="DBDBDB" w:val="clear"/>
            <w:tcMar>
              <w:top w:w="0" w:type="dxa"/>
              <w:left w:w="0" w:type="dxa"/>
              <w:bottom w:w="0" w:type="dxa"/>
              <w:right w:w="0" w:type="dxa"/>
            </w:tcMar>
            <w:vAlign w:val="center"/>
          </w:tcPr>
          <w:p>
            <w:pPr>
              <w:pStyle w:val="TableContents"/>
              <w:bidi w:val="0"/>
              <w:spacing w:lineRule="auto" w:line="240" w:before="0" w:after="0"/>
              <w:jc w:val="center"/>
              <w:rPr/>
            </w:pPr>
            <w:r>
              <w:rPr>
                <w:rFonts w:ascii="Lato;sans-serif" w:hAnsi="Lato;sans-serif"/>
                <w:b w:val="false"/>
                <w:color w:val="000000"/>
                <w:sz w:val="16"/>
              </w:rPr>
              <w:t>RSU</w:t>
            </w:r>
            <w:r>
              <w:rPr>
                <w:rFonts w:ascii="Lato;sans-serif" w:hAnsi="Lato;sans-serif"/>
                <w:b w:val="false"/>
                <w:color w:val="000000"/>
                <w:sz w:val="10"/>
              </w:rPr>
              <w:t>(16)</w:t>
            </w:r>
          </w:p>
        </w:tc>
        <w:tc>
          <w:tcPr>
            <w:tcW w:w="1315"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898"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075"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868"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Lato;sans-serif" w:hAnsi="Lato;sans-serif"/>
                <w:b w:val="false"/>
                <w:color w:val="000000"/>
                <w:sz w:val="16"/>
              </w:rPr>
            </w:pPr>
            <w:r>
              <w:rPr>
                <w:rFonts w:ascii="Lato;sans-serif" w:hAnsi="Lato;sans-serif"/>
                <w:b w:val="false"/>
                <w:color w:val="000000"/>
                <w:sz w:val="16"/>
              </w:rPr>
              <w:t>6,116</w:t>
            </w:r>
          </w:p>
        </w:tc>
        <w:tc>
          <w:tcPr>
            <w:tcW w:w="978"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Lato;sans-serif" w:hAnsi="Lato;sans-serif"/>
                <w:b w:val="false"/>
                <w:color w:val="000000"/>
                <w:sz w:val="16"/>
              </w:rPr>
            </w:pPr>
            <w:r>
              <w:rPr>
                <w:rFonts w:ascii="Lato;sans-serif" w:hAnsi="Lato;sans-serif"/>
                <w:b w:val="false"/>
                <w:color w:val="000000"/>
                <w:sz w:val="16"/>
              </w:rPr>
              <w:t>62,200</w:t>
            </w:r>
          </w:p>
        </w:tc>
        <w:tc>
          <w:tcPr>
            <w:tcW w:w="106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093"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r>
      <w:tr>
        <w:trPr/>
        <w:tc>
          <w:tcPr>
            <w:tcW w:w="821" w:type="dxa"/>
            <w:gridSpan w:val="3"/>
            <w:vMerge w:val="continue"/>
            <w:tcBorders/>
            <w:shd w:fill="DBDBDB" w:val="clear"/>
            <w:tcMar>
              <w:top w:w="0" w:type="dxa"/>
              <w:left w:w="0" w:type="dxa"/>
              <w:bottom w:w="0" w:type="dxa"/>
              <w:right w:w="0" w:type="dxa"/>
            </w:tcMar>
            <w:vAlign w:val="center"/>
          </w:tcPr>
          <w:p>
            <w:pPr>
              <w:pStyle w:val="Normal"/>
              <w:bidi w:val="0"/>
              <w:jc w:val="left"/>
              <w:rPr/>
            </w:pPr>
            <w:r>
              <w:rPr/>
            </w:r>
          </w:p>
        </w:tc>
        <w:tc>
          <w:tcPr>
            <w:tcW w:w="619"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Lato;sans-serif" w:hAnsi="Lato;sans-serif"/>
                <w:b w:val="false"/>
                <w:color w:val="000000"/>
                <w:sz w:val="16"/>
              </w:rPr>
            </w:pPr>
            <w:r>
              <w:rPr>
                <w:rFonts w:ascii="Lato;sans-serif" w:hAnsi="Lato;sans-serif"/>
                <w:b w:val="false"/>
                <w:color w:val="000000"/>
                <w:sz w:val="16"/>
              </w:rPr>
              <w:t>3/23/2023</w:t>
            </w:r>
          </w:p>
        </w:tc>
        <w:tc>
          <w:tcPr>
            <w:tcW w:w="1474" w:type="dxa"/>
            <w:gridSpan w:val="3"/>
            <w:tcBorders/>
            <w:shd w:fill="DBDBDB" w:val="clear"/>
            <w:tcMar>
              <w:top w:w="0" w:type="dxa"/>
              <w:left w:w="0" w:type="dxa"/>
              <w:bottom w:w="0" w:type="dxa"/>
              <w:right w:w="0" w:type="dxa"/>
            </w:tcMar>
            <w:vAlign w:val="center"/>
          </w:tcPr>
          <w:p>
            <w:pPr>
              <w:pStyle w:val="TableContents"/>
              <w:bidi w:val="0"/>
              <w:spacing w:lineRule="auto" w:line="240" w:before="0" w:after="0"/>
              <w:jc w:val="center"/>
              <w:rPr/>
            </w:pPr>
            <w:r>
              <w:rPr>
                <w:rFonts w:ascii="Lato;sans-serif" w:hAnsi="Lato;sans-serif"/>
                <w:b w:val="false"/>
                <w:color w:val="000000"/>
                <w:sz w:val="16"/>
              </w:rPr>
              <w:t>RSU</w:t>
            </w:r>
            <w:r>
              <w:rPr>
                <w:rFonts w:ascii="Lato;sans-serif" w:hAnsi="Lato;sans-serif"/>
                <w:b w:val="false"/>
                <w:color w:val="000000"/>
                <w:sz w:val="10"/>
              </w:rPr>
              <w:t>(17)</w:t>
            </w:r>
          </w:p>
        </w:tc>
        <w:tc>
          <w:tcPr>
            <w:tcW w:w="1315"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898"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075"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868"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Lato;sans-serif" w:hAnsi="Lato;sans-serif"/>
                <w:b w:val="false"/>
                <w:color w:val="000000"/>
                <w:sz w:val="16"/>
              </w:rPr>
            </w:pPr>
            <w:r>
              <w:rPr>
                <w:rFonts w:ascii="Lato;sans-serif" w:hAnsi="Lato;sans-serif"/>
                <w:b w:val="false"/>
                <w:color w:val="000000"/>
                <w:sz w:val="16"/>
              </w:rPr>
              <w:t>1,340</w:t>
            </w:r>
          </w:p>
        </w:tc>
        <w:tc>
          <w:tcPr>
            <w:tcW w:w="978"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Lato;sans-serif" w:hAnsi="Lato;sans-serif"/>
                <w:b w:val="false"/>
                <w:color w:val="000000"/>
                <w:sz w:val="16"/>
              </w:rPr>
            </w:pPr>
            <w:r>
              <w:rPr>
                <w:rFonts w:ascii="Lato;sans-serif" w:hAnsi="Lato;sans-serif"/>
                <w:b w:val="false"/>
                <w:color w:val="000000"/>
                <w:sz w:val="16"/>
              </w:rPr>
              <w:t>13,628</w:t>
            </w:r>
          </w:p>
        </w:tc>
        <w:tc>
          <w:tcPr>
            <w:tcW w:w="106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093"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r>
      <w:tr>
        <w:trPr/>
        <w:tc>
          <w:tcPr>
            <w:tcW w:w="821" w:type="dxa"/>
            <w:gridSpan w:val="3"/>
            <w:vMerge w:val="continue"/>
            <w:tcBorders/>
            <w:shd w:fill="DBDBDB" w:val="clear"/>
            <w:tcMar>
              <w:top w:w="0" w:type="dxa"/>
              <w:left w:w="0" w:type="dxa"/>
              <w:bottom w:w="0" w:type="dxa"/>
              <w:right w:w="0" w:type="dxa"/>
            </w:tcMar>
            <w:vAlign w:val="center"/>
          </w:tcPr>
          <w:p>
            <w:pPr>
              <w:pStyle w:val="Normal"/>
              <w:bidi w:val="0"/>
              <w:jc w:val="left"/>
              <w:rPr/>
            </w:pPr>
            <w:r>
              <w:rPr/>
            </w:r>
          </w:p>
        </w:tc>
        <w:tc>
          <w:tcPr>
            <w:tcW w:w="619"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Lato;sans-serif" w:hAnsi="Lato;sans-serif"/>
                <w:b w:val="false"/>
                <w:color w:val="000000"/>
                <w:sz w:val="16"/>
              </w:rPr>
            </w:pPr>
            <w:r>
              <w:rPr>
                <w:rFonts w:ascii="Lato;sans-serif" w:hAnsi="Lato;sans-serif"/>
                <w:b w:val="false"/>
                <w:color w:val="000000"/>
                <w:sz w:val="16"/>
              </w:rPr>
              <w:t>12/30/2022</w:t>
            </w:r>
          </w:p>
        </w:tc>
        <w:tc>
          <w:tcPr>
            <w:tcW w:w="1474" w:type="dxa"/>
            <w:gridSpan w:val="3"/>
            <w:tcBorders/>
            <w:shd w:fill="DBDBDB" w:val="clear"/>
            <w:tcMar>
              <w:top w:w="0" w:type="dxa"/>
              <w:left w:w="0" w:type="dxa"/>
              <w:bottom w:w="0" w:type="dxa"/>
              <w:right w:w="0" w:type="dxa"/>
            </w:tcMar>
            <w:vAlign w:val="center"/>
          </w:tcPr>
          <w:p>
            <w:pPr>
              <w:pStyle w:val="TableContents"/>
              <w:bidi w:val="0"/>
              <w:spacing w:lineRule="auto" w:line="240" w:before="0" w:after="0"/>
              <w:jc w:val="center"/>
              <w:rPr/>
            </w:pPr>
            <w:r>
              <w:rPr>
                <w:rFonts w:ascii="Lato;sans-serif" w:hAnsi="Lato;sans-serif"/>
                <w:b w:val="false"/>
                <w:color w:val="000000"/>
                <w:sz w:val="16"/>
              </w:rPr>
              <w:t>RSU</w:t>
            </w:r>
            <w:r>
              <w:rPr>
                <w:rFonts w:ascii="Lato;sans-serif" w:hAnsi="Lato;sans-serif"/>
                <w:b w:val="false"/>
                <w:color w:val="000000"/>
                <w:sz w:val="10"/>
              </w:rPr>
              <w:t>(18)</w:t>
            </w:r>
          </w:p>
        </w:tc>
        <w:tc>
          <w:tcPr>
            <w:tcW w:w="1315"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898"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075"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868"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Lato;sans-serif" w:hAnsi="Lato;sans-serif"/>
                <w:b w:val="false"/>
                <w:color w:val="000000"/>
                <w:sz w:val="16"/>
              </w:rPr>
            </w:pPr>
            <w:r>
              <w:rPr>
                <w:rFonts w:ascii="Lato;sans-serif" w:hAnsi="Lato;sans-serif"/>
                <w:b w:val="false"/>
                <w:color w:val="000000"/>
                <w:sz w:val="16"/>
              </w:rPr>
              <w:t>7,774</w:t>
            </w:r>
          </w:p>
        </w:tc>
        <w:tc>
          <w:tcPr>
            <w:tcW w:w="978"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Lato;sans-serif" w:hAnsi="Lato;sans-serif"/>
                <w:b w:val="false"/>
                <w:color w:val="000000"/>
                <w:sz w:val="16"/>
              </w:rPr>
            </w:pPr>
            <w:r>
              <w:rPr>
                <w:rFonts w:ascii="Lato;sans-serif" w:hAnsi="Lato;sans-serif"/>
                <w:b w:val="false"/>
                <w:color w:val="000000"/>
                <w:sz w:val="16"/>
              </w:rPr>
              <w:t>79,062</w:t>
            </w:r>
          </w:p>
        </w:tc>
        <w:tc>
          <w:tcPr>
            <w:tcW w:w="106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093"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r>
      <w:tr>
        <w:trPr/>
        <w:tc>
          <w:tcPr>
            <w:tcW w:w="821" w:type="dxa"/>
            <w:gridSpan w:val="3"/>
            <w:vMerge w:val="continue"/>
            <w:tcBorders/>
            <w:shd w:fill="DBDBDB" w:val="clear"/>
            <w:tcMar>
              <w:top w:w="0" w:type="dxa"/>
              <w:left w:w="0" w:type="dxa"/>
              <w:bottom w:w="0" w:type="dxa"/>
              <w:right w:w="0" w:type="dxa"/>
            </w:tcMar>
            <w:vAlign w:val="center"/>
          </w:tcPr>
          <w:p>
            <w:pPr>
              <w:pStyle w:val="Normal"/>
              <w:bidi w:val="0"/>
              <w:jc w:val="left"/>
              <w:rPr/>
            </w:pPr>
            <w:r>
              <w:rPr/>
            </w:r>
          </w:p>
        </w:tc>
        <w:tc>
          <w:tcPr>
            <w:tcW w:w="619"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Lato;sans-serif" w:hAnsi="Lato;sans-serif"/>
                <w:b w:val="false"/>
                <w:color w:val="000000"/>
                <w:sz w:val="16"/>
              </w:rPr>
            </w:pPr>
            <w:r>
              <w:rPr>
                <w:rFonts w:ascii="Lato;sans-serif" w:hAnsi="Lato;sans-serif"/>
                <w:b w:val="false"/>
                <w:color w:val="000000"/>
                <w:sz w:val="16"/>
              </w:rPr>
              <w:t>12/1/2022</w:t>
            </w:r>
          </w:p>
        </w:tc>
        <w:tc>
          <w:tcPr>
            <w:tcW w:w="1474" w:type="dxa"/>
            <w:gridSpan w:val="3"/>
            <w:tcBorders/>
            <w:shd w:fill="DBDBDB" w:val="clear"/>
            <w:tcMar>
              <w:top w:w="0" w:type="dxa"/>
              <w:left w:w="0" w:type="dxa"/>
              <w:bottom w:w="0" w:type="dxa"/>
              <w:right w:w="0" w:type="dxa"/>
            </w:tcMar>
            <w:vAlign w:val="center"/>
          </w:tcPr>
          <w:p>
            <w:pPr>
              <w:pStyle w:val="TableContents"/>
              <w:bidi w:val="0"/>
              <w:spacing w:lineRule="auto" w:line="240" w:before="0" w:after="0"/>
              <w:jc w:val="center"/>
              <w:rPr/>
            </w:pPr>
            <w:r>
              <w:rPr>
                <w:rFonts w:ascii="Lato;sans-serif" w:hAnsi="Lato;sans-serif"/>
                <w:b w:val="false"/>
                <w:color w:val="000000"/>
                <w:sz w:val="16"/>
              </w:rPr>
              <w:t>RSU</w:t>
            </w:r>
            <w:r>
              <w:rPr>
                <w:rFonts w:ascii="Lato;sans-serif" w:hAnsi="Lato;sans-serif"/>
                <w:b w:val="false"/>
                <w:color w:val="000000"/>
                <w:sz w:val="10"/>
              </w:rPr>
              <w:t>(19)</w:t>
            </w:r>
          </w:p>
        </w:tc>
        <w:tc>
          <w:tcPr>
            <w:tcW w:w="1315"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898"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075"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868"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Lato;sans-serif" w:hAnsi="Lato;sans-serif"/>
                <w:b w:val="false"/>
                <w:color w:val="000000"/>
                <w:sz w:val="16"/>
              </w:rPr>
            </w:pPr>
            <w:r>
              <w:rPr>
                <w:rFonts w:ascii="Lato;sans-serif" w:hAnsi="Lato;sans-serif"/>
                <w:b w:val="false"/>
                <w:color w:val="000000"/>
                <w:sz w:val="16"/>
              </w:rPr>
              <w:t>1,312</w:t>
            </w:r>
          </w:p>
        </w:tc>
        <w:tc>
          <w:tcPr>
            <w:tcW w:w="978"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Lato;sans-serif" w:hAnsi="Lato;sans-serif"/>
                <w:b w:val="false"/>
                <w:color w:val="000000"/>
                <w:sz w:val="16"/>
              </w:rPr>
            </w:pPr>
            <w:r>
              <w:rPr>
                <w:rFonts w:ascii="Lato;sans-serif" w:hAnsi="Lato;sans-serif"/>
                <w:b w:val="false"/>
                <w:color w:val="000000"/>
                <w:sz w:val="16"/>
              </w:rPr>
              <w:t>13,343</w:t>
            </w:r>
          </w:p>
        </w:tc>
        <w:tc>
          <w:tcPr>
            <w:tcW w:w="106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093"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r>
      <w:tr>
        <w:trPr/>
        <w:tc>
          <w:tcPr>
            <w:tcW w:w="821" w:type="dxa"/>
            <w:gridSpan w:val="3"/>
            <w:vMerge w:val="continue"/>
            <w:tcBorders/>
            <w:shd w:fill="DBDBDB" w:val="clear"/>
            <w:tcMar>
              <w:top w:w="0" w:type="dxa"/>
              <w:left w:w="0" w:type="dxa"/>
              <w:bottom w:w="0" w:type="dxa"/>
              <w:right w:w="0" w:type="dxa"/>
            </w:tcMar>
            <w:vAlign w:val="center"/>
          </w:tcPr>
          <w:p>
            <w:pPr>
              <w:pStyle w:val="Normal"/>
              <w:bidi w:val="0"/>
              <w:jc w:val="left"/>
              <w:rPr/>
            </w:pPr>
            <w:r>
              <w:rPr/>
            </w:r>
          </w:p>
        </w:tc>
        <w:tc>
          <w:tcPr>
            <w:tcW w:w="619"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Lato;sans-serif" w:hAnsi="Lato;sans-serif"/>
                <w:b w:val="false"/>
                <w:color w:val="000000"/>
                <w:sz w:val="16"/>
              </w:rPr>
            </w:pPr>
            <w:r>
              <w:rPr>
                <w:rFonts w:ascii="Lato;sans-serif" w:hAnsi="Lato;sans-serif"/>
                <w:b w:val="false"/>
                <w:color w:val="000000"/>
                <w:sz w:val="16"/>
              </w:rPr>
              <w:t>9/1/2022</w:t>
            </w:r>
          </w:p>
        </w:tc>
        <w:tc>
          <w:tcPr>
            <w:tcW w:w="1474" w:type="dxa"/>
            <w:gridSpan w:val="3"/>
            <w:tcBorders/>
            <w:shd w:fill="DBDBDB" w:val="clear"/>
            <w:tcMar>
              <w:top w:w="0" w:type="dxa"/>
              <w:left w:w="0" w:type="dxa"/>
              <w:bottom w:w="0" w:type="dxa"/>
              <w:right w:w="0" w:type="dxa"/>
            </w:tcMar>
            <w:vAlign w:val="center"/>
          </w:tcPr>
          <w:p>
            <w:pPr>
              <w:pStyle w:val="TableContents"/>
              <w:bidi w:val="0"/>
              <w:spacing w:lineRule="auto" w:line="240" w:before="0" w:after="0"/>
              <w:jc w:val="center"/>
              <w:rPr/>
            </w:pPr>
            <w:r>
              <w:rPr>
                <w:rFonts w:ascii="Lato;sans-serif" w:hAnsi="Lato;sans-serif"/>
                <w:b w:val="false"/>
                <w:color w:val="000000"/>
                <w:sz w:val="16"/>
              </w:rPr>
              <w:t>RSU</w:t>
            </w:r>
            <w:r>
              <w:rPr>
                <w:rFonts w:ascii="Lato;sans-serif" w:hAnsi="Lato;sans-serif"/>
                <w:b w:val="false"/>
                <w:color w:val="000000"/>
                <w:sz w:val="10"/>
              </w:rPr>
              <w:t>(20)</w:t>
            </w:r>
          </w:p>
        </w:tc>
        <w:tc>
          <w:tcPr>
            <w:tcW w:w="1315"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898"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075"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868"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Lato;sans-serif" w:hAnsi="Lato;sans-serif"/>
                <w:b w:val="false"/>
                <w:color w:val="000000"/>
                <w:sz w:val="16"/>
              </w:rPr>
            </w:pPr>
            <w:r>
              <w:rPr>
                <w:rFonts w:ascii="Lato;sans-serif" w:hAnsi="Lato;sans-serif"/>
                <w:b w:val="false"/>
                <w:color w:val="000000"/>
                <w:sz w:val="16"/>
              </w:rPr>
              <w:t>641</w:t>
            </w:r>
          </w:p>
        </w:tc>
        <w:tc>
          <w:tcPr>
            <w:tcW w:w="978"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Lato;sans-serif" w:hAnsi="Lato;sans-serif"/>
                <w:b w:val="false"/>
                <w:color w:val="000000"/>
                <w:sz w:val="16"/>
              </w:rPr>
            </w:pPr>
            <w:r>
              <w:rPr>
                <w:rFonts w:ascii="Lato;sans-serif" w:hAnsi="Lato;sans-serif"/>
                <w:b w:val="false"/>
                <w:color w:val="000000"/>
                <w:sz w:val="16"/>
              </w:rPr>
              <w:t>6,519</w:t>
            </w:r>
          </w:p>
        </w:tc>
        <w:tc>
          <w:tcPr>
            <w:tcW w:w="106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093"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2">
                <wp:simplePos x="0" y="0"/>
                <wp:positionH relativeFrom="character">
                  <wp:align>left</wp:align>
                </wp:positionH>
                <wp:positionV relativeFrom="line">
                  <wp:posOffset>635</wp:posOffset>
                </wp:positionV>
                <wp:extent cx="6480175" cy="352425"/>
                <wp:effectExtent l="0" t="0" r="0" b="0"/>
                <wp:wrapNone/>
                <wp:docPr id="88" name="Frame72"/>
                <a:graphic xmlns:a="http://schemas.openxmlformats.org/drawingml/2006/main">
                  <a:graphicData uri="http://schemas.microsoft.com/office/word/2010/wordprocessingShape">
                    <wps:wsp>
                      <wps:cNvSpPr txBox="1"/>
                      <wps:spPr>
                        <a:xfrm>
                          <a:off x="0" y="0"/>
                          <a:ext cx="6480175" cy="352425"/>
                        </a:xfrm>
                        <a:prstGeom prst="rect"/>
                        <a:solidFill>
                          <a:srgbClr val="FFFFFF"/>
                        </a:solidFill>
                      </wps:spPr>
                      <wps:txbx>
                        <w:txbxContent>
                          <w:p>
                            <w:pPr>
                              <w:pStyle w:val="TextBody"/>
                              <w:bidi w:val="0"/>
                              <w:spacing w:lineRule="auto" w:line="288" w:before="0" w:after="0"/>
                              <w:jc w:val="center"/>
                              <w:rPr>
                                <w:rFonts w:ascii="Lato;sans-serif" w:hAnsi="Lato;sans-serif"/>
                                <w:b w:val="false"/>
                                <w:color w:val="000000"/>
                                <w:sz w:val="20"/>
                              </w:rPr>
                            </w:pPr>
                            <w:r>
                              <w:rPr>
                                <w:rFonts w:ascii="Lato;sans-serif" w:hAnsi="Lato;sans-serif"/>
                                <w:b w:val="false"/>
                                <w:color w:val="000000"/>
                                <w:sz w:val="20"/>
                              </w:rPr>
                              <w:t>66</w:t>
                            </w:r>
                          </w:p>
                          <w:p>
                            <w:pPr>
                              <w:pStyle w:val="TextBody"/>
                              <w:bidi w:val="0"/>
                              <w:spacing w:lineRule="auto" w:line="288" w:before="0" w:after="0"/>
                              <w:jc w:val="left"/>
                              <w:rPr>
                                <w:color w:val="000000"/>
                              </w:rPr>
                            </w:pPr>
                            <w:r>
                              <w:rPr>
                                <w:color w:val="000000"/>
                              </w:rPr>
                              <w:t>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Lato;sans-serif" w:hAnsi="Lato;sans-serif"/>
                          <w:b w:val="false"/>
                          <w:color w:val="000000"/>
                          <w:sz w:val="20"/>
                        </w:rPr>
                      </w:pPr>
                      <w:r>
                        <w:rPr>
                          <w:rFonts w:ascii="Lato;sans-serif" w:hAnsi="Lato;sans-serif"/>
                          <w:b w:val="false"/>
                          <w:color w:val="000000"/>
                          <w:sz w:val="20"/>
                        </w:rPr>
                        <w:t>66</w:t>
                      </w:r>
                    </w:p>
                    <w:p>
                      <w:pPr>
                        <w:pStyle w:val="TextBody"/>
                        <w:bidi w:val="0"/>
                        <w:spacing w:lineRule="auto" w:line="288" w:before="0" w:after="0"/>
                        <w:jc w:val="left"/>
                        <w:rPr>
                          <w:color w:val="000000"/>
                        </w:rPr>
                      </w:pPr>
                      <w:r>
                        <w:rPr>
                          <w:color w:val="000000"/>
                        </w:rPr>
                        <w:t>        </w:t>
                      </w:r>
                    </w:p>
                  </w:txbxContent>
                </v:textbox>
                <w10:wrap type="none"/>
              </v:rect>
            </w:pict>
          </mc:Fallback>
        </mc:AlternateContent>
      </w:r>
    </w:p>
    <w:p>
      <w:pPr>
        <w:pStyle w:val="TextBody"/>
        <w:bidi w:val="0"/>
        <w:spacing w:before="0" w:after="0"/>
        <w:jc w:val="left"/>
        <w:rPr/>
      </w:pPr>
      <w:r>
        <w:rPr/>
      </w:r>
    </w:p>
    <w:tbl>
      <w:tblPr>
        <w:tblW w:w="8330" w:type="dxa"/>
        <w:jc w:val="left"/>
        <w:tblInd w:w="0" w:type="dxa"/>
        <w:tblLayout w:type="fixed"/>
        <w:tblCellMar>
          <w:top w:w="28" w:type="dxa"/>
          <w:left w:w="28" w:type="dxa"/>
          <w:bottom w:w="28" w:type="dxa"/>
          <w:right w:w="28" w:type="dxa"/>
        </w:tblCellMar>
      </w:tblPr>
      <w:tblGrid>
        <w:gridCol w:w="537"/>
        <w:gridCol w:w="473"/>
        <w:gridCol w:w="475"/>
        <w:gridCol w:w="354"/>
        <w:gridCol w:w="354"/>
        <w:gridCol w:w="356"/>
        <w:gridCol w:w="424"/>
        <w:gridCol w:w="424"/>
        <w:gridCol w:w="426"/>
        <w:gridCol w:w="115"/>
        <w:gridCol w:w="115"/>
        <w:gridCol w:w="116"/>
        <w:gridCol w:w="115"/>
        <w:gridCol w:w="115"/>
        <w:gridCol w:w="116"/>
        <w:gridCol w:w="115"/>
        <w:gridCol w:w="115"/>
        <w:gridCol w:w="116"/>
        <w:gridCol w:w="259"/>
        <w:gridCol w:w="259"/>
        <w:gridCol w:w="263"/>
        <w:gridCol w:w="309"/>
        <w:gridCol w:w="309"/>
        <w:gridCol w:w="313"/>
        <w:gridCol w:w="260"/>
        <w:gridCol w:w="260"/>
        <w:gridCol w:w="261"/>
        <w:gridCol w:w="285"/>
        <w:gridCol w:w="285"/>
        <w:gridCol w:w="406"/>
      </w:tblGrid>
      <w:tr>
        <w:trPr/>
        <w:tc>
          <w:tcPr>
            <w:tcW w:w="537"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c>
          <w:tcPr>
            <w:tcW w:w="475"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r>
      <w:tr>
        <w:trPr/>
        <w:tc>
          <w:tcPr>
            <w:tcW w:w="1485" w:type="dxa"/>
            <w:gridSpan w:val="3"/>
            <w:vMerge w:val="restart"/>
            <w:tcBorders/>
            <w:tcMar>
              <w:top w:w="0" w:type="dxa"/>
              <w:left w:w="0" w:type="dxa"/>
              <w:bottom w:w="0" w:type="dxa"/>
              <w:right w:w="0" w:type="dxa"/>
            </w:tcMar>
            <w:vAlign w:val="center"/>
          </w:tcPr>
          <w:p>
            <w:pPr>
              <w:pStyle w:val="TableContents"/>
              <w:bidi w:val="0"/>
              <w:spacing w:lineRule="auto" w:line="333" w:before="0" w:after="283"/>
              <w:jc w:val="left"/>
              <w:rPr>
                <w:rFonts w:ascii="Lato;sans-serif" w:hAnsi="Lato;sans-serif"/>
                <w:b w:val="false"/>
                <w:color w:val="000000"/>
                <w:sz w:val="16"/>
              </w:rPr>
            </w:pPr>
            <w:r>
              <w:rPr>
                <w:rFonts w:ascii="Lato;sans-serif" w:hAnsi="Lato;sans-serif"/>
                <w:b w:val="false"/>
                <w:color w:val="000000"/>
                <w:sz w:val="16"/>
              </w:rPr>
              <w:t>James Roth</w:t>
            </w:r>
          </w:p>
        </w:tc>
        <w:tc>
          <w:tcPr>
            <w:tcW w:w="10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Lato;sans-serif" w:hAnsi="Lato;sans-serif"/>
                <w:b w:val="false"/>
                <w:color w:val="000000"/>
                <w:sz w:val="16"/>
              </w:rPr>
            </w:pPr>
            <w:r>
              <w:rPr>
                <w:rFonts w:ascii="Lato;sans-serif" w:hAnsi="Lato;sans-serif"/>
                <w:b w:val="false"/>
                <w:color w:val="000000"/>
                <w:sz w:val="16"/>
              </w:rPr>
              <w:t>5/30/2025</w:t>
            </w:r>
          </w:p>
        </w:tc>
        <w:tc>
          <w:tcPr>
            <w:tcW w:w="1274"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Lato;sans-serif" w:hAnsi="Lato;sans-serif"/>
                <w:b w:val="false"/>
                <w:color w:val="000000"/>
                <w:sz w:val="16"/>
              </w:rPr>
              <w:t>FCFps PSUs</w:t>
            </w:r>
            <w:r>
              <w:rPr>
                <w:rFonts w:ascii="Lato;sans-serif" w:hAnsi="Lato;sans-serif"/>
                <w:b w:val="false"/>
                <w:color w:val="000000"/>
                <w:sz w:val="10"/>
              </w:rPr>
              <w:t>(10)</w:t>
            </w:r>
          </w:p>
        </w:tc>
        <w:tc>
          <w:tcPr>
            <w:tcW w:w="346"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46"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46"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781"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931"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7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Lato;sans-serif" w:hAnsi="Lato;sans-serif"/>
                <w:b w:val="false"/>
                <w:color w:val="000000"/>
                <w:sz w:val="16"/>
              </w:rPr>
            </w:pPr>
            <w:r>
              <w:rPr>
                <w:rFonts w:ascii="Lato;sans-serif" w:hAnsi="Lato;sans-serif"/>
                <w:b w:val="false"/>
                <w:color w:val="000000"/>
                <w:sz w:val="16"/>
              </w:rPr>
              <w:t>172,500</w:t>
            </w:r>
          </w:p>
        </w:tc>
        <w:tc>
          <w:tcPr>
            <w:tcW w:w="9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Lato;sans-serif" w:hAnsi="Lato;sans-serif"/>
                <w:b w:val="false"/>
                <w:color w:val="000000"/>
                <w:sz w:val="16"/>
              </w:rPr>
            </w:pPr>
            <w:r>
              <w:rPr>
                <w:rFonts w:ascii="Lato;sans-serif" w:hAnsi="Lato;sans-serif"/>
                <w:b w:val="false"/>
                <w:color w:val="000000"/>
                <w:sz w:val="16"/>
              </w:rPr>
              <w:t>1,754,325</w:t>
            </w:r>
          </w:p>
        </w:tc>
      </w:tr>
      <w:tr>
        <w:trPr/>
        <w:tc>
          <w:tcPr>
            <w:tcW w:w="1485" w:type="dxa"/>
            <w:gridSpan w:val="3"/>
            <w:vMerge w:val="continue"/>
            <w:tcBorders/>
            <w:tcMar>
              <w:top w:w="0" w:type="dxa"/>
              <w:left w:w="0" w:type="dxa"/>
              <w:bottom w:w="0" w:type="dxa"/>
              <w:right w:w="0" w:type="dxa"/>
            </w:tcMar>
            <w:vAlign w:val="center"/>
          </w:tcPr>
          <w:p>
            <w:pPr>
              <w:pStyle w:val="Normal"/>
              <w:bidi w:val="0"/>
              <w:jc w:val="left"/>
              <w:rPr/>
            </w:pPr>
            <w:r>
              <w:rPr/>
            </w:r>
          </w:p>
        </w:tc>
        <w:tc>
          <w:tcPr>
            <w:tcW w:w="10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Lato;sans-serif" w:hAnsi="Lato;sans-serif"/>
                <w:b w:val="false"/>
                <w:color w:val="000000"/>
                <w:sz w:val="16"/>
              </w:rPr>
            </w:pPr>
            <w:r>
              <w:rPr>
                <w:rFonts w:ascii="Lato;sans-serif" w:hAnsi="Lato;sans-serif"/>
                <w:b w:val="false"/>
                <w:color w:val="000000"/>
                <w:sz w:val="16"/>
              </w:rPr>
              <w:t>5/15/2025</w:t>
            </w:r>
          </w:p>
        </w:tc>
        <w:tc>
          <w:tcPr>
            <w:tcW w:w="1274"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Lato;sans-serif" w:hAnsi="Lato;sans-serif"/>
                <w:b w:val="false"/>
                <w:color w:val="000000"/>
                <w:sz w:val="16"/>
              </w:rPr>
              <w:t>RSU</w:t>
            </w:r>
            <w:r>
              <w:rPr>
                <w:rFonts w:ascii="Lato;sans-serif" w:hAnsi="Lato;sans-serif"/>
                <w:b w:val="false"/>
                <w:color w:val="000000"/>
                <w:sz w:val="10"/>
              </w:rPr>
              <w:t>(11)</w:t>
            </w:r>
          </w:p>
        </w:tc>
        <w:tc>
          <w:tcPr>
            <w:tcW w:w="346"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46"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46"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7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Lato;sans-serif" w:hAnsi="Lato;sans-serif"/>
                <w:b w:val="false"/>
                <w:color w:val="000000"/>
                <w:sz w:val="16"/>
              </w:rPr>
            </w:pPr>
            <w:r>
              <w:rPr>
                <w:rFonts w:ascii="Lato;sans-serif" w:hAnsi="Lato;sans-serif"/>
                <w:b w:val="false"/>
                <w:color w:val="000000"/>
                <w:sz w:val="16"/>
              </w:rPr>
              <w:t>221,154</w:t>
            </w:r>
          </w:p>
        </w:tc>
        <w:tc>
          <w:tcPr>
            <w:tcW w:w="9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Lato;sans-serif" w:hAnsi="Lato;sans-serif"/>
                <w:b w:val="false"/>
                <w:color w:val="000000"/>
                <w:sz w:val="16"/>
              </w:rPr>
            </w:pPr>
            <w:r>
              <w:rPr>
                <w:rFonts w:ascii="Lato;sans-serif" w:hAnsi="Lato;sans-serif"/>
                <w:b w:val="false"/>
                <w:color w:val="000000"/>
                <w:sz w:val="16"/>
              </w:rPr>
              <w:t>2,249,136</w:t>
            </w:r>
          </w:p>
        </w:tc>
        <w:tc>
          <w:tcPr>
            <w:tcW w:w="781"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976"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r>
      <w:tr>
        <w:trPr/>
        <w:tc>
          <w:tcPr>
            <w:tcW w:w="1485" w:type="dxa"/>
            <w:gridSpan w:val="3"/>
            <w:vMerge w:val="continue"/>
            <w:tcBorders/>
            <w:tcMar>
              <w:top w:w="0" w:type="dxa"/>
              <w:left w:w="0" w:type="dxa"/>
              <w:bottom w:w="0" w:type="dxa"/>
              <w:right w:w="0" w:type="dxa"/>
            </w:tcMar>
            <w:vAlign w:val="center"/>
          </w:tcPr>
          <w:p>
            <w:pPr>
              <w:pStyle w:val="Normal"/>
              <w:bidi w:val="0"/>
              <w:jc w:val="left"/>
              <w:rPr/>
            </w:pPr>
            <w:r>
              <w:rPr/>
            </w:r>
          </w:p>
        </w:tc>
        <w:tc>
          <w:tcPr>
            <w:tcW w:w="10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Lato;sans-serif" w:hAnsi="Lato;sans-serif"/>
                <w:b w:val="false"/>
                <w:color w:val="000000"/>
                <w:sz w:val="16"/>
              </w:rPr>
            </w:pPr>
            <w:r>
              <w:rPr>
                <w:rFonts w:ascii="Lato;sans-serif" w:hAnsi="Lato;sans-serif"/>
                <w:b w:val="false"/>
                <w:color w:val="000000"/>
                <w:sz w:val="16"/>
              </w:rPr>
              <w:t>3/26/2024</w:t>
            </w:r>
          </w:p>
        </w:tc>
        <w:tc>
          <w:tcPr>
            <w:tcW w:w="1274"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Lato;sans-serif" w:hAnsi="Lato;sans-serif"/>
                <w:b w:val="false"/>
                <w:color w:val="000000"/>
                <w:sz w:val="16"/>
              </w:rPr>
              <w:t>RSU</w:t>
            </w:r>
            <w:r>
              <w:rPr>
                <w:rFonts w:ascii="Lato;sans-serif" w:hAnsi="Lato;sans-serif"/>
                <w:b w:val="false"/>
                <w:color w:val="000000"/>
                <w:sz w:val="10"/>
              </w:rPr>
              <w:t>(21)</w:t>
            </w:r>
          </w:p>
        </w:tc>
        <w:tc>
          <w:tcPr>
            <w:tcW w:w="346"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46"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46"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7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Lato;sans-serif" w:hAnsi="Lato;sans-serif"/>
                <w:b w:val="false"/>
                <w:color w:val="000000"/>
                <w:sz w:val="16"/>
              </w:rPr>
            </w:pPr>
            <w:r>
              <w:rPr>
                <w:rFonts w:ascii="Lato;sans-serif" w:hAnsi="Lato;sans-serif"/>
                <w:b w:val="false"/>
                <w:color w:val="000000"/>
                <w:sz w:val="16"/>
              </w:rPr>
              <w:t>132,353</w:t>
            </w:r>
          </w:p>
        </w:tc>
        <w:tc>
          <w:tcPr>
            <w:tcW w:w="9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Lato;sans-serif" w:hAnsi="Lato;sans-serif"/>
                <w:b w:val="false"/>
                <w:color w:val="000000"/>
                <w:sz w:val="16"/>
              </w:rPr>
            </w:pPr>
            <w:r>
              <w:rPr>
                <w:rFonts w:ascii="Lato;sans-serif" w:hAnsi="Lato;sans-serif"/>
                <w:b w:val="false"/>
                <w:color w:val="000000"/>
                <w:sz w:val="16"/>
              </w:rPr>
              <w:t>1,346,030</w:t>
            </w:r>
          </w:p>
        </w:tc>
        <w:tc>
          <w:tcPr>
            <w:tcW w:w="781"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976"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r>
      <w:tr>
        <w:trPr/>
        <w:tc>
          <w:tcPr>
            <w:tcW w:w="1485" w:type="dxa"/>
            <w:gridSpan w:val="3"/>
            <w:vMerge w:val="continue"/>
            <w:tcBorders/>
            <w:tcMar>
              <w:top w:w="0" w:type="dxa"/>
              <w:left w:w="0" w:type="dxa"/>
              <w:bottom w:w="0" w:type="dxa"/>
              <w:right w:w="0" w:type="dxa"/>
            </w:tcMar>
            <w:vAlign w:val="center"/>
          </w:tcPr>
          <w:p>
            <w:pPr>
              <w:pStyle w:val="Normal"/>
              <w:bidi w:val="0"/>
              <w:jc w:val="left"/>
              <w:rPr/>
            </w:pPr>
            <w:r>
              <w:rPr/>
            </w:r>
          </w:p>
        </w:tc>
        <w:tc>
          <w:tcPr>
            <w:tcW w:w="10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Lato;sans-serif" w:hAnsi="Lato;sans-serif"/>
                <w:b w:val="false"/>
                <w:color w:val="000000"/>
                <w:sz w:val="16"/>
              </w:rPr>
            </w:pPr>
            <w:r>
              <w:rPr>
                <w:rFonts w:ascii="Lato;sans-serif" w:hAnsi="Lato;sans-serif"/>
                <w:b w:val="false"/>
                <w:color w:val="000000"/>
                <w:sz w:val="16"/>
              </w:rPr>
              <w:t>10/25/2023</w:t>
            </w:r>
          </w:p>
        </w:tc>
        <w:tc>
          <w:tcPr>
            <w:tcW w:w="1274"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Lato;sans-serif" w:hAnsi="Lato;sans-serif"/>
                <w:b w:val="false"/>
                <w:color w:val="000000"/>
                <w:sz w:val="16"/>
              </w:rPr>
              <w:t>RSU</w:t>
            </w:r>
            <w:r>
              <w:rPr>
                <w:rFonts w:ascii="Lato;sans-serif" w:hAnsi="Lato;sans-serif"/>
                <w:b w:val="false"/>
                <w:color w:val="000000"/>
                <w:sz w:val="10"/>
              </w:rPr>
              <w:t>(22)</w:t>
            </w:r>
          </w:p>
        </w:tc>
        <w:tc>
          <w:tcPr>
            <w:tcW w:w="346"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46"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46"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7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Lato;sans-serif" w:hAnsi="Lato;sans-serif"/>
                <w:b w:val="false"/>
                <w:color w:val="000000"/>
                <w:sz w:val="16"/>
              </w:rPr>
            </w:pPr>
            <w:r>
              <w:rPr>
                <w:rFonts w:ascii="Lato;sans-serif" w:hAnsi="Lato;sans-serif"/>
                <w:b w:val="false"/>
                <w:color w:val="000000"/>
                <w:sz w:val="16"/>
              </w:rPr>
              <w:t>122,554</w:t>
            </w:r>
          </w:p>
        </w:tc>
        <w:tc>
          <w:tcPr>
            <w:tcW w:w="9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Lato;sans-serif" w:hAnsi="Lato;sans-serif"/>
                <w:b w:val="false"/>
                <w:color w:val="000000"/>
                <w:sz w:val="16"/>
              </w:rPr>
            </w:pPr>
            <w:r>
              <w:rPr>
                <w:rFonts w:ascii="Lato;sans-serif" w:hAnsi="Lato;sans-serif"/>
                <w:b w:val="false"/>
                <w:color w:val="000000"/>
                <w:sz w:val="16"/>
              </w:rPr>
              <w:t>1,246,374</w:t>
            </w:r>
          </w:p>
        </w:tc>
        <w:tc>
          <w:tcPr>
            <w:tcW w:w="781"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976"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r>
      <w:tr>
        <w:trPr/>
        <w:tc>
          <w:tcPr>
            <w:tcW w:w="1485" w:type="dxa"/>
            <w:gridSpan w:val="3"/>
            <w:vMerge w:val="continue"/>
            <w:tcBorders/>
            <w:tcMar>
              <w:top w:w="0" w:type="dxa"/>
              <w:left w:w="0" w:type="dxa"/>
              <w:bottom w:w="0" w:type="dxa"/>
              <w:right w:w="0" w:type="dxa"/>
            </w:tcMar>
            <w:vAlign w:val="center"/>
          </w:tcPr>
          <w:p>
            <w:pPr>
              <w:pStyle w:val="Normal"/>
              <w:bidi w:val="0"/>
              <w:jc w:val="left"/>
              <w:rPr/>
            </w:pPr>
            <w:r>
              <w:rPr/>
            </w:r>
          </w:p>
        </w:tc>
        <w:tc>
          <w:tcPr>
            <w:tcW w:w="10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Lato;sans-serif" w:hAnsi="Lato;sans-serif"/>
                <w:b w:val="false"/>
                <w:color w:val="000000"/>
                <w:sz w:val="16"/>
              </w:rPr>
            </w:pPr>
            <w:r>
              <w:rPr>
                <w:rFonts w:ascii="Lato;sans-serif" w:hAnsi="Lato;sans-serif"/>
                <w:b w:val="false"/>
                <w:color w:val="000000"/>
                <w:sz w:val="16"/>
              </w:rPr>
              <w:t>3/23/2023</w:t>
            </w:r>
          </w:p>
        </w:tc>
        <w:tc>
          <w:tcPr>
            <w:tcW w:w="1274"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Lato;sans-serif" w:hAnsi="Lato;sans-serif"/>
                <w:b w:val="false"/>
                <w:color w:val="000000"/>
                <w:sz w:val="16"/>
              </w:rPr>
              <w:t>RSU</w:t>
            </w:r>
            <w:r>
              <w:rPr>
                <w:rFonts w:ascii="Lato;sans-serif" w:hAnsi="Lato;sans-serif"/>
                <w:b w:val="false"/>
                <w:color w:val="000000"/>
                <w:sz w:val="10"/>
              </w:rPr>
              <w:t>23)</w:t>
            </w:r>
          </w:p>
        </w:tc>
        <w:tc>
          <w:tcPr>
            <w:tcW w:w="346"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46"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46"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7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Lato;sans-serif" w:hAnsi="Lato;sans-serif"/>
                <w:b w:val="false"/>
                <w:color w:val="000000"/>
                <w:sz w:val="16"/>
              </w:rPr>
            </w:pPr>
            <w:r>
              <w:rPr>
                <w:rFonts w:ascii="Lato;sans-serif" w:hAnsi="Lato;sans-serif"/>
                <w:b w:val="false"/>
                <w:color w:val="000000"/>
                <w:sz w:val="16"/>
              </w:rPr>
              <w:t>26,786</w:t>
            </w:r>
          </w:p>
        </w:tc>
        <w:tc>
          <w:tcPr>
            <w:tcW w:w="9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Lato;sans-serif" w:hAnsi="Lato;sans-serif"/>
                <w:b w:val="false"/>
                <w:color w:val="000000"/>
                <w:sz w:val="16"/>
              </w:rPr>
            </w:pPr>
            <w:r>
              <w:rPr>
                <w:rFonts w:ascii="Lato;sans-serif" w:hAnsi="Lato;sans-serif"/>
                <w:b w:val="false"/>
                <w:color w:val="000000"/>
                <w:sz w:val="16"/>
              </w:rPr>
              <w:t>272,414</w:t>
            </w:r>
          </w:p>
        </w:tc>
        <w:tc>
          <w:tcPr>
            <w:tcW w:w="781"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976"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r>
      <w:tr>
        <w:trPr/>
        <w:tc>
          <w:tcPr>
            <w:tcW w:w="1485" w:type="dxa"/>
            <w:gridSpan w:val="3"/>
            <w:vMerge w:val="continue"/>
            <w:tcBorders/>
            <w:tcMar>
              <w:top w:w="0" w:type="dxa"/>
              <w:left w:w="0" w:type="dxa"/>
              <w:bottom w:w="0" w:type="dxa"/>
              <w:right w:w="0" w:type="dxa"/>
            </w:tcMar>
            <w:vAlign w:val="center"/>
          </w:tcPr>
          <w:p>
            <w:pPr>
              <w:pStyle w:val="Normal"/>
              <w:bidi w:val="0"/>
              <w:jc w:val="left"/>
              <w:rPr/>
            </w:pPr>
            <w:r>
              <w:rPr/>
            </w:r>
          </w:p>
        </w:tc>
        <w:tc>
          <w:tcPr>
            <w:tcW w:w="10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Lato;sans-serif" w:hAnsi="Lato;sans-serif"/>
                <w:b w:val="false"/>
                <w:color w:val="000000"/>
                <w:sz w:val="16"/>
              </w:rPr>
            </w:pPr>
            <w:r>
              <w:rPr>
                <w:rFonts w:ascii="Lato;sans-serif" w:hAnsi="Lato;sans-serif"/>
                <w:b w:val="false"/>
                <w:color w:val="000000"/>
                <w:sz w:val="16"/>
              </w:rPr>
              <w:t>9/1/2022</w:t>
            </w:r>
          </w:p>
        </w:tc>
        <w:tc>
          <w:tcPr>
            <w:tcW w:w="1274"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Lato;sans-serif" w:hAnsi="Lato;sans-serif"/>
                <w:b w:val="false"/>
                <w:color w:val="000000"/>
                <w:sz w:val="16"/>
              </w:rPr>
              <w:t>RSU</w:t>
            </w:r>
            <w:r>
              <w:rPr>
                <w:rFonts w:ascii="Lato;sans-serif" w:hAnsi="Lato;sans-serif"/>
                <w:b w:val="false"/>
                <w:color w:val="000000"/>
                <w:sz w:val="10"/>
              </w:rPr>
              <w:t>(24)</w:t>
            </w:r>
          </w:p>
        </w:tc>
        <w:tc>
          <w:tcPr>
            <w:tcW w:w="346"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46"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46"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7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Lato;sans-serif" w:hAnsi="Lato;sans-serif"/>
                <w:b w:val="false"/>
                <w:color w:val="000000"/>
                <w:sz w:val="16"/>
              </w:rPr>
            </w:pPr>
            <w:r>
              <w:rPr>
                <w:rFonts w:ascii="Lato;sans-serif" w:hAnsi="Lato;sans-serif"/>
                <w:b w:val="false"/>
                <w:color w:val="000000"/>
                <w:sz w:val="16"/>
              </w:rPr>
              <w:t>1,033</w:t>
            </w:r>
          </w:p>
        </w:tc>
        <w:tc>
          <w:tcPr>
            <w:tcW w:w="9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Lato;sans-serif" w:hAnsi="Lato;sans-serif"/>
                <w:b w:val="false"/>
                <w:color w:val="000000"/>
                <w:sz w:val="16"/>
              </w:rPr>
            </w:pPr>
            <w:r>
              <w:rPr>
                <w:rFonts w:ascii="Lato;sans-serif" w:hAnsi="Lato;sans-serif"/>
                <w:b w:val="false"/>
                <w:color w:val="000000"/>
                <w:sz w:val="16"/>
              </w:rPr>
              <w:t>10,506</w:t>
            </w:r>
          </w:p>
        </w:tc>
        <w:tc>
          <w:tcPr>
            <w:tcW w:w="781"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976"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r>
      <w:tr>
        <w:trPr/>
        <w:tc>
          <w:tcPr>
            <w:tcW w:w="1485" w:type="dxa"/>
            <w:gridSpan w:val="3"/>
            <w:vMerge w:val="continue"/>
            <w:tcBorders/>
            <w:tcMar>
              <w:top w:w="0" w:type="dxa"/>
              <w:left w:w="0" w:type="dxa"/>
              <w:bottom w:w="0" w:type="dxa"/>
              <w:right w:w="0" w:type="dxa"/>
            </w:tcMar>
            <w:vAlign w:val="center"/>
          </w:tcPr>
          <w:p>
            <w:pPr>
              <w:pStyle w:val="Normal"/>
              <w:bidi w:val="0"/>
              <w:jc w:val="left"/>
              <w:rPr/>
            </w:pPr>
            <w:r>
              <w:rPr/>
            </w:r>
          </w:p>
        </w:tc>
        <w:tc>
          <w:tcPr>
            <w:tcW w:w="10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Lato;sans-serif" w:hAnsi="Lato;sans-serif"/>
                <w:b w:val="false"/>
                <w:color w:val="000000"/>
                <w:sz w:val="16"/>
              </w:rPr>
            </w:pPr>
            <w:r>
              <w:rPr>
                <w:rFonts w:ascii="Lato;sans-serif" w:hAnsi="Lato;sans-serif"/>
                <w:b w:val="false"/>
                <w:color w:val="000000"/>
                <w:sz w:val="16"/>
              </w:rPr>
              <w:t>6/1/2022</w:t>
            </w:r>
          </w:p>
        </w:tc>
        <w:tc>
          <w:tcPr>
            <w:tcW w:w="1274"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Lato;sans-serif" w:hAnsi="Lato;sans-serif"/>
                <w:b w:val="false"/>
                <w:color w:val="000000"/>
                <w:sz w:val="16"/>
              </w:rPr>
              <w:t>RSU</w:t>
            </w:r>
            <w:r>
              <w:rPr>
                <w:rFonts w:ascii="Lato;sans-serif" w:hAnsi="Lato;sans-serif"/>
                <w:b w:val="false"/>
                <w:color w:val="000000"/>
                <w:sz w:val="10"/>
              </w:rPr>
              <w:t>(25)</w:t>
            </w:r>
          </w:p>
        </w:tc>
        <w:tc>
          <w:tcPr>
            <w:tcW w:w="346"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46"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46"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7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Lato;sans-serif" w:hAnsi="Lato;sans-serif"/>
                <w:b w:val="false"/>
                <w:color w:val="000000"/>
                <w:sz w:val="16"/>
              </w:rPr>
            </w:pPr>
            <w:r>
              <w:rPr>
                <w:rFonts w:ascii="Lato;sans-serif" w:hAnsi="Lato;sans-serif"/>
                <w:b w:val="false"/>
                <w:color w:val="000000"/>
                <w:sz w:val="16"/>
              </w:rPr>
              <w:t>774</w:t>
            </w:r>
          </w:p>
        </w:tc>
        <w:tc>
          <w:tcPr>
            <w:tcW w:w="9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Lato;sans-serif" w:hAnsi="Lato;sans-serif"/>
                <w:b w:val="false"/>
                <w:color w:val="000000"/>
                <w:sz w:val="16"/>
              </w:rPr>
            </w:pPr>
            <w:r>
              <w:rPr>
                <w:rFonts w:ascii="Lato;sans-serif" w:hAnsi="Lato;sans-serif"/>
                <w:b w:val="false"/>
                <w:color w:val="000000"/>
                <w:sz w:val="16"/>
              </w:rPr>
              <w:t>7,872</w:t>
            </w:r>
          </w:p>
        </w:tc>
        <w:tc>
          <w:tcPr>
            <w:tcW w:w="781"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976"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r>
      <w:tr>
        <w:trPr/>
        <w:tc>
          <w:tcPr>
            <w:tcW w:w="1485" w:type="dxa"/>
            <w:gridSpan w:val="3"/>
            <w:vMerge w:val="restart"/>
            <w:tcBorders/>
            <w:shd w:fill="DBDBDB" w:val="clear"/>
            <w:tcMar>
              <w:top w:w="0" w:type="dxa"/>
              <w:left w:w="0" w:type="dxa"/>
              <w:bottom w:w="0" w:type="dxa"/>
              <w:right w:w="0" w:type="dxa"/>
            </w:tcMar>
            <w:vAlign w:val="center"/>
          </w:tcPr>
          <w:p>
            <w:pPr>
              <w:pStyle w:val="TableContents"/>
              <w:bidi w:val="0"/>
              <w:spacing w:lineRule="auto" w:line="333" w:before="0" w:after="283"/>
              <w:jc w:val="left"/>
              <w:rPr>
                <w:rFonts w:ascii="Lato;sans-serif" w:hAnsi="Lato;sans-serif"/>
                <w:b w:val="false"/>
                <w:color w:val="000000"/>
                <w:sz w:val="16"/>
              </w:rPr>
            </w:pPr>
            <w:r>
              <w:rPr>
                <w:rFonts w:ascii="Lato;sans-serif" w:hAnsi="Lato;sans-serif"/>
                <w:b w:val="false"/>
                <w:color w:val="000000"/>
                <w:sz w:val="16"/>
              </w:rPr>
              <w:t>Ashley McGrane</w:t>
            </w:r>
          </w:p>
        </w:tc>
        <w:tc>
          <w:tcPr>
            <w:tcW w:w="106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Lato;sans-serif" w:hAnsi="Lato;sans-serif"/>
                <w:b w:val="false"/>
                <w:color w:val="000000"/>
                <w:sz w:val="16"/>
              </w:rPr>
            </w:pPr>
            <w:r>
              <w:rPr>
                <w:rFonts w:ascii="Lato;sans-serif" w:hAnsi="Lato;sans-serif"/>
                <w:b w:val="false"/>
                <w:color w:val="000000"/>
                <w:sz w:val="16"/>
              </w:rPr>
              <w:t>5/30/2025</w:t>
            </w:r>
          </w:p>
        </w:tc>
        <w:tc>
          <w:tcPr>
            <w:tcW w:w="1274" w:type="dxa"/>
            <w:gridSpan w:val="3"/>
            <w:tcBorders/>
            <w:shd w:fill="DBDBDB" w:val="clear"/>
            <w:tcMar>
              <w:top w:w="0" w:type="dxa"/>
              <w:left w:w="0" w:type="dxa"/>
              <w:bottom w:w="0" w:type="dxa"/>
              <w:right w:w="0" w:type="dxa"/>
            </w:tcMar>
            <w:vAlign w:val="center"/>
          </w:tcPr>
          <w:p>
            <w:pPr>
              <w:pStyle w:val="TableContents"/>
              <w:bidi w:val="0"/>
              <w:spacing w:lineRule="auto" w:line="240" w:before="0" w:after="0"/>
              <w:jc w:val="center"/>
              <w:rPr/>
            </w:pPr>
            <w:r>
              <w:rPr>
                <w:rFonts w:ascii="Lato;sans-serif" w:hAnsi="Lato;sans-serif"/>
                <w:b w:val="false"/>
                <w:color w:val="000000"/>
                <w:sz w:val="16"/>
              </w:rPr>
              <w:t>FCFps PSUs</w:t>
            </w:r>
            <w:r>
              <w:rPr>
                <w:rFonts w:ascii="Lato;sans-serif" w:hAnsi="Lato;sans-serif"/>
                <w:b w:val="false"/>
                <w:color w:val="000000"/>
                <w:sz w:val="10"/>
              </w:rPr>
              <w:t>(10)</w:t>
            </w:r>
          </w:p>
        </w:tc>
        <w:tc>
          <w:tcPr>
            <w:tcW w:w="346"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46"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46"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781"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931"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781"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Lato;sans-serif" w:hAnsi="Lato;sans-serif"/>
                <w:b w:val="false"/>
                <w:color w:val="000000"/>
                <w:sz w:val="16"/>
              </w:rPr>
            </w:pPr>
            <w:r>
              <w:rPr>
                <w:rFonts w:ascii="Lato;sans-serif" w:hAnsi="Lato;sans-serif"/>
                <w:b w:val="false"/>
                <w:color w:val="000000"/>
                <w:sz w:val="16"/>
              </w:rPr>
              <w:t>70,000</w:t>
            </w:r>
          </w:p>
        </w:tc>
        <w:tc>
          <w:tcPr>
            <w:tcW w:w="976"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Lato;sans-serif" w:hAnsi="Lato;sans-serif"/>
                <w:b w:val="false"/>
                <w:color w:val="000000"/>
                <w:sz w:val="16"/>
              </w:rPr>
            </w:pPr>
            <w:r>
              <w:rPr>
                <w:rFonts w:ascii="Lato;sans-serif" w:hAnsi="Lato;sans-serif"/>
                <w:b w:val="false"/>
                <w:color w:val="000000"/>
                <w:sz w:val="16"/>
              </w:rPr>
              <w:t>711,900</w:t>
            </w:r>
          </w:p>
        </w:tc>
      </w:tr>
      <w:tr>
        <w:trPr/>
        <w:tc>
          <w:tcPr>
            <w:tcW w:w="1485" w:type="dxa"/>
            <w:gridSpan w:val="3"/>
            <w:vMerge w:val="continue"/>
            <w:tcBorders/>
            <w:shd w:fill="DBDBDB" w:val="clear"/>
            <w:tcMar>
              <w:top w:w="0" w:type="dxa"/>
              <w:left w:w="0" w:type="dxa"/>
              <w:bottom w:w="0" w:type="dxa"/>
              <w:right w:w="0" w:type="dxa"/>
            </w:tcMar>
            <w:vAlign w:val="center"/>
          </w:tcPr>
          <w:p>
            <w:pPr>
              <w:pStyle w:val="Normal"/>
              <w:bidi w:val="0"/>
              <w:jc w:val="left"/>
              <w:rPr/>
            </w:pPr>
            <w:r>
              <w:rPr/>
            </w:r>
          </w:p>
        </w:tc>
        <w:tc>
          <w:tcPr>
            <w:tcW w:w="106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Lato;sans-serif" w:hAnsi="Lato;sans-serif"/>
                <w:b w:val="false"/>
                <w:color w:val="000000"/>
                <w:sz w:val="16"/>
              </w:rPr>
            </w:pPr>
            <w:r>
              <w:rPr>
                <w:rFonts w:ascii="Lato;sans-serif" w:hAnsi="Lato;sans-serif"/>
                <w:b w:val="false"/>
                <w:color w:val="000000"/>
                <w:sz w:val="16"/>
              </w:rPr>
              <w:t>5/30/2025</w:t>
            </w:r>
          </w:p>
        </w:tc>
        <w:tc>
          <w:tcPr>
            <w:tcW w:w="1274" w:type="dxa"/>
            <w:gridSpan w:val="3"/>
            <w:tcBorders/>
            <w:shd w:fill="DBDBDB" w:val="clear"/>
            <w:tcMar>
              <w:top w:w="0" w:type="dxa"/>
              <w:left w:w="0" w:type="dxa"/>
              <w:bottom w:w="0" w:type="dxa"/>
              <w:right w:w="0" w:type="dxa"/>
            </w:tcMar>
            <w:vAlign w:val="center"/>
          </w:tcPr>
          <w:p>
            <w:pPr>
              <w:pStyle w:val="TableContents"/>
              <w:bidi w:val="0"/>
              <w:spacing w:lineRule="auto" w:line="240" w:before="0" w:after="0"/>
              <w:jc w:val="center"/>
              <w:rPr/>
            </w:pPr>
            <w:r>
              <w:rPr>
                <w:rFonts w:ascii="Lato;sans-serif" w:hAnsi="Lato;sans-serif"/>
                <w:b w:val="false"/>
                <w:color w:val="000000"/>
                <w:sz w:val="16"/>
              </w:rPr>
              <w:t>RSU</w:t>
            </w:r>
            <w:r>
              <w:rPr>
                <w:rFonts w:ascii="Lato;sans-serif" w:hAnsi="Lato;sans-serif"/>
                <w:b w:val="false"/>
                <w:color w:val="000000"/>
                <w:sz w:val="10"/>
              </w:rPr>
              <w:t>(11)</w:t>
            </w:r>
          </w:p>
        </w:tc>
        <w:tc>
          <w:tcPr>
            <w:tcW w:w="346"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46"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46"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781"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Lato;sans-serif" w:hAnsi="Lato;sans-serif"/>
                <w:b w:val="false"/>
                <w:color w:val="000000"/>
                <w:sz w:val="16"/>
              </w:rPr>
            </w:pPr>
            <w:r>
              <w:rPr>
                <w:rFonts w:ascii="Lato;sans-serif" w:hAnsi="Lato;sans-serif"/>
                <w:b w:val="false"/>
                <w:color w:val="000000"/>
                <w:sz w:val="16"/>
              </w:rPr>
              <w:t>100,000</w:t>
            </w:r>
          </w:p>
        </w:tc>
        <w:tc>
          <w:tcPr>
            <w:tcW w:w="931"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Lato;sans-serif" w:hAnsi="Lato;sans-serif"/>
                <w:b w:val="false"/>
                <w:color w:val="000000"/>
                <w:sz w:val="16"/>
              </w:rPr>
            </w:pPr>
            <w:r>
              <w:rPr>
                <w:rFonts w:ascii="Lato;sans-serif" w:hAnsi="Lato;sans-serif"/>
                <w:b w:val="false"/>
                <w:color w:val="000000"/>
                <w:sz w:val="16"/>
              </w:rPr>
              <w:t>1,017,000</w:t>
            </w:r>
          </w:p>
        </w:tc>
        <w:tc>
          <w:tcPr>
            <w:tcW w:w="781"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976"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r>
      <w:tr>
        <w:trPr/>
        <w:tc>
          <w:tcPr>
            <w:tcW w:w="1485" w:type="dxa"/>
            <w:gridSpan w:val="3"/>
            <w:vMerge w:val="continue"/>
            <w:tcBorders/>
            <w:shd w:fill="DBDBDB" w:val="clear"/>
            <w:tcMar>
              <w:top w:w="0" w:type="dxa"/>
              <w:left w:w="0" w:type="dxa"/>
              <w:bottom w:w="0" w:type="dxa"/>
              <w:right w:w="0" w:type="dxa"/>
            </w:tcMar>
            <w:vAlign w:val="center"/>
          </w:tcPr>
          <w:p>
            <w:pPr>
              <w:pStyle w:val="Normal"/>
              <w:bidi w:val="0"/>
              <w:jc w:val="left"/>
              <w:rPr/>
            </w:pPr>
            <w:r>
              <w:rPr/>
            </w:r>
          </w:p>
        </w:tc>
        <w:tc>
          <w:tcPr>
            <w:tcW w:w="106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Lato;sans-serif" w:hAnsi="Lato;sans-serif"/>
                <w:b w:val="false"/>
                <w:color w:val="000000"/>
                <w:sz w:val="16"/>
              </w:rPr>
            </w:pPr>
            <w:r>
              <w:rPr>
                <w:rFonts w:ascii="Lato;sans-serif" w:hAnsi="Lato;sans-serif"/>
                <w:b w:val="false"/>
                <w:color w:val="000000"/>
                <w:sz w:val="16"/>
              </w:rPr>
              <w:t>10/22/2024</w:t>
            </w:r>
          </w:p>
        </w:tc>
        <w:tc>
          <w:tcPr>
            <w:tcW w:w="1274" w:type="dxa"/>
            <w:gridSpan w:val="3"/>
            <w:tcBorders/>
            <w:shd w:fill="DBDBDB" w:val="clear"/>
            <w:tcMar>
              <w:top w:w="0" w:type="dxa"/>
              <w:left w:w="0" w:type="dxa"/>
              <w:bottom w:w="0" w:type="dxa"/>
              <w:right w:w="0" w:type="dxa"/>
            </w:tcMar>
            <w:vAlign w:val="center"/>
          </w:tcPr>
          <w:p>
            <w:pPr>
              <w:pStyle w:val="TableContents"/>
              <w:bidi w:val="0"/>
              <w:spacing w:lineRule="auto" w:line="240" w:before="0" w:after="0"/>
              <w:jc w:val="center"/>
              <w:rPr/>
            </w:pPr>
            <w:r>
              <w:rPr>
                <w:rFonts w:ascii="Lato;sans-serif" w:hAnsi="Lato;sans-serif"/>
                <w:b w:val="false"/>
                <w:color w:val="000000"/>
                <w:sz w:val="16"/>
              </w:rPr>
              <w:t>RSU</w:t>
            </w:r>
            <w:r>
              <w:rPr>
                <w:rFonts w:ascii="Lato;sans-serif" w:hAnsi="Lato;sans-serif"/>
                <w:b w:val="false"/>
                <w:color w:val="000000"/>
                <w:sz w:val="10"/>
              </w:rPr>
              <w:t>(26)</w:t>
            </w:r>
          </w:p>
        </w:tc>
        <w:tc>
          <w:tcPr>
            <w:tcW w:w="346"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46"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46"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781"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Lato;sans-serif" w:hAnsi="Lato;sans-serif"/>
                <w:b w:val="false"/>
                <w:color w:val="000000"/>
                <w:sz w:val="16"/>
              </w:rPr>
            </w:pPr>
            <w:r>
              <w:rPr>
                <w:rFonts w:ascii="Lato;sans-serif" w:hAnsi="Lato;sans-serif"/>
                <w:b w:val="false"/>
                <w:color w:val="000000"/>
                <w:sz w:val="16"/>
              </w:rPr>
              <w:t>71,840</w:t>
            </w:r>
          </w:p>
        </w:tc>
        <w:tc>
          <w:tcPr>
            <w:tcW w:w="931"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Lato;sans-serif" w:hAnsi="Lato;sans-serif"/>
                <w:b w:val="false"/>
                <w:color w:val="000000"/>
                <w:sz w:val="16"/>
              </w:rPr>
            </w:pPr>
            <w:r>
              <w:rPr>
                <w:rFonts w:ascii="Lato;sans-serif" w:hAnsi="Lato;sans-serif"/>
                <w:b w:val="false"/>
                <w:color w:val="000000"/>
                <w:sz w:val="16"/>
              </w:rPr>
              <w:t>730,613</w:t>
            </w:r>
          </w:p>
        </w:tc>
        <w:tc>
          <w:tcPr>
            <w:tcW w:w="781"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976"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r>
      <w:tr>
        <w:trPr/>
        <w:tc>
          <w:tcPr>
            <w:tcW w:w="1485" w:type="dxa"/>
            <w:gridSpan w:val="3"/>
            <w:vMerge w:val="continue"/>
            <w:tcBorders/>
            <w:shd w:fill="DBDBDB" w:val="clear"/>
            <w:tcMar>
              <w:top w:w="0" w:type="dxa"/>
              <w:left w:w="0" w:type="dxa"/>
              <w:bottom w:w="0" w:type="dxa"/>
              <w:right w:w="0" w:type="dxa"/>
            </w:tcMar>
            <w:vAlign w:val="center"/>
          </w:tcPr>
          <w:p>
            <w:pPr>
              <w:pStyle w:val="Normal"/>
              <w:bidi w:val="0"/>
              <w:jc w:val="left"/>
              <w:rPr/>
            </w:pPr>
            <w:r>
              <w:rPr/>
            </w:r>
          </w:p>
        </w:tc>
        <w:tc>
          <w:tcPr>
            <w:tcW w:w="106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Lato;sans-serif" w:hAnsi="Lato;sans-serif"/>
                <w:b w:val="false"/>
                <w:color w:val="000000"/>
                <w:sz w:val="16"/>
              </w:rPr>
            </w:pPr>
            <w:r>
              <w:rPr>
                <w:rFonts w:ascii="Lato;sans-serif" w:hAnsi="Lato;sans-serif"/>
                <w:b w:val="false"/>
                <w:color w:val="000000"/>
                <w:sz w:val="16"/>
              </w:rPr>
              <w:t>7/24/2024</w:t>
            </w:r>
          </w:p>
        </w:tc>
        <w:tc>
          <w:tcPr>
            <w:tcW w:w="1274" w:type="dxa"/>
            <w:gridSpan w:val="3"/>
            <w:tcBorders/>
            <w:shd w:fill="DBDBDB" w:val="clear"/>
            <w:tcMar>
              <w:top w:w="0" w:type="dxa"/>
              <w:left w:w="0" w:type="dxa"/>
              <w:bottom w:w="0" w:type="dxa"/>
              <w:right w:w="0" w:type="dxa"/>
            </w:tcMar>
            <w:vAlign w:val="center"/>
          </w:tcPr>
          <w:p>
            <w:pPr>
              <w:pStyle w:val="TableContents"/>
              <w:bidi w:val="0"/>
              <w:spacing w:lineRule="auto" w:line="240" w:before="0" w:after="0"/>
              <w:jc w:val="center"/>
              <w:rPr/>
            </w:pPr>
            <w:r>
              <w:rPr>
                <w:rFonts w:ascii="Lato;sans-serif" w:hAnsi="Lato;sans-serif"/>
                <w:b w:val="false"/>
                <w:color w:val="000000"/>
                <w:sz w:val="16"/>
              </w:rPr>
              <w:t>RSU</w:t>
            </w:r>
            <w:r>
              <w:rPr>
                <w:rFonts w:ascii="Lato;sans-serif" w:hAnsi="Lato;sans-serif"/>
                <w:b w:val="false"/>
                <w:color w:val="000000"/>
                <w:sz w:val="10"/>
              </w:rPr>
              <w:t>(27)</w:t>
            </w:r>
          </w:p>
        </w:tc>
        <w:tc>
          <w:tcPr>
            <w:tcW w:w="346"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46"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46"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781"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Lato;sans-serif" w:hAnsi="Lato;sans-serif"/>
                <w:b w:val="false"/>
                <w:color w:val="000000"/>
                <w:sz w:val="16"/>
              </w:rPr>
            </w:pPr>
            <w:r>
              <w:rPr>
                <w:rFonts w:ascii="Lato;sans-serif" w:hAnsi="Lato;sans-serif"/>
                <w:b w:val="false"/>
                <w:color w:val="000000"/>
                <w:sz w:val="16"/>
              </w:rPr>
              <w:t>44,675</w:t>
            </w:r>
          </w:p>
        </w:tc>
        <w:tc>
          <w:tcPr>
            <w:tcW w:w="931"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Lato;sans-serif" w:hAnsi="Lato;sans-serif"/>
                <w:b w:val="false"/>
                <w:color w:val="000000"/>
                <w:sz w:val="16"/>
              </w:rPr>
            </w:pPr>
            <w:r>
              <w:rPr>
                <w:rFonts w:ascii="Lato;sans-serif" w:hAnsi="Lato;sans-serif"/>
                <w:b w:val="false"/>
                <w:color w:val="000000"/>
                <w:sz w:val="16"/>
              </w:rPr>
              <w:t>454,345</w:t>
            </w:r>
          </w:p>
        </w:tc>
        <w:tc>
          <w:tcPr>
            <w:tcW w:w="781"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976"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r>
      <w:tr>
        <w:trPr/>
        <w:tc>
          <w:tcPr>
            <w:tcW w:w="1485" w:type="dxa"/>
            <w:gridSpan w:val="3"/>
            <w:vMerge w:val="continue"/>
            <w:tcBorders/>
            <w:shd w:fill="DBDBDB" w:val="clear"/>
            <w:tcMar>
              <w:top w:w="0" w:type="dxa"/>
              <w:left w:w="0" w:type="dxa"/>
              <w:bottom w:w="0" w:type="dxa"/>
              <w:right w:w="0" w:type="dxa"/>
            </w:tcMar>
            <w:vAlign w:val="center"/>
          </w:tcPr>
          <w:p>
            <w:pPr>
              <w:pStyle w:val="Normal"/>
              <w:bidi w:val="0"/>
              <w:jc w:val="left"/>
              <w:rPr/>
            </w:pPr>
            <w:r>
              <w:rPr/>
            </w:r>
          </w:p>
        </w:tc>
        <w:tc>
          <w:tcPr>
            <w:tcW w:w="106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Lato;sans-serif" w:hAnsi="Lato;sans-serif"/>
                <w:b w:val="false"/>
                <w:color w:val="000000"/>
                <w:sz w:val="16"/>
              </w:rPr>
            </w:pPr>
            <w:r>
              <w:rPr>
                <w:rFonts w:ascii="Lato;sans-serif" w:hAnsi="Lato;sans-serif"/>
                <w:b w:val="false"/>
                <w:color w:val="000000"/>
                <w:sz w:val="16"/>
              </w:rPr>
              <w:t>3/26/2024</w:t>
            </w:r>
          </w:p>
        </w:tc>
        <w:tc>
          <w:tcPr>
            <w:tcW w:w="1274" w:type="dxa"/>
            <w:gridSpan w:val="3"/>
            <w:tcBorders/>
            <w:shd w:fill="DBDBDB" w:val="clear"/>
            <w:tcMar>
              <w:top w:w="0" w:type="dxa"/>
              <w:left w:w="0" w:type="dxa"/>
              <w:bottom w:w="0" w:type="dxa"/>
              <w:right w:w="0" w:type="dxa"/>
            </w:tcMar>
            <w:vAlign w:val="center"/>
          </w:tcPr>
          <w:p>
            <w:pPr>
              <w:pStyle w:val="TableContents"/>
              <w:bidi w:val="0"/>
              <w:spacing w:lineRule="auto" w:line="240" w:before="0" w:after="0"/>
              <w:jc w:val="center"/>
              <w:rPr/>
            </w:pPr>
            <w:r>
              <w:rPr>
                <w:rFonts w:ascii="Lato;sans-serif" w:hAnsi="Lato;sans-serif"/>
                <w:b w:val="false"/>
                <w:color w:val="000000"/>
                <w:sz w:val="16"/>
              </w:rPr>
              <w:t>RSU</w:t>
            </w:r>
            <w:r>
              <w:rPr>
                <w:rFonts w:ascii="Lato;sans-serif" w:hAnsi="Lato;sans-serif"/>
                <w:b w:val="false"/>
                <w:color w:val="000000"/>
                <w:sz w:val="10"/>
              </w:rPr>
              <w:t>(28)</w:t>
            </w:r>
          </w:p>
        </w:tc>
        <w:tc>
          <w:tcPr>
            <w:tcW w:w="346"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46"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46"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781"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Lato;sans-serif" w:hAnsi="Lato;sans-serif"/>
                <w:b w:val="false"/>
                <w:color w:val="000000"/>
                <w:sz w:val="16"/>
              </w:rPr>
            </w:pPr>
            <w:r>
              <w:rPr>
                <w:rFonts w:ascii="Lato;sans-serif" w:hAnsi="Lato;sans-serif"/>
                <w:b w:val="false"/>
                <w:color w:val="000000"/>
                <w:sz w:val="16"/>
              </w:rPr>
              <w:t>5,515</w:t>
            </w:r>
          </w:p>
        </w:tc>
        <w:tc>
          <w:tcPr>
            <w:tcW w:w="931"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Lato;sans-serif" w:hAnsi="Lato;sans-serif"/>
                <w:b w:val="false"/>
                <w:color w:val="000000"/>
                <w:sz w:val="16"/>
              </w:rPr>
            </w:pPr>
            <w:r>
              <w:rPr>
                <w:rFonts w:ascii="Lato;sans-serif" w:hAnsi="Lato;sans-serif"/>
                <w:b w:val="false"/>
                <w:color w:val="000000"/>
                <w:sz w:val="16"/>
              </w:rPr>
              <w:t>56,088</w:t>
            </w:r>
          </w:p>
        </w:tc>
        <w:tc>
          <w:tcPr>
            <w:tcW w:w="781"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976"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r>
      <w:tr>
        <w:trPr/>
        <w:tc>
          <w:tcPr>
            <w:tcW w:w="1485" w:type="dxa"/>
            <w:gridSpan w:val="3"/>
            <w:vMerge w:val="continue"/>
            <w:tcBorders/>
            <w:shd w:fill="DBDBDB" w:val="clear"/>
            <w:tcMar>
              <w:top w:w="0" w:type="dxa"/>
              <w:left w:w="0" w:type="dxa"/>
              <w:bottom w:w="0" w:type="dxa"/>
              <w:right w:w="0" w:type="dxa"/>
            </w:tcMar>
            <w:vAlign w:val="center"/>
          </w:tcPr>
          <w:p>
            <w:pPr>
              <w:pStyle w:val="Normal"/>
              <w:bidi w:val="0"/>
              <w:jc w:val="left"/>
              <w:rPr/>
            </w:pPr>
            <w:r>
              <w:rPr/>
            </w:r>
          </w:p>
        </w:tc>
        <w:tc>
          <w:tcPr>
            <w:tcW w:w="106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Lato;sans-serif" w:hAnsi="Lato;sans-serif"/>
                <w:b w:val="false"/>
                <w:color w:val="000000"/>
                <w:sz w:val="16"/>
              </w:rPr>
            </w:pPr>
            <w:r>
              <w:rPr>
                <w:rFonts w:ascii="Lato;sans-serif" w:hAnsi="Lato;sans-serif"/>
                <w:b w:val="false"/>
                <w:color w:val="000000"/>
                <w:sz w:val="16"/>
              </w:rPr>
              <w:t>10/25/2023</w:t>
            </w:r>
          </w:p>
        </w:tc>
        <w:tc>
          <w:tcPr>
            <w:tcW w:w="1274" w:type="dxa"/>
            <w:gridSpan w:val="3"/>
            <w:tcBorders/>
            <w:shd w:fill="DBDBDB" w:val="clear"/>
            <w:tcMar>
              <w:top w:w="0" w:type="dxa"/>
              <w:left w:w="0" w:type="dxa"/>
              <w:bottom w:w="0" w:type="dxa"/>
              <w:right w:w="0" w:type="dxa"/>
            </w:tcMar>
            <w:vAlign w:val="center"/>
          </w:tcPr>
          <w:p>
            <w:pPr>
              <w:pStyle w:val="TableContents"/>
              <w:bidi w:val="0"/>
              <w:spacing w:lineRule="auto" w:line="240" w:before="0" w:after="0"/>
              <w:jc w:val="center"/>
              <w:rPr/>
            </w:pPr>
            <w:r>
              <w:rPr>
                <w:rFonts w:ascii="Lato;sans-serif" w:hAnsi="Lato;sans-serif"/>
                <w:b w:val="false"/>
                <w:color w:val="000000"/>
                <w:sz w:val="16"/>
              </w:rPr>
              <w:t>RSU</w:t>
            </w:r>
            <w:r>
              <w:rPr>
                <w:rFonts w:ascii="Lato;sans-serif" w:hAnsi="Lato;sans-serif"/>
                <w:b w:val="false"/>
                <w:color w:val="000000"/>
                <w:sz w:val="10"/>
              </w:rPr>
              <w:t>(29)</w:t>
            </w:r>
          </w:p>
        </w:tc>
        <w:tc>
          <w:tcPr>
            <w:tcW w:w="346"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46"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46"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781"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Lato;sans-serif" w:hAnsi="Lato;sans-serif"/>
                <w:b w:val="false"/>
                <w:color w:val="000000"/>
                <w:sz w:val="16"/>
              </w:rPr>
            </w:pPr>
            <w:r>
              <w:rPr>
                <w:rFonts w:ascii="Lato;sans-serif" w:hAnsi="Lato;sans-serif"/>
                <w:b w:val="false"/>
                <w:color w:val="000000"/>
                <w:sz w:val="16"/>
              </w:rPr>
              <w:t>4,893</w:t>
            </w:r>
          </w:p>
        </w:tc>
        <w:tc>
          <w:tcPr>
            <w:tcW w:w="931"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Lato;sans-serif" w:hAnsi="Lato;sans-serif"/>
                <w:b w:val="false"/>
                <w:color w:val="000000"/>
                <w:sz w:val="16"/>
              </w:rPr>
            </w:pPr>
            <w:r>
              <w:rPr>
                <w:rFonts w:ascii="Lato;sans-serif" w:hAnsi="Lato;sans-serif"/>
                <w:b w:val="false"/>
                <w:color w:val="000000"/>
                <w:sz w:val="16"/>
              </w:rPr>
              <w:t>49,762</w:t>
            </w:r>
          </w:p>
        </w:tc>
        <w:tc>
          <w:tcPr>
            <w:tcW w:w="781"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976"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r>
      <w:tr>
        <w:trPr/>
        <w:tc>
          <w:tcPr>
            <w:tcW w:w="1485" w:type="dxa"/>
            <w:gridSpan w:val="3"/>
            <w:vMerge w:val="continue"/>
            <w:tcBorders/>
            <w:shd w:fill="DBDBDB" w:val="clear"/>
            <w:tcMar>
              <w:top w:w="0" w:type="dxa"/>
              <w:left w:w="0" w:type="dxa"/>
              <w:bottom w:w="0" w:type="dxa"/>
              <w:right w:w="0" w:type="dxa"/>
            </w:tcMar>
            <w:vAlign w:val="center"/>
          </w:tcPr>
          <w:p>
            <w:pPr>
              <w:pStyle w:val="Normal"/>
              <w:bidi w:val="0"/>
              <w:jc w:val="left"/>
              <w:rPr/>
            </w:pPr>
            <w:r>
              <w:rPr/>
            </w:r>
          </w:p>
        </w:tc>
        <w:tc>
          <w:tcPr>
            <w:tcW w:w="106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Lato;sans-serif" w:hAnsi="Lato;sans-serif"/>
                <w:b w:val="false"/>
                <w:color w:val="000000"/>
                <w:sz w:val="16"/>
              </w:rPr>
            </w:pPr>
            <w:r>
              <w:rPr>
                <w:rFonts w:ascii="Lato;sans-serif" w:hAnsi="Lato;sans-serif"/>
                <w:b w:val="false"/>
                <w:color w:val="000000"/>
                <w:sz w:val="16"/>
              </w:rPr>
              <w:t>3/23/2023</w:t>
            </w:r>
          </w:p>
        </w:tc>
        <w:tc>
          <w:tcPr>
            <w:tcW w:w="1274" w:type="dxa"/>
            <w:gridSpan w:val="3"/>
            <w:tcBorders/>
            <w:shd w:fill="DBDBDB" w:val="clear"/>
            <w:tcMar>
              <w:top w:w="0" w:type="dxa"/>
              <w:left w:w="0" w:type="dxa"/>
              <w:bottom w:w="0" w:type="dxa"/>
              <w:right w:w="0" w:type="dxa"/>
            </w:tcMar>
            <w:vAlign w:val="center"/>
          </w:tcPr>
          <w:p>
            <w:pPr>
              <w:pStyle w:val="TableContents"/>
              <w:bidi w:val="0"/>
              <w:spacing w:lineRule="auto" w:line="240" w:before="0" w:after="0"/>
              <w:jc w:val="center"/>
              <w:rPr/>
            </w:pPr>
            <w:r>
              <w:rPr>
                <w:rFonts w:ascii="Lato;sans-serif" w:hAnsi="Lato;sans-serif"/>
                <w:b w:val="false"/>
                <w:color w:val="000000"/>
                <w:sz w:val="16"/>
              </w:rPr>
              <w:t>RSU</w:t>
            </w:r>
            <w:r>
              <w:rPr>
                <w:rFonts w:ascii="Lato;sans-serif" w:hAnsi="Lato;sans-serif"/>
                <w:b w:val="false"/>
                <w:color w:val="000000"/>
                <w:sz w:val="10"/>
              </w:rPr>
              <w:t>(30)</w:t>
            </w:r>
          </w:p>
        </w:tc>
        <w:tc>
          <w:tcPr>
            <w:tcW w:w="346"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46"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46"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781"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Lato;sans-serif" w:hAnsi="Lato;sans-serif"/>
                <w:b w:val="false"/>
                <w:color w:val="000000"/>
                <w:sz w:val="16"/>
              </w:rPr>
            </w:pPr>
            <w:r>
              <w:rPr>
                <w:rFonts w:ascii="Lato;sans-serif" w:hAnsi="Lato;sans-serif"/>
                <w:b w:val="false"/>
                <w:color w:val="000000"/>
                <w:sz w:val="16"/>
              </w:rPr>
              <w:t>4,688</w:t>
            </w:r>
          </w:p>
        </w:tc>
        <w:tc>
          <w:tcPr>
            <w:tcW w:w="931"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Lato;sans-serif" w:hAnsi="Lato;sans-serif"/>
                <w:b w:val="false"/>
                <w:color w:val="000000"/>
                <w:sz w:val="16"/>
              </w:rPr>
            </w:pPr>
            <w:r>
              <w:rPr>
                <w:rFonts w:ascii="Lato;sans-serif" w:hAnsi="Lato;sans-serif"/>
                <w:b w:val="false"/>
                <w:color w:val="000000"/>
                <w:sz w:val="16"/>
              </w:rPr>
              <w:t>47,677</w:t>
            </w:r>
          </w:p>
        </w:tc>
        <w:tc>
          <w:tcPr>
            <w:tcW w:w="781"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976"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r>
      <w:tr>
        <w:trPr/>
        <w:tc>
          <w:tcPr>
            <w:tcW w:w="1485" w:type="dxa"/>
            <w:gridSpan w:val="3"/>
            <w:vMerge w:val="continue"/>
            <w:tcBorders/>
            <w:shd w:fill="DBDBDB" w:val="clear"/>
            <w:tcMar>
              <w:top w:w="0" w:type="dxa"/>
              <w:left w:w="0" w:type="dxa"/>
              <w:bottom w:w="0" w:type="dxa"/>
              <w:right w:w="0" w:type="dxa"/>
            </w:tcMar>
            <w:vAlign w:val="center"/>
          </w:tcPr>
          <w:p>
            <w:pPr>
              <w:pStyle w:val="Normal"/>
              <w:bidi w:val="0"/>
              <w:jc w:val="left"/>
              <w:rPr/>
            </w:pPr>
            <w:r>
              <w:rPr/>
            </w:r>
          </w:p>
        </w:tc>
        <w:tc>
          <w:tcPr>
            <w:tcW w:w="106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Lato;sans-serif" w:hAnsi="Lato;sans-serif"/>
                <w:b w:val="false"/>
                <w:color w:val="000000"/>
                <w:sz w:val="16"/>
              </w:rPr>
            </w:pPr>
            <w:r>
              <w:rPr>
                <w:rFonts w:ascii="Lato;sans-serif" w:hAnsi="Lato;sans-serif"/>
                <w:b w:val="false"/>
                <w:color w:val="000000"/>
                <w:sz w:val="16"/>
              </w:rPr>
              <w:t>9/1/2022</w:t>
            </w:r>
          </w:p>
        </w:tc>
        <w:tc>
          <w:tcPr>
            <w:tcW w:w="1274" w:type="dxa"/>
            <w:gridSpan w:val="3"/>
            <w:tcBorders/>
            <w:shd w:fill="DBDBDB" w:val="clear"/>
            <w:tcMar>
              <w:top w:w="0" w:type="dxa"/>
              <w:left w:w="0" w:type="dxa"/>
              <w:bottom w:w="0" w:type="dxa"/>
              <w:right w:w="0" w:type="dxa"/>
            </w:tcMar>
            <w:vAlign w:val="center"/>
          </w:tcPr>
          <w:p>
            <w:pPr>
              <w:pStyle w:val="TableContents"/>
              <w:bidi w:val="0"/>
              <w:spacing w:lineRule="auto" w:line="240" w:before="0" w:after="0"/>
              <w:jc w:val="center"/>
              <w:rPr/>
            </w:pPr>
            <w:r>
              <w:rPr>
                <w:rFonts w:ascii="Lato;sans-serif" w:hAnsi="Lato;sans-serif"/>
                <w:b w:val="false"/>
                <w:color w:val="000000"/>
                <w:sz w:val="16"/>
              </w:rPr>
              <w:t>RSU</w:t>
            </w:r>
            <w:r>
              <w:rPr>
                <w:rFonts w:ascii="Lato;sans-serif" w:hAnsi="Lato;sans-serif"/>
                <w:b w:val="false"/>
                <w:color w:val="000000"/>
                <w:sz w:val="10"/>
              </w:rPr>
              <w:t>(31)</w:t>
            </w:r>
          </w:p>
        </w:tc>
        <w:tc>
          <w:tcPr>
            <w:tcW w:w="346"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46"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46"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781"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Lato;sans-serif" w:hAnsi="Lato;sans-serif"/>
                <w:b w:val="false"/>
                <w:color w:val="000000"/>
                <w:sz w:val="16"/>
              </w:rPr>
            </w:pPr>
            <w:r>
              <w:rPr>
                <w:rFonts w:ascii="Lato;sans-serif" w:hAnsi="Lato;sans-serif"/>
                <w:b w:val="false"/>
                <w:color w:val="000000"/>
                <w:sz w:val="16"/>
              </w:rPr>
              <w:t>620</w:t>
            </w:r>
          </w:p>
        </w:tc>
        <w:tc>
          <w:tcPr>
            <w:tcW w:w="931"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Lato;sans-serif" w:hAnsi="Lato;sans-serif"/>
                <w:b w:val="false"/>
                <w:color w:val="000000"/>
                <w:sz w:val="16"/>
              </w:rPr>
            </w:pPr>
            <w:r>
              <w:rPr>
                <w:rFonts w:ascii="Lato;sans-serif" w:hAnsi="Lato;sans-serif"/>
                <w:b w:val="false"/>
                <w:color w:val="000000"/>
                <w:sz w:val="16"/>
              </w:rPr>
              <w:t>6,305</w:t>
            </w:r>
          </w:p>
        </w:tc>
        <w:tc>
          <w:tcPr>
            <w:tcW w:w="781"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976"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r>
    </w:tbl>
    <w:p>
      <w:pPr>
        <w:pStyle w:val="TextBody"/>
        <w:bidi w:val="0"/>
        <w:spacing w:lineRule="auto" w:line="333"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__________________</w:t>
      </w:r>
    </w:p>
    <w:p>
      <w:pPr>
        <w:pStyle w:val="TextBody"/>
        <w:bidi w:val="0"/>
        <w:spacing w:lineRule="auto" w:line="288" w:before="0" w:after="0"/>
        <w:ind w:left="0" w:right="0" w:hanging="360"/>
        <w:jc w:val="both"/>
        <w:rPr/>
      </w:pPr>
      <w:r>
        <w:rPr>
          <w:rFonts w:ascii="Lato;sans-serif" w:hAnsi="Lato;sans-serif"/>
          <w:b w:val="false"/>
          <w:color w:val="000000"/>
          <w:sz w:val="16"/>
        </w:rPr>
        <w:t>(1)Represents a one-time, premium-priced performance-based stock option granted to Mr. Schuck on November 26, 2025 to purchase up to 9,678,000 shares of common stock at $13.54 per share (140% of fair market value on the grant date), expiring November 26, 2035. The award is divided into six tranches, each subject to stock price, adjusted free cash flow per share, and relative TSR performance conditions, as well as service-based vesting in three equal installments on each of the third, fourth, and fifth anniversaries of the grant date. No portion of the award is eligible to vest unless and until the applicable performance goals have been achieved. For a more detailed description of the award terms, see the section entitled “</w:t>
      </w:r>
      <w:r>
        <w:rPr>
          <w:rFonts w:ascii="Lato;sans-serif" w:hAnsi="Lato;sans-serif"/>
          <w:b w:val="false"/>
          <w:i/>
          <w:color w:val="000000"/>
          <w:sz w:val="16"/>
        </w:rPr>
        <w:t>Executive Compensation Discussion and Analysis—Components of our Annual Compensation Program and 2025 Compensation—2025 CEO Premium-Priced Performance Option.</w:t>
      </w:r>
      <w:r>
        <w:rPr>
          <w:rFonts w:ascii="Lato;sans-serif" w:hAnsi="Lato;sans-serif"/>
          <w:b w:val="false"/>
          <w:color w:val="000000"/>
          <w:sz w:val="16"/>
        </w:rPr>
        <w:t>"</w:t>
      </w:r>
    </w:p>
    <w:p>
      <w:pPr>
        <w:pStyle w:val="TextBody"/>
        <w:bidi w:val="0"/>
        <w:spacing w:lineRule="auto" w:line="288" w:before="0" w:after="0"/>
        <w:ind w:left="0" w:right="0" w:hanging="360"/>
        <w:jc w:val="both"/>
        <w:rPr>
          <w:rFonts w:ascii="Lato;sans-serif" w:hAnsi="Lato;sans-serif"/>
          <w:b w:val="false"/>
          <w:color w:val="000000"/>
          <w:sz w:val="16"/>
        </w:rPr>
      </w:pPr>
      <w:r>
        <w:rPr>
          <w:rFonts w:ascii="Lato;sans-serif" w:hAnsi="Lato;sans-serif"/>
          <w:b w:val="false"/>
          <w:color w:val="000000"/>
          <w:sz w:val="16"/>
        </w:rPr>
        <w:t>(2)Values determined based on the December 31, 2025 closing market price of our common stock, which was $10.17 per share. In the case of each of the FCFps PSUs and Market-Based PSUs the actual payout values depend upon, among other things, achievement of (x) in the case of FCFps PSUs, the performance targets in each performance year based on the adjusted free cash flow per share and (y) in the case of Market-Based PSUs, achievement of certain stock price performance targets in each nine-month performance interval based on the average 30-day closing price of the Company’s common stock, and in each case, the continued service by the participant through the date of determination of achievement.</w:t>
      </w:r>
    </w:p>
    <w:p>
      <w:pPr>
        <w:pStyle w:val="TextBody"/>
        <w:bidi w:val="0"/>
        <w:spacing w:lineRule="auto" w:line="288" w:before="0" w:after="0"/>
        <w:ind w:left="0" w:right="0" w:hanging="360"/>
        <w:jc w:val="both"/>
        <w:rPr>
          <w:rFonts w:ascii="Lato;sans-serif" w:hAnsi="Lato;sans-serif"/>
          <w:b w:val="false"/>
          <w:color w:val="000000"/>
          <w:sz w:val="16"/>
        </w:rPr>
      </w:pPr>
      <w:r>
        <w:rPr>
          <w:rFonts w:ascii="Lato;sans-serif" w:hAnsi="Lato;sans-serif"/>
          <w:b w:val="false"/>
          <w:color w:val="000000"/>
          <w:sz w:val="16"/>
        </w:rPr>
        <w:t>(3)Vests as follows: in six equal tranches of 1,613,000 shares, with one-third of each tranche vesting on each of the third, fourth, and fifth anniversaries of the November 26, 2025 grant date, subject to Mr. Schuck's continued service as Chief Executive Officer or Executive Chairman and the achievement of the applicable stock price and free cash flow per share milestones for each tranche.</w:t>
      </w:r>
    </w:p>
    <w:p>
      <w:pPr>
        <w:pStyle w:val="TextBody"/>
        <w:bidi w:val="0"/>
        <w:spacing w:lineRule="auto" w:line="288" w:before="0" w:after="0"/>
        <w:ind w:left="0" w:right="0" w:hanging="360"/>
        <w:jc w:val="both"/>
        <w:rPr>
          <w:rFonts w:ascii="Lato;sans-serif" w:hAnsi="Lato;sans-serif"/>
          <w:b w:val="false"/>
          <w:color w:val="000000"/>
          <w:sz w:val="16"/>
        </w:rPr>
      </w:pPr>
      <w:r>
        <w:rPr>
          <w:rFonts w:ascii="Lato;sans-serif" w:hAnsi="Lato;sans-serif"/>
          <w:b w:val="false"/>
          <w:color w:val="000000"/>
          <w:sz w:val="16"/>
        </w:rPr>
        <w:t>(4)Vests as follows: 20% vesting in year 1, 30% vesting in year 2 and 50% vesting in year 3, in each case, subject to achievement of performance targets    .</w:t>
      </w:r>
    </w:p>
    <w:p>
      <w:pPr>
        <w:pStyle w:val="TextBody"/>
        <w:bidi w:val="0"/>
        <w:spacing w:lineRule="auto" w:line="288" w:before="0" w:after="0"/>
        <w:ind w:left="0" w:right="0" w:hanging="360"/>
        <w:jc w:val="both"/>
        <w:rPr>
          <w:rFonts w:ascii="Lato;sans-serif" w:hAnsi="Lato;sans-serif"/>
          <w:b w:val="false"/>
          <w:color w:val="000000"/>
          <w:sz w:val="16"/>
        </w:rPr>
      </w:pPr>
      <w:r>
        <w:rPr>
          <w:rFonts w:ascii="Lato;sans-serif" w:hAnsi="Lato;sans-serif"/>
          <w:b w:val="false"/>
          <w:color w:val="000000"/>
          <w:sz w:val="16"/>
        </w:rPr>
        <w:t>(5)Vests as follows: 25% vesting on each of January 1, 2025, October 1, 2025, July 1, 2026 and April 1, 2027 (such dates corresponding to the approximate nine month anniversary of the original grant date), in each case, subject to the achievement of applicable stock price thresholds.</w:t>
      </w:r>
    </w:p>
    <w:p>
      <w:pPr>
        <w:pStyle w:val="TextBody"/>
        <w:bidi w:val="0"/>
        <w:spacing w:lineRule="auto" w:line="288" w:before="0" w:after="0"/>
        <w:ind w:left="0" w:right="0" w:hanging="360"/>
        <w:jc w:val="both"/>
        <w:rPr>
          <w:rFonts w:ascii="Lato;sans-serif" w:hAnsi="Lato;sans-serif"/>
          <w:b w:val="false"/>
          <w:color w:val="000000"/>
          <w:sz w:val="16"/>
        </w:rPr>
      </w:pPr>
      <w:r>
        <w:rPr>
          <w:rFonts w:ascii="Lato;sans-serif" w:hAnsi="Lato;sans-serif"/>
          <w:b w:val="false"/>
          <w:color w:val="000000"/>
          <w:sz w:val="16"/>
        </w:rPr>
        <w:t>(6)Vests as follows: 25% vesting on April 1, 2025, and the remainder vesting in equal quarterly installments during the 36 months following April 1, 2025.</w:t>
      </w:r>
    </w:p>
    <w:p>
      <w:pPr>
        <w:pStyle w:val="TextBody"/>
        <w:bidi w:val="0"/>
        <w:spacing w:lineRule="auto" w:line="288" w:before="0" w:after="0"/>
        <w:ind w:left="0" w:right="0" w:hanging="360"/>
        <w:jc w:val="both"/>
        <w:rPr>
          <w:rFonts w:ascii="Lato;sans-serif" w:hAnsi="Lato;sans-serif"/>
          <w:b w:val="false"/>
          <w:color w:val="000000"/>
          <w:sz w:val="16"/>
        </w:rPr>
      </w:pPr>
      <w:r>
        <w:rPr>
          <w:rFonts w:ascii="Lato;sans-serif" w:hAnsi="Lato;sans-serif"/>
          <w:b w:val="false"/>
          <w:color w:val="000000"/>
          <w:sz w:val="16"/>
        </w:rPr>
        <w:t>(7)On February 13, 2025, the terms of Mr. Schuck’s time-based RSUs, FCFps PSUs and Market-Based PSUs were amended to include a delay mechanism, such that vesting would not occur until the later of (x) 45 days or (y) until the expiration of any HSR Act waiting period, in each case, in the event that Mr. Schuck’s economic ownership would have otherwise crossed a reporting threshold as a result of the vesting of any such award following the attainment of any time or performance condition, as applicable.</w:t>
      </w:r>
    </w:p>
    <w:p>
      <w:pPr>
        <w:pStyle w:val="TextBody"/>
        <w:bidi w:val="0"/>
        <w:spacing w:lineRule="auto" w:line="288" w:before="0" w:after="0"/>
        <w:ind w:left="0" w:right="0" w:hanging="360"/>
        <w:jc w:val="both"/>
        <w:rPr>
          <w:rFonts w:ascii="Lato;sans-serif" w:hAnsi="Lato;sans-serif"/>
          <w:b w:val="false"/>
          <w:color w:val="000000"/>
          <w:sz w:val="16"/>
        </w:rPr>
      </w:pPr>
      <w:r>
        <w:rPr>
          <w:rFonts w:ascii="Lato;sans-serif" w:hAnsi="Lato;sans-serif"/>
          <w:b w:val="false"/>
          <w:color w:val="000000"/>
          <w:sz w:val="16"/>
        </w:rPr>
        <w:t>(8)Vests as follows: 33% vesting in year 1, 33% vesting in year 2 and 33% vesting in year 3, in each case, subject to achievement of performance targets    .</w:t>
      </w:r>
    </w:p>
    <w:p>
      <w:pPr>
        <w:pStyle w:val="TextBody"/>
        <w:bidi w:val="0"/>
        <w:spacing w:lineRule="auto" w:line="288" w:before="0" w:after="0"/>
        <w:ind w:left="0" w:right="0" w:hanging="360"/>
        <w:jc w:val="both"/>
        <w:rPr>
          <w:rFonts w:ascii="Lato;sans-serif" w:hAnsi="Lato;sans-serif"/>
          <w:b w:val="false"/>
          <w:color w:val="000000"/>
          <w:sz w:val="16"/>
        </w:rPr>
      </w:pPr>
      <w:r>
        <w:rPr>
          <w:rFonts w:ascii="Lato;sans-serif" w:hAnsi="Lato;sans-serif"/>
          <w:b w:val="false"/>
          <w:color w:val="000000"/>
          <w:sz w:val="16"/>
        </w:rPr>
        <w:t>(9)Vests as follows: 33% on August 1, 2026, and the remainder of the award in equal quarterly installments during the 24 months following August 1, 2026.</w:t>
      </w:r>
    </w:p>
    <w:p>
      <w:pPr>
        <w:pStyle w:val="TextBody"/>
        <w:bidi w:val="0"/>
        <w:spacing w:lineRule="auto" w:line="288" w:before="0" w:after="0"/>
        <w:ind w:left="0" w:right="0" w:hanging="360"/>
        <w:jc w:val="both"/>
        <w:rPr>
          <w:rFonts w:ascii="Lato;sans-serif" w:hAnsi="Lato;sans-serif"/>
          <w:b w:val="false"/>
          <w:color w:val="000000"/>
          <w:sz w:val="16"/>
        </w:rPr>
      </w:pPr>
      <w:r>
        <w:rPr>
          <w:rFonts w:ascii="Lato;sans-serif" w:hAnsi="Lato;sans-serif"/>
          <w:b w:val="false"/>
          <w:color w:val="000000"/>
          <w:sz w:val="16"/>
        </w:rPr>
        <w:t>(10)Vests as follows: 33% vesting in year 1, 33% vesting in year 2 and 33% vesting in year 3, in each case, subject to achievement of performance targets    .</w:t>
      </w:r>
    </w:p>
    <w:p>
      <w:pPr>
        <w:pStyle w:val="TextBody"/>
        <w:bidi w:val="0"/>
        <w:spacing w:lineRule="auto" w:line="288" w:before="0" w:after="0"/>
        <w:ind w:left="0" w:right="0" w:hanging="360"/>
        <w:jc w:val="both"/>
        <w:rPr>
          <w:rFonts w:ascii="Lato;sans-serif" w:hAnsi="Lato;sans-serif"/>
          <w:b w:val="false"/>
          <w:color w:val="000000"/>
          <w:sz w:val="16"/>
        </w:rPr>
      </w:pPr>
      <w:r>
        <w:rPr>
          <w:rFonts w:ascii="Lato;sans-serif" w:hAnsi="Lato;sans-serif"/>
          <w:b w:val="false"/>
          <w:color w:val="000000"/>
          <w:sz w:val="16"/>
        </w:rPr>
        <w:t>(11)Vests as follows: 33% on April 1, 2026, and the remainder of the award in equal quarterly installments during the 24 months following April 1, 2026.</w:t>
      </w:r>
    </w:p>
    <w:p>
      <w:pPr>
        <w:pStyle w:val="TextBody"/>
        <w:bidi w:val="0"/>
        <w:spacing w:lineRule="auto" w:line="288" w:before="0" w:after="0"/>
        <w:ind w:left="0" w:right="0" w:hanging="360"/>
        <w:jc w:val="both"/>
        <w:rPr>
          <w:rFonts w:ascii="Lato;sans-serif" w:hAnsi="Lato;sans-serif"/>
          <w:b w:val="false"/>
          <w:color w:val="000000"/>
          <w:sz w:val="16"/>
        </w:rPr>
      </w:pPr>
      <w:r>
        <w:rPr>
          <w:rFonts w:ascii="Lato;sans-serif" w:hAnsi="Lato;sans-serif"/>
          <w:b w:val="false"/>
          <w:color w:val="000000"/>
          <w:sz w:val="16"/>
        </w:rPr>
        <w:t>(12)Vests as follows: 25% on October 1, 2025, and the remainder of the award in equal quarterly installments during the 36 months following October 1, 2025.</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3">
                <wp:simplePos x="0" y="0"/>
                <wp:positionH relativeFrom="character">
                  <wp:align>left</wp:align>
                </wp:positionH>
                <wp:positionV relativeFrom="line">
                  <wp:posOffset>635</wp:posOffset>
                </wp:positionV>
                <wp:extent cx="6480175" cy="352425"/>
                <wp:effectExtent l="0" t="0" r="0" b="0"/>
                <wp:wrapNone/>
                <wp:docPr id="89" name="Frame73"/>
                <a:graphic xmlns:a="http://schemas.openxmlformats.org/drawingml/2006/main">
                  <a:graphicData uri="http://schemas.microsoft.com/office/word/2010/wordprocessingShape">
                    <wps:wsp>
                      <wps:cNvSpPr txBox="1"/>
                      <wps:spPr>
                        <a:xfrm>
                          <a:off x="0" y="0"/>
                          <a:ext cx="6480175" cy="352425"/>
                        </a:xfrm>
                        <a:prstGeom prst="rect"/>
                        <a:solidFill>
                          <a:srgbClr val="FFFFFF"/>
                        </a:solidFill>
                      </wps:spPr>
                      <wps:txbx>
                        <w:txbxContent>
                          <w:p>
                            <w:pPr>
                              <w:pStyle w:val="TextBody"/>
                              <w:bidi w:val="0"/>
                              <w:spacing w:lineRule="auto" w:line="288" w:before="0" w:after="0"/>
                              <w:jc w:val="center"/>
                              <w:rPr>
                                <w:rFonts w:ascii="Lato;sans-serif" w:hAnsi="Lato;sans-serif"/>
                                <w:b w:val="false"/>
                                <w:color w:val="000000"/>
                                <w:sz w:val="20"/>
                              </w:rPr>
                            </w:pPr>
                            <w:r>
                              <w:rPr>
                                <w:rFonts w:ascii="Lato;sans-serif" w:hAnsi="Lato;sans-serif"/>
                                <w:b w:val="false"/>
                                <w:color w:val="000000"/>
                                <w:sz w:val="20"/>
                              </w:rPr>
                              <w:t>67</w:t>
                            </w:r>
                          </w:p>
                          <w:p>
                            <w:pPr>
                              <w:pStyle w:val="TextBody"/>
                              <w:bidi w:val="0"/>
                              <w:spacing w:lineRule="auto" w:line="288" w:before="0" w:after="0"/>
                              <w:jc w:val="left"/>
                              <w:rPr>
                                <w:color w:val="000000"/>
                              </w:rPr>
                            </w:pPr>
                            <w:r>
                              <w:rPr>
                                <w:color w:val="000000"/>
                              </w:rPr>
                              <w:t>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Lato;sans-serif" w:hAnsi="Lato;sans-serif"/>
                          <w:b w:val="false"/>
                          <w:color w:val="000000"/>
                          <w:sz w:val="20"/>
                        </w:rPr>
                      </w:pPr>
                      <w:r>
                        <w:rPr>
                          <w:rFonts w:ascii="Lato;sans-serif" w:hAnsi="Lato;sans-serif"/>
                          <w:b w:val="false"/>
                          <w:color w:val="000000"/>
                          <w:sz w:val="20"/>
                        </w:rPr>
                        <w:t>67</w:t>
                      </w:r>
                    </w:p>
                    <w:p>
                      <w:pPr>
                        <w:pStyle w:val="TextBody"/>
                        <w:bidi w:val="0"/>
                        <w:spacing w:lineRule="auto" w:line="288" w:before="0" w:after="0"/>
                        <w:jc w:val="left"/>
                        <w:rPr>
                          <w:color w:val="000000"/>
                        </w:rPr>
                      </w:pPr>
                      <w:r>
                        <w:rPr>
                          <w:color w:val="000000"/>
                        </w:rPr>
                        <w:t>        </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ind w:left="0" w:right="0" w:hanging="360"/>
        <w:jc w:val="both"/>
        <w:rPr>
          <w:rFonts w:ascii="Lato;sans-serif" w:hAnsi="Lato;sans-serif"/>
          <w:b w:val="false"/>
          <w:color w:val="000000"/>
          <w:sz w:val="16"/>
        </w:rPr>
      </w:pPr>
      <w:r>
        <w:rPr>
          <w:rFonts w:ascii="Lato;sans-serif" w:hAnsi="Lato;sans-serif"/>
          <w:b w:val="false"/>
          <w:color w:val="000000"/>
          <w:sz w:val="16"/>
        </w:rPr>
        <w:t>(13)Vests as follows: 100% on August 1, 2026, which is the 12 month anniversary date on which Mr. O’Brien was appointed permanent Chief Financial Officer in accordance with the terms of the award.</w:t>
      </w:r>
    </w:p>
    <w:p>
      <w:pPr>
        <w:pStyle w:val="TextBody"/>
        <w:bidi w:val="0"/>
        <w:spacing w:lineRule="auto" w:line="288" w:before="0" w:after="0"/>
        <w:ind w:left="0" w:right="0" w:hanging="360"/>
        <w:jc w:val="both"/>
        <w:rPr>
          <w:rFonts w:ascii="Lato;sans-serif" w:hAnsi="Lato;sans-serif"/>
          <w:b w:val="false"/>
          <w:color w:val="000000"/>
          <w:sz w:val="16"/>
        </w:rPr>
      </w:pPr>
      <w:r>
        <w:rPr>
          <w:rFonts w:ascii="Lato;sans-serif" w:hAnsi="Lato;sans-serif"/>
          <w:b w:val="false"/>
          <w:color w:val="000000"/>
          <w:sz w:val="16"/>
        </w:rPr>
        <w:t>(14)Vests as follows: equal quarterly installments during the 36 months following November 1, 2024.</w:t>
      </w:r>
    </w:p>
    <w:p>
      <w:pPr>
        <w:pStyle w:val="TextBody"/>
        <w:bidi w:val="0"/>
        <w:spacing w:lineRule="auto" w:line="288" w:before="0" w:after="0"/>
        <w:ind w:left="0" w:right="0" w:hanging="360"/>
        <w:jc w:val="both"/>
        <w:rPr>
          <w:rFonts w:ascii="Lato;sans-serif" w:hAnsi="Lato;sans-serif"/>
          <w:b w:val="false"/>
          <w:color w:val="000000"/>
          <w:sz w:val="16"/>
        </w:rPr>
      </w:pPr>
      <w:r>
        <w:rPr>
          <w:rFonts w:ascii="Lato;sans-serif" w:hAnsi="Lato;sans-serif"/>
          <w:b w:val="false"/>
          <w:color w:val="000000"/>
          <w:sz w:val="16"/>
        </w:rPr>
        <w:t>(15)Vests as follows: equal quarterly installments during the 24 months following November 1, 2024.</w:t>
      </w:r>
    </w:p>
    <w:p>
      <w:pPr>
        <w:pStyle w:val="TextBody"/>
        <w:bidi w:val="0"/>
        <w:spacing w:lineRule="auto" w:line="288" w:before="0" w:after="0"/>
        <w:ind w:left="0" w:right="0" w:hanging="360"/>
        <w:jc w:val="both"/>
        <w:rPr>
          <w:rFonts w:ascii="Lato;sans-serif" w:hAnsi="Lato;sans-serif"/>
          <w:b w:val="false"/>
          <w:color w:val="000000"/>
          <w:sz w:val="16"/>
        </w:rPr>
      </w:pPr>
      <w:r>
        <w:rPr>
          <w:rFonts w:ascii="Lato;sans-serif" w:hAnsi="Lato;sans-serif"/>
          <w:b w:val="false"/>
          <w:color w:val="000000"/>
          <w:sz w:val="16"/>
        </w:rPr>
        <w:t>(16)Vests as follows: equal quarterly installments during the 36 months following October 1, 2024.</w:t>
      </w:r>
    </w:p>
    <w:p>
      <w:pPr>
        <w:pStyle w:val="TextBody"/>
        <w:bidi w:val="0"/>
        <w:spacing w:lineRule="auto" w:line="288" w:before="0" w:after="0"/>
        <w:ind w:left="0" w:right="0" w:hanging="360"/>
        <w:jc w:val="both"/>
        <w:rPr>
          <w:rFonts w:ascii="Lato;sans-serif" w:hAnsi="Lato;sans-serif"/>
          <w:b w:val="false"/>
          <w:color w:val="000000"/>
          <w:sz w:val="16"/>
        </w:rPr>
      </w:pPr>
      <w:r>
        <w:rPr>
          <w:rFonts w:ascii="Lato;sans-serif" w:hAnsi="Lato;sans-serif"/>
          <w:b w:val="false"/>
          <w:color w:val="000000"/>
          <w:sz w:val="16"/>
        </w:rPr>
        <w:t>(17)Vests as follows: equal quarterly installments during the 30 months following October 1, 2024.</w:t>
      </w:r>
    </w:p>
    <w:p>
      <w:pPr>
        <w:pStyle w:val="TextBody"/>
        <w:bidi w:val="0"/>
        <w:spacing w:lineRule="auto" w:line="288" w:before="0" w:after="0"/>
        <w:ind w:left="0" w:right="0" w:hanging="360"/>
        <w:jc w:val="both"/>
        <w:rPr>
          <w:rFonts w:ascii="Lato;sans-serif" w:hAnsi="Lato;sans-serif"/>
          <w:b w:val="false"/>
          <w:color w:val="000000"/>
          <w:sz w:val="16"/>
        </w:rPr>
      </w:pPr>
      <w:r>
        <w:rPr>
          <w:rFonts w:ascii="Lato;sans-serif" w:hAnsi="Lato;sans-serif"/>
          <w:b w:val="false"/>
          <w:color w:val="000000"/>
          <w:sz w:val="16"/>
        </w:rPr>
        <w:t>(18)Vests as follows: equal quarterly installments during the 27 months following October 1, 2024.</w:t>
      </w:r>
    </w:p>
    <w:p>
      <w:pPr>
        <w:pStyle w:val="TextBody"/>
        <w:bidi w:val="0"/>
        <w:spacing w:lineRule="auto" w:line="288" w:before="0" w:after="0"/>
        <w:ind w:left="0" w:right="0" w:hanging="360"/>
        <w:jc w:val="both"/>
        <w:rPr>
          <w:rFonts w:ascii="Lato;sans-serif" w:hAnsi="Lato;sans-serif"/>
          <w:b w:val="false"/>
          <w:color w:val="000000"/>
          <w:sz w:val="16"/>
        </w:rPr>
      </w:pPr>
      <w:r>
        <w:rPr>
          <w:rFonts w:ascii="Lato;sans-serif" w:hAnsi="Lato;sans-serif"/>
          <w:b w:val="false"/>
          <w:color w:val="000000"/>
          <w:sz w:val="16"/>
        </w:rPr>
        <w:t>(19)Vests as follows: equal quarterly installments during the 24 months following December 1, 2024.</w:t>
      </w:r>
    </w:p>
    <w:p>
      <w:pPr>
        <w:pStyle w:val="TextBody"/>
        <w:bidi w:val="0"/>
        <w:spacing w:lineRule="auto" w:line="288" w:before="0" w:after="0"/>
        <w:ind w:left="0" w:right="0" w:hanging="360"/>
        <w:jc w:val="both"/>
        <w:rPr>
          <w:rFonts w:ascii="Lato;sans-serif" w:hAnsi="Lato;sans-serif"/>
          <w:b w:val="false"/>
          <w:color w:val="000000"/>
          <w:sz w:val="16"/>
        </w:rPr>
      </w:pPr>
      <w:r>
        <w:rPr>
          <w:rFonts w:ascii="Lato;sans-serif" w:hAnsi="Lato;sans-serif"/>
          <w:b w:val="false"/>
          <w:color w:val="000000"/>
          <w:sz w:val="16"/>
        </w:rPr>
        <w:t>(20)Vests as follows: equal quarterly installments during the 21 months following December 1, 2024.</w:t>
      </w:r>
    </w:p>
    <w:p>
      <w:pPr>
        <w:pStyle w:val="TextBody"/>
        <w:bidi w:val="0"/>
        <w:spacing w:lineRule="auto" w:line="288" w:before="0" w:after="0"/>
        <w:ind w:left="0" w:right="0" w:hanging="360"/>
        <w:jc w:val="both"/>
        <w:rPr>
          <w:rFonts w:ascii="Lato;sans-serif" w:hAnsi="Lato;sans-serif"/>
          <w:b w:val="false"/>
          <w:color w:val="000000"/>
          <w:sz w:val="16"/>
        </w:rPr>
      </w:pPr>
      <w:r>
        <w:rPr>
          <w:rFonts w:ascii="Lato;sans-serif" w:hAnsi="Lato;sans-serif"/>
          <w:b w:val="false"/>
          <w:color w:val="000000"/>
          <w:sz w:val="16"/>
        </w:rPr>
        <w:t>(21)Vests as follows: equal quarterly installments during the 27 months following January 1, 2025.</w:t>
      </w:r>
    </w:p>
    <w:p>
      <w:pPr>
        <w:pStyle w:val="TextBody"/>
        <w:bidi w:val="0"/>
        <w:spacing w:lineRule="auto" w:line="288" w:before="0" w:after="0"/>
        <w:ind w:left="0" w:right="0" w:hanging="360"/>
        <w:jc w:val="both"/>
        <w:rPr>
          <w:rFonts w:ascii="Lato;sans-serif" w:hAnsi="Lato;sans-serif"/>
          <w:b w:val="false"/>
          <w:color w:val="000000"/>
          <w:sz w:val="16"/>
        </w:rPr>
      </w:pPr>
      <w:r>
        <w:rPr>
          <w:rFonts w:ascii="Lato;sans-serif" w:hAnsi="Lato;sans-serif"/>
          <w:b w:val="false"/>
          <w:color w:val="000000"/>
          <w:sz w:val="16"/>
        </w:rPr>
        <w:t>(22)Vests as follows: equal quarterly installments during the 21 months following January 1, 2025.</w:t>
      </w:r>
    </w:p>
    <w:p>
      <w:pPr>
        <w:pStyle w:val="TextBody"/>
        <w:bidi w:val="0"/>
        <w:spacing w:lineRule="auto" w:line="288" w:before="0" w:after="0"/>
        <w:ind w:left="0" w:right="0" w:hanging="360"/>
        <w:jc w:val="both"/>
        <w:rPr>
          <w:rFonts w:ascii="Lato;sans-serif" w:hAnsi="Lato;sans-serif"/>
          <w:b w:val="false"/>
          <w:color w:val="000000"/>
          <w:sz w:val="16"/>
        </w:rPr>
      </w:pPr>
      <w:r>
        <w:rPr>
          <w:rFonts w:ascii="Lato;sans-serif" w:hAnsi="Lato;sans-serif"/>
          <w:b w:val="false"/>
          <w:color w:val="000000"/>
          <w:sz w:val="16"/>
        </w:rPr>
        <w:t>(23)Vests as follows: equal quarterly installments during the 27 months following January 1, 2025.</w:t>
      </w:r>
    </w:p>
    <w:p>
      <w:pPr>
        <w:pStyle w:val="TextBody"/>
        <w:bidi w:val="0"/>
        <w:spacing w:lineRule="auto" w:line="288" w:before="0" w:after="0"/>
        <w:ind w:left="0" w:right="0" w:hanging="360"/>
        <w:jc w:val="both"/>
        <w:rPr>
          <w:rFonts w:ascii="Lato;sans-serif" w:hAnsi="Lato;sans-serif"/>
          <w:b w:val="false"/>
          <w:color w:val="000000"/>
          <w:sz w:val="16"/>
        </w:rPr>
      </w:pPr>
      <w:r>
        <w:rPr>
          <w:rFonts w:ascii="Lato;sans-serif" w:hAnsi="Lato;sans-serif"/>
          <w:b w:val="false"/>
          <w:color w:val="000000"/>
          <w:sz w:val="16"/>
        </w:rPr>
        <w:t>(24)Vests as follows: equal quarterly installments during the 21 months following December 1, 2024.</w:t>
      </w:r>
    </w:p>
    <w:p>
      <w:pPr>
        <w:pStyle w:val="TextBody"/>
        <w:bidi w:val="0"/>
        <w:spacing w:lineRule="auto" w:line="288" w:before="0" w:after="0"/>
        <w:ind w:left="0" w:right="0" w:hanging="360"/>
        <w:jc w:val="both"/>
        <w:rPr>
          <w:rFonts w:ascii="Lato;sans-serif" w:hAnsi="Lato;sans-serif"/>
          <w:b w:val="false"/>
          <w:color w:val="000000"/>
          <w:sz w:val="16"/>
        </w:rPr>
      </w:pPr>
      <w:r>
        <w:rPr>
          <w:rFonts w:ascii="Lato;sans-serif" w:hAnsi="Lato;sans-serif"/>
          <w:b w:val="false"/>
          <w:color w:val="000000"/>
          <w:sz w:val="16"/>
        </w:rPr>
        <w:t>(25)Vests as follows: equal quarterly installments during the 18 months following December 1, 2024.</w:t>
      </w:r>
    </w:p>
    <w:p>
      <w:pPr>
        <w:pStyle w:val="TextBody"/>
        <w:bidi w:val="0"/>
        <w:spacing w:lineRule="auto" w:line="288" w:before="0" w:after="0"/>
        <w:ind w:left="0" w:right="0" w:hanging="360"/>
        <w:jc w:val="both"/>
        <w:rPr>
          <w:rFonts w:ascii="Lato;sans-serif" w:hAnsi="Lato;sans-serif"/>
          <w:b w:val="false"/>
          <w:color w:val="000000"/>
          <w:sz w:val="16"/>
        </w:rPr>
      </w:pPr>
      <w:r>
        <w:rPr>
          <w:rFonts w:ascii="Lato;sans-serif" w:hAnsi="Lato;sans-serif"/>
          <w:b w:val="false"/>
          <w:color w:val="000000"/>
          <w:sz w:val="16"/>
        </w:rPr>
        <w:t>(26)Vests as follows: 25% on November 1, 2025, the remainder of the award in equal quarterly installments during the 36 months following November 1, 2025.</w:t>
      </w:r>
    </w:p>
    <w:p>
      <w:pPr>
        <w:pStyle w:val="TextBody"/>
        <w:bidi w:val="0"/>
        <w:spacing w:lineRule="auto" w:line="288" w:before="0" w:after="0"/>
        <w:ind w:left="0" w:right="0" w:hanging="360"/>
        <w:jc w:val="both"/>
        <w:rPr>
          <w:rFonts w:ascii="Lato;sans-serif" w:hAnsi="Lato;sans-serif"/>
          <w:b w:val="false"/>
          <w:color w:val="000000"/>
          <w:sz w:val="16"/>
        </w:rPr>
      </w:pPr>
      <w:r>
        <w:rPr>
          <w:rFonts w:ascii="Lato;sans-serif" w:hAnsi="Lato;sans-serif"/>
          <w:b w:val="false"/>
          <w:color w:val="000000"/>
          <w:sz w:val="16"/>
        </w:rPr>
        <w:t>(27)Vests as follows: 25% on April 1, 2025, the remainder of the award in equal quarterly installments during the 36 months following April 1, 2025.</w:t>
      </w:r>
    </w:p>
    <w:p>
      <w:pPr>
        <w:pStyle w:val="TextBody"/>
        <w:bidi w:val="0"/>
        <w:spacing w:lineRule="auto" w:line="288" w:before="0" w:after="0"/>
        <w:ind w:left="0" w:right="0" w:hanging="360"/>
        <w:jc w:val="both"/>
        <w:rPr>
          <w:rFonts w:ascii="Lato;sans-serif" w:hAnsi="Lato;sans-serif"/>
          <w:b w:val="false"/>
          <w:color w:val="000000"/>
          <w:sz w:val="16"/>
        </w:rPr>
      </w:pPr>
      <w:r>
        <w:rPr>
          <w:rFonts w:ascii="Lato;sans-serif" w:hAnsi="Lato;sans-serif"/>
          <w:b w:val="false"/>
          <w:color w:val="000000"/>
          <w:sz w:val="16"/>
        </w:rPr>
        <w:t>(28)Vests as follows: 25% on April 1, 2025, the remainder of the award in equal quarterly installments during the 36 months following April 1, 2025.</w:t>
      </w:r>
    </w:p>
    <w:p>
      <w:pPr>
        <w:pStyle w:val="TextBody"/>
        <w:bidi w:val="0"/>
        <w:spacing w:lineRule="auto" w:line="288" w:before="0" w:after="0"/>
        <w:ind w:left="0" w:right="0" w:hanging="360"/>
        <w:jc w:val="both"/>
        <w:rPr>
          <w:rFonts w:ascii="Lato;sans-serif" w:hAnsi="Lato;sans-serif"/>
          <w:b w:val="false"/>
          <w:color w:val="000000"/>
          <w:sz w:val="16"/>
        </w:rPr>
      </w:pPr>
      <w:r>
        <w:rPr>
          <w:rFonts w:ascii="Lato;sans-serif" w:hAnsi="Lato;sans-serif"/>
          <w:b w:val="false"/>
          <w:color w:val="000000"/>
          <w:sz w:val="16"/>
        </w:rPr>
        <w:t>(29)Vests as follows: equal quarterly installments during the 33 months following January 1, 2025.</w:t>
      </w:r>
    </w:p>
    <w:p>
      <w:pPr>
        <w:pStyle w:val="TextBody"/>
        <w:bidi w:val="0"/>
        <w:spacing w:lineRule="auto" w:line="288" w:before="0" w:after="0"/>
        <w:ind w:left="0" w:right="0" w:hanging="360"/>
        <w:jc w:val="both"/>
        <w:rPr>
          <w:rFonts w:ascii="Lato;sans-serif" w:hAnsi="Lato;sans-serif"/>
          <w:b w:val="false"/>
          <w:color w:val="000000"/>
          <w:sz w:val="16"/>
        </w:rPr>
      </w:pPr>
      <w:r>
        <w:rPr>
          <w:rFonts w:ascii="Lato;sans-serif" w:hAnsi="Lato;sans-serif"/>
          <w:b w:val="false"/>
          <w:color w:val="000000"/>
          <w:sz w:val="16"/>
        </w:rPr>
        <w:t>(30)Vests as follows: equal quarterly installments during the 27 months following January 1, 2025.</w:t>
      </w:r>
    </w:p>
    <w:p>
      <w:pPr>
        <w:pStyle w:val="TextBody"/>
        <w:bidi w:val="0"/>
        <w:spacing w:lineRule="auto" w:line="288" w:before="0" w:after="0"/>
        <w:ind w:left="0" w:right="0" w:hanging="360"/>
        <w:jc w:val="both"/>
        <w:rPr>
          <w:rFonts w:ascii="Lato;sans-serif" w:hAnsi="Lato;sans-serif"/>
          <w:b w:val="false"/>
          <w:color w:val="000000"/>
          <w:sz w:val="16"/>
        </w:rPr>
      </w:pPr>
      <w:r>
        <w:rPr>
          <w:rFonts w:ascii="Lato;sans-serif" w:hAnsi="Lato;sans-serif"/>
          <w:b w:val="false"/>
          <w:color w:val="000000"/>
          <w:sz w:val="16"/>
        </w:rPr>
        <w:t>(31)Vests as follows: equal quarterly installments during the 21 months following December 1, 2024.</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333" w:before="300" w:after="180"/>
        <w:jc w:val="left"/>
        <w:rPr>
          <w:rFonts w:ascii="Lato;sans-serif" w:hAnsi="Lato;sans-serif"/>
          <w:b/>
          <w:color w:val="000000"/>
          <w:sz w:val="20"/>
        </w:rPr>
      </w:pPr>
      <w:r>
        <w:rPr>
          <w:rFonts w:ascii="Lato;sans-serif" w:hAnsi="Lato;sans-serif"/>
          <w:b/>
          <w:color w:val="000000"/>
          <w:sz w:val="20"/>
        </w:rPr>
        <w:t>Option Exercises and Stock Vested</w:t>
      </w:r>
    </w:p>
    <w:p>
      <w:pPr>
        <w:pStyle w:val="TextBody"/>
        <w:bidi w:val="0"/>
        <w:spacing w:lineRule="auto" w:line="288" w:before="180" w:after="180"/>
        <w:jc w:val="both"/>
        <w:rPr>
          <w:rFonts w:ascii="Lato;sans-serif" w:hAnsi="Lato;sans-serif"/>
          <w:b w:val="false"/>
          <w:color w:val="000000"/>
          <w:sz w:val="20"/>
        </w:rPr>
      </w:pPr>
      <w:r>
        <w:rPr>
          <w:rFonts w:ascii="Lato;sans-serif" w:hAnsi="Lato;sans-serif"/>
          <w:b w:val="false"/>
          <w:color w:val="000000"/>
          <w:sz w:val="20"/>
        </w:rPr>
        <w:t>The following table shows for the fiscal year ended December 31, 2025, certain information regarding option exercises and stock vested during the fiscal year with respect to our NEOs:</w:t>
      </w:r>
    </w:p>
    <w:tbl>
      <w:tblPr>
        <w:tblW w:w="10205" w:type="dxa"/>
        <w:jc w:val="left"/>
        <w:tblInd w:w="0" w:type="dxa"/>
        <w:tblLayout w:type="fixed"/>
        <w:tblCellMar>
          <w:top w:w="28" w:type="dxa"/>
          <w:left w:w="28" w:type="dxa"/>
          <w:bottom w:w="28" w:type="dxa"/>
          <w:right w:w="28" w:type="dxa"/>
        </w:tblCellMar>
      </w:tblPr>
      <w:tblGrid>
        <w:gridCol w:w="557"/>
        <w:gridCol w:w="399"/>
        <w:gridCol w:w="404"/>
        <w:gridCol w:w="721"/>
        <w:gridCol w:w="721"/>
        <w:gridCol w:w="724"/>
        <w:gridCol w:w="130"/>
        <w:gridCol w:w="130"/>
        <w:gridCol w:w="130"/>
        <w:gridCol w:w="553"/>
        <w:gridCol w:w="553"/>
        <w:gridCol w:w="555"/>
        <w:gridCol w:w="109"/>
        <w:gridCol w:w="109"/>
        <w:gridCol w:w="109"/>
        <w:gridCol w:w="714"/>
        <w:gridCol w:w="714"/>
        <w:gridCol w:w="716"/>
        <w:gridCol w:w="124"/>
        <w:gridCol w:w="124"/>
        <w:gridCol w:w="124"/>
        <w:gridCol w:w="545"/>
        <w:gridCol w:w="508"/>
        <w:gridCol w:w="732"/>
      </w:tblGrid>
      <w:tr>
        <w:trPr/>
        <w:tc>
          <w:tcPr>
            <w:tcW w:w="557"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724"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553" w:type="dxa"/>
            <w:tcBorders/>
            <w:vAlign w:val="center"/>
          </w:tcPr>
          <w:p>
            <w:pPr>
              <w:pStyle w:val="TableContents"/>
              <w:bidi w:val="0"/>
              <w:spacing w:before="0" w:after="283"/>
              <w:jc w:val="left"/>
              <w:rPr>
                <w:sz w:val="4"/>
                <w:szCs w:val="4"/>
              </w:rPr>
            </w:pPr>
            <w:r>
              <w:rPr>
                <w:sz w:val="4"/>
                <w:szCs w:val="4"/>
              </w:rPr>
            </w:r>
          </w:p>
        </w:tc>
        <w:tc>
          <w:tcPr>
            <w:tcW w:w="553" w:type="dxa"/>
            <w:tcBorders/>
            <w:vAlign w:val="center"/>
          </w:tcPr>
          <w:p>
            <w:pPr>
              <w:pStyle w:val="TableContents"/>
              <w:bidi w:val="0"/>
              <w:spacing w:before="0" w:after="283"/>
              <w:jc w:val="left"/>
              <w:rPr>
                <w:sz w:val="4"/>
                <w:szCs w:val="4"/>
              </w:rPr>
            </w:pPr>
            <w:r>
              <w:rPr>
                <w:sz w:val="4"/>
                <w:szCs w:val="4"/>
              </w:rPr>
            </w:r>
          </w:p>
        </w:tc>
        <w:tc>
          <w:tcPr>
            <w:tcW w:w="5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14" w:type="dxa"/>
            <w:tcBorders/>
            <w:vAlign w:val="center"/>
          </w:tcPr>
          <w:p>
            <w:pPr>
              <w:pStyle w:val="TableContents"/>
              <w:bidi w:val="0"/>
              <w:spacing w:before="0" w:after="283"/>
              <w:jc w:val="left"/>
              <w:rPr>
                <w:sz w:val="4"/>
                <w:szCs w:val="4"/>
              </w:rPr>
            </w:pPr>
            <w:r>
              <w:rPr>
                <w:sz w:val="4"/>
                <w:szCs w:val="4"/>
              </w:rPr>
            </w:r>
          </w:p>
        </w:tc>
        <w:tc>
          <w:tcPr>
            <w:tcW w:w="714"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545" w:type="dxa"/>
            <w:tcBorders/>
            <w:vAlign w:val="center"/>
          </w:tcPr>
          <w:p>
            <w:pPr>
              <w:pStyle w:val="TableContents"/>
              <w:bidi w:val="0"/>
              <w:spacing w:before="0" w:after="283"/>
              <w:jc w:val="left"/>
              <w:rPr>
                <w:sz w:val="4"/>
                <w:szCs w:val="4"/>
              </w:rPr>
            </w:pPr>
            <w:r>
              <w:rPr>
                <w:sz w:val="4"/>
                <w:szCs w:val="4"/>
              </w:rPr>
            </w:r>
          </w:p>
        </w:tc>
        <w:tc>
          <w:tcPr>
            <w:tcW w:w="508" w:type="dxa"/>
            <w:tcBorders/>
            <w:vAlign w:val="center"/>
          </w:tcPr>
          <w:p>
            <w:pPr>
              <w:pStyle w:val="TableContents"/>
              <w:bidi w:val="0"/>
              <w:spacing w:before="0" w:after="283"/>
              <w:jc w:val="left"/>
              <w:rPr>
                <w:sz w:val="4"/>
                <w:szCs w:val="4"/>
              </w:rPr>
            </w:pPr>
            <w:r>
              <w:rPr>
                <w:sz w:val="4"/>
                <w:szCs w:val="4"/>
              </w:rPr>
            </w:r>
          </w:p>
        </w:tc>
        <w:tc>
          <w:tcPr>
            <w:tcW w:w="732" w:type="dxa"/>
            <w:tcBorders/>
            <w:vAlign w:val="center"/>
          </w:tcPr>
          <w:p>
            <w:pPr>
              <w:pStyle w:val="TableContents"/>
              <w:bidi w:val="0"/>
              <w:spacing w:before="0" w:after="283"/>
              <w:jc w:val="left"/>
              <w:rPr>
                <w:sz w:val="4"/>
                <w:szCs w:val="4"/>
              </w:rPr>
            </w:pPr>
            <w:r>
              <w:rPr>
                <w:sz w:val="4"/>
                <w:szCs w:val="4"/>
              </w:rPr>
            </w:r>
          </w:p>
        </w:tc>
      </w:tr>
      <w:tr>
        <w:trPr/>
        <w:tc>
          <w:tcPr>
            <w:tcW w:w="1360" w:type="dxa"/>
            <w:gridSpan w:val="3"/>
            <w:tcBorders/>
            <w:shd w:fill="F4423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7" w:type="dxa"/>
            <w:gridSpan w:val="9"/>
            <w:tcBorders/>
            <w:shd w:fill="F44238" w:val="clear"/>
            <w:tcMar>
              <w:top w:w="0" w:type="dxa"/>
              <w:left w:w="0" w:type="dxa"/>
              <w:bottom w:w="0" w:type="dxa"/>
              <w:right w:w="0" w:type="dxa"/>
            </w:tcMar>
            <w:vAlign w:val="center"/>
          </w:tcPr>
          <w:p>
            <w:pPr>
              <w:pStyle w:val="TableContents"/>
              <w:bidi w:val="0"/>
              <w:spacing w:lineRule="auto" w:line="240" w:before="0" w:after="283"/>
              <w:jc w:val="center"/>
              <w:rPr>
                <w:rFonts w:ascii="Lato;sans-serif" w:hAnsi="Lato;sans-serif"/>
                <w:b/>
                <w:color w:val="FFFFFF"/>
                <w:sz w:val="16"/>
              </w:rPr>
            </w:pPr>
            <w:r>
              <w:rPr>
                <w:rFonts w:ascii="Lato;sans-serif" w:hAnsi="Lato;sans-serif"/>
                <w:b/>
                <w:color w:val="FFFFFF"/>
                <w:sz w:val="16"/>
              </w:rPr>
              <w:t>Option Awards</w:t>
            </w:r>
          </w:p>
        </w:tc>
        <w:tc>
          <w:tcPr>
            <w:tcW w:w="327" w:type="dxa"/>
            <w:gridSpan w:val="3"/>
            <w:tcBorders/>
            <w:shd w:fill="F4423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01" w:type="dxa"/>
            <w:gridSpan w:val="9"/>
            <w:tcBorders/>
            <w:shd w:fill="F44238" w:val="clear"/>
            <w:tcMar>
              <w:top w:w="0" w:type="dxa"/>
              <w:left w:w="0" w:type="dxa"/>
              <w:bottom w:w="0" w:type="dxa"/>
              <w:right w:w="0" w:type="dxa"/>
            </w:tcMar>
            <w:vAlign w:val="center"/>
          </w:tcPr>
          <w:p>
            <w:pPr>
              <w:pStyle w:val="TableContents"/>
              <w:bidi w:val="0"/>
              <w:spacing w:lineRule="auto" w:line="240" w:before="0" w:after="283"/>
              <w:jc w:val="center"/>
              <w:rPr>
                <w:rFonts w:ascii="Lato;sans-serif" w:hAnsi="Lato;sans-serif"/>
                <w:b/>
                <w:color w:val="FFFFFF"/>
                <w:sz w:val="16"/>
              </w:rPr>
            </w:pPr>
            <w:r>
              <w:rPr>
                <w:rFonts w:ascii="Lato;sans-serif" w:hAnsi="Lato;sans-serif"/>
                <w:b/>
                <w:color w:val="FFFFFF"/>
                <w:sz w:val="16"/>
              </w:rPr>
              <w:t>Stock Awards</w:t>
            </w:r>
          </w:p>
        </w:tc>
      </w:tr>
      <w:tr>
        <w:trPr/>
        <w:tc>
          <w:tcPr>
            <w:tcW w:w="1360" w:type="dxa"/>
            <w:gridSpan w:val="3"/>
            <w:tcBorders/>
            <w:shd w:fill="F44238"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color w:val="FFFFFF"/>
                <w:sz w:val="16"/>
              </w:rPr>
            </w:pPr>
            <w:r>
              <w:rPr>
                <w:rFonts w:ascii="Lato;sans-serif" w:hAnsi="Lato;sans-serif"/>
                <w:b/>
                <w:color w:val="FFFFFF"/>
                <w:sz w:val="16"/>
              </w:rPr>
              <w:t>Name</w:t>
            </w:r>
          </w:p>
        </w:tc>
        <w:tc>
          <w:tcPr>
            <w:tcW w:w="2166" w:type="dxa"/>
            <w:gridSpan w:val="3"/>
            <w:tcBorders/>
            <w:shd w:fill="F44238" w:val="clear"/>
            <w:tcMar>
              <w:top w:w="0" w:type="dxa"/>
              <w:left w:w="0" w:type="dxa"/>
              <w:bottom w:w="0" w:type="dxa"/>
              <w:right w:w="0" w:type="dxa"/>
            </w:tcMar>
            <w:vAlign w:val="center"/>
          </w:tcPr>
          <w:p>
            <w:pPr>
              <w:pStyle w:val="TableContents"/>
              <w:bidi w:val="0"/>
              <w:spacing w:lineRule="auto" w:line="240" w:before="0" w:after="283"/>
              <w:jc w:val="center"/>
              <w:rPr>
                <w:rFonts w:ascii="Lato;sans-serif" w:hAnsi="Lato;sans-serif"/>
                <w:b/>
                <w:color w:val="FFFFFF"/>
                <w:sz w:val="16"/>
              </w:rPr>
            </w:pPr>
            <w:r>
              <w:rPr>
                <w:rFonts w:ascii="Lato;sans-serif" w:hAnsi="Lato;sans-serif"/>
                <w:b/>
                <w:color w:val="FFFFFF"/>
                <w:sz w:val="16"/>
              </w:rPr>
              <w:t>Number of Shares Acquired on Exercise (#)</w:t>
            </w:r>
          </w:p>
        </w:tc>
        <w:tc>
          <w:tcPr>
            <w:tcW w:w="390" w:type="dxa"/>
            <w:gridSpan w:val="3"/>
            <w:tcBorders/>
            <w:shd w:fill="F4423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1" w:type="dxa"/>
            <w:gridSpan w:val="3"/>
            <w:tcBorders/>
            <w:shd w:fill="F44238" w:val="clear"/>
            <w:tcMar>
              <w:top w:w="0" w:type="dxa"/>
              <w:left w:w="0" w:type="dxa"/>
              <w:bottom w:w="0" w:type="dxa"/>
              <w:right w:w="0" w:type="dxa"/>
            </w:tcMar>
            <w:vAlign w:val="center"/>
          </w:tcPr>
          <w:p>
            <w:pPr>
              <w:pStyle w:val="TableContents"/>
              <w:bidi w:val="0"/>
              <w:spacing w:lineRule="auto" w:line="240" w:before="0" w:after="283"/>
              <w:jc w:val="center"/>
              <w:rPr>
                <w:rFonts w:ascii="Lato;sans-serif" w:hAnsi="Lato;sans-serif"/>
                <w:b/>
                <w:color w:val="FFFFFF"/>
                <w:sz w:val="16"/>
              </w:rPr>
            </w:pPr>
            <w:r>
              <w:rPr>
                <w:rFonts w:ascii="Lato;sans-serif" w:hAnsi="Lato;sans-serif"/>
                <w:b/>
                <w:color w:val="FFFFFF"/>
                <w:sz w:val="16"/>
              </w:rPr>
              <w:t>Value Realized on Exercise ($)</w:t>
            </w:r>
          </w:p>
        </w:tc>
        <w:tc>
          <w:tcPr>
            <w:tcW w:w="327" w:type="dxa"/>
            <w:gridSpan w:val="3"/>
            <w:tcBorders/>
            <w:shd w:fill="F4423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4" w:type="dxa"/>
            <w:gridSpan w:val="3"/>
            <w:tcBorders/>
            <w:shd w:fill="F44238" w:val="clear"/>
            <w:tcMar>
              <w:top w:w="0" w:type="dxa"/>
              <w:left w:w="0" w:type="dxa"/>
              <w:bottom w:w="0" w:type="dxa"/>
              <w:right w:w="0" w:type="dxa"/>
            </w:tcMar>
            <w:vAlign w:val="center"/>
          </w:tcPr>
          <w:p>
            <w:pPr>
              <w:pStyle w:val="TableContents"/>
              <w:bidi w:val="0"/>
              <w:spacing w:lineRule="auto" w:line="333" w:before="0" w:after="283"/>
              <w:jc w:val="center"/>
              <w:rPr>
                <w:rFonts w:ascii="Lato;sans-serif" w:hAnsi="Lato;sans-serif"/>
                <w:b/>
                <w:color w:val="FFFFFF"/>
                <w:sz w:val="16"/>
              </w:rPr>
            </w:pPr>
            <w:r>
              <w:rPr>
                <w:rFonts w:ascii="Lato;sans-serif" w:hAnsi="Lato;sans-serif"/>
                <w:b/>
                <w:color w:val="FFFFFF"/>
                <w:sz w:val="16"/>
              </w:rPr>
              <w:t>Number of Shares Acquired on Vesting (#)</w:t>
            </w:r>
          </w:p>
        </w:tc>
        <w:tc>
          <w:tcPr>
            <w:tcW w:w="372" w:type="dxa"/>
            <w:gridSpan w:val="3"/>
            <w:tcBorders/>
            <w:shd w:fill="F4423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5" w:type="dxa"/>
            <w:gridSpan w:val="3"/>
            <w:tcBorders/>
            <w:shd w:fill="F44238" w:val="clear"/>
            <w:tcMar>
              <w:top w:w="0" w:type="dxa"/>
              <w:left w:w="0" w:type="dxa"/>
              <w:bottom w:w="0" w:type="dxa"/>
              <w:right w:w="0" w:type="dxa"/>
            </w:tcMar>
            <w:vAlign w:val="center"/>
          </w:tcPr>
          <w:p>
            <w:pPr>
              <w:pStyle w:val="TableContents"/>
              <w:bidi w:val="0"/>
              <w:spacing w:lineRule="auto" w:line="333" w:before="0" w:after="0"/>
              <w:jc w:val="center"/>
              <w:rPr/>
            </w:pPr>
            <w:r>
              <w:rPr>
                <w:rFonts w:ascii="Lato;sans-serif" w:hAnsi="Lato;sans-serif"/>
                <w:b/>
                <w:color w:val="FFFFFF"/>
                <w:sz w:val="16"/>
              </w:rPr>
              <w:t>Value Realized on Vesting ($)</w:t>
            </w:r>
            <w:r>
              <w:rPr>
                <w:rFonts w:ascii="Lato;sans-serif" w:hAnsi="Lato;sans-serif"/>
                <w:b/>
                <w:color w:val="FFFFFF"/>
                <w:sz w:val="10"/>
              </w:rPr>
              <w:t>(1)</w:t>
            </w:r>
          </w:p>
        </w:tc>
      </w:tr>
      <w:tr>
        <w:trPr/>
        <w:tc>
          <w:tcPr>
            <w:tcW w:w="1360"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0"/>
              <w:jc w:val="left"/>
              <w:rPr>
                <w:rFonts w:ascii="Lato;sans-serif" w:hAnsi="Lato;sans-serif"/>
                <w:b w:val="false"/>
                <w:color w:val="000000"/>
                <w:sz w:val="16"/>
              </w:rPr>
            </w:pPr>
            <w:r>
              <w:rPr>
                <w:rFonts w:ascii="Lato;sans-serif" w:hAnsi="Lato;sans-serif"/>
                <w:b w:val="false"/>
                <w:color w:val="000000"/>
                <w:sz w:val="16"/>
              </w:rPr>
              <w:t>Henry L. Schuck</w:t>
            </w:r>
          </w:p>
        </w:tc>
        <w:tc>
          <w:tcPr>
            <w:tcW w:w="2166"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90"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1"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4"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Lato;sans-serif" w:hAnsi="Lato;sans-serif"/>
                <w:b w:val="false"/>
                <w:color w:val="000000"/>
                <w:sz w:val="16"/>
              </w:rPr>
            </w:pPr>
            <w:r>
              <w:rPr>
                <w:rFonts w:ascii="Lato;sans-serif" w:hAnsi="Lato;sans-serif"/>
                <w:b w:val="false"/>
                <w:color w:val="000000"/>
                <w:sz w:val="16"/>
              </w:rPr>
              <w:t>96,985</w:t>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5"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Lato;sans-serif" w:hAnsi="Lato;sans-serif"/>
                <w:b w:val="false"/>
                <w:color w:val="000000"/>
                <w:sz w:val="16"/>
              </w:rPr>
            </w:pPr>
            <w:r>
              <w:rPr>
                <w:rFonts w:ascii="Lato;sans-serif" w:hAnsi="Lato;sans-serif"/>
                <w:b w:val="false"/>
                <w:color w:val="000000"/>
                <w:sz w:val="16"/>
              </w:rPr>
              <w:t>969,785</w:t>
            </w:r>
          </w:p>
        </w:tc>
      </w:tr>
      <w:tr>
        <w:trPr/>
        <w:tc>
          <w:tcPr>
            <w:tcW w:w="1360" w:type="dxa"/>
            <w:gridSpan w:val="3"/>
            <w:tcBorders/>
            <w:shd w:fill="DBDBDB" w:val="clear"/>
            <w:tcMar>
              <w:top w:w="0" w:type="dxa"/>
              <w:left w:w="0" w:type="dxa"/>
              <w:bottom w:w="0" w:type="dxa"/>
              <w:right w:w="0" w:type="dxa"/>
            </w:tcMar>
            <w:vAlign w:val="center"/>
          </w:tcPr>
          <w:p>
            <w:pPr>
              <w:pStyle w:val="TableContents"/>
              <w:bidi w:val="0"/>
              <w:spacing w:lineRule="auto" w:line="333" w:before="0" w:after="0"/>
              <w:jc w:val="left"/>
              <w:rPr>
                <w:rFonts w:ascii="Lato;sans-serif" w:hAnsi="Lato;sans-serif"/>
                <w:b w:val="false"/>
                <w:color w:val="000000"/>
                <w:sz w:val="16"/>
              </w:rPr>
            </w:pPr>
            <w:r>
              <w:rPr>
                <w:rFonts w:ascii="Lato;sans-serif" w:hAnsi="Lato;sans-serif"/>
                <w:b w:val="false"/>
                <w:color w:val="000000"/>
                <w:sz w:val="16"/>
              </w:rPr>
              <w:t>Michael Graham O’Brien</w:t>
            </w:r>
          </w:p>
        </w:tc>
        <w:tc>
          <w:tcPr>
            <w:tcW w:w="2166"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90"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1"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Lato;sans-serif" w:hAnsi="Lato;sans-serif"/>
                <w:b w:val="false"/>
                <w:color w:val="000000"/>
                <w:sz w:val="16"/>
              </w:rPr>
            </w:pPr>
            <w:r>
              <w:rPr>
                <w:rFonts w:ascii="Lato;sans-serif" w:hAnsi="Lato;sans-serif"/>
                <w:b w:val="false"/>
                <w:color w:val="000000"/>
                <w:sz w:val="16"/>
              </w:rPr>
              <w:t>66,373</w:t>
            </w:r>
          </w:p>
        </w:tc>
        <w:tc>
          <w:tcPr>
            <w:tcW w:w="372"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5"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Lato;sans-serif" w:hAnsi="Lato;sans-serif"/>
                <w:b w:val="false"/>
                <w:color w:val="000000"/>
                <w:sz w:val="16"/>
              </w:rPr>
            </w:pPr>
            <w:r>
              <w:rPr>
                <w:rFonts w:ascii="Lato;sans-serif" w:hAnsi="Lato;sans-serif"/>
                <w:b w:val="false"/>
                <w:color w:val="000000"/>
                <w:sz w:val="16"/>
              </w:rPr>
              <w:t>703,224</w:t>
            </w:r>
          </w:p>
        </w:tc>
      </w:tr>
      <w:tr>
        <w:trPr/>
        <w:tc>
          <w:tcPr>
            <w:tcW w:w="1360" w:type="dxa"/>
            <w:gridSpan w:val="3"/>
            <w:tcBorders/>
            <w:shd w:fill="FFFFFF" w:val="clear"/>
            <w:tcMar>
              <w:top w:w="0" w:type="dxa"/>
              <w:left w:w="0" w:type="dxa"/>
              <w:bottom w:w="0" w:type="dxa"/>
              <w:right w:w="0" w:type="dxa"/>
            </w:tcMar>
            <w:vAlign w:val="center"/>
          </w:tcPr>
          <w:p>
            <w:pPr>
              <w:pStyle w:val="TableContents"/>
              <w:bidi w:val="0"/>
              <w:spacing w:lineRule="auto" w:line="333" w:before="0" w:after="0"/>
              <w:jc w:val="left"/>
              <w:rPr>
                <w:rFonts w:ascii="Lato;sans-serif" w:hAnsi="Lato;sans-serif"/>
                <w:b w:val="false"/>
                <w:color w:val="000000"/>
                <w:sz w:val="16"/>
              </w:rPr>
            </w:pPr>
            <w:r>
              <w:rPr>
                <w:rFonts w:ascii="Lato;sans-serif" w:hAnsi="Lato;sans-serif"/>
                <w:b w:val="false"/>
                <w:color w:val="000000"/>
                <w:sz w:val="16"/>
              </w:rPr>
              <w:t>James Roth</w:t>
            </w:r>
          </w:p>
        </w:tc>
        <w:tc>
          <w:tcPr>
            <w:tcW w:w="21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Lato;sans-serif" w:hAnsi="Lato;sans-serif"/>
                <w:b w:val="false"/>
                <w:color w:val="000000"/>
                <w:sz w:val="16"/>
              </w:rPr>
            </w:pPr>
            <w:r>
              <w:rPr>
                <w:rFonts w:ascii="Lato;sans-serif" w:hAnsi="Lato;sans-serif"/>
                <w:b w:val="false"/>
                <w:color w:val="000000"/>
                <w:sz w:val="16"/>
              </w:rPr>
              <w:t>263,262</w:t>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Lato;sans-serif" w:hAnsi="Lato;sans-serif"/>
                <w:b w:val="false"/>
                <w:color w:val="000000"/>
                <w:sz w:val="16"/>
              </w:rPr>
            </w:pPr>
            <w:r>
              <w:rPr>
                <w:rFonts w:ascii="Lato;sans-serif" w:hAnsi="Lato;sans-serif"/>
                <w:b w:val="false"/>
                <w:color w:val="000000"/>
                <w:sz w:val="16"/>
              </w:rPr>
              <w:t>2,754,708</w:t>
            </w:r>
          </w:p>
        </w:tc>
      </w:tr>
      <w:tr>
        <w:trPr/>
        <w:tc>
          <w:tcPr>
            <w:tcW w:w="1360" w:type="dxa"/>
            <w:gridSpan w:val="3"/>
            <w:tcBorders/>
            <w:shd w:fill="DBDBDB" w:val="clear"/>
            <w:tcMar>
              <w:top w:w="0" w:type="dxa"/>
              <w:left w:w="0" w:type="dxa"/>
              <w:bottom w:w="0" w:type="dxa"/>
              <w:right w:w="0" w:type="dxa"/>
            </w:tcMar>
            <w:vAlign w:val="center"/>
          </w:tcPr>
          <w:p>
            <w:pPr>
              <w:pStyle w:val="TableContents"/>
              <w:bidi w:val="0"/>
              <w:spacing w:lineRule="auto" w:line="333" w:before="0" w:after="0"/>
              <w:jc w:val="left"/>
              <w:rPr>
                <w:rFonts w:ascii="Lato;sans-serif" w:hAnsi="Lato;sans-serif"/>
                <w:b w:val="false"/>
                <w:color w:val="000000"/>
                <w:sz w:val="16"/>
              </w:rPr>
            </w:pPr>
            <w:r>
              <w:rPr>
                <w:rFonts w:ascii="Lato;sans-serif" w:hAnsi="Lato;sans-serif"/>
                <w:b w:val="false"/>
                <w:color w:val="000000"/>
                <w:sz w:val="16"/>
              </w:rPr>
              <w:t>Ashley McGrane</w:t>
            </w:r>
          </w:p>
        </w:tc>
        <w:tc>
          <w:tcPr>
            <w:tcW w:w="2166"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90"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1"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Lato;sans-serif" w:hAnsi="Lato;sans-serif"/>
                <w:b w:val="false"/>
                <w:color w:val="000000"/>
                <w:sz w:val="16"/>
              </w:rPr>
            </w:pPr>
            <w:r>
              <w:rPr>
                <w:rFonts w:ascii="Lato;sans-serif" w:hAnsi="Lato;sans-serif"/>
                <w:b w:val="false"/>
                <w:color w:val="000000"/>
                <w:sz w:val="16"/>
              </w:rPr>
              <w:t>63,942</w:t>
            </w:r>
          </w:p>
        </w:tc>
        <w:tc>
          <w:tcPr>
            <w:tcW w:w="372"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5"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Lato;sans-serif" w:hAnsi="Lato;sans-serif"/>
                <w:b w:val="false"/>
                <w:color w:val="000000"/>
                <w:sz w:val="16"/>
              </w:rPr>
            </w:pPr>
            <w:r>
              <w:rPr>
                <w:rFonts w:ascii="Lato;sans-serif" w:hAnsi="Lato;sans-serif"/>
                <w:b w:val="false"/>
                <w:color w:val="000000"/>
                <w:sz w:val="16"/>
              </w:rPr>
              <w:t>678,702</w:t>
            </w:r>
          </w:p>
        </w:tc>
      </w:tr>
    </w:tbl>
    <w:p>
      <w:pPr>
        <w:pStyle w:val="TextBody"/>
        <w:bidi w:val="0"/>
        <w:spacing w:lineRule="auto" w:line="333"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__________________</w:t>
      </w:r>
    </w:p>
    <w:p>
      <w:pPr>
        <w:pStyle w:val="TextBody"/>
        <w:bidi w:val="0"/>
        <w:spacing w:lineRule="auto" w:line="288" w:before="0" w:after="0"/>
        <w:ind w:left="0" w:right="0" w:hanging="360"/>
        <w:jc w:val="both"/>
        <w:rPr>
          <w:rFonts w:ascii="Lato;sans-serif" w:hAnsi="Lato;sans-serif"/>
          <w:b w:val="false"/>
          <w:color w:val="000000"/>
          <w:sz w:val="16"/>
        </w:rPr>
      </w:pPr>
      <w:r>
        <w:rPr>
          <w:rFonts w:ascii="Lato;sans-serif" w:hAnsi="Lato;sans-serif"/>
          <w:b w:val="false"/>
          <w:color w:val="000000"/>
          <w:sz w:val="16"/>
        </w:rPr>
        <w:t>(1)The value realized on vesting is determined by multiplying the number of vested RSUs, FCFps PSUs and HSKB Phantom Units by the closing price of our common stock on the vesting date. In the case of RSUs, FCFps PSUs and HSKB Phantom Units, the value realized on vesting does not reflect the actual value received by the NEO because a portion of the shares reflected in the table above were withheld by us to satisfy the NEO’s tax withholding obligations.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00" w:after="283"/>
        <w:jc w:val="left"/>
        <w:rPr>
          <w:rFonts w:ascii="Lato;sans-serif" w:hAnsi="Lato;sans-serif"/>
          <w:b/>
          <w:color w:val="000000"/>
          <w:sz w:val="20"/>
        </w:rPr>
      </w:pPr>
      <w:r>
        <w:rPr>
          <w:rFonts w:ascii="Lato;sans-serif" w:hAnsi="Lato;sans-serif"/>
          <w:b/>
          <w:color w:val="000000"/>
          <w:sz w:val="20"/>
        </w:rPr>
        <w:t>Employment Agreements and Related Arrangements</w:t>
      </w:r>
    </w:p>
    <w:p>
      <w:pPr>
        <w:pStyle w:val="TextBody"/>
        <w:bidi w:val="0"/>
        <w:spacing w:lineRule="auto" w:line="288" w:before="180" w:after="180"/>
        <w:jc w:val="both"/>
        <w:rPr>
          <w:rFonts w:ascii="Lato;sans-serif" w:hAnsi="Lato;sans-serif"/>
          <w:b w:val="false"/>
          <w:color w:val="000000"/>
          <w:sz w:val="20"/>
        </w:rPr>
      </w:pPr>
      <w:r>
        <w:rPr>
          <w:rFonts w:ascii="Lato;sans-serif" w:hAnsi="Lato;sans-serif"/>
          <w:b w:val="false"/>
          <w:color w:val="000000"/>
          <w:sz w:val="20"/>
        </w:rPr>
        <w:t>The Company entered into an employment agreement with each of Messrs. Schuck, O’Brien, Roth and Ms. McGrane.</w:t>
      </w:r>
    </w:p>
    <w:p>
      <w:pPr>
        <w:pStyle w:val="TextBody"/>
        <w:bidi w:val="0"/>
        <w:spacing w:lineRule="auto" w:line="333" w:before="300" w:after="180"/>
        <w:jc w:val="both"/>
        <w:rPr>
          <w:rFonts w:ascii="Lato;sans-serif" w:hAnsi="Lato;sans-serif"/>
          <w:b w:val="false"/>
          <w:i/>
          <w:color w:val="000000"/>
          <w:sz w:val="20"/>
        </w:rPr>
      </w:pPr>
      <w:r>
        <w:rPr>
          <w:rFonts w:ascii="Lato;sans-serif" w:hAnsi="Lato;sans-serif"/>
          <w:b w:val="false"/>
          <w:i/>
          <w:color w:val="000000"/>
          <w:sz w:val="20"/>
        </w:rPr>
        <w:t>Mr. Schuck’s Employment Agreement</w:t>
      </w:r>
    </w:p>
    <w:p>
      <w:pPr>
        <w:pStyle w:val="TextBody"/>
        <w:bidi w:val="0"/>
        <w:spacing w:lineRule="auto" w:line="288" w:before="180" w:after="180"/>
        <w:jc w:val="both"/>
        <w:rPr>
          <w:rFonts w:ascii="Lato;sans-serif" w:hAnsi="Lato;sans-serif"/>
          <w:b w:val="false"/>
          <w:color w:val="000000"/>
          <w:sz w:val="20"/>
        </w:rPr>
      </w:pPr>
      <w:r>
        <w:rPr>
          <w:rFonts w:ascii="Lato;sans-serif" w:hAnsi="Lato;sans-serif"/>
          <w:b w:val="false"/>
          <w:color w:val="000000"/>
          <w:sz w:val="20"/>
        </w:rPr>
        <w:t>In connection with the IPO, we entered into an employment agreement with Mr. Schuck, pursuant to which he continues to serve as the Chief Executive Officer of the Company and Chairman of our Board of Directors. Mr. Schuck’s employment agreement, effective as of the date of the IPO, provides that he is entitled to a base salary of $512,000, which may not be decreased without his consent. Mr. Schuck is eligible for an annual cash incentive bonus, and his target annual bonus for each fiscal year is $425,000, with the actual annual bonus payable being based upon the level of achievement of specified corporate, financial, operational, and individual performance for such fiscal year, as approved by the Compensation Committee of our Board of Directors.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4">
                <wp:simplePos x="0" y="0"/>
                <wp:positionH relativeFrom="character">
                  <wp:align>left</wp:align>
                </wp:positionH>
                <wp:positionV relativeFrom="line">
                  <wp:posOffset>635</wp:posOffset>
                </wp:positionV>
                <wp:extent cx="6480175" cy="352425"/>
                <wp:effectExtent l="0" t="0" r="0" b="0"/>
                <wp:wrapNone/>
                <wp:docPr id="90" name="Frame74"/>
                <a:graphic xmlns:a="http://schemas.openxmlformats.org/drawingml/2006/main">
                  <a:graphicData uri="http://schemas.microsoft.com/office/word/2010/wordprocessingShape">
                    <wps:wsp>
                      <wps:cNvSpPr txBox="1"/>
                      <wps:spPr>
                        <a:xfrm>
                          <a:off x="0" y="0"/>
                          <a:ext cx="6480175" cy="352425"/>
                        </a:xfrm>
                        <a:prstGeom prst="rect"/>
                        <a:solidFill>
                          <a:srgbClr val="FFFFFF"/>
                        </a:solidFill>
                      </wps:spPr>
                      <wps:txbx>
                        <w:txbxContent>
                          <w:p>
                            <w:pPr>
                              <w:pStyle w:val="TextBody"/>
                              <w:bidi w:val="0"/>
                              <w:spacing w:lineRule="auto" w:line="288" w:before="0" w:after="0"/>
                              <w:jc w:val="center"/>
                              <w:rPr>
                                <w:rFonts w:ascii="Lato;sans-serif" w:hAnsi="Lato;sans-serif"/>
                                <w:b w:val="false"/>
                                <w:color w:val="000000"/>
                                <w:sz w:val="20"/>
                              </w:rPr>
                            </w:pPr>
                            <w:r>
                              <w:rPr>
                                <w:rFonts w:ascii="Lato;sans-serif" w:hAnsi="Lato;sans-serif"/>
                                <w:b w:val="false"/>
                                <w:color w:val="000000"/>
                                <w:sz w:val="20"/>
                              </w:rPr>
                              <w:t>68</w:t>
                            </w:r>
                          </w:p>
                          <w:p>
                            <w:pPr>
                              <w:pStyle w:val="TextBody"/>
                              <w:bidi w:val="0"/>
                              <w:spacing w:lineRule="auto" w:line="288" w:before="0" w:after="0"/>
                              <w:jc w:val="left"/>
                              <w:rPr>
                                <w:color w:val="000000"/>
                              </w:rPr>
                            </w:pPr>
                            <w:r>
                              <w:rPr>
                                <w:color w:val="000000"/>
                              </w:rPr>
                              <w:t>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Lato;sans-serif" w:hAnsi="Lato;sans-serif"/>
                          <w:b w:val="false"/>
                          <w:color w:val="000000"/>
                          <w:sz w:val="20"/>
                        </w:rPr>
                      </w:pPr>
                      <w:r>
                        <w:rPr>
                          <w:rFonts w:ascii="Lato;sans-serif" w:hAnsi="Lato;sans-serif"/>
                          <w:b w:val="false"/>
                          <w:color w:val="000000"/>
                          <w:sz w:val="20"/>
                        </w:rPr>
                        <w:t>68</w:t>
                      </w:r>
                    </w:p>
                    <w:p>
                      <w:pPr>
                        <w:pStyle w:val="TextBody"/>
                        <w:bidi w:val="0"/>
                        <w:spacing w:lineRule="auto" w:line="288" w:before="0" w:after="0"/>
                        <w:jc w:val="left"/>
                        <w:rPr>
                          <w:color w:val="000000"/>
                        </w:rPr>
                      </w:pPr>
                      <w:r>
                        <w:rPr>
                          <w:color w:val="000000"/>
                        </w:rPr>
                        <w:t>        </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80" w:after="180"/>
        <w:jc w:val="both"/>
        <w:rPr>
          <w:rFonts w:ascii="Lato;sans-serif" w:hAnsi="Lato;sans-serif"/>
          <w:b w:val="false"/>
          <w:color w:val="000000"/>
          <w:sz w:val="20"/>
        </w:rPr>
      </w:pPr>
      <w:r>
        <w:rPr>
          <w:rFonts w:ascii="Lato;sans-serif" w:hAnsi="Lato;sans-serif"/>
          <w:b w:val="false"/>
          <w:color w:val="000000"/>
          <w:sz w:val="20"/>
        </w:rPr>
        <w:t>Mr. Schuck is also entitled to participate in all employment benefit plans, practices, and programs available for the benefit of senior executives of the Company generally. Additionally, Mr. Schuck’s employment agreement provides for reimbursement for reasonable out-of-pocket expenses incurred by him in the furtherance of the Company’s business, as well as for reasonable and documented first-class flight and ground transportation expenses for all business-related travel.</w:t>
      </w:r>
    </w:p>
    <w:p>
      <w:pPr>
        <w:pStyle w:val="TextBody"/>
        <w:bidi w:val="0"/>
        <w:spacing w:lineRule="auto" w:line="288" w:before="180" w:after="180"/>
        <w:jc w:val="both"/>
        <w:rPr>
          <w:rFonts w:ascii="Lato;sans-serif" w:hAnsi="Lato;sans-serif"/>
          <w:b w:val="false"/>
          <w:color w:val="000000"/>
          <w:sz w:val="20"/>
        </w:rPr>
      </w:pPr>
      <w:r>
        <w:rPr>
          <w:rFonts w:ascii="Lato;sans-serif" w:hAnsi="Lato;sans-serif"/>
          <w:b w:val="false"/>
          <w:color w:val="000000"/>
          <w:sz w:val="20"/>
        </w:rPr>
        <w:t>Mr. Schuck’s employment may be terminated at any time and for any reason by either the Company or Mr. Schuck, provided that either party is required to give 30 days’ advance written notice of any termination of employment (provided that the Company is entitled to pay the executive base salary payments in lieu of such notice period).</w:t>
      </w:r>
    </w:p>
    <w:p>
      <w:pPr>
        <w:pStyle w:val="TextBody"/>
        <w:bidi w:val="0"/>
        <w:spacing w:lineRule="auto" w:line="288" w:before="180" w:after="180"/>
        <w:jc w:val="both"/>
        <w:rPr>
          <w:rFonts w:ascii="Lato;sans-serif" w:hAnsi="Lato;sans-serif"/>
          <w:b w:val="false"/>
          <w:color w:val="000000"/>
          <w:sz w:val="20"/>
        </w:rPr>
      </w:pPr>
      <w:r>
        <w:rPr>
          <w:rFonts w:ascii="Lato;sans-serif" w:hAnsi="Lato;sans-serif"/>
          <w:b w:val="false"/>
          <w:color w:val="000000"/>
          <w:sz w:val="20"/>
        </w:rPr>
        <w:t>Mr. Schuck is subject to the following restrictive covenants: (i) confidentiality during employment and for three years following termination, (ii) non-solicitation of customers and non-solicitation of employees for 24 months following termination, (iii) non-competition during employment and until 12 months following the termination date, and (iv) mutual non-disparagement for the longest period legally enforceable.</w:t>
      </w:r>
    </w:p>
    <w:p>
      <w:pPr>
        <w:pStyle w:val="TextBody"/>
        <w:bidi w:val="0"/>
        <w:spacing w:lineRule="auto" w:line="288" w:before="180" w:after="180"/>
        <w:jc w:val="both"/>
        <w:rPr/>
      </w:pPr>
      <w:r>
        <w:rPr>
          <w:rFonts w:ascii="Lato;sans-serif" w:hAnsi="Lato;sans-serif"/>
          <w:b w:val="false"/>
          <w:color w:val="000000"/>
          <w:sz w:val="20"/>
        </w:rPr>
        <w:t>See “</w:t>
      </w:r>
      <w:r>
        <w:rPr>
          <w:color w:val="000000"/>
        </w:rPr>
        <w:t>—</w:t>
      </w:r>
      <w:r>
        <w:rPr>
          <w:rFonts w:ascii="Lato;sans-serif" w:hAnsi="Lato;sans-serif"/>
          <w:b w:val="false"/>
          <w:i/>
          <w:color w:val="000000"/>
          <w:sz w:val="20"/>
        </w:rPr>
        <w:t>Termination and Change in Control Provisions</w:t>
      </w:r>
      <w:r>
        <w:rPr>
          <w:color w:val="000000"/>
        </w:rPr>
        <w:t xml:space="preserve">” </w:t>
      </w:r>
      <w:r>
        <w:rPr>
          <w:rFonts w:ascii="Lato;sans-serif" w:hAnsi="Lato;sans-serif"/>
          <w:b w:val="false"/>
          <w:color w:val="000000"/>
          <w:sz w:val="20"/>
        </w:rPr>
        <w:t>for a description of the severance benefits to which Mr. Schuck is entitled in the event of a qualifying termination of his employment.</w:t>
      </w:r>
    </w:p>
    <w:p>
      <w:pPr>
        <w:pStyle w:val="TextBody"/>
        <w:bidi w:val="0"/>
        <w:spacing w:lineRule="auto" w:line="333" w:before="300" w:after="180"/>
        <w:jc w:val="both"/>
        <w:rPr>
          <w:rFonts w:ascii="Lato;sans-serif" w:hAnsi="Lato;sans-serif"/>
          <w:b w:val="false"/>
          <w:i/>
          <w:color w:val="000000"/>
          <w:sz w:val="20"/>
        </w:rPr>
      </w:pPr>
      <w:r>
        <w:rPr>
          <w:rFonts w:ascii="Lato;sans-serif" w:hAnsi="Lato;sans-serif"/>
          <w:b w:val="false"/>
          <w:i/>
          <w:color w:val="000000"/>
          <w:sz w:val="20"/>
        </w:rPr>
        <w:t>Mr. O’Brien’s Employment Agreement</w:t>
      </w:r>
    </w:p>
    <w:p>
      <w:pPr>
        <w:pStyle w:val="TextBody"/>
        <w:bidi w:val="0"/>
        <w:spacing w:lineRule="auto" w:line="288" w:before="0" w:after="180"/>
        <w:jc w:val="both"/>
        <w:rPr>
          <w:rFonts w:ascii="Lato;sans-serif" w:hAnsi="Lato;sans-serif"/>
          <w:b w:val="false"/>
          <w:color w:val="000000"/>
          <w:sz w:val="20"/>
        </w:rPr>
      </w:pPr>
      <w:r>
        <w:rPr>
          <w:rFonts w:ascii="Lato;sans-serif" w:hAnsi="Lato;sans-serif"/>
          <w:b w:val="false"/>
          <w:color w:val="000000"/>
          <w:sz w:val="20"/>
        </w:rPr>
        <w:t xml:space="preserve">Mr. O’Brien assumed the role of Chief Financial Officer and principal financial officer of the Company, effective as of August 1, 2025, and concurrently therewith, we entered into an employment agreement with Mr. O’Brien to memorialize, among other things, certain changes to his compensation arrangements. Upon Mr. O’Brien’s appointment as the Chief Financial Officer, Mr. O’Brien’s offer letter, which had previously served to memorialize certain terms relating to his service as the Company’s Interim Chief Financial Officer, </w:t>
        <w:br/>
        <w:t>was deemed to have been terminated and its terms superseded by the terms of his employment agreement.</w:t>
      </w:r>
    </w:p>
    <w:p>
      <w:pPr>
        <w:pStyle w:val="TextBody"/>
        <w:bidi w:val="0"/>
        <w:spacing w:lineRule="auto" w:line="288" w:before="0" w:after="180"/>
        <w:jc w:val="both"/>
        <w:rPr>
          <w:rFonts w:ascii="Lato;sans-serif" w:hAnsi="Lato;sans-serif"/>
          <w:b w:val="false"/>
          <w:color w:val="000000"/>
          <w:sz w:val="20"/>
        </w:rPr>
      </w:pPr>
      <w:r>
        <w:rPr>
          <w:rFonts w:ascii="Lato;sans-serif" w:hAnsi="Lato;sans-serif"/>
          <w:b w:val="false"/>
          <w:color w:val="000000"/>
          <w:sz w:val="20"/>
        </w:rPr>
        <w:t>Mr. O’Brien’s employment agreement, effective as of August 1, 2025, provides for a base salary of $470,000, which is eligible for annual review and adjustment as approved by the Chief Executive Officer and, as applicable, the Compensation Committee of our Board of Directors. Mr. O'Brien is eligible for an annual cash incentive bonus, targeted at 60% of his base salary, with the actual annual bonus payable based upon the achievement of specific performance targets for such fiscal year, as approved by the Compensation Committee.</w:t>
      </w:r>
    </w:p>
    <w:p>
      <w:pPr>
        <w:pStyle w:val="TextBody"/>
        <w:bidi w:val="0"/>
        <w:spacing w:lineRule="auto" w:line="288" w:before="0" w:after="180"/>
        <w:jc w:val="both"/>
        <w:rPr>
          <w:rFonts w:ascii="Lato;sans-serif" w:hAnsi="Lato;sans-serif"/>
          <w:b w:val="false"/>
          <w:color w:val="000000"/>
          <w:sz w:val="20"/>
        </w:rPr>
      </w:pPr>
      <w:r>
        <w:rPr>
          <w:rFonts w:ascii="Lato;sans-serif" w:hAnsi="Lato;sans-serif"/>
          <w:b w:val="false"/>
          <w:color w:val="000000"/>
          <w:sz w:val="20"/>
        </w:rPr>
        <w:t>Mr. O'Brien is also entitled to participate in all employee benefit plans, practices, programs, and perquisite arrangements available to the most senior executives of the Company generally, on a basis no less favorable than is provided to other similarly situated employees of the Company. Additionally, Mr. O'Brien's employment agreement provides for reimbursement of reasonable out-of-pocket expenses incurred by him in the furtherance of the Company's business, subject to all required approvals and verification in accordance with Company policy. Mr. O'Brien is also eligible to receive equity awards under the Company's 2020 Omnibus Incentive Plan and to participate in any future long-term incentive programs made generally available to the Company's senior executives, as determined by the Board.</w:t>
      </w:r>
    </w:p>
    <w:p>
      <w:pPr>
        <w:pStyle w:val="TextBody"/>
        <w:bidi w:val="0"/>
        <w:spacing w:lineRule="auto" w:line="288" w:before="0" w:after="180"/>
        <w:jc w:val="both"/>
        <w:rPr>
          <w:rFonts w:ascii="Lato;sans-serif" w:hAnsi="Lato;sans-serif"/>
          <w:b w:val="false"/>
          <w:color w:val="000000"/>
          <w:sz w:val="20"/>
        </w:rPr>
      </w:pPr>
      <w:r>
        <w:rPr>
          <w:rFonts w:ascii="Lato;sans-serif" w:hAnsi="Lato;sans-serif"/>
          <w:b w:val="false"/>
          <w:color w:val="000000"/>
          <w:sz w:val="20"/>
        </w:rPr>
        <w:t>Mr. O'Brien's employment may be terminated at any time and for any reason by either the Company or Mr. O'Brien, provided that either party is required to give 30 days' advance written notice of any termination of employment (provided that the Company is entitled to pay Mr. O'Brien's base salary in lieu of such notice period).</w:t>
      </w:r>
    </w:p>
    <w:p>
      <w:pPr>
        <w:pStyle w:val="TextBody"/>
        <w:bidi w:val="0"/>
        <w:spacing w:lineRule="auto" w:line="288" w:before="0" w:after="180"/>
        <w:jc w:val="both"/>
        <w:rPr>
          <w:rFonts w:ascii="Lato;sans-serif" w:hAnsi="Lato;sans-serif"/>
          <w:b w:val="false"/>
          <w:color w:val="000000"/>
          <w:sz w:val="20"/>
        </w:rPr>
      </w:pPr>
      <w:r>
        <w:rPr>
          <w:rFonts w:ascii="Lato;sans-serif" w:hAnsi="Lato;sans-serif"/>
          <w:b w:val="false"/>
          <w:color w:val="000000"/>
          <w:sz w:val="20"/>
        </w:rPr>
        <w:t>Mr. O'Brien is subject to the following restrictive covenants: (i) confidentiality during employment and for three years following termination, (ii) non-solicitation of customers for 24 months following termination, (iii) non-solicitation of employees for 24 months following termination, (iv) non-competition during employment and until 12 months following the termination date, and (v) mutual non-disparagement for the longest period legally enforceable.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5">
                <wp:simplePos x="0" y="0"/>
                <wp:positionH relativeFrom="character">
                  <wp:align>left</wp:align>
                </wp:positionH>
                <wp:positionV relativeFrom="line">
                  <wp:posOffset>635</wp:posOffset>
                </wp:positionV>
                <wp:extent cx="6480175" cy="352425"/>
                <wp:effectExtent l="0" t="0" r="0" b="0"/>
                <wp:wrapNone/>
                <wp:docPr id="91" name="Frame75"/>
                <a:graphic xmlns:a="http://schemas.openxmlformats.org/drawingml/2006/main">
                  <a:graphicData uri="http://schemas.microsoft.com/office/word/2010/wordprocessingShape">
                    <wps:wsp>
                      <wps:cNvSpPr txBox="1"/>
                      <wps:spPr>
                        <a:xfrm>
                          <a:off x="0" y="0"/>
                          <a:ext cx="6480175" cy="352425"/>
                        </a:xfrm>
                        <a:prstGeom prst="rect"/>
                        <a:solidFill>
                          <a:srgbClr val="FFFFFF"/>
                        </a:solidFill>
                      </wps:spPr>
                      <wps:txbx>
                        <w:txbxContent>
                          <w:p>
                            <w:pPr>
                              <w:pStyle w:val="TextBody"/>
                              <w:bidi w:val="0"/>
                              <w:spacing w:lineRule="auto" w:line="288" w:before="0" w:after="0"/>
                              <w:jc w:val="center"/>
                              <w:rPr>
                                <w:rFonts w:ascii="Lato;sans-serif" w:hAnsi="Lato;sans-serif"/>
                                <w:b w:val="false"/>
                                <w:color w:val="000000"/>
                                <w:sz w:val="20"/>
                              </w:rPr>
                            </w:pPr>
                            <w:r>
                              <w:rPr>
                                <w:rFonts w:ascii="Lato;sans-serif" w:hAnsi="Lato;sans-serif"/>
                                <w:b w:val="false"/>
                                <w:color w:val="000000"/>
                                <w:sz w:val="20"/>
                              </w:rPr>
                              <w:t>69</w:t>
                            </w:r>
                          </w:p>
                          <w:p>
                            <w:pPr>
                              <w:pStyle w:val="TextBody"/>
                              <w:bidi w:val="0"/>
                              <w:spacing w:lineRule="auto" w:line="288" w:before="0" w:after="0"/>
                              <w:jc w:val="left"/>
                              <w:rPr>
                                <w:color w:val="000000"/>
                              </w:rPr>
                            </w:pPr>
                            <w:r>
                              <w:rPr>
                                <w:color w:val="000000"/>
                              </w:rPr>
                              <w:t>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Lato;sans-serif" w:hAnsi="Lato;sans-serif"/>
                          <w:b w:val="false"/>
                          <w:color w:val="000000"/>
                          <w:sz w:val="20"/>
                        </w:rPr>
                      </w:pPr>
                      <w:r>
                        <w:rPr>
                          <w:rFonts w:ascii="Lato;sans-serif" w:hAnsi="Lato;sans-serif"/>
                          <w:b w:val="false"/>
                          <w:color w:val="000000"/>
                          <w:sz w:val="20"/>
                        </w:rPr>
                        <w:t>69</w:t>
                      </w:r>
                    </w:p>
                    <w:p>
                      <w:pPr>
                        <w:pStyle w:val="TextBody"/>
                        <w:bidi w:val="0"/>
                        <w:spacing w:lineRule="auto" w:line="288" w:before="0" w:after="0"/>
                        <w:jc w:val="left"/>
                        <w:rPr>
                          <w:color w:val="000000"/>
                        </w:rPr>
                      </w:pPr>
                      <w:r>
                        <w:rPr>
                          <w:color w:val="000000"/>
                        </w:rPr>
                        <w:t>        </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pPr>
      <w:r>
        <w:rPr>
          <w:rFonts w:ascii="Lato;sans-serif" w:hAnsi="Lato;sans-serif"/>
          <w:b w:val="false"/>
          <w:color w:val="000000"/>
          <w:sz w:val="20"/>
        </w:rPr>
        <w:t>See “</w:t>
      </w:r>
      <w:r>
        <w:rPr>
          <w:color w:val="000000"/>
        </w:rPr>
        <w:t>—</w:t>
      </w:r>
      <w:r>
        <w:rPr>
          <w:rFonts w:ascii="Lato;sans-serif" w:hAnsi="Lato;sans-serif"/>
          <w:b w:val="false"/>
          <w:i/>
          <w:color w:val="000000"/>
          <w:sz w:val="20"/>
        </w:rPr>
        <w:t>Termination and Change in Control Provisions</w:t>
      </w:r>
      <w:r>
        <w:rPr>
          <w:color w:val="000000"/>
        </w:rPr>
        <w:t xml:space="preserve">” </w:t>
      </w:r>
      <w:r>
        <w:rPr>
          <w:rFonts w:ascii="Lato;sans-serif" w:hAnsi="Lato;sans-serif"/>
          <w:b w:val="false"/>
          <w:color w:val="000000"/>
          <w:sz w:val="20"/>
        </w:rPr>
        <w:t>for a description of the severance benefits to which Mr. O’Brien is entitled in the event of a qualifying termination of his employment.</w:t>
      </w:r>
    </w:p>
    <w:p>
      <w:pPr>
        <w:pStyle w:val="TextBody"/>
        <w:bidi w:val="0"/>
        <w:spacing w:lineRule="auto" w:line="333" w:before="300" w:after="180"/>
        <w:jc w:val="both"/>
        <w:rPr>
          <w:rFonts w:ascii="Lato;sans-serif" w:hAnsi="Lato;sans-serif"/>
          <w:b w:val="false"/>
          <w:i/>
          <w:color w:val="000000"/>
          <w:sz w:val="20"/>
        </w:rPr>
      </w:pPr>
      <w:r>
        <w:rPr>
          <w:rFonts w:ascii="Lato;sans-serif" w:hAnsi="Lato;sans-serif"/>
          <w:b w:val="false"/>
          <w:i/>
          <w:color w:val="000000"/>
          <w:sz w:val="20"/>
        </w:rPr>
        <w:t>Mr. Roth’s Employment Agreement</w:t>
      </w:r>
    </w:p>
    <w:p>
      <w:pPr>
        <w:pStyle w:val="TextBody"/>
        <w:bidi w:val="0"/>
        <w:spacing w:lineRule="auto" w:line="288" w:before="0" w:after="180"/>
        <w:jc w:val="both"/>
        <w:rPr>
          <w:rFonts w:ascii="Lato;sans-serif" w:hAnsi="Lato;sans-serif"/>
          <w:b w:val="false"/>
          <w:color w:val="000000"/>
          <w:sz w:val="20"/>
        </w:rPr>
      </w:pPr>
      <w:r>
        <w:rPr>
          <w:rFonts w:ascii="Lato;sans-serif" w:hAnsi="Lato;sans-serif"/>
          <w:b w:val="false"/>
          <w:color w:val="000000"/>
          <w:sz w:val="20"/>
        </w:rPr>
        <w:t>We entered into an employment agreement with Mr. Roth effective February 11, 2025, pursuant to which he serves as the Chief Revenue Officer of the Company. Mr. Roth's employment agreement provides for a base salary of $500,000, which is eligible for annual review and adjustment as approved by the Chief Executive Officer and, as applicable, the Compensation Committee of our Board of Directors. Mr. Roth is eligible for an annual cash incentive bonus, targeted at 100% of his base salary, with the actual annual bonus payable based upon the achievement of specific performance targets for such fiscal year, as approved by the Compensation Committee.</w:t>
      </w:r>
    </w:p>
    <w:p>
      <w:pPr>
        <w:pStyle w:val="TextBody"/>
        <w:bidi w:val="0"/>
        <w:spacing w:lineRule="auto" w:line="288" w:before="0" w:after="180"/>
        <w:jc w:val="both"/>
        <w:rPr>
          <w:rFonts w:ascii="Lato;sans-serif" w:hAnsi="Lato;sans-serif"/>
          <w:b w:val="false"/>
          <w:color w:val="000000"/>
          <w:sz w:val="20"/>
        </w:rPr>
      </w:pPr>
      <w:r>
        <w:rPr>
          <w:rFonts w:ascii="Lato;sans-serif" w:hAnsi="Lato;sans-serif"/>
          <w:b w:val="false"/>
          <w:color w:val="000000"/>
          <w:sz w:val="20"/>
        </w:rPr>
        <w:t>Mr. Roth is also entitled to participate in all employee benefit plans, practices, programs, and perquisite arrangements available to the most senior executives of the Company generally, on a basis no less favorable than is provided to other similarly situated employees of the Company. Additionally, Mr. Roth's employment agreement provides for reimbursement of reasonable out-of-pocket expenses incurred by him in the furtherance of the Company's business, subject to all required approvals and verification in accordance with Company policy. Mr. Roth is also eligible to receive equity awards under the Company's 2020 Omnibus Incentive Plan and to participate in any future long-term incentive programs made generally available to the Company's senior executives, as determined by the Board.</w:t>
      </w:r>
    </w:p>
    <w:p>
      <w:pPr>
        <w:pStyle w:val="TextBody"/>
        <w:bidi w:val="0"/>
        <w:spacing w:lineRule="auto" w:line="288" w:before="0" w:after="180"/>
        <w:jc w:val="both"/>
        <w:rPr>
          <w:rFonts w:ascii="Lato;sans-serif" w:hAnsi="Lato;sans-serif"/>
          <w:b w:val="false"/>
          <w:color w:val="000000"/>
          <w:sz w:val="20"/>
        </w:rPr>
      </w:pPr>
      <w:r>
        <w:rPr>
          <w:rFonts w:ascii="Lato;sans-serif" w:hAnsi="Lato;sans-serif"/>
          <w:b w:val="false"/>
          <w:color w:val="000000"/>
          <w:sz w:val="20"/>
        </w:rPr>
        <w:t>Mr. Roth's employment may be terminated at any time and for any reason by either the Company or Mr. Roth, provided that either party is required to give 30 days' advance written notice of any termination of employment (provided that the Company is entitled to pay Mr. Roth's base salary in lieu of such notice period).</w:t>
      </w:r>
    </w:p>
    <w:p>
      <w:pPr>
        <w:pStyle w:val="TextBody"/>
        <w:bidi w:val="0"/>
        <w:spacing w:lineRule="auto" w:line="288" w:before="0" w:after="180"/>
        <w:jc w:val="both"/>
        <w:rPr>
          <w:rFonts w:ascii="Lato;sans-serif" w:hAnsi="Lato;sans-serif"/>
          <w:b w:val="false"/>
          <w:color w:val="000000"/>
          <w:sz w:val="20"/>
        </w:rPr>
      </w:pPr>
      <w:r>
        <w:rPr>
          <w:rFonts w:ascii="Lato;sans-serif" w:hAnsi="Lato;sans-serif"/>
          <w:b w:val="false"/>
          <w:color w:val="000000"/>
          <w:sz w:val="20"/>
        </w:rPr>
        <w:t>Mr. Roth is subject to the following restrictive covenants: (i) confidentiality during employment and for three years following termination, (ii) non-solicitation of customers for 24 months following termination, (iii) non-solicitation of employees for 24 months following termination, (iv) non-competition during employment and until 12 months following the termination date, and (v) mutual non-disparagement for the longest period legally enforceable.</w:t>
      </w:r>
    </w:p>
    <w:p>
      <w:pPr>
        <w:pStyle w:val="TextBody"/>
        <w:bidi w:val="0"/>
        <w:spacing w:lineRule="auto" w:line="288" w:before="0" w:after="0"/>
        <w:jc w:val="both"/>
        <w:rPr/>
      </w:pPr>
      <w:r>
        <w:rPr>
          <w:rFonts w:ascii="Lato;sans-serif" w:hAnsi="Lato;sans-serif"/>
          <w:b w:val="false"/>
          <w:color w:val="000000"/>
          <w:sz w:val="20"/>
        </w:rPr>
        <w:t>See “</w:t>
      </w:r>
      <w:r>
        <w:rPr>
          <w:color w:val="000000"/>
        </w:rPr>
        <w:t>—</w:t>
      </w:r>
      <w:r>
        <w:rPr>
          <w:rFonts w:ascii="Lato;sans-serif" w:hAnsi="Lato;sans-serif"/>
          <w:b w:val="false"/>
          <w:i/>
          <w:color w:val="000000"/>
          <w:sz w:val="20"/>
        </w:rPr>
        <w:t>Termination and Change in Control Provisions</w:t>
      </w:r>
      <w:r>
        <w:rPr>
          <w:color w:val="000000"/>
        </w:rPr>
        <w:t xml:space="preserve">” </w:t>
      </w:r>
      <w:r>
        <w:rPr>
          <w:rFonts w:ascii="Lato;sans-serif" w:hAnsi="Lato;sans-serif"/>
          <w:b w:val="false"/>
          <w:color w:val="000000"/>
          <w:sz w:val="20"/>
        </w:rPr>
        <w:t>for a description of the severance benefits to which Mr. Roth is entitled in the event of a qualifying termination of his employment.</w:t>
      </w:r>
    </w:p>
    <w:p>
      <w:pPr>
        <w:pStyle w:val="TextBody"/>
        <w:bidi w:val="0"/>
        <w:spacing w:lineRule="auto" w:line="333" w:before="300" w:after="180"/>
        <w:jc w:val="both"/>
        <w:rPr>
          <w:rFonts w:ascii="Lato;sans-serif" w:hAnsi="Lato;sans-serif"/>
          <w:b w:val="false"/>
          <w:i/>
          <w:color w:val="000000"/>
          <w:sz w:val="20"/>
        </w:rPr>
      </w:pPr>
      <w:r>
        <w:rPr>
          <w:rFonts w:ascii="Lato;sans-serif" w:hAnsi="Lato;sans-serif"/>
          <w:b w:val="false"/>
          <w:i/>
          <w:color w:val="000000"/>
          <w:sz w:val="20"/>
        </w:rPr>
        <w:t>Ms. McGrane’s Employment Agreement</w:t>
      </w:r>
    </w:p>
    <w:p>
      <w:pPr>
        <w:pStyle w:val="TextBody"/>
        <w:bidi w:val="0"/>
        <w:spacing w:lineRule="auto" w:line="288" w:before="0" w:after="180"/>
        <w:jc w:val="both"/>
        <w:rPr>
          <w:rFonts w:ascii="Lato;sans-serif" w:hAnsi="Lato;sans-serif"/>
          <w:b w:val="false"/>
          <w:color w:val="000000"/>
          <w:sz w:val="20"/>
        </w:rPr>
      </w:pPr>
      <w:r>
        <w:rPr>
          <w:rFonts w:ascii="Lato;sans-serif" w:hAnsi="Lato;sans-serif"/>
          <w:b w:val="false"/>
          <w:color w:val="000000"/>
          <w:sz w:val="20"/>
        </w:rPr>
        <w:t>We entered into an employment agreement with Ms. McGrane effective February 11, 2025, pursuant to which she serves as the Executive Vice President, General Counsel &amp; Corporate Secretary of the Company. Ms. McGrane's employment agreement provides for a base salary of $400,000, which is eligible for annual review and adjustment as approved by the Chief Executive Officer and, as applicable, the Compensation Committee of our Board of Directors. Ms. McGrane is eligible for an annual cash incentive bonus, targeted at 50% of her base salary, with the actual annual bonus payable based upon the achievement of specific performance targets for such fiscal year, as approved by the Compensation Committee.</w:t>
      </w:r>
    </w:p>
    <w:p>
      <w:pPr>
        <w:pStyle w:val="TextBody"/>
        <w:bidi w:val="0"/>
        <w:spacing w:lineRule="auto" w:line="288" w:before="0" w:after="180"/>
        <w:jc w:val="both"/>
        <w:rPr>
          <w:rFonts w:ascii="Lato;sans-serif" w:hAnsi="Lato;sans-serif"/>
          <w:b w:val="false"/>
          <w:color w:val="000000"/>
          <w:sz w:val="20"/>
        </w:rPr>
      </w:pPr>
      <w:r>
        <w:rPr>
          <w:rFonts w:ascii="Lato;sans-serif" w:hAnsi="Lato;sans-serif"/>
          <w:b w:val="false"/>
          <w:color w:val="000000"/>
          <w:sz w:val="20"/>
        </w:rPr>
        <w:t xml:space="preserve">Ms. McGrane is also entitled to participate in all employee benefit plans, practices, programs, and perquisite arrangements available to the most senior executives of the Company generally, on a basis no less favorable than is provided to other similarly situated employees of the Company. Additionally, Ms. McGrane's employment agreement provides for reimbursement of reasonable out-of-pocket expenses incurred by her in the furtherance of the Company's business, subject to all required approvals and verification in accordance with Company policy. Ms. McGrane is also eligible to receive equity awards under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6">
                <wp:simplePos x="0" y="0"/>
                <wp:positionH relativeFrom="character">
                  <wp:align>left</wp:align>
                </wp:positionH>
                <wp:positionV relativeFrom="line">
                  <wp:posOffset>635</wp:posOffset>
                </wp:positionV>
                <wp:extent cx="6480175" cy="352425"/>
                <wp:effectExtent l="0" t="0" r="0" b="0"/>
                <wp:wrapNone/>
                <wp:docPr id="92" name="Frame76"/>
                <a:graphic xmlns:a="http://schemas.openxmlformats.org/drawingml/2006/main">
                  <a:graphicData uri="http://schemas.microsoft.com/office/word/2010/wordprocessingShape">
                    <wps:wsp>
                      <wps:cNvSpPr txBox="1"/>
                      <wps:spPr>
                        <a:xfrm>
                          <a:off x="0" y="0"/>
                          <a:ext cx="6480175" cy="352425"/>
                        </a:xfrm>
                        <a:prstGeom prst="rect"/>
                        <a:solidFill>
                          <a:srgbClr val="FFFFFF"/>
                        </a:solidFill>
                      </wps:spPr>
                      <wps:txbx>
                        <w:txbxContent>
                          <w:p>
                            <w:pPr>
                              <w:pStyle w:val="TextBody"/>
                              <w:bidi w:val="0"/>
                              <w:spacing w:lineRule="auto" w:line="288" w:before="0" w:after="0"/>
                              <w:jc w:val="center"/>
                              <w:rPr>
                                <w:rFonts w:ascii="Lato;sans-serif" w:hAnsi="Lato;sans-serif"/>
                                <w:b w:val="false"/>
                                <w:color w:val="000000"/>
                                <w:sz w:val="20"/>
                              </w:rPr>
                            </w:pPr>
                            <w:r>
                              <w:rPr>
                                <w:rFonts w:ascii="Lato;sans-serif" w:hAnsi="Lato;sans-serif"/>
                                <w:b w:val="false"/>
                                <w:color w:val="000000"/>
                                <w:sz w:val="20"/>
                              </w:rPr>
                              <w:t>70</w:t>
                            </w:r>
                          </w:p>
                          <w:p>
                            <w:pPr>
                              <w:pStyle w:val="TextBody"/>
                              <w:bidi w:val="0"/>
                              <w:spacing w:lineRule="auto" w:line="288" w:before="0" w:after="0"/>
                              <w:jc w:val="left"/>
                              <w:rPr>
                                <w:color w:val="000000"/>
                              </w:rPr>
                            </w:pPr>
                            <w:r>
                              <w:rPr>
                                <w:color w:val="000000"/>
                              </w:rPr>
                              <w:t>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Lato;sans-serif" w:hAnsi="Lato;sans-serif"/>
                          <w:b w:val="false"/>
                          <w:color w:val="000000"/>
                          <w:sz w:val="20"/>
                        </w:rPr>
                      </w:pPr>
                      <w:r>
                        <w:rPr>
                          <w:rFonts w:ascii="Lato;sans-serif" w:hAnsi="Lato;sans-serif"/>
                          <w:b w:val="false"/>
                          <w:color w:val="000000"/>
                          <w:sz w:val="20"/>
                        </w:rPr>
                        <w:t>70</w:t>
                      </w:r>
                    </w:p>
                    <w:p>
                      <w:pPr>
                        <w:pStyle w:val="TextBody"/>
                        <w:bidi w:val="0"/>
                        <w:spacing w:lineRule="auto" w:line="288" w:before="0" w:after="0"/>
                        <w:jc w:val="left"/>
                        <w:rPr>
                          <w:color w:val="000000"/>
                        </w:rPr>
                      </w:pPr>
                      <w:r>
                        <w:rPr>
                          <w:color w:val="000000"/>
                        </w:rPr>
                        <w:t>        </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80"/>
        <w:jc w:val="both"/>
        <w:rPr>
          <w:rFonts w:ascii="Lato;sans-serif" w:hAnsi="Lato;sans-serif"/>
          <w:b w:val="false"/>
          <w:color w:val="000000"/>
          <w:sz w:val="20"/>
        </w:rPr>
      </w:pPr>
      <w:r>
        <w:rPr>
          <w:rFonts w:ascii="Lato;sans-serif" w:hAnsi="Lato;sans-serif"/>
          <w:b w:val="false"/>
          <w:color w:val="000000"/>
          <w:sz w:val="20"/>
        </w:rPr>
        <w:t>Company's 2020 Omnibus Incentive Plan and to participate in any future long-term incentive programs made generally available to the Company's senior executives, as determined by the Board.</w:t>
      </w:r>
    </w:p>
    <w:p>
      <w:pPr>
        <w:pStyle w:val="TextBody"/>
        <w:bidi w:val="0"/>
        <w:spacing w:lineRule="auto" w:line="288" w:before="0" w:after="180"/>
        <w:jc w:val="both"/>
        <w:rPr>
          <w:rFonts w:ascii="Lato;sans-serif" w:hAnsi="Lato;sans-serif"/>
          <w:b w:val="false"/>
          <w:color w:val="000000"/>
          <w:sz w:val="20"/>
        </w:rPr>
      </w:pPr>
      <w:r>
        <w:rPr>
          <w:rFonts w:ascii="Lato;sans-serif" w:hAnsi="Lato;sans-serif"/>
          <w:b w:val="false"/>
          <w:color w:val="000000"/>
          <w:sz w:val="20"/>
        </w:rPr>
        <w:t>Ms. McGrane's employment may be terminated at any time and for any reason by either the Company or Ms. McGrane, provided that either party is required to give 30 days' advance written notice of any termination of employment (provided that the Company is entitled to pay Ms. McGrane's base salary in lieu of such notice period).</w:t>
      </w:r>
    </w:p>
    <w:p>
      <w:pPr>
        <w:pStyle w:val="TextBody"/>
        <w:bidi w:val="0"/>
        <w:spacing w:lineRule="auto" w:line="288" w:before="0" w:after="180"/>
        <w:jc w:val="both"/>
        <w:rPr>
          <w:rFonts w:ascii="Lato;sans-serif" w:hAnsi="Lato;sans-serif"/>
          <w:b w:val="false"/>
          <w:color w:val="000000"/>
          <w:sz w:val="20"/>
        </w:rPr>
      </w:pPr>
      <w:r>
        <w:rPr>
          <w:rFonts w:ascii="Lato;sans-serif" w:hAnsi="Lato;sans-serif"/>
          <w:b w:val="false"/>
          <w:color w:val="000000"/>
          <w:sz w:val="20"/>
        </w:rPr>
        <w:t>Ms. McGrane is subject to the following restrictive covenants: (i) confidentiality during employment and for three years following termination, (ii) non-solicitation of customers for 24 months following termination, (iii) non-solicitation of employees for 24 months following termination, (iv) non-competition during employment and until 12 months following the termination date, and (v) mutual non-disparagement for the longest period legally enforceable.</w:t>
      </w:r>
    </w:p>
    <w:p>
      <w:pPr>
        <w:pStyle w:val="TextBody"/>
        <w:bidi w:val="0"/>
        <w:spacing w:lineRule="auto" w:line="288" w:before="0" w:after="0"/>
        <w:jc w:val="both"/>
        <w:rPr/>
      </w:pPr>
      <w:r>
        <w:rPr>
          <w:rFonts w:ascii="Lato;sans-serif" w:hAnsi="Lato;sans-serif"/>
          <w:b w:val="false"/>
          <w:color w:val="000000"/>
          <w:sz w:val="20"/>
        </w:rPr>
        <w:t>See “</w:t>
      </w:r>
      <w:r>
        <w:rPr>
          <w:color w:val="000000"/>
        </w:rPr>
        <w:t>—</w:t>
      </w:r>
      <w:r>
        <w:rPr>
          <w:rFonts w:ascii="Lato;sans-serif" w:hAnsi="Lato;sans-serif"/>
          <w:b w:val="false"/>
          <w:i/>
          <w:color w:val="000000"/>
          <w:sz w:val="20"/>
        </w:rPr>
        <w:t>Termination and Change in Control Provisions</w:t>
      </w:r>
      <w:r>
        <w:rPr>
          <w:color w:val="000000"/>
        </w:rPr>
        <w:t xml:space="preserve">” </w:t>
      </w:r>
      <w:r>
        <w:rPr>
          <w:rFonts w:ascii="Lato;sans-serif" w:hAnsi="Lato;sans-serif"/>
          <w:b w:val="false"/>
          <w:color w:val="000000"/>
          <w:sz w:val="20"/>
        </w:rPr>
        <w:t>for a description of the severance benefits to which Ms. McGrane is entitled in the event of a qualifying termination of her employment.</w:t>
      </w:r>
    </w:p>
    <w:p>
      <w:pPr>
        <w:pStyle w:val="TextBody"/>
        <w:bidi w:val="0"/>
        <w:spacing w:lineRule="auto" w:line="333" w:before="300" w:after="180"/>
        <w:jc w:val="both"/>
        <w:rPr>
          <w:rFonts w:ascii="Lato;sans-serif" w:hAnsi="Lato;sans-serif"/>
          <w:b/>
          <w:i/>
          <w:color w:val="000000"/>
          <w:sz w:val="20"/>
        </w:rPr>
      </w:pPr>
      <w:r>
        <w:rPr>
          <w:rFonts w:ascii="Lato;sans-serif" w:hAnsi="Lato;sans-serif"/>
          <w:b/>
          <w:i/>
          <w:color w:val="000000"/>
          <w:sz w:val="20"/>
        </w:rPr>
        <w:t>Termination and Change in Control Provisions</w:t>
      </w:r>
    </w:p>
    <w:p>
      <w:pPr>
        <w:pStyle w:val="TextBody"/>
        <w:bidi w:val="0"/>
        <w:spacing w:lineRule="auto" w:line="333" w:before="300" w:after="180"/>
        <w:jc w:val="both"/>
        <w:rPr>
          <w:rFonts w:ascii="Lato;sans-serif" w:hAnsi="Lato;sans-serif"/>
          <w:b w:val="false"/>
          <w:i/>
          <w:color w:val="000000"/>
          <w:sz w:val="20"/>
        </w:rPr>
      </w:pPr>
      <w:r>
        <w:rPr>
          <w:rFonts w:ascii="Lato;sans-serif" w:hAnsi="Lato;sans-serif"/>
          <w:b w:val="false"/>
          <w:i/>
          <w:color w:val="000000"/>
          <w:sz w:val="20"/>
        </w:rPr>
        <w:t>Mr. Schuck’s Employment Agreement</w:t>
      </w:r>
    </w:p>
    <w:p>
      <w:pPr>
        <w:pStyle w:val="TextBody"/>
        <w:bidi w:val="0"/>
        <w:spacing w:lineRule="auto" w:line="288" w:before="180" w:after="180"/>
        <w:jc w:val="both"/>
        <w:rPr>
          <w:rFonts w:ascii="Lato;sans-serif" w:hAnsi="Lato;sans-serif"/>
          <w:b w:val="false"/>
          <w:color w:val="000000"/>
          <w:sz w:val="20"/>
        </w:rPr>
      </w:pPr>
      <w:r>
        <w:rPr>
          <w:rFonts w:ascii="Lato;sans-serif" w:hAnsi="Lato;sans-serif"/>
          <w:b w:val="false"/>
          <w:color w:val="000000"/>
          <w:sz w:val="20"/>
        </w:rPr>
        <w:t>Pursuant to Mr. Schuck’s employment agreement, upon termination of his employment by the Company without cause or his resignation with good reason, he is entitled to a severance payment (subject to his execution of a general release of claims against the Company) equal to (i) one year of his base salary plus the amount of his target annual bonus (at 100% achievement), prorated based on the number of days he is employed during the fiscal year in which the termination date occurs, payable in a single lump sum; (ii) payment of any earned but unpaid annual bonus for the fiscal year prior to the year in which the termination date occurs payable in a single lump sum; (iii) continuation for 12 months following the termination date of any health insurance benefits to which he was entitled as of the termination date; and (iv) accelerated vesting of the portion of his then-unvested equity awards subject to time-based vesting that he holds as of the termination date and which were scheduled to vest within 12 months following the termination date.</w:t>
      </w:r>
    </w:p>
    <w:p>
      <w:pPr>
        <w:pStyle w:val="TextBody"/>
        <w:bidi w:val="0"/>
        <w:spacing w:lineRule="auto" w:line="288" w:before="180" w:after="180"/>
        <w:jc w:val="both"/>
        <w:rPr>
          <w:rFonts w:ascii="Lato;sans-serif" w:hAnsi="Lato;sans-serif"/>
          <w:b w:val="false"/>
          <w:color w:val="000000"/>
          <w:sz w:val="20"/>
        </w:rPr>
      </w:pPr>
      <w:r>
        <w:rPr>
          <w:rFonts w:ascii="Lato;sans-serif" w:hAnsi="Lato;sans-serif"/>
          <w:b w:val="false"/>
          <w:color w:val="000000"/>
          <w:sz w:val="20"/>
        </w:rPr>
        <w:t>In the event of a termination of Mr. Schuck’s employment by the Company without cause or his resignation with good reason, which in either case occurs during the period beginning three months prior to, and ending 12 months following, a “change in control” of the Company, he is entitled to a severance payment (subject to his execution of a general release of claims against the Company) equal to (i) 18 months of his base salary plus the amount of his target annual bonus (at 100% achievement), payable in a single lump sum; (ii) payment of any earned but unpaid annual bonus for the fiscal year prior to the year in which the termination date occurs payable in a single lump sum; (iii) continuation for 18 months following the termination date of any health insurance benefits to which he was entitled as of the termination date; and (iv) full accelerated vesting of all then-unvested equity awards subject to time-based vesting that he holds as of the termination date.</w:t>
      </w:r>
    </w:p>
    <w:p>
      <w:pPr>
        <w:pStyle w:val="TextBody"/>
        <w:bidi w:val="0"/>
        <w:spacing w:lineRule="auto" w:line="288" w:before="180" w:after="180"/>
        <w:jc w:val="both"/>
        <w:rPr>
          <w:rFonts w:ascii="Lato;sans-serif" w:hAnsi="Lato;sans-serif"/>
          <w:b w:val="false"/>
          <w:color w:val="000000"/>
          <w:sz w:val="20"/>
        </w:rPr>
      </w:pPr>
      <w:r>
        <w:rPr>
          <w:rFonts w:ascii="Lato;sans-serif" w:hAnsi="Lato;sans-serif"/>
          <w:b w:val="false"/>
          <w:color w:val="000000"/>
          <w:sz w:val="20"/>
        </w:rPr>
        <w:t>Mr. Schuck’s employment agreement further provides that upon termination of his employment due to death or disability, he is entitled to a severance payment equal to the expected amount of his annual performance bonus for the year in which the termination occurs, prorated through the termination date.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7">
                <wp:simplePos x="0" y="0"/>
                <wp:positionH relativeFrom="character">
                  <wp:align>left</wp:align>
                </wp:positionH>
                <wp:positionV relativeFrom="line">
                  <wp:posOffset>635</wp:posOffset>
                </wp:positionV>
                <wp:extent cx="6480175" cy="352425"/>
                <wp:effectExtent l="0" t="0" r="0" b="0"/>
                <wp:wrapNone/>
                <wp:docPr id="93" name="Frame77"/>
                <a:graphic xmlns:a="http://schemas.openxmlformats.org/drawingml/2006/main">
                  <a:graphicData uri="http://schemas.microsoft.com/office/word/2010/wordprocessingShape">
                    <wps:wsp>
                      <wps:cNvSpPr txBox="1"/>
                      <wps:spPr>
                        <a:xfrm>
                          <a:off x="0" y="0"/>
                          <a:ext cx="6480175" cy="352425"/>
                        </a:xfrm>
                        <a:prstGeom prst="rect"/>
                        <a:solidFill>
                          <a:srgbClr val="FFFFFF"/>
                        </a:solidFill>
                      </wps:spPr>
                      <wps:txbx>
                        <w:txbxContent>
                          <w:p>
                            <w:pPr>
                              <w:pStyle w:val="TextBody"/>
                              <w:bidi w:val="0"/>
                              <w:spacing w:lineRule="auto" w:line="288" w:before="0" w:after="0"/>
                              <w:jc w:val="center"/>
                              <w:rPr>
                                <w:rFonts w:ascii="Lato;sans-serif" w:hAnsi="Lato;sans-serif"/>
                                <w:b w:val="false"/>
                                <w:color w:val="000000"/>
                                <w:sz w:val="20"/>
                              </w:rPr>
                            </w:pPr>
                            <w:r>
                              <w:rPr>
                                <w:rFonts w:ascii="Lato;sans-serif" w:hAnsi="Lato;sans-serif"/>
                                <w:b w:val="false"/>
                                <w:color w:val="000000"/>
                                <w:sz w:val="20"/>
                              </w:rPr>
                              <w:t>71</w:t>
                            </w:r>
                          </w:p>
                          <w:p>
                            <w:pPr>
                              <w:pStyle w:val="TextBody"/>
                              <w:bidi w:val="0"/>
                              <w:spacing w:lineRule="auto" w:line="288" w:before="0" w:after="0"/>
                              <w:jc w:val="left"/>
                              <w:rPr>
                                <w:color w:val="000000"/>
                              </w:rPr>
                            </w:pPr>
                            <w:r>
                              <w:rPr>
                                <w:color w:val="000000"/>
                              </w:rPr>
                              <w:t>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Lato;sans-serif" w:hAnsi="Lato;sans-serif"/>
                          <w:b w:val="false"/>
                          <w:color w:val="000000"/>
                          <w:sz w:val="20"/>
                        </w:rPr>
                      </w:pPr>
                      <w:r>
                        <w:rPr>
                          <w:rFonts w:ascii="Lato;sans-serif" w:hAnsi="Lato;sans-serif"/>
                          <w:b w:val="false"/>
                          <w:color w:val="000000"/>
                          <w:sz w:val="20"/>
                        </w:rPr>
                        <w:t>71</w:t>
                      </w:r>
                    </w:p>
                    <w:p>
                      <w:pPr>
                        <w:pStyle w:val="TextBody"/>
                        <w:bidi w:val="0"/>
                        <w:spacing w:lineRule="auto" w:line="288" w:before="0" w:after="0"/>
                        <w:jc w:val="left"/>
                        <w:rPr>
                          <w:color w:val="000000"/>
                        </w:rPr>
                      </w:pPr>
                      <w:r>
                        <w:rPr>
                          <w:color w:val="000000"/>
                        </w:rPr>
                        <w:t>        </w:t>
                      </w:r>
                    </w:p>
                  </w:txbxContent>
                </v:textbox>
                <w10:wrap type="none"/>
              </v:rect>
            </w:pict>
          </mc:Fallback>
        </mc:AlternateContent>
      </w:r>
    </w:p>
    <w:p>
      <w:pPr>
        <w:pStyle w:val="TextBody"/>
        <w:bidi w:val="0"/>
        <w:spacing w:before="0" w:after="0"/>
        <w:jc w:val="left"/>
        <w:rPr/>
      </w:pPr>
      <w:r>
        <w:rPr/>
      </w:r>
    </w:p>
    <w:p>
      <w:pPr>
        <w:pStyle w:val="TextBody"/>
        <w:bidi w:val="0"/>
        <w:spacing w:lineRule="auto" w:line="333" w:before="180" w:after="180"/>
        <w:jc w:val="both"/>
        <w:rPr>
          <w:rFonts w:ascii="Lato;sans-serif" w:hAnsi="Lato;sans-serif"/>
          <w:b w:val="false"/>
          <w:i/>
          <w:color w:val="000000"/>
          <w:sz w:val="20"/>
        </w:rPr>
      </w:pPr>
      <w:r>
        <w:rPr>
          <w:rFonts w:ascii="Lato;sans-serif" w:hAnsi="Lato;sans-serif"/>
          <w:b w:val="false"/>
          <w:i/>
          <w:color w:val="000000"/>
          <w:sz w:val="20"/>
        </w:rPr>
        <w:t>Mr. O'Brien’s Employment Agreement</w:t>
      </w:r>
    </w:p>
    <w:p>
      <w:pPr>
        <w:pStyle w:val="TextBody"/>
        <w:bidi w:val="0"/>
        <w:spacing w:lineRule="auto" w:line="288" w:before="0" w:after="180"/>
        <w:jc w:val="both"/>
        <w:rPr>
          <w:rFonts w:ascii="Lato;sans-serif" w:hAnsi="Lato;sans-serif"/>
          <w:b w:val="false"/>
          <w:color w:val="000000"/>
          <w:sz w:val="20"/>
        </w:rPr>
      </w:pPr>
      <w:r>
        <w:rPr>
          <w:rFonts w:ascii="Lato;sans-serif" w:hAnsi="Lato;sans-serif"/>
          <w:b w:val="false"/>
          <w:color w:val="000000"/>
          <w:sz w:val="20"/>
        </w:rPr>
        <w:t>Pursuant to Mr. O'Brien's employment agreement, upon termination of his employment by the Company without cause or his resignation with good reason, he is entitled to a severance payment (subject to his execution of a general release of claims against the Company) equal to (i) 50% of his then-current base salary, payable in a single lump sum; (ii) a pro-rated portion of his annual cash incentive bonus for the year of termination, based on actual performance and prorated for the portion of the year in which he remained employed; (iii) reimbursement or payment of health insurance premiums for nine months following the termination date under COBRA (or an equivalent arrangement); and (iv) accelerated vesting of any time-based restricted stock units or comparable time-based equity awards that would otherwise have vested in the 12 months immediately following the termination date, subject to a cap on the fair market value of the shares so accelerated determined as of the termination date (up to $2,000,000 for three years of service, $2,750,000 for four years of service, $3,500,000 for five years of service, and $4,250,000 for six or more years of service).</w:t>
      </w:r>
    </w:p>
    <w:p>
      <w:pPr>
        <w:pStyle w:val="TextBody"/>
        <w:bidi w:val="0"/>
        <w:spacing w:lineRule="auto" w:line="288" w:before="0" w:after="180"/>
        <w:jc w:val="both"/>
        <w:rPr>
          <w:rFonts w:ascii="Lato;sans-serif" w:hAnsi="Lato;sans-serif"/>
          <w:b w:val="false"/>
          <w:color w:val="000000"/>
          <w:sz w:val="20"/>
        </w:rPr>
      </w:pPr>
      <w:r>
        <w:rPr>
          <w:rFonts w:ascii="Lato;sans-serif" w:hAnsi="Lato;sans-serif"/>
          <w:b w:val="false"/>
          <w:color w:val="000000"/>
          <w:sz w:val="20"/>
        </w:rPr>
        <w:t>In the event of a termination of Mr. O'Brien's employment by the Company without cause or his resignation with good reason, which in either case occurs within 12 months following a "change in control" of the Company, he is entitled to enhanced severance (subject to his execution of a general release of claims against the Company) equal to (i) 75% of his then-current base salary, payable in a single lump sum; (ii) 100% of his target annual cash incentive bonus for the year of termination, payable in a single lump sum; (iii) reimbursement or payment of health insurance premiums for 12 months following the termination date under COBRA (or an equivalent arrangement); (iv) full accelerated vesting of all outstanding time-based equity awards; and (v) accelerated vesting of any outstanding performance-based equity awards at the greater of target or the actual attainment level determined in good faith by the Board or its authorized committee.</w:t>
      </w:r>
    </w:p>
    <w:p>
      <w:pPr>
        <w:pStyle w:val="TextBody"/>
        <w:bidi w:val="0"/>
        <w:spacing w:lineRule="auto" w:line="288" w:before="0" w:after="0"/>
        <w:jc w:val="both"/>
        <w:rPr>
          <w:rFonts w:ascii="Lato;sans-serif" w:hAnsi="Lato;sans-serif"/>
          <w:b w:val="false"/>
          <w:color w:val="000000"/>
          <w:sz w:val="20"/>
        </w:rPr>
      </w:pPr>
      <w:r>
        <w:rPr>
          <w:rFonts w:ascii="Lato;sans-serif" w:hAnsi="Lato;sans-serif"/>
          <w:b w:val="false"/>
          <w:color w:val="000000"/>
          <w:sz w:val="20"/>
        </w:rPr>
        <w:t>Mr. O'Brien's employment agreement further provides that upon termination of his employment due to death or disability, he is entitled to a severance payment equal to the expected amount of his annual performance bonus for the year in which the termination occurs, prorated through the termination date, plus accelerated vesting of any time-based equity awards that would otherwise have vested in the 12 months immediately following such termination.</w:t>
      </w:r>
    </w:p>
    <w:p>
      <w:pPr>
        <w:pStyle w:val="TextBody"/>
        <w:bidi w:val="0"/>
        <w:spacing w:lineRule="auto" w:line="288" w:before="300" w:after="180"/>
        <w:jc w:val="left"/>
        <w:rPr>
          <w:rFonts w:ascii="Lato;sans-serif" w:hAnsi="Lato;sans-serif"/>
          <w:b w:val="false"/>
          <w:i/>
          <w:color w:val="000000"/>
          <w:sz w:val="20"/>
        </w:rPr>
      </w:pPr>
      <w:r>
        <w:rPr>
          <w:rFonts w:ascii="Lato;sans-serif" w:hAnsi="Lato;sans-serif"/>
          <w:b w:val="false"/>
          <w:i/>
          <w:color w:val="000000"/>
          <w:sz w:val="20"/>
        </w:rPr>
        <w:t>Mr. Roth’s Employment Agreement</w:t>
      </w:r>
    </w:p>
    <w:p>
      <w:pPr>
        <w:pStyle w:val="TextBody"/>
        <w:bidi w:val="0"/>
        <w:spacing w:lineRule="auto" w:line="288" w:before="0" w:after="180"/>
        <w:jc w:val="both"/>
        <w:rPr>
          <w:rFonts w:ascii="Lato;sans-serif" w:hAnsi="Lato;sans-serif"/>
          <w:b w:val="false"/>
          <w:color w:val="000000"/>
          <w:sz w:val="20"/>
        </w:rPr>
      </w:pPr>
      <w:r>
        <w:rPr>
          <w:rFonts w:ascii="Lato;sans-serif" w:hAnsi="Lato;sans-serif"/>
          <w:b w:val="false"/>
          <w:color w:val="000000"/>
          <w:sz w:val="20"/>
        </w:rPr>
        <w:t>Pursuant to Mr. Roth's employment agreement, upon termination of his employment by the Company without cause or his resignation with good reason, he is entitled to a severance payment (subject to his execution of a general release of claims against the Company) equal to (i) 50% of his then-current base salary, payable in a single lump sum; (ii) a pro-rated portion of his annual cash incentive bonus for the year of termination, based on actual performance and prorated for the portion of the year in which he remained employed; (iii) reimbursement or payment of health insurance premiums for nine months following the termination date under COBRA (or an equivalent arrangement); and (iv) accelerated vesting of any time-based restricted stock units or comparable time-based equity awards that would otherwise have vested in the 12 months immediately following the termination date, subject to a cap on the fair market value of the shares so accelerated determined as of the termination date (up to $2,000,000 for three years of service, $2,750,000 for four years of service, $3,500,000 for five years of service, and $4,250,000 for six or more years of service).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8">
                <wp:simplePos x="0" y="0"/>
                <wp:positionH relativeFrom="character">
                  <wp:align>left</wp:align>
                </wp:positionH>
                <wp:positionV relativeFrom="line">
                  <wp:posOffset>635</wp:posOffset>
                </wp:positionV>
                <wp:extent cx="6480175" cy="352425"/>
                <wp:effectExtent l="0" t="0" r="0" b="0"/>
                <wp:wrapNone/>
                <wp:docPr id="94" name="Frame78"/>
                <a:graphic xmlns:a="http://schemas.openxmlformats.org/drawingml/2006/main">
                  <a:graphicData uri="http://schemas.microsoft.com/office/word/2010/wordprocessingShape">
                    <wps:wsp>
                      <wps:cNvSpPr txBox="1"/>
                      <wps:spPr>
                        <a:xfrm>
                          <a:off x="0" y="0"/>
                          <a:ext cx="6480175" cy="352425"/>
                        </a:xfrm>
                        <a:prstGeom prst="rect"/>
                        <a:solidFill>
                          <a:srgbClr val="FFFFFF"/>
                        </a:solidFill>
                      </wps:spPr>
                      <wps:txbx>
                        <w:txbxContent>
                          <w:p>
                            <w:pPr>
                              <w:pStyle w:val="TextBody"/>
                              <w:bidi w:val="0"/>
                              <w:spacing w:lineRule="auto" w:line="288" w:before="0" w:after="0"/>
                              <w:jc w:val="center"/>
                              <w:rPr>
                                <w:rFonts w:ascii="Lato;sans-serif" w:hAnsi="Lato;sans-serif"/>
                                <w:b w:val="false"/>
                                <w:color w:val="000000"/>
                                <w:sz w:val="20"/>
                              </w:rPr>
                            </w:pPr>
                            <w:r>
                              <w:rPr>
                                <w:rFonts w:ascii="Lato;sans-serif" w:hAnsi="Lato;sans-serif"/>
                                <w:b w:val="false"/>
                                <w:color w:val="000000"/>
                                <w:sz w:val="20"/>
                              </w:rPr>
                              <w:t>72</w:t>
                            </w:r>
                          </w:p>
                          <w:p>
                            <w:pPr>
                              <w:pStyle w:val="TextBody"/>
                              <w:bidi w:val="0"/>
                              <w:spacing w:lineRule="auto" w:line="288" w:before="0" w:after="0"/>
                              <w:jc w:val="left"/>
                              <w:rPr>
                                <w:color w:val="000000"/>
                              </w:rPr>
                            </w:pPr>
                            <w:r>
                              <w:rPr>
                                <w:color w:val="000000"/>
                              </w:rPr>
                              <w:t>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Lato;sans-serif" w:hAnsi="Lato;sans-serif"/>
                          <w:b w:val="false"/>
                          <w:color w:val="000000"/>
                          <w:sz w:val="20"/>
                        </w:rPr>
                      </w:pPr>
                      <w:r>
                        <w:rPr>
                          <w:rFonts w:ascii="Lato;sans-serif" w:hAnsi="Lato;sans-serif"/>
                          <w:b w:val="false"/>
                          <w:color w:val="000000"/>
                          <w:sz w:val="20"/>
                        </w:rPr>
                        <w:t>72</w:t>
                      </w:r>
                    </w:p>
                    <w:p>
                      <w:pPr>
                        <w:pStyle w:val="TextBody"/>
                        <w:bidi w:val="0"/>
                        <w:spacing w:lineRule="auto" w:line="288" w:before="0" w:after="0"/>
                        <w:jc w:val="left"/>
                        <w:rPr>
                          <w:color w:val="000000"/>
                        </w:rPr>
                      </w:pPr>
                      <w:r>
                        <w:rPr>
                          <w:color w:val="000000"/>
                        </w:rPr>
                        <w:t>        </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80"/>
        <w:jc w:val="both"/>
        <w:rPr>
          <w:rFonts w:ascii="Lato;sans-serif" w:hAnsi="Lato;sans-serif"/>
          <w:b w:val="false"/>
          <w:color w:val="000000"/>
          <w:sz w:val="20"/>
        </w:rPr>
      </w:pPr>
      <w:r>
        <w:rPr>
          <w:rFonts w:ascii="Lato;sans-serif" w:hAnsi="Lato;sans-serif"/>
          <w:b w:val="false"/>
          <w:color w:val="000000"/>
          <w:sz w:val="20"/>
        </w:rPr>
        <w:t>In the event of a termination of Mr. Roth's employment by the Company without cause or his resignation with good reason, which in either case occurs within 12 months following a "change in control" of the Company, he is entitled to enhanced severance (subject to his execution of a general release of claims against the Company) equal to (i) 75% of his then-current base salary, payable in a single lump sum; (ii) 100% of his target annual cash incentive bonus for the year of termination, payable in a single lump sum; (iii) reimbursement or payment of health insurance premiums for 12 months following the termination date under COBRA (or an equivalent arrangement); (iv) full accelerated vesting of all outstanding time-based equity awards; and (v) accelerated vesting of any outstanding performance-based equity awards at the greater of target or the actual attainment level determined in good faith by the Board or its authorized committee.</w:t>
      </w:r>
    </w:p>
    <w:p>
      <w:pPr>
        <w:pStyle w:val="TextBody"/>
        <w:bidi w:val="0"/>
        <w:spacing w:lineRule="auto" w:line="288" w:before="0" w:after="0"/>
        <w:jc w:val="both"/>
        <w:rPr>
          <w:rFonts w:ascii="Lato;sans-serif" w:hAnsi="Lato;sans-serif"/>
          <w:b w:val="false"/>
          <w:color w:val="000000"/>
          <w:sz w:val="20"/>
        </w:rPr>
      </w:pPr>
      <w:r>
        <w:rPr>
          <w:rFonts w:ascii="Lato;sans-serif" w:hAnsi="Lato;sans-serif"/>
          <w:b w:val="false"/>
          <w:color w:val="000000"/>
          <w:sz w:val="20"/>
        </w:rPr>
        <w:t>Mr. Roth's employment agreement further provides that upon termination of his employment due to death or disability, he is entitled to a severance payment equal to the expected amount of his annual performance bonus for the year in which the termination occurs, prorated through the termination date, plus accelerated vesting of any time-based equity awards that would otherwise have vested in the 12 months immediately following such termination.</w:t>
      </w:r>
    </w:p>
    <w:p>
      <w:pPr>
        <w:pStyle w:val="TextBody"/>
        <w:bidi w:val="0"/>
        <w:spacing w:lineRule="auto" w:line="288" w:before="300" w:after="180"/>
        <w:jc w:val="left"/>
        <w:rPr>
          <w:rFonts w:ascii="Lato;sans-serif" w:hAnsi="Lato;sans-serif"/>
          <w:b w:val="false"/>
          <w:i/>
          <w:color w:val="000000"/>
          <w:sz w:val="20"/>
        </w:rPr>
      </w:pPr>
      <w:r>
        <w:rPr>
          <w:rFonts w:ascii="Lato;sans-serif" w:hAnsi="Lato;sans-serif"/>
          <w:b w:val="false"/>
          <w:i/>
          <w:color w:val="000000"/>
          <w:sz w:val="20"/>
        </w:rPr>
        <w:t>Ms. McGrane’s Employment Agreement</w:t>
      </w:r>
    </w:p>
    <w:p>
      <w:pPr>
        <w:pStyle w:val="TextBody"/>
        <w:bidi w:val="0"/>
        <w:spacing w:lineRule="auto" w:line="288" w:before="0" w:after="180"/>
        <w:jc w:val="both"/>
        <w:rPr>
          <w:rFonts w:ascii="Lato;sans-serif" w:hAnsi="Lato;sans-serif"/>
          <w:b w:val="false"/>
          <w:color w:val="000000"/>
          <w:sz w:val="20"/>
        </w:rPr>
      </w:pPr>
      <w:r>
        <w:rPr>
          <w:rFonts w:ascii="Lato;sans-serif" w:hAnsi="Lato;sans-serif"/>
          <w:b w:val="false"/>
          <w:color w:val="000000"/>
          <w:sz w:val="20"/>
        </w:rPr>
        <w:t>Pursuant to Ms. McGrane's employment agreement, upon termination of her employment by the Company without cause or her resignation with good reason, she is entitled to a severance payment (subject to her execution of a general release of claims against the Company) equal to (i) 50% of her then-current base salary, payable in a single lump sum; (ii) a pro-rated portion of her annual cash incentive bonus for the year of termination, based on actual performance and prorated for the portion of the year in which she remained employed; (iii) reimbursement or payment of health insurance premiums for nine months following the termination date under COBRA (or an equivalent arrangement); and (iv) accelerated vesting of any time-based restricted stock units or comparable time-based equity awards that would otherwise have vested in the 12 months immediately following the termination date, subject to a cap on the fair market value of the shares so accelerated determined as of the termination date (up to $2,000,000 for three years of service, $2,750,000 for four years of service, $3,500,000 for five years of service, and $4,250,000 for six or more years of service).</w:t>
      </w:r>
    </w:p>
    <w:p>
      <w:pPr>
        <w:pStyle w:val="TextBody"/>
        <w:bidi w:val="0"/>
        <w:spacing w:lineRule="auto" w:line="288" w:before="0" w:after="180"/>
        <w:jc w:val="both"/>
        <w:rPr>
          <w:rFonts w:ascii="Lato;sans-serif" w:hAnsi="Lato;sans-serif"/>
          <w:b w:val="false"/>
          <w:color w:val="000000"/>
          <w:sz w:val="20"/>
        </w:rPr>
      </w:pPr>
      <w:r>
        <w:rPr>
          <w:rFonts w:ascii="Lato;sans-serif" w:hAnsi="Lato;sans-serif"/>
          <w:b w:val="false"/>
          <w:color w:val="000000"/>
          <w:sz w:val="20"/>
        </w:rPr>
        <w:t>In the event of a termination of Ms. McGrane's employment by the Company without cause or her resignation with good reason, which in either case occurs within 12 months following a "change in control" of the Company, she is entitled to enhanced severance (subject to her execution of a general release of claims against the Company) equal to (i) 75% of her then-current base salary, payable in a single lump sum; (ii) 100% of her target annual cash incentive bonus for the year of termination, payable in a single lump sum; (iii) reimbursement or payment of health insurance premiums for 12 months following the termination date under COBRA (or an equivalent arrangement); (iv) full accelerated vesting of all outstanding time-based equity awards; and (v) accelerated vesting of any outstanding performance-based equity awards at the greater of target or the actual attainment level determined in good faith by the Board or its authorized committee.</w:t>
      </w:r>
    </w:p>
    <w:p>
      <w:pPr>
        <w:pStyle w:val="TextBody"/>
        <w:bidi w:val="0"/>
        <w:spacing w:lineRule="auto" w:line="288" w:before="0" w:after="0"/>
        <w:jc w:val="both"/>
        <w:rPr>
          <w:rFonts w:ascii="Lato;sans-serif" w:hAnsi="Lato;sans-serif"/>
          <w:b w:val="false"/>
          <w:color w:val="000000"/>
          <w:sz w:val="20"/>
        </w:rPr>
      </w:pPr>
      <w:r>
        <w:rPr>
          <w:rFonts w:ascii="Lato;sans-serif" w:hAnsi="Lato;sans-serif"/>
          <w:b w:val="false"/>
          <w:color w:val="000000"/>
          <w:sz w:val="20"/>
        </w:rPr>
        <w:t>Ms. McGrane's employment agreement further provides that upon termination of her employment due to death or disability, she is entitled to a severance payment equal to the expected amount of her annual performance bonus for the year in which the termination occurs, prorated through the termination date, plus accelerated vesting of any time-based equity awards that would otherwise have vested in the 12 months immediately following such termination.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9">
                <wp:simplePos x="0" y="0"/>
                <wp:positionH relativeFrom="character">
                  <wp:align>left</wp:align>
                </wp:positionH>
                <wp:positionV relativeFrom="line">
                  <wp:posOffset>635</wp:posOffset>
                </wp:positionV>
                <wp:extent cx="6480175" cy="352425"/>
                <wp:effectExtent l="0" t="0" r="0" b="0"/>
                <wp:wrapNone/>
                <wp:docPr id="95" name="Frame79"/>
                <a:graphic xmlns:a="http://schemas.openxmlformats.org/drawingml/2006/main">
                  <a:graphicData uri="http://schemas.microsoft.com/office/word/2010/wordprocessingShape">
                    <wps:wsp>
                      <wps:cNvSpPr txBox="1"/>
                      <wps:spPr>
                        <a:xfrm>
                          <a:off x="0" y="0"/>
                          <a:ext cx="6480175" cy="352425"/>
                        </a:xfrm>
                        <a:prstGeom prst="rect"/>
                        <a:solidFill>
                          <a:srgbClr val="FFFFFF"/>
                        </a:solidFill>
                      </wps:spPr>
                      <wps:txbx>
                        <w:txbxContent>
                          <w:p>
                            <w:pPr>
                              <w:pStyle w:val="TextBody"/>
                              <w:bidi w:val="0"/>
                              <w:spacing w:lineRule="auto" w:line="288" w:before="0" w:after="0"/>
                              <w:jc w:val="center"/>
                              <w:rPr>
                                <w:rFonts w:ascii="Lato;sans-serif" w:hAnsi="Lato;sans-serif"/>
                                <w:b w:val="false"/>
                                <w:color w:val="000000"/>
                                <w:sz w:val="20"/>
                              </w:rPr>
                            </w:pPr>
                            <w:r>
                              <w:rPr>
                                <w:rFonts w:ascii="Lato;sans-serif" w:hAnsi="Lato;sans-serif"/>
                                <w:b w:val="false"/>
                                <w:color w:val="000000"/>
                                <w:sz w:val="20"/>
                              </w:rPr>
                              <w:t>73</w:t>
                            </w:r>
                          </w:p>
                          <w:p>
                            <w:pPr>
                              <w:pStyle w:val="TextBody"/>
                              <w:bidi w:val="0"/>
                              <w:spacing w:lineRule="auto" w:line="288" w:before="0" w:after="0"/>
                              <w:jc w:val="left"/>
                              <w:rPr>
                                <w:color w:val="000000"/>
                              </w:rPr>
                            </w:pPr>
                            <w:r>
                              <w:rPr>
                                <w:color w:val="000000"/>
                              </w:rPr>
                              <w:t>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Lato;sans-serif" w:hAnsi="Lato;sans-serif"/>
                          <w:b w:val="false"/>
                          <w:color w:val="000000"/>
                          <w:sz w:val="20"/>
                        </w:rPr>
                      </w:pPr>
                      <w:r>
                        <w:rPr>
                          <w:rFonts w:ascii="Lato;sans-serif" w:hAnsi="Lato;sans-serif"/>
                          <w:b w:val="false"/>
                          <w:color w:val="000000"/>
                          <w:sz w:val="20"/>
                        </w:rPr>
                        <w:t>73</w:t>
                      </w:r>
                    </w:p>
                    <w:p>
                      <w:pPr>
                        <w:pStyle w:val="TextBody"/>
                        <w:bidi w:val="0"/>
                        <w:spacing w:lineRule="auto" w:line="288" w:before="0" w:after="0"/>
                        <w:jc w:val="left"/>
                        <w:rPr>
                          <w:color w:val="000000"/>
                        </w:rPr>
                      </w:pPr>
                      <w:r>
                        <w:rPr>
                          <w:color w:val="000000"/>
                        </w:rPr>
                        <w:t>        </w:t>
                      </w:r>
                    </w:p>
                  </w:txbxContent>
                </v:textbox>
                <w10:wrap type="none"/>
              </v:rect>
            </w:pict>
          </mc:Fallback>
        </mc:AlternateContent>
      </w:r>
    </w:p>
    <w:p>
      <w:pPr>
        <w:pStyle w:val="TextBody"/>
        <w:bidi w:val="0"/>
        <w:spacing w:before="0" w:after="0"/>
        <w:jc w:val="left"/>
        <w:rPr/>
      </w:pPr>
      <w:r>
        <w:rPr/>
      </w:r>
    </w:p>
    <w:p>
      <w:pPr>
        <w:pStyle w:val="TextBody"/>
        <w:bidi w:val="0"/>
        <w:spacing w:lineRule="auto" w:line="333" w:before="300" w:after="180"/>
        <w:jc w:val="left"/>
        <w:rPr>
          <w:rFonts w:ascii="Lato;sans-serif" w:hAnsi="Lato;sans-serif"/>
          <w:b/>
          <w:color w:val="000000"/>
          <w:sz w:val="20"/>
        </w:rPr>
      </w:pPr>
      <w:r>
        <w:rPr>
          <w:rFonts w:ascii="Lato;sans-serif" w:hAnsi="Lato;sans-serif"/>
          <w:b/>
          <w:color w:val="000000"/>
          <w:sz w:val="20"/>
        </w:rPr>
        <w:t>Potential Payments upon Termination or Change in Control</w:t>
      </w:r>
    </w:p>
    <w:p>
      <w:pPr>
        <w:pStyle w:val="TextBody"/>
        <w:bidi w:val="0"/>
        <w:spacing w:lineRule="auto" w:line="288" w:before="180" w:after="180"/>
        <w:jc w:val="both"/>
        <w:rPr/>
      </w:pPr>
      <w:r>
        <w:rPr>
          <w:rFonts w:ascii="Lato;sans-serif" w:hAnsi="Lato;sans-serif"/>
          <w:b w:val="false"/>
          <w:color w:val="000000"/>
          <w:sz w:val="20"/>
        </w:rPr>
        <w:t>The following tables provide information concerning the estimated payments and benefits that would be provided in the circumstances described above, assuming that the triggering event took place on December 31, 2025, the last day of our fiscal year. For purposes of valuing accelerated vesting, the values indicated in the tables below are calculated using a per share price of $10.17</w:t>
      </w:r>
      <w:r>
        <w:rPr>
          <w:rFonts w:ascii="Lato;sans-serif" w:hAnsi="Lato;sans-serif"/>
          <w:b w:val="false"/>
          <w:color w:val="000000"/>
          <w:sz w:val="20"/>
          <w:shd w:fill="FFFFFF" w:val="clear"/>
        </w:rPr>
        <w:t>,</w:t>
      </w:r>
      <w:r>
        <w:rPr>
          <w:color w:val="000000"/>
        </w:rPr>
        <w:t xml:space="preserve"> </w:t>
      </w:r>
      <w:r>
        <w:rPr>
          <w:rFonts w:ascii="Lato;sans-serif" w:hAnsi="Lato;sans-serif"/>
          <w:b w:val="false"/>
          <w:color w:val="000000"/>
          <w:sz w:val="20"/>
        </w:rPr>
        <w:t>the closing price of a share of our common stock on December 31, 2025, multiplied by the number of unvested shares subject to the award as of December 31, 2025 that are being accelerated.</w:t>
      </w:r>
    </w:p>
    <w:tbl>
      <w:tblPr>
        <w:tblW w:w="10205" w:type="dxa"/>
        <w:jc w:val="left"/>
        <w:tblInd w:w="0" w:type="dxa"/>
        <w:tblLayout w:type="fixed"/>
        <w:tblCellMar>
          <w:top w:w="28" w:type="dxa"/>
          <w:left w:w="28" w:type="dxa"/>
          <w:bottom w:w="28" w:type="dxa"/>
          <w:right w:w="28" w:type="dxa"/>
        </w:tblCellMar>
      </w:tblPr>
      <w:tblGrid>
        <w:gridCol w:w="574"/>
        <w:gridCol w:w="422"/>
        <w:gridCol w:w="427"/>
        <w:gridCol w:w="109"/>
        <w:gridCol w:w="109"/>
        <w:gridCol w:w="109"/>
        <w:gridCol w:w="602"/>
        <w:gridCol w:w="602"/>
        <w:gridCol w:w="604"/>
        <w:gridCol w:w="188"/>
        <w:gridCol w:w="188"/>
        <w:gridCol w:w="188"/>
        <w:gridCol w:w="605"/>
        <w:gridCol w:w="605"/>
        <w:gridCol w:w="606"/>
        <w:gridCol w:w="188"/>
        <w:gridCol w:w="188"/>
        <w:gridCol w:w="188"/>
        <w:gridCol w:w="442"/>
        <w:gridCol w:w="442"/>
        <w:gridCol w:w="427"/>
        <w:gridCol w:w="188"/>
        <w:gridCol w:w="188"/>
        <w:gridCol w:w="188"/>
        <w:gridCol w:w="532"/>
        <w:gridCol w:w="532"/>
        <w:gridCol w:w="764"/>
      </w:tblGrid>
      <w:tr>
        <w:trPr/>
        <w:tc>
          <w:tcPr>
            <w:tcW w:w="574" w:type="dxa"/>
            <w:tcBorders/>
            <w:vAlign w:val="center"/>
          </w:tcPr>
          <w:p>
            <w:pPr>
              <w:pStyle w:val="TableContents"/>
              <w:bidi w:val="0"/>
              <w:spacing w:before="0" w:after="283"/>
              <w:jc w:val="left"/>
              <w:rPr>
                <w:sz w:val="4"/>
                <w:szCs w:val="4"/>
              </w:rPr>
            </w:pPr>
            <w:r>
              <w:rPr>
                <w:sz w:val="4"/>
                <w:szCs w:val="4"/>
              </w:rPr>
            </w:r>
          </w:p>
        </w:tc>
        <w:tc>
          <w:tcPr>
            <w:tcW w:w="422" w:type="dxa"/>
            <w:tcBorders/>
            <w:vAlign w:val="center"/>
          </w:tcPr>
          <w:p>
            <w:pPr>
              <w:pStyle w:val="TableContents"/>
              <w:bidi w:val="0"/>
              <w:spacing w:before="0" w:after="283"/>
              <w:jc w:val="left"/>
              <w:rPr>
                <w:sz w:val="4"/>
                <w:szCs w:val="4"/>
              </w:rPr>
            </w:pPr>
            <w:r>
              <w:rPr>
                <w:sz w:val="4"/>
                <w:szCs w:val="4"/>
              </w:rPr>
            </w:r>
          </w:p>
        </w:tc>
        <w:tc>
          <w:tcPr>
            <w:tcW w:w="4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02" w:type="dxa"/>
            <w:tcBorders/>
            <w:vAlign w:val="center"/>
          </w:tcPr>
          <w:p>
            <w:pPr>
              <w:pStyle w:val="TableContents"/>
              <w:bidi w:val="0"/>
              <w:spacing w:before="0" w:after="283"/>
              <w:jc w:val="left"/>
              <w:rPr>
                <w:sz w:val="4"/>
                <w:szCs w:val="4"/>
              </w:rPr>
            </w:pPr>
            <w:r>
              <w:rPr>
                <w:sz w:val="4"/>
                <w:szCs w:val="4"/>
              </w:rPr>
            </w:r>
          </w:p>
        </w:tc>
        <w:tc>
          <w:tcPr>
            <w:tcW w:w="602" w:type="dxa"/>
            <w:tcBorders/>
            <w:vAlign w:val="center"/>
          </w:tcPr>
          <w:p>
            <w:pPr>
              <w:pStyle w:val="TableContents"/>
              <w:bidi w:val="0"/>
              <w:spacing w:before="0" w:after="283"/>
              <w:jc w:val="left"/>
              <w:rPr>
                <w:sz w:val="4"/>
                <w:szCs w:val="4"/>
              </w:rPr>
            </w:pPr>
            <w:r>
              <w:rPr>
                <w:sz w:val="4"/>
                <w:szCs w:val="4"/>
              </w:rPr>
            </w:r>
          </w:p>
        </w:tc>
        <w:tc>
          <w:tcPr>
            <w:tcW w:w="604"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605" w:type="dxa"/>
            <w:tcBorders/>
            <w:vAlign w:val="center"/>
          </w:tcPr>
          <w:p>
            <w:pPr>
              <w:pStyle w:val="TableContents"/>
              <w:bidi w:val="0"/>
              <w:spacing w:before="0" w:after="283"/>
              <w:jc w:val="left"/>
              <w:rPr>
                <w:sz w:val="4"/>
                <w:szCs w:val="4"/>
              </w:rPr>
            </w:pPr>
            <w:r>
              <w:rPr>
                <w:sz w:val="4"/>
                <w:szCs w:val="4"/>
              </w:rPr>
            </w:r>
          </w:p>
        </w:tc>
        <w:tc>
          <w:tcPr>
            <w:tcW w:w="605" w:type="dxa"/>
            <w:tcBorders/>
            <w:vAlign w:val="center"/>
          </w:tcPr>
          <w:p>
            <w:pPr>
              <w:pStyle w:val="TableContents"/>
              <w:bidi w:val="0"/>
              <w:spacing w:before="0" w:after="283"/>
              <w:jc w:val="left"/>
              <w:rPr>
                <w:sz w:val="4"/>
                <w:szCs w:val="4"/>
              </w:rPr>
            </w:pPr>
            <w:r>
              <w:rPr>
                <w:sz w:val="4"/>
                <w:szCs w:val="4"/>
              </w:rPr>
            </w:r>
          </w:p>
        </w:tc>
        <w:tc>
          <w:tcPr>
            <w:tcW w:w="606"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427"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c>
          <w:tcPr>
            <w:tcW w:w="764" w:type="dxa"/>
            <w:tcBorders/>
            <w:vAlign w:val="center"/>
          </w:tcPr>
          <w:p>
            <w:pPr>
              <w:pStyle w:val="TableContents"/>
              <w:bidi w:val="0"/>
              <w:spacing w:before="0" w:after="283"/>
              <w:jc w:val="left"/>
              <w:rPr>
                <w:sz w:val="4"/>
                <w:szCs w:val="4"/>
              </w:rPr>
            </w:pPr>
            <w:r>
              <w:rPr>
                <w:sz w:val="4"/>
                <w:szCs w:val="4"/>
              </w:rPr>
            </w:r>
          </w:p>
        </w:tc>
      </w:tr>
      <w:tr>
        <w:trPr/>
        <w:tc>
          <w:tcPr>
            <w:tcW w:w="1423" w:type="dxa"/>
            <w:gridSpan w:val="3"/>
            <w:tcBorders/>
            <w:shd w:fill="F4423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4423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5" w:type="dxa"/>
            <w:gridSpan w:val="21"/>
            <w:tcBorders/>
            <w:shd w:fill="F44238" w:val="clear"/>
            <w:tcMar>
              <w:top w:w="0" w:type="dxa"/>
              <w:left w:w="0" w:type="dxa"/>
              <w:bottom w:w="0" w:type="dxa"/>
              <w:right w:w="0" w:type="dxa"/>
            </w:tcMar>
            <w:vAlign w:val="center"/>
          </w:tcPr>
          <w:p>
            <w:pPr>
              <w:pStyle w:val="TableContents"/>
              <w:bidi w:val="0"/>
              <w:spacing w:lineRule="auto" w:line="240" w:before="0" w:after="0"/>
              <w:jc w:val="center"/>
              <w:rPr/>
            </w:pPr>
            <w:r>
              <w:rPr>
                <w:rFonts w:ascii="Lato;sans-serif" w:hAnsi="Lato;sans-serif"/>
                <w:b/>
                <w:color w:val="FFFFFF"/>
                <w:sz w:val="16"/>
              </w:rPr>
              <w:t>Involuntary Termination in Connection with a Change in Control</w:t>
            </w:r>
            <w:r>
              <w:rPr>
                <w:rFonts w:ascii="Lato;sans-serif" w:hAnsi="Lato;sans-serif"/>
                <w:b/>
                <w:color w:val="FFFFFF"/>
                <w:sz w:val="10"/>
              </w:rPr>
              <w:t>(1)</w:t>
            </w:r>
          </w:p>
        </w:tc>
      </w:tr>
      <w:tr>
        <w:trPr/>
        <w:tc>
          <w:tcPr>
            <w:tcW w:w="1423" w:type="dxa"/>
            <w:gridSpan w:val="3"/>
            <w:tcBorders/>
            <w:shd w:fill="F44238"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color w:val="FFFFFF"/>
                <w:sz w:val="16"/>
              </w:rPr>
            </w:pPr>
            <w:r>
              <w:rPr>
                <w:rFonts w:ascii="Lato;sans-serif" w:hAnsi="Lato;sans-serif"/>
                <w:b/>
                <w:color w:val="FFFFFF"/>
                <w:sz w:val="16"/>
              </w:rPr>
              <w:t>Name</w:t>
            </w:r>
          </w:p>
        </w:tc>
        <w:tc>
          <w:tcPr>
            <w:tcW w:w="327" w:type="dxa"/>
            <w:gridSpan w:val="3"/>
            <w:tcBorders/>
            <w:shd w:fill="F4423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8" w:type="dxa"/>
            <w:gridSpan w:val="3"/>
            <w:tcBorders/>
            <w:shd w:fill="F44238" w:val="clear"/>
            <w:tcMar>
              <w:top w:w="0" w:type="dxa"/>
              <w:left w:w="0" w:type="dxa"/>
              <w:bottom w:w="0" w:type="dxa"/>
              <w:right w:w="0" w:type="dxa"/>
            </w:tcMar>
            <w:vAlign w:val="center"/>
          </w:tcPr>
          <w:p>
            <w:pPr>
              <w:pStyle w:val="TableContents"/>
              <w:bidi w:val="0"/>
              <w:spacing w:lineRule="auto" w:line="240" w:before="0" w:after="0"/>
              <w:jc w:val="center"/>
              <w:rPr/>
            </w:pPr>
            <w:r>
              <w:rPr>
                <w:rFonts w:ascii="Lato;sans-serif" w:hAnsi="Lato;sans-serif"/>
                <w:b/>
                <w:color w:val="FFFFFF"/>
                <w:sz w:val="16"/>
              </w:rPr>
              <w:t>Cash Severance - Salary ($)</w:t>
            </w:r>
            <w:r>
              <w:rPr>
                <w:rFonts w:ascii="Lato;sans-serif" w:hAnsi="Lato;sans-serif"/>
                <w:b/>
                <w:color w:val="FFFFFF"/>
                <w:sz w:val="10"/>
              </w:rPr>
              <w:t>(2)</w:t>
            </w:r>
          </w:p>
        </w:tc>
        <w:tc>
          <w:tcPr>
            <w:tcW w:w="564" w:type="dxa"/>
            <w:gridSpan w:val="3"/>
            <w:tcBorders/>
            <w:shd w:fill="F4423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6" w:type="dxa"/>
            <w:gridSpan w:val="3"/>
            <w:tcBorders/>
            <w:shd w:fill="F44238" w:val="clear"/>
            <w:tcMar>
              <w:top w:w="0" w:type="dxa"/>
              <w:left w:w="0" w:type="dxa"/>
              <w:bottom w:w="0" w:type="dxa"/>
              <w:right w:w="0" w:type="dxa"/>
            </w:tcMar>
            <w:vAlign w:val="center"/>
          </w:tcPr>
          <w:p>
            <w:pPr>
              <w:pStyle w:val="TableContents"/>
              <w:bidi w:val="0"/>
              <w:spacing w:lineRule="auto" w:line="240" w:before="0" w:after="0"/>
              <w:jc w:val="center"/>
              <w:rPr/>
            </w:pPr>
            <w:r>
              <w:rPr>
                <w:rFonts w:ascii="Lato;sans-serif" w:hAnsi="Lato;sans-serif"/>
                <w:b/>
                <w:color w:val="FFFFFF"/>
                <w:sz w:val="16"/>
              </w:rPr>
              <w:t>Cash Severance - Bonus ($)</w:t>
            </w:r>
            <w:r>
              <w:rPr>
                <w:rFonts w:ascii="Lato;sans-serif" w:hAnsi="Lato;sans-serif"/>
                <w:b/>
                <w:color w:val="FFFFFF"/>
                <w:sz w:val="10"/>
              </w:rPr>
              <w:t>(3)</w:t>
            </w:r>
          </w:p>
        </w:tc>
        <w:tc>
          <w:tcPr>
            <w:tcW w:w="564" w:type="dxa"/>
            <w:gridSpan w:val="3"/>
            <w:tcBorders/>
            <w:shd w:fill="F4423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shd w:fill="F44238" w:val="clear"/>
            <w:tcMar>
              <w:top w:w="0" w:type="dxa"/>
              <w:left w:w="0" w:type="dxa"/>
              <w:bottom w:w="0" w:type="dxa"/>
              <w:right w:w="0" w:type="dxa"/>
            </w:tcMar>
            <w:vAlign w:val="center"/>
          </w:tcPr>
          <w:p>
            <w:pPr>
              <w:pStyle w:val="TableContents"/>
              <w:bidi w:val="0"/>
              <w:spacing w:lineRule="auto" w:line="240" w:before="0" w:after="0"/>
              <w:jc w:val="center"/>
              <w:rPr/>
            </w:pPr>
            <w:r>
              <w:rPr>
                <w:rFonts w:ascii="Lato;sans-serif" w:hAnsi="Lato;sans-serif"/>
                <w:b/>
                <w:color w:val="FFFFFF"/>
                <w:sz w:val="16"/>
              </w:rPr>
              <w:t>Other Benefits ($)</w:t>
            </w:r>
            <w:r>
              <w:rPr>
                <w:rFonts w:ascii="Lato;sans-serif" w:hAnsi="Lato;sans-serif"/>
                <w:b/>
                <w:color w:val="FFFFFF"/>
                <w:sz w:val="10"/>
              </w:rPr>
              <w:t>(4)</w:t>
            </w:r>
          </w:p>
        </w:tc>
        <w:tc>
          <w:tcPr>
            <w:tcW w:w="564" w:type="dxa"/>
            <w:gridSpan w:val="3"/>
            <w:tcBorders/>
            <w:shd w:fill="F4423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8" w:type="dxa"/>
            <w:gridSpan w:val="3"/>
            <w:tcBorders/>
            <w:shd w:fill="F44238" w:val="clear"/>
            <w:tcMar>
              <w:top w:w="0" w:type="dxa"/>
              <w:left w:w="0" w:type="dxa"/>
              <w:bottom w:w="0" w:type="dxa"/>
              <w:right w:w="0" w:type="dxa"/>
            </w:tcMar>
            <w:vAlign w:val="center"/>
          </w:tcPr>
          <w:p>
            <w:pPr>
              <w:pStyle w:val="TableContents"/>
              <w:bidi w:val="0"/>
              <w:spacing w:lineRule="auto" w:line="240" w:before="0" w:after="0"/>
              <w:jc w:val="center"/>
              <w:rPr/>
            </w:pPr>
            <w:r>
              <w:rPr>
                <w:rFonts w:ascii="Lato;sans-serif" w:hAnsi="Lato;sans-serif"/>
                <w:b/>
                <w:color w:val="FFFFFF"/>
                <w:sz w:val="16"/>
              </w:rPr>
              <w:t>Equity Acceleration ($)</w:t>
            </w:r>
            <w:r>
              <w:rPr>
                <w:rFonts w:ascii="Lato;sans-serif" w:hAnsi="Lato;sans-serif"/>
                <w:b/>
                <w:color w:val="FFFFFF"/>
                <w:sz w:val="10"/>
              </w:rPr>
              <w:t>(5)</w:t>
            </w:r>
          </w:p>
        </w:tc>
      </w:tr>
      <w:tr>
        <w:trPr/>
        <w:tc>
          <w:tcPr>
            <w:tcW w:w="1423"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6"/>
              </w:rPr>
            </w:pPr>
            <w:r>
              <w:rPr>
                <w:rFonts w:ascii="Lato;sans-serif" w:hAnsi="Lato;sans-serif"/>
                <w:b w:val="false"/>
                <w:color w:val="000000"/>
                <w:sz w:val="16"/>
              </w:rPr>
              <w:t>Henry L. Schuck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8"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Lato;sans-serif" w:hAnsi="Lato;sans-serif"/>
                <w:b w:val="false"/>
                <w:color w:val="000000"/>
                <w:sz w:val="16"/>
              </w:rPr>
            </w:pPr>
            <w:r>
              <w:rPr>
                <w:rFonts w:ascii="Lato;sans-serif" w:hAnsi="Lato;sans-serif"/>
                <w:b w:val="false"/>
                <w:color w:val="000000"/>
                <w:sz w:val="16"/>
              </w:rPr>
              <w:t>900,000</w:t>
            </w:r>
          </w:p>
        </w:tc>
        <w:tc>
          <w:tcPr>
            <w:tcW w:w="5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6"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Lato;sans-serif" w:hAnsi="Lato;sans-serif"/>
                <w:b w:val="false"/>
                <w:color w:val="000000"/>
                <w:sz w:val="16"/>
              </w:rPr>
            </w:pPr>
            <w:r>
              <w:rPr>
                <w:rFonts w:ascii="Lato;sans-serif" w:hAnsi="Lato;sans-serif"/>
                <w:b w:val="false"/>
                <w:color w:val="000000"/>
                <w:sz w:val="16"/>
              </w:rPr>
              <w:t>600,000</w:t>
            </w:r>
          </w:p>
        </w:tc>
        <w:tc>
          <w:tcPr>
            <w:tcW w:w="5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Lato;sans-serif" w:hAnsi="Lato;sans-serif"/>
                <w:b w:val="false"/>
                <w:color w:val="000000"/>
                <w:sz w:val="16"/>
              </w:rPr>
            </w:pPr>
            <w:r>
              <w:rPr>
                <w:rFonts w:ascii="Lato;sans-serif" w:hAnsi="Lato;sans-serif"/>
                <w:b w:val="false"/>
                <w:color w:val="000000"/>
                <w:sz w:val="16"/>
              </w:rPr>
              <w:t>45,836</w:t>
            </w:r>
          </w:p>
        </w:tc>
        <w:tc>
          <w:tcPr>
            <w:tcW w:w="5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8"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Lato;sans-serif" w:hAnsi="Lato;sans-serif"/>
                <w:b w:val="false"/>
                <w:color w:val="000000"/>
                <w:sz w:val="16"/>
              </w:rPr>
            </w:pPr>
            <w:r>
              <w:rPr>
                <w:rFonts w:ascii="Lato;sans-serif" w:hAnsi="Lato;sans-serif"/>
                <w:b w:val="false"/>
                <w:color w:val="000000"/>
                <w:sz w:val="16"/>
              </w:rPr>
              <w:t>1,402,128</w:t>
            </w:r>
          </w:p>
        </w:tc>
      </w:tr>
      <w:tr>
        <w:trPr/>
        <w:tc>
          <w:tcPr>
            <w:tcW w:w="1423" w:type="dxa"/>
            <w:gridSpan w:val="3"/>
            <w:tcBorders/>
            <w:shd w:fill="DBDBDB" w:val="clear"/>
            <w:tcMar>
              <w:top w:w="0" w:type="dxa"/>
              <w:left w:w="0" w:type="dxa"/>
              <w:bottom w:w="0" w:type="dxa"/>
              <w:right w:w="0" w:type="dxa"/>
            </w:tcMar>
            <w:vAlign w:val="center"/>
          </w:tcPr>
          <w:p>
            <w:pPr>
              <w:pStyle w:val="TableContents"/>
              <w:bidi w:val="0"/>
              <w:spacing w:lineRule="auto" w:line="333" w:before="0" w:after="283"/>
              <w:jc w:val="left"/>
              <w:rPr>
                <w:rFonts w:ascii="Lato;sans-serif" w:hAnsi="Lato;sans-serif"/>
                <w:b w:val="false"/>
                <w:color w:val="000000"/>
                <w:sz w:val="16"/>
              </w:rPr>
            </w:pPr>
            <w:r>
              <w:rPr>
                <w:rFonts w:ascii="Lato;sans-serif" w:hAnsi="Lato;sans-serif"/>
                <w:b w:val="false"/>
                <w:color w:val="000000"/>
                <w:sz w:val="16"/>
              </w:rPr>
              <w:t>Michael Graham O'Brien</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8"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Lato;sans-serif" w:hAnsi="Lato;sans-serif"/>
                <w:b w:val="false"/>
                <w:color w:val="000000"/>
                <w:sz w:val="16"/>
              </w:rPr>
            </w:pPr>
            <w:r>
              <w:rPr>
                <w:rFonts w:ascii="Lato;sans-serif" w:hAnsi="Lato;sans-serif"/>
                <w:b w:val="false"/>
                <w:color w:val="000000"/>
                <w:sz w:val="16"/>
              </w:rPr>
              <w:t>352,500</w:t>
            </w:r>
          </w:p>
        </w:tc>
        <w:tc>
          <w:tcPr>
            <w:tcW w:w="564"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6"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Lato;sans-serif" w:hAnsi="Lato;sans-serif"/>
                <w:b w:val="false"/>
                <w:color w:val="000000"/>
                <w:sz w:val="16"/>
              </w:rPr>
            </w:pPr>
            <w:r>
              <w:rPr>
                <w:rFonts w:ascii="Lato;sans-serif" w:hAnsi="Lato;sans-serif"/>
                <w:b w:val="false"/>
                <w:color w:val="000000"/>
                <w:sz w:val="16"/>
              </w:rPr>
              <w:t>211,500</w:t>
            </w:r>
          </w:p>
        </w:tc>
        <w:tc>
          <w:tcPr>
            <w:tcW w:w="564"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Lato;sans-serif" w:hAnsi="Lato;sans-serif"/>
                <w:b w:val="false"/>
                <w:color w:val="000000"/>
                <w:sz w:val="16"/>
              </w:rPr>
            </w:pPr>
            <w:r>
              <w:rPr>
                <w:rFonts w:ascii="Lato;sans-serif" w:hAnsi="Lato;sans-serif"/>
                <w:b w:val="false"/>
                <w:color w:val="000000"/>
                <w:sz w:val="16"/>
              </w:rPr>
              <w:t>26,483</w:t>
            </w:r>
          </w:p>
        </w:tc>
        <w:tc>
          <w:tcPr>
            <w:tcW w:w="564"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8"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Lato;sans-serif" w:hAnsi="Lato;sans-serif"/>
                <w:b w:val="false"/>
                <w:color w:val="000000"/>
                <w:sz w:val="16"/>
              </w:rPr>
            </w:pPr>
            <w:r>
              <w:rPr>
                <w:rFonts w:ascii="Lato;sans-serif" w:hAnsi="Lato;sans-serif"/>
                <w:b w:val="false"/>
                <w:color w:val="000000"/>
                <w:sz w:val="16"/>
              </w:rPr>
              <w:t>5,452,890</w:t>
            </w:r>
          </w:p>
        </w:tc>
      </w:tr>
      <w:tr>
        <w:trPr/>
        <w:tc>
          <w:tcPr>
            <w:tcW w:w="1423" w:type="dxa"/>
            <w:gridSpan w:val="3"/>
            <w:tcBorders/>
            <w:shd w:fill="FFFFFF" w:val="clear"/>
            <w:tcMar>
              <w:top w:w="0" w:type="dxa"/>
              <w:left w:w="0" w:type="dxa"/>
              <w:bottom w:w="0" w:type="dxa"/>
              <w:right w:w="0" w:type="dxa"/>
            </w:tcMar>
            <w:vAlign w:val="center"/>
          </w:tcPr>
          <w:p>
            <w:pPr>
              <w:pStyle w:val="TableContents"/>
              <w:bidi w:val="0"/>
              <w:spacing w:lineRule="auto" w:line="333" w:before="0" w:after="283"/>
              <w:jc w:val="left"/>
              <w:rPr>
                <w:rFonts w:ascii="Lato;sans-serif" w:hAnsi="Lato;sans-serif"/>
                <w:b w:val="false"/>
                <w:color w:val="000000"/>
                <w:sz w:val="16"/>
              </w:rPr>
            </w:pPr>
            <w:r>
              <w:rPr>
                <w:rFonts w:ascii="Lato;sans-serif" w:hAnsi="Lato;sans-serif"/>
                <w:b w:val="false"/>
                <w:color w:val="000000"/>
                <w:sz w:val="16"/>
              </w:rPr>
              <w:t>James Roth</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Lato;sans-serif" w:hAnsi="Lato;sans-serif"/>
                <w:b w:val="false"/>
                <w:color w:val="000000"/>
                <w:sz w:val="16"/>
              </w:rPr>
            </w:pPr>
            <w:r>
              <w:rPr>
                <w:rFonts w:ascii="Lato;sans-serif" w:hAnsi="Lato;sans-serif"/>
                <w:b w:val="false"/>
                <w:color w:val="000000"/>
                <w:sz w:val="16"/>
              </w:rPr>
              <w:t>375,000</w:t>
            </w:r>
          </w:p>
        </w:tc>
        <w:tc>
          <w:tcPr>
            <w:tcW w:w="5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Lato;sans-serif" w:hAnsi="Lato;sans-serif"/>
                <w:b w:val="false"/>
                <w:color w:val="000000"/>
                <w:sz w:val="16"/>
              </w:rPr>
            </w:pPr>
            <w:r>
              <w:rPr>
                <w:rFonts w:ascii="Lato;sans-serif" w:hAnsi="Lato;sans-serif"/>
                <w:b w:val="false"/>
                <w:color w:val="000000"/>
                <w:sz w:val="16"/>
              </w:rPr>
              <w:t>375,000</w:t>
            </w:r>
          </w:p>
        </w:tc>
        <w:tc>
          <w:tcPr>
            <w:tcW w:w="5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Lato;sans-serif" w:hAnsi="Lato;sans-serif"/>
                <w:b w:val="false"/>
                <w:color w:val="000000"/>
                <w:sz w:val="16"/>
              </w:rPr>
            </w:pPr>
            <w:r>
              <w:rPr>
                <w:rFonts w:ascii="Lato;sans-serif" w:hAnsi="Lato;sans-serif"/>
                <w:b w:val="false"/>
                <w:color w:val="000000"/>
                <w:sz w:val="16"/>
              </w:rPr>
              <w:t>26,301</w:t>
            </w:r>
          </w:p>
        </w:tc>
        <w:tc>
          <w:tcPr>
            <w:tcW w:w="5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Lato;sans-serif" w:hAnsi="Lato;sans-serif"/>
                <w:b w:val="false"/>
                <w:color w:val="000000"/>
                <w:sz w:val="16"/>
              </w:rPr>
            </w:pPr>
            <w:r>
              <w:rPr>
                <w:rFonts w:ascii="Lato;sans-serif" w:hAnsi="Lato;sans-serif"/>
                <w:b w:val="false"/>
                <w:color w:val="000000"/>
                <w:sz w:val="16"/>
              </w:rPr>
              <w:t>5,132,331</w:t>
            </w:r>
          </w:p>
        </w:tc>
      </w:tr>
      <w:tr>
        <w:trPr/>
        <w:tc>
          <w:tcPr>
            <w:tcW w:w="1423" w:type="dxa"/>
            <w:gridSpan w:val="3"/>
            <w:tcBorders/>
            <w:shd w:fill="DBDBDB" w:val="clear"/>
            <w:tcMar>
              <w:top w:w="0" w:type="dxa"/>
              <w:left w:w="0" w:type="dxa"/>
              <w:bottom w:w="0" w:type="dxa"/>
              <w:right w:w="0" w:type="dxa"/>
            </w:tcMar>
            <w:vAlign w:val="center"/>
          </w:tcPr>
          <w:p>
            <w:pPr>
              <w:pStyle w:val="TableContents"/>
              <w:bidi w:val="0"/>
              <w:spacing w:lineRule="auto" w:line="333" w:before="0" w:after="283"/>
              <w:jc w:val="left"/>
              <w:rPr>
                <w:rFonts w:ascii="Lato;sans-serif" w:hAnsi="Lato;sans-serif"/>
                <w:b w:val="false"/>
                <w:color w:val="000000"/>
                <w:sz w:val="16"/>
              </w:rPr>
            </w:pPr>
            <w:r>
              <w:rPr>
                <w:rFonts w:ascii="Lato;sans-serif" w:hAnsi="Lato;sans-serif"/>
                <w:b w:val="false"/>
                <w:color w:val="000000"/>
                <w:sz w:val="16"/>
              </w:rPr>
              <w:t>Ashley McGrane</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8"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Lato;sans-serif" w:hAnsi="Lato;sans-serif"/>
                <w:b w:val="false"/>
                <w:color w:val="000000"/>
                <w:sz w:val="16"/>
              </w:rPr>
            </w:pPr>
            <w:r>
              <w:rPr>
                <w:rFonts w:ascii="Lato;sans-serif" w:hAnsi="Lato;sans-serif"/>
                <w:b w:val="false"/>
                <w:color w:val="000000"/>
                <w:sz w:val="16"/>
              </w:rPr>
              <w:t>318,750</w:t>
            </w:r>
          </w:p>
        </w:tc>
        <w:tc>
          <w:tcPr>
            <w:tcW w:w="564"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6"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Lato;sans-serif" w:hAnsi="Lato;sans-serif"/>
                <w:b w:val="false"/>
                <w:color w:val="000000"/>
                <w:sz w:val="16"/>
              </w:rPr>
            </w:pPr>
            <w:r>
              <w:rPr>
                <w:rFonts w:ascii="Lato;sans-serif" w:hAnsi="Lato;sans-serif"/>
                <w:b w:val="false"/>
                <w:color w:val="000000"/>
                <w:sz w:val="16"/>
              </w:rPr>
              <w:t>159,375</w:t>
            </w:r>
          </w:p>
        </w:tc>
        <w:tc>
          <w:tcPr>
            <w:tcW w:w="564"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Lato;sans-serif" w:hAnsi="Lato;sans-serif"/>
                <w:b w:val="false"/>
                <w:color w:val="000000"/>
                <w:sz w:val="16"/>
              </w:rPr>
            </w:pPr>
            <w:r>
              <w:rPr>
                <w:rFonts w:ascii="Lato;sans-serif" w:hAnsi="Lato;sans-serif"/>
                <w:b w:val="false"/>
                <w:color w:val="000000"/>
                <w:sz w:val="16"/>
              </w:rPr>
              <w:t>26,483</w:t>
            </w:r>
          </w:p>
        </w:tc>
        <w:tc>
          <w:tcPr>
            <w:tcW w:w="564"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8"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Lato;sans-serif" w:hAnsi="Lato;sans-serif"/>
                <w:b w:val="false"/>
                <w:color w:val="000000"/>
                <w:sz w:val="16"/>
              </w:rPr>
            </w:pPr>
            <w:r>
              <w:rPr>
                <w:rFonts w:ascii="Lato;sans-serif" w:hAnsi="Lato;sans-serif"/>
                <w:b w:val="false"/>
                <w:color w:val="000000"/>
                <w:sz w:val="16"/>
              </w:rPr>
              <w:t>2,361,789</w:t>
            </w:r>
          </w:p>
        </w:tc>
      </w:tr>
    </w:tbl>
    <w:p>
      <w:pPr>
        <w:pStyle w:val="TextBody"/>
        <w:bidi w:val="0"/>
        <w:spacing w:lineRule="auto" w:line="333" w:before="0" w:after="0"/>
        <w:jc w:val="left"/>
        <w:rPr>
          <w:rFonts w:ascii="Times New Roman;serif" w:hAnsi="Times New Roman;serif"/>
          <w:b w:val="false"/>
          <w:color w:val="000000"/>
          <w:sz w:val="20"/>
        </w:rPr>
      </w:pPr>
      <w:r>
        <w:rPr>
          <w:rFonts w:ascii="Times New Roman;serif" w:hAnsi="Times New Roman;serif"/>
          <w:b w:val="false"/>
          <w:color w:val="000000"/>
          <w:sz w:val="20"/>
        </w:rPr>
        <w:t>__________________</w:t>
      </w:r>
    </w:p>
    <w:p>
      <w:pPr>
        <w:pStyle w:val="TextBody"/>
        <w:bidi w:val="0"/>
        <w:spacing w:lineRule="auto" w:line="288" w:before="0" w:after="0"/>
        <w:ind w:left="0" w:right="0" w:hanging="360"/>
        <w:jc w:val="both"/>
        <w:rPr>
          <w:rFonts w:ascii="Lato;sans-serif" w:hAnsi="Lato;sans-serif"/>
          <w:b w:val="false"/>
          <w:color w:val="000000"/>
          <w:sz w:val="16"/>
        </w:rPr>
      </w:pPr>
      <w:r>
        <w:rPr>
          <w:rFonts w:ascii="Lato;sans-serif" w:hAnsi="Lato;sans-serif"/>
          <w:b w:val="false"/>
          <w:color w:val="000000"/>
          <w:sz w:val="16"/>
        </w:rPr>
        <w:t>(1)An “involuntary termination” means a termination without cause or a resignation for good reason, and other than due to death or disability. An involuntary termination that occurs within the 3 months prior to or the 12 months following a change in control, in the case of Mr. Schuck, or within the 12 months following a change in control, in the case of each of Mr. O'Brien, Mr. Roth, and Ms. McGrane, is considered occurring "in connection with" such change in control for purposes of each NEO's severance benefits listed above.</w:t>
      </w:r>
    </w:p>
    <w:p>
      <w:pPr>
        <w:pStyle w:val="TextBody"/>
        <w:bidi w:val="0"/>
        <w:spacing w:lineRule="auto" w:line="288" w:before="0" w:after="0"/>
        <w:ind w:left="0" w:right="0" w:hanging="360"/>
        <w:jc w:val="both"/>
        <w:rPr>
          <w:rFonts w:ascii="Lato;sans-serif" w:hAnsi="Lato;sans-serif"/>
          <w:b w:val="false"/>
          <w:color w:val="000000"/>
          <w:sz w:val="16"/>
        </w:rPr>
      </w:pPr>
      <w:r>
        <w:rPr>
          <w:rFonts w:ascii="Lato;sans-serif" w:hAnsi="Lato;sans-serif"/>
          <w:b w:val="false"/>
          <w:color w:val="000000"/>
          <w:sz w:val="16"/>
        </w:rPr>
        <w:t>(2)Represents 18 months of the NEO’s annual base salary for Mr. Schuck, and 9 months of the NEO’s annual base salary for each of Mr. O'Brien, Mr. Roth, and Ms. McGrane</w:t>
      </w:r>
    </w:p>
    <w:p>
      <w:pPr>
        <w:pStyle w:val="TextBody"/>
        <w:bidi w:val="0"/>
        <w:spacing w:lineRule="auto" w:line="288" w:before="0" w:after="0"/>
        <w:ind w:left="0" w:right="0" w:hanging="360"/>
        <w:jc w:val="both"/>
        <w:rPr>
          <w:rFonts w:ascii="Lato;sans-serif" w:hAnsi="Lato;sans-serif"/>
          <w:b w:val="false"/>
          <w:color w:val="000000"/>
          <w:sz w:val="16"/>
        </w:rPr>
      </w:pPr>
      <w:r>
        <w:rPr>
          <w:rFonts w:ascii="Lato;sans-serif" w:hAnsi="Lato;sans-serif"/>
          <w:b w:val="false"/>
          <w:color w:val="000000"/>
          <w:sz w:val="16"/>
        </w:rPr>
        <w:t>(3)Represents each NEO's target annual bonus at 100% achievement.</w:t>
      </w:r>
    </w:p>
    <w:p>
      <w:pPr>
        <w:pStyle w:val="TextBody"/>
        <w:bidi w:val="0"/>
        <w:spacing w:lineRule="auto" w:line="288" w:before="0" w:after="0"/>
        <w:ind w:left="0" w:right="0" w:hanging="360"/>
        <w:jc w:val="left"/>
        <w:rPr>
          <w:rFonts w:ascii="Lato;sans-serif" w:hAnsi="Lato;sans-serif"/>
          <w:b w:val="false"/>
          <w:color w:val="000000"/>
          <w:sz w:val="16"/>
        </w:rPr>
      </w:pPr>
      <w:r>
        <w:rPr>
          <w:rFonts w:ascii="Lato;sans-serif" w:hAnsi="Lato;sans-serif"/>
          <w:b w:val="false"/>
          <w:color w:val="000000"/>
          <w:sz w:val="16"/>
        </w:rPr>
        <w:t>(4)In the case of Mr. Schuck, represents the value of 18 months of COBRA premium reimbursement, and in the case of each of Mr. O’Brien, Mr. Roth and Ms. McGrane, represents the value of 12 months of COBRA premium reimbursement</w:t>
      </w:r>
    </w:p>
    <w:p>
      <w:pPr>
        <w:pStyle w:val="TextBody"/>
        <w:bidi w:val="0"/>
        <w:spacing w:lineRule="auto" w:line="288" w:before="0" w:after="180"/>
        <w:ind w:left="0" w:right="0" w:hanging="360"/>
        <w:jc w:val="both"/>
        <w:rPr>
          <w:rFonts w:ascii="Lato;sans-serif" w:hAnsi="Lato;sans-serif"/>
          <w:b w:val="false"/>
          <w:color w:val="000000"/>
          <w:sz w:val="16"/>
        </w:rPr>
      </w:pPr>
      <w:r>
        <w:rPr>
          <w:rFonts w:ascii="Lato;sans-serif" w:hAnsi="Lato;sans-serif"/>
          <w:b w:val="false"/>
          <w:color w:val="000000"/>
          <w:sz w:val="16"/>
        </w:rPr>
        <w:t>(5)For purposes of valuing accelerated vesting, the values are calculated as $10.17, the closing price of a share of our common stock on December 31, 2025, multiplied by the number of unvested shares subject to the award as of December 31, 2025 that are being accelerated. Includes accelerated vesting of all time-based RSUs (including, in the case of Mr. O’Brien, HSKB Phantom Units), and no accelerated vesting of PSUs. Pursuant to the terms of each of the FCFps PSUs, Market-Based PSUs and the CEO Premium-Priced Performance Option award, vesting is conditioned upon the achievement of performance targets during their respective performance periods, and as a result, neither the FCFps PSUs, the Market-Based PSUs, nor the CEO Premium-Priced Performance Option provide for an acceleration provision.</w:t>
      </w:r>
    </w:p>
    <w:tbl>
      <w:tblPr>
        <w:tblW w:w="10205" w:type="dxa"/>
        <w:jc w:val="left"/>
        <w:tblInd w:w="0" w:type="dxa"/>
        <w:tblLayout w:type="fixed"/>
        <w:tblCellMar>
          <w:top w:w="28" w:type="dxa"/>
          <w:left w:w="28" w:type="dxa"/>
          <w:bottom w:w="28" w:type="dxa"/>
          <w:right w:w="28" w:type="dxa"/>
        </w:tblCellMar>
      </w:tblPr>
      <w:tblGrid>
        <w:gridCol w:w="582"/>
        <w:gridCol w:w="432"/>
        <w:gridCol w:w="438"/>
        <w:gridCol w:w="109"/>
        <w:gridCol w:w="109"/>
        <w:gridCol w:w="109"/>
        <w:gridCol w:w="616"/>
        <w:gridCol w:w="616"/>
        <w:gridCol w:w="618"/>
        <w:gridCol w:w="170"/>
        <w:gridCol w:w="170"/>
        <w:gridCol w:w="170"/>
        <w:gridCol w:w="618"/>
        <w:gridCol w:w="618"/>
        <w:gridCol w:w="620"/>
        <w:gridCol w:w="170"/>
        <w:gridCol w:w="170"/>
        <w:gridCol w:w="170"/>
        <w:gridCol w:w="445"/>
        <w:gridCol w:w="445"/>
        <w:gridCol w:w="446"/>
        <w:gridCol w:w="170"/>
        <w:gridCol w:w="170"/>
        <w:gridCol w:w="170"/>
        <w:gridCol w:w="539"/>
        <w:gridCol w:w="539"/>
        <w:gridCol w:w="776"/>
      </w:tblGrid>
      <w:tr>
        <w:trPr/>
        <w:tc>
          <w:tcPr>
            <w:tcW w:w="582"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4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61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618" w:type="dxa"/>
            <w:tcBorders/>
            <w:vAlign w:val="center"/>
          </w:tcPr>
          <w:p>
            <w:pPr>
              <w:pStyle w:val="TableContents"/>
              <w:bidi w:val="0"/>
              <w:spacing w:before="0" w:after="283"/>
              <w:jc w:val="left"/>
              <w:rPr>
                <w:sz w:val="4"/>
                <w:szCs w:val="4"/>
              </w:rPr>
            </w:pPr>
            <w:r>
              <w:rPr>
                <w:sz w:val="4"/>
                <w:szCs w:val="4"/>
              </w:rPr>
            </w:r>
          </w:p>
        </w:tc>
        <w:tc>
          <w:tcPr>
            <w:tcW w:w="618" w:type="dxa"/>
            <w:tcBorders/>
            <w:vAlign w:val="center"/>
          </w:tcPr>
          <w:p>
            <w:pPr>
              <w:pStyle w:val="TableContents"/>
              <w:bidi w:val="0"/>
              <w:spacing w:before="0" w:after="283"/>
              <w:jc w:val="left"/>
              <w:rPr>
                <w:sz w:val="4"/>
                <w:szCs w:val="4"/>
              </w:rPr>
            </w:pPr>
            <w:r>
              <w:rPr>
                <w:sz w:val="4"/>
                <w:szCs w:val="4"/>
              </w:rPr>
            </w:r>
          </w:p>
        </w:tc>
        <w:tc>
          <w:tcPr>
            <w:tcW w:w="62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445" w:type="dxa"/>
            <w:tcBorders/>
            <w:vAlign w:val="center"/>
          </w:tcPr>
          <w:p>
            <w:pPr>
              <w:pStyle w:val="TableContents"/>
              <w:bidi w:val="0"/>
              <w:spacing w:before="0" w:after="283"/>
              <w:jc w:val="left"/>
              <w:rPr>
                <w:sz w:val="4"/>
                <w:szCs w:val="4"/>
              </w:rPr>
            </w:pPr>
            <w:r>
              <w:rPr>
                <w:sz w:val="4"/>
                <w:szCs w:val="4"/>
              </w:rPr>
            </w:r>
          </w:p>
        </w:tc>
        <w:tc>
          <w:tcPr>
            <w:tcW w:w="445" w:type="dxa"/>
            <w:tcBorders/>
            <w:vAlign w:val="center"/>
          </w:tcPr>
          <w:p>
            <w:pPr>
              <w:pStyle w:val="TableContents"/>
              <w:bidi w:val="0"/>
              <w:spacing w:before="0" w:after="283"/>
              <w:jc w:val="left"/>
              <w:rPr>
                <w:sz w:val="4"/>
                <w:szCs w:val="4"/>
              </w:rPr>
            </w:pPr>
            <w:r>
              <w:rPr>
                <w:sz w:val="4"/>
                <w:szCs w:val="4"/>
              </w:rPr>
            </w:r>
          </w:p>
        </w:tc>
        <w:tc>
          <w:tcPr>
            <w:tcW w:w="446"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776" w:type="dxa"/>
            <w:tcBorders/>
            <w:vAlign w:val="center"/>
          </w:tcPr>
          <w:p>
            <w:pPr>
              <w:pStyle w:val="TableContents"/>
              <w:bidi w:val="0"/>
              <w:spacing w:before="0" w:after="283"/>
              <w:jc w:val="left"/>
              <w:rPr>
                <w:sz w:val="4"/>
                <w:szCs w:val="4"/>
              </w:rPr>
            </w:pPr>
            <w:r>
              <w:rPr>
                <w:sz w:val="4"/>
                <w:szCs w:val="4"/>
              </w:rPr>
            </w:r>
          </w:p>
        </w:tc>
      </w:tr>
      <w:tr>
        <w:trPr/>
        <w:tc>
          <w:tcPr>
            <w:tcW w:w="1452" w:type="dxa"/>
            <w:gridSpan w:val="3"/>
            <w:tcBorders/>
            <w:shd w:fill="F4423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4423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6" w:type="dxa"/>
            <w:gridSpan w:val="21"/>
            <w:tcBorders/>
            <w:shd w:fill="F44238" w:val="clear"/>
            <w:tcMar>
              <w:top w:w="0" w:type="dxa"/>
              <w:left w:w="0" w:type="dxa"/>
              <w:bottom w:w="0" w:type="dxa"/>
              <w:right w:w="0" w:type="dxa"/>
            </w:tcMar>
            <w:vAlign w:val="center"/>
          </w:tcPr>
          <w:p>
            <w:pPr>
              <w:pStyle w:val="TableContents"/>
              <w:bidi w:val="0"/>
              <w:spacing w:lineRule="auto" w:line="240" w:before="0" w:after="0"/>
              <w:jc w:val="center"/>
              <w:rPr/>
            </w:pPr>
            <w:r>
              <w:rPr>
                <w:rFonts w:ascii="Lato;sans-serif" w:hAnsi="Lato;sans-serif"/>
                <w:b/>
                <w:color w:val="FFFFFF"/>
                <w:sz w:val="16"/>
              </w:rPr>
              <w:t>Involuntary Termination without a Change in Control</w:t>
            </w:r>
            <w:r>
              <w:rPr>
                <w:rFonts w:ascii="Lato;sans-serif" w:hAnsi="Lato;sans-serif"/>
                <w:b/>
                <w:color w:val="FFFFFF"/>
                <w:sz w:val="10"/>
              </w:rPr>
              <w:t>(1)</w:t>
            </w:r>
          </w:p>
        </w:tc>
      </w:tr>
      <w:tr>
        <w:trPr/>
        <w:tc>
          <w:tcPr>
            <w:tcW w:w="1452" w:type="dxa"/>
            <w:gridSpan w:val="3"/>
            <w:tcBorders/>
            <w:shd w:fill="F44238"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color w:val="FFFFFF"/>
                <w:sz w:val="16"/>
              </w:rPr>
            </w:pPr>
            <w:r>
              <w:rPr>
                <w:rFonts w:ascii="Lato;sans-serif" w:hAnsi="Lato;sans-serif"/>
                <w:b/>
                <w:color w:val="FFFFFF"/>
                <w:sz w:val="16"/>
              </w:rPr>
              <w:t>Name</w:t>
            </w:r>
          </w:p>
        </w:tc>
        <w:tc>
          <w:tcPr>
            <w:tcW w:w="327" w:type="dxa"/>
            <w:gridSpan w:val="3"/>
            <w:tcBorders/>
            <w:shd w:fill="F4423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0" w:type="dxa"/>
            <w:gridSpan w:val="3"/>
            <w:tcBorders/>
            <w:shd w:fill="F44238" w:val="clear"/>
            <w:tcMar>
              <w:top w:w="0" w:type="dxa"/>
              <w:left w:w="0" w:type="dxa"/>
              <w:bottom w:w="0" w:type="dxa"/>
              <w:right w:w="0" w:type="dxa"/>
            </w:tcMar>
            <w:vAlign w:val="center"/>
          </w:tcPr>
          <w:p>
            <w:pPr>
              <w:pStyle w:val="TableContents"/>
              <w:bidi w:val="0"/>
              <w:spacing w:lineRule="auto" w:line="240" w:before="0" w:after="0"/>
              <w:jc w:val="center"/>
              <w:rPr/>
            </w:pPr>
            <w:r>
              <w:rPr>
                <w:rFonts w:ascii="Lato;sans-serif" w:hAnsi="Lato;sans-serif"/>
                <w:b/>
                <w:color w:val="FFFFFF"/>
                <w:sz w:val="16"/>
              </w:rPr>
              <w:t>Cash Severance - Salary ($)</w:t>
            </w:r>
            <w:r>
              <w:rPr>
                <w:rFonts w:ascii="Lato;sans-serif" w:hAnsi="Lato;sans-serif"/>
                <w:b/>
                <w:color w:val="FFFFFF"/>
                <w:sz w:val="10"/>
              </w:rPr>
              <w:t>(2)</w:t>
            </w:r>
          </w:p>
        </w:tc>
        <w:tc>
          <w:tcPr>
            <w:tcW w:w="510" w:type="dxa"/>
            <w:gridSpan w:val="3"/>
            <w:tcBorders/>
            <w:shd w:fill="F4423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6" w:type="dxa"/>
            <w:gridSpan w:val="3"/>
            <w:tcBorders/>
            <w:shd w:fill="F44238" w:val="clear"/>
            <w:tcMar>
              <w:top w:w="0" w:type="dxa"/>
              <w:left w:w="0" w:type="dxa"/>
              <w:bottom w:w="0" w:type="dxa"/>
              <w:right w:w="0" w:type="dxa"/>
            </w:tcMar>
            <w:vAlign w:val="center"/>
          </w:tcPr>
          <w:p>
            <w:pPr>
              <w:pStyle w:val="TableContents"/>
              <w:bidi w:val="0"/>
              <w:spacing w:lineRule="auto" w:line="240" w:before="0" w:after="0"/>
              <w:jc w:val="center"/>
              <w:rPr/>
            </w:pPr>
            <w:r>
              <w:rPr>
                <w:rFonts w:ascii="Lato;sans-serif" w:hAnsi="Lato;sans-serif"/>
                <w:b/>
                <w:color w:val="FFFFFF"/>
                <w:sz w:val="16"/>
              </w:rPr>
              <w:t>Cash Severance - Bonus ($)</w:t>
            </w:r>
            <w:r>
              <w:rPr>
                <w:rFonts w:ascii="Lato;sans-serif" w:hAnsi="Lato;sans-serif"/>
                <w:b/>
                <w:color w:val="FFFFFF"/>
                <w:sz w:val="10"/>
              </w:rPr>
              <w:t>(3)</w:t>
            </w:r>
          </w:p>
        </w:tc>
        <w:tc>
          <w:tcPr>
            <w:tcW w:w="510" w:type="dxa"/>
            <w:gridSpan w:val="3"/>
            <w:tcBorders/>
            <w:shd w:fill="F4423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3"/>
            <w:tcBorders/>
            <w:shd w:fill="F44238" w:val="clear"/>
            <w:tcMar>
              <w:top w:w="0" w:type="dxa"/>
              <w:left w:w="0" w:type="dxa"/>
              <w:bottom w:w="0" w:type="dxa"/>
              <w:right w:w="0" w:type="dxa"/>
            </w:tcMar>
            <w:vAlign w:val="center"/>
          </w:tcPr>
          <w:p>
            <w:pPr>
              <w:pStyle w:val="TableContents"/>
              <w:bidi w:val="0"/>
              <w:spacing w:lineRule="auto" w:line="240" w:before="0" w:after="0"/>
              <w:jc w:val="center"/>
              <w:rPr/>
            </w:pPr>
            <w:r>
              <w:rPr>
                <w:rFonts w:ascii="Lato;sans-serif" w:hAnsi="Lato;sans-serif"/>
                <w:b/>
                <w:color w:val="FFFFFF"/>
                <w:sz w:val="16"/>
              </w:rPr>
              <w:t>Other Benefits ($)</w:t>
            </w:r>
            <w:r>
              <w:rPr>
                <w:rFonts w:ascii="Lato;sans-serif" w:hAnsi="Lato;sans-serif"/>
                <w:b/>
                <w:color w:val="FFFFFF"/>
                <w:sz w:val="10"/>
              </w:rPr>
              <w:t>(4)</w:t>
            </w:r>
          </w:p>
        </w:tc>
        <w:tc>
          <w:tcPr>
            <w:tcW w:w="510" w:type="dxa"/>
            <w:gridSpan w:val="3"/>
            <w:tcBorders/>
            <w:shd w:fill="F4423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4" w:type="dxa"/>
            <w:gridSpan w:val="3"/>
            <w:tcBorders/>
            <w:shd w:fill="F44238" w:val="clear"/>
            <w:tcMar>
              <w:top w:w="0" w:type="dxa"/>
              <w:left w:w="0" w:type="dxa"/>
              <w:bottom w:w="0" w:type="dxa"/>
              <w:right w:w="0" w:type="dxa"/>
            </w:tcMar>
            <w:vAlign w:val="center"/>
          </w:tcPr>
          <w:p>
            <w:pPr>
              <w:pStyle w:val="TableContents"/>
              <w:bidi w:val="0"/>
              <w:spacing w:lineRule="auto" w:line="240" w:before="0" w:after="0"/>
              <w:jc w:val="center"/>
              <w:rPr/>
            </w:pPr>
            <w:r>
              <w:rPr>
                <w:rFonts w:ascii="Lato;sans-serif" w:hAnsi="Lato;sans-serif"/>
                <w:b/>
                <w:color w:val="FFFFFF"/>
                <w:sz w:val="16"/>
              </w:rPr>
              <w:t>Equity Acceleration ($)</w:t>
            </w:r>
            <w:r>
              <w:rPr>
                <w:rFonts w:ascii="Lato;sans-serif" w:hAnsi="Lato;sans-serif"/>
                <w:b/>
                <w:color w:val="FFFFFF"/>
                <w:sz w:val="10"/>
              </w:rPr>
              <w:t>(5)</w:t>
            </w:r>
          </w:p>
        </w:tc>
      </w:tr>
      <w:tr>
        <w:trPr/>
        <w:tc>
          <w:tcPr>
            <w:tcW w:w="1452"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6"/>
              </w:rPr>
            </w:pPr>
            <w:r>
              <w:rPr>
                <w:rFonts w:ascii="Lato;sans-serif" w:hAnsi="Lato;sans-serif"/>
                <w:b w:val="false"/>
                <w:color w:val="000000"/>
                <w:sz w:val="16"/>
              </w:rPr>
              <w:t>Henry L. Schuck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0"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Lato;sans-serif" w:hAnsi="Lato;sans-serif"/>
                <w:b w:val="false"/>
                <w:color w:val="000000"/>
                <w:sz w:val="16"/>
              </w:rPr>
            </w:pPr>
            <w:r>
              <w:rPr>
                <w:rFonts w:ascii="Lato;sans-serif" w:hAnsi="Lato;sans-serif"/>
                <w:b w:val="false"/>
                <w:color w:val="000000"/>
                <w:sz w:val="16"/>
              </w:rPr>
              <w:t>600,000</w:t>
            </w:r>
          </w:p>
        </w:tc>
        <w:tc>
          <w:tcPr>
            <w:tcW w:w="5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6"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Lato;sans-serif" w:hAnsi="Lato;sans-serif"/>
                <w:b w:val="false"/>
                <w:color w:val="000000"/>
                <w:sz w:val="16"/>
              </w:rPr>
            </w:pPr>
            <w:r>
              <w:rPr>
                <w:rFonts w:ascii="Lato;sans-serif" w:hAnsi="Lato;sans-serif"/>
                <w:b w:val="false"/>
                <w:color w:val="000000"/>
                <w:sz w:val="16"/>
              </w:rPr>
              <w:t>600,000</w:t>
            </w:r>
          </w:p>
        </w:tc>
        <w:tc>
          <w:tcPr>
            <w:tcW w:w="5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Lato;sans-serif" w:hAnsi="Lato;sans-serif"/>
                <w:b w:val="false"/>
                <w:color w:val="000000"/>
                <w:sz w:val="16"/>
              </w:rPr>
            </w:pPr>
            <w:r>
              <w:rPr>
                <w:rFonts w:ascii="Lato;sans-serif" w:hAnsi="Lato;sans-serif"/>
                <w:b w:val="false"/>
                <w:color w:val="000000"/>
                <w:sz w:val="16"/>
              </w:rPr>
              <w:t>19,849</w:t>
            </w:r>
          </w:p>
        </w:tc>
        <w:tc>
          <w:tcPr>
            <w:tcW w:w="5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Lato;sans-serif" w:hAnsi="Lato;sans-serif"/>
                <w:b w:val="false"/>
                <w:color w:val="000000"/>
                <w:sz w:val="16"/>
              </w:rPr>
            </w:pPr>
            <w:r>
              <w:rPr>
                <w:rFonts w:ascii="Lato;sans-serif" w:hAnsi="Lato;sans-serif"/>
                <w:b w:val="false"/>
                <w:color w:val="000000"/>
                <w:sz w:val="16"/>
              </w:rPr>
              <w:t>560,855</w:t>
            </w:r>
          </w:p>
        </w:tc>
      </w:tr>
      <w:tr>
        <w:trPr/>
        <w:tc>
          <w:tcPr>
            <w:tcW w:w="1452" w:type="dxa"/>
            <w:gridSpan w:val="3"/>
            <w:tcBorders/>
            <w:shd w:fill="DBDBDB" w:val="clear"/>
            <w:tcMar>
              <w:top w:w="0" w:type="dxa"/>
              <w:left w:w="0" w:type="dxa"/>
              <w:bottom w:w="0" w:type="dxa"/>
              <w:right w:w="0" w:type="dxa"/>
            </w:tcMar>
            <w:vAlign w:val="center"/>
          </w:tcPr>
          <w:p>
            <w:pPr>
              <w:pStyle w:val="TableContents"/>
              <w:bidi w:val="0"/>
              <w:spacing w:lineRule="auto" w:line="333" w:before="0" w:after="283"/>
              <w:jc w:val="left"/>
              <w:rPr>
                <w:rFonts w:ascii="Lato;sans-serif" w:hAnsi="Lato;sans-serif"/>
                <w:b w:val="false"/>
                <w:color w:val="000000"/>
                <w:sz w:val="16"/>
              </w:rPr>
            </w:pPr>
            <w:r>
              <w:rPr>
                <w:rFonts w:ascii="Lato;sans-serif" w:hAnsi="Lato;sans-serif"/>
                <w:b w:val="false"/>
                <w:color w:val="000000"/>
                <w:sz w:val="16"/>
              </w:rPr>
              <w:t>Michael Graham O'Brien</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0"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Lato;sans-serif" w:hAnsi="Lato;sans-serif"/>
                <w:b w:val="false"/>
                <w:color w:val="000000"/>
                <w:sz w:val="16"/>
              </w:rPr>
            </w:pPr>
            <w:r>
              <w:rPr>
                <w:rFonts w:ascii="Lato;sans-serif" w:hAnsi="Lato;sans-serif"/>
                <w:b w:val="false"/>
                <w:color w:val="000000"/>
                <w:sz w:val="16"/>
              </w:rPr>
              <w:t>235,000</w:t>
            </w:r>
          </w:p>
        </w:tc>
        <w:tc>
          <w:tcPr>
            <w:tcW w:w="510"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6"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510"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Lato;sans-serif" w:hAnsi="Lato;sans-serif"/>
                <w:b w:val="false"/>
                <w:color w:val="000000"/>
                <w:sz w:val="16"/>
              </w:rPr>
            </w:pPr>
            <w:r>
              <w:rPr>
                <w:rFonts w:ascii="Lato;sans-serif" w:hAnsi="Lato;sans-serif"/>
                <w:b w:val="false"/>
                <w:color w:val="000000"/>
                <w:sz w:val="16"/>
              </w:rPr>
              <w:t>10,571</w:t>
            </w:r>
          </w:p>
        </w:tc>
        <w:tc>
          <w:tcPr>
            <w:tcW w:w="510"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Lato;sans-serif" w:hAnsi="Lato;sans-serif"/>
                <w:b w:val="false"/>
                <w:color w:val="000000"/>
                <w:sz w:val="16"/>
              </w:rPr>
            </w:pPr>
            <w:r>
              <w:rPr>
                <w:rFonts w:ascii="Lato;sans-serif" w:hAnsi="Lato;sans-serif"/>
                <w:b w:val="false"/>
                <w:color w:val="000000"/>
                <w:sz w:val="16"/>
              </w:rPr>
              <w:t>2,539,235</w:t>
            </w:r>
          </w:p>
        </w:tc>
      </w:tr>
      <w:tr>
        <w:trPr/>
        <w:tc>
          <w:tcPr>
            <w:tcW w:w="1452" w:type="dxa"/>
            <w:gridSpan w:val="3"/>
            <w:tcBorders/>
            <w:shd w:fill="FFFFFF" w:val="clear"/>
            <w:tcMar>
              <w:top w:w="0" w:type="dxa"/>
              <w:left w:w="0" w:type="dxa"/>
              <w:bottom w:w="0" w:type="dxa"/>
              <w:right w:w="0" w:type="dxa"/>
            </w:tcMar>
            <w:vAlign w:val="center"/>
          </w:tcPr>
          <w:p>
            <w:pPr>
              <w:pStyle w:val="TableContents"/>
              <w:bidi w:val="0"/>
              <w:spacing w:lineRule="auto" w:line="333" w:before="0" w:after="283"/>
              <w:jc w:val="left"/>
              <w:rPr>
                <w:rFonts w:ascii="Lato;sans-serif" w:hAnsi="Lato;sans-serif"/>
                <w:b w:val="false"/>
                <w:color w:val="000000"/>
                <w:sz w:val="16"/>
              </w:rPr>
            </w:pPr>
            <w:r>
              <w:rPr>
                <w:rFonts w:ascii="Lato;sans-serif" w:hAnsi="Lato;sans-serif"/>
                <w:b w:val="false"/>
                <w:color w:val="000000"/>
                <w:sz w:val="16"/>
              </w:rPr>
              <w:t>James Roth</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Lato;sans-serif" w:hAnsi="Lato;sans-serif"/>
                <w:b w:val="false"/>
                <w:color w:val="000000"/>
                <w:sz w:val="16"/>
              </w:rPr>
            </w:pPr>
            <w:r>
              <w:rPr>
                <w:rFonts w:ascii="Lato;sans-serif" w:hAnsi="Lato;sans-serif"/>
                <w:b w:val="false"/>
                <w:color w:val="000000"/>
                <w:sz w:val="16"/>
              </w:rPr>
              <w:t>250,000</w:t>
            </w:r>
          </w:p>
        </w:tc>
        <w:tc>
          <w:tcPr>
            <w:tcW w:w="5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5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Lato;sans-serif" w:hAnsi="Lato;sans-serif"/>
                <w:b w:val="false"/>
                <w:color w:val="000000"/>
                <w:sz w:val="16"/>
              </w:rPr>
            </w:pPr>
            <w:r>
              <w:rPr>
                <w:rFonts w:ascii="Lato;sans-serif" w:hAnsi="Lato;sans-serif"/>
                <w:b w:val="false"/>
                <w:color w:val="000000"/>
                <w:sz w:val="16"/>
              </w:rPr>
              <w:t>19,726</w:t>
            </w:r>
          </w:p>
        </w:tc>
        <w:tc>
          <w:tcPr>
            <w:tcW w:w="5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Lato;sans-serif" w:hAnsi="Lato;sans-serif"/>
                <w:b w:val="false"/>
                <w:color w:val="000000"/>
                <w:sz w:val="16"/>
              </w:rPr>
            </w:pPr>
            <w:r>
              <w:rPr>
                <w:rFonts w:ascii="Lato;sans-serif" w:hAnsi="Lato;sans-serif"/>
                <w:b w:val="false"/>
                <w:color w:val="000000"/>
                <w:sz w:val="16"/>
              </w:rPr>
              <w:t>3,462,651</w:t>
            </w:r>
          </w:p>
        </w:tc>
      </w:tr>
      <w:tr>
        <w:trPr/>
        <w:tc>
          <w:tcPr>
            <w:tcW w:w="1452" w:type="dxa"/>
            <w:gridSpan w:val="3"/>
            <w:tcBorders/>
            <w:shd w:fill="DBDBDB" w:val="clear"/>
            <w:tcMar>
              <w:top w:w="0" w:type="dxa"/>
              <w:left w:w="0" w:type="dxa"/>
              <w:bottom w:w="0" w:type="dxa"/>
              <w:right w:w="0" w:type="dxa"/>
            </w:tcMar>
            <w:vAlign w:val="center"/>
          </w:tcPr>
          <w:p>
            <w:pPr>
              <w:pStyle w:val="TableContents"/>
              <w:bidi w:val="0"/>
              <w:spacing w:lineRule="auto" w:line="333" w:before="0" w:after="283"/>
              <w:jc w:val="left"/>
              <w:rPr>
                <w:rFonts w:ascii="Lato;sans-serif" w:hAnsi="Lato;sans-serif"/>
                <w:b w:val="false"/>
                <w:color w:val="000000"/>
                <w:sz w:val="16"/>
              </w:rPr>
            </w:pPr>
            <w:r>
              <w:rPr>
                <w:rFonts w:ascii="Lato;sans-serif" w:hAnsi="Lato;sans-serif"/>
                <w:b w:val="false"/>
                <w:color w:val="000000"/>
                <w:sz w:val="16"/>
              </w:rPr>
              <w:t>Ashley McGrane</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0"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Lato;sans-serif" w:hAnsi="Lato;sans-serif"/>
                <w:b w:val="false"/>
                <w:color w:val="000000"/>
                <w:sz w:val="16"/>
              </w:rPr>
            </w:pPr>
            <w:r>
              <w:rPr>
                <w:rFonts w:ascii="Lato;sans-serif" w:hAnsi="Lato;sans-serif"/>
                <w:b w:val="false"/>
                <w:color w:val="000000"/>
                <w:sz w:val="16"/>
              </w:rPr>
              <w:t>212,500</w:t>
            </w:r>
          </w:p>
        </w:tc>
        <w:tc>
          <w:tcPr>
            <w:tcW w:w="510"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6"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510"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Lato;sans-serif" w:hAnsi="Lato;sans-serif"/>
                <w:b w:val="false"/>
                <w:color w:val="000000"/>
                <w:sz w:val="16"/>
              </w:rPr>
            </w:pPr>
            <w:r>
              <w:rPr>
                <w:rFonts w:ascii="Lato;sans-serif" w:hAnsi="Lato;sans-serif"/>
                <w:b w:val="false"/>
                <w:color w:val="000000"/>
                <w:sz w:val="16"/>
              </w:rPr>
              <w:t>19,862</w:t>
            </w:r>
          </w:p>
        </w:tc>
        <w:tc>
          <w:tcPr>
            <w:tcW w:w="510"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Lato;sans-serif" w:hAnsi="Lato;sans-serif"/>
                <w:b w:val="false"/>
                <w:color w:val="000000"/>
                <w:sz w:val="16"/>
              </w:rPr>
            </w:pPr>
            <w:r>
              <w:rPr>
                <w:rFonts w:ascii="Lato;sans-serif" w:hAnsi="Lato;sans-serif"/>
                <w:b w:val="false"/>
                <w:color w:val="000000"/>
                <w:sz w:val="16"/>
              </w:rPr>
              <w:t>1,016,634</w:t>
            </w:r>
          </w:p>
        </w:tc>
      </w:tr>
    </w:tbl>
    <w:p>
      <w:pPr>
        <w:pStyle w:val="TextBody"/>
        <w:bidi w:val="0"/>
        <w:spacing w:lineRule="auto" w:line="333" w:before="0" w:after="0"/>
        <w:jc w:val="left"/>
        <w:rPr>
          <w:rFonts w:ascii="Times New Roman;serif" w:hAnsi="Times New Roman;serif"/>
          <w:b w:val="false"/>
          <w:color w:val="000000"/>
          <w:sz w:val="20"/>
        </w:rPr>
      </w:pPr>
      <w:r>
        <w:rPr>
          <w:rFonts w:ascii="Times New Roman;serif" w:hAnsi="Times New Roman;serif"/>
          <w:b w:val="false"/>
          <w:color w:val="000000"/>
          <w:sz w:val="20"/>
        </w:rPr>
        <w:t>__________________</w:t>
      </w:r>
    </w:p>
    <w:p>
      <w:pPr>
        <w:pStyle w:val="TextBody"/>
        <w:bidi w:val="0"/>
        <w:spacing w:lineRule="auto" w:line="288" w:before="0" w:after="0"/>
        <w:ind w:left="0" w:right="0" w:hanging="360"/>
        <w:jc w:val="both"/>
        <w:rPr>
          <w:rFonts w:ascii="Lato;sans-serif" w:hAnsi="Lato;sans-serif"/>
          <w:b w:val="false"/>
          <w:color w:val="000000"/>
          <w:sz w:val="16"/>
        </w:rPr>
      </w:pPr>
      <w:r>
        <w:rPr>
          <w:rFonts w:ascii="Lato;sans-serif" w:hAnsi="Lato;sans-serif"/>
          <w:b w:val="false"/>
          <w:color w:val="000000"/>
          <w:sz w:val="16"/>
        </w:rPr>
        <w:t>(1)An “involuntary termination” means a termination without cause or a resignation for good reason and other than due to death or disability.</w:t>
      </w:r>
    </w:p>
    <w:p>
      <w:pPr>
        <w:pStyle w:val="TextBody"/>
        <w:bidi w:val="0"/>
        <w:spacing w:lineRule="auto" w:line="288" w:before="0" w:after="0"/>
        <w:ind w:left="0" w:right="0" w:hanging="360"/>
        <w:jc w:val="both"/>
        <w:rPr>
          <w:rFonts w:ascii="Lato;sans-serif" w:hAnsi="Lato;sans-serif"/>
          <w:b w:val="false"/>
          <w:color w:val="000000"/>
          <w:sz w:val="16"/>
        </w:rPr>
      </w:pPr>
      <w:r>
        <w:rPr>
          <w:rFonts w:ascii="Lato;sans-serif" w:hAnsi="Lato;sans-serif"/>
          <w:b w:val="false"/>
          <w:color w:val="000000"/>
          <w:sz w:val="16"/>
        </w:rPr>
        <w:t>(2)Represents 12 months of the annual base salary of Mr. Schuck, and 6 months annual base salary of each of Mr. O'Brien, Mr. Roth, and Ms. McGrane.</w:t>
      </w:r>
    </w:p>
    <w:p>
      <w:pPr>
        <w:pStyle w:val="TextBody"/>
        <w:bidi w:val="0"/>
        <w:spacing w:lineRule="auto" w:line="288" w:before="0" w:after="0"/>
        <w:ind w:left="0" w:right="0" w:hanging="360"/>
        <w:jc w:val="both"/>
        <w:rPr>
          <w:rFonts w:ascii="Lato;sans-serif" w:hAnsi="Lato;sans-serif"/>
          <w:b w:val="false"/>
          <w:color w:val="000000"/>
          <w:sz w:val="16"/>
        </w:rPr>
      </w:pPr>
      <w:r>
        <w:rPr>
          <w:rFonts w:ascii="Lato;sans-serif" w:hAnsi="Lato;sans-serif"/>
          <w:b w:val="false"/>
          <w:color w:val="000000"/>
          <w:sz w:val="16"/>
        </w:rPr>
        <w:t>(3)In the case of Mr. Schuck, represents his target annual bonus at 100% achievement, and in the case of each of Mr. O'Brien, Mr. Roth, and Ms. McGrane, such annual-cash based bonus amounts to be provided on a pro-rata basis based on the portion of the year served by the NEO, in each case, subject to the actual performance of such NEO and the attainment of any such annual-cash based bonus.</w:t>
      </w:r>
    </w:p>
    <w:p>
      <w:pPr>
        <w:pStyle w:val="TextBody"/>
        <w:bidi w:val="0"/>
        <w:spacing w:lineRule="auto" w:line="288" w:before="0" w:after="0"/>
        <w:ind w:left="0" w:right="0" w:hanging="360"/>
        <w:jc w:val="both"/>
        <w:rPr>
          <w:rFonts w:ascii="Lato;sans-serif" w:hAnsi="Lato;sans-serif"/>
          <w:b w:val="false"/>
          <w:color w:val="000000"/>
          <w:sz w:val="16"/>
        </w:rPr>
      </w:pPr>
      <w:r>
        <w:rPr>
          <w:rFonts w:ascii="Lato;sans-serif" w:hAnsi="Lato;sans-serif"/>
          <w:b w:val="false"/>
          <w:color w:val="000000"/>
          <w:sz w:val="16"/>
        </w:rPr>
        <w:t>(4)In the case of Mr. Schuck, represents the value of 12 months of COBRA premium reimbursement, and in the case of each of Mr. O'Brien, Mr. Roth, and Ms. McGrane, represents the value of 9 months of COBRA premium reimbursement.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0">
                <wp:simplePos x="0" y="0"/>
                <wp:positionH relativeFrom="character">
                  <wp:align>left</wp:align>
                </wp:positionH>
                <wp:positionV relativeFrom="line">
                  <wp:posOffset>635</wp:posOffset>
                </wp:positionV>
                <wp:extent cx="6480175" cy="352425"/>
                <wp:effectExtent l="0" t="0" r="0" b="0"/>
                <wp:wrapNone/>
                <wp:docPr id="96" name="Frame80"/>
                <a:graphic xmlns:a="http://schemas.openxmlformats.org/drawingml/2006/main">
                  <a:graphicData uri="http://schemas.microsoft.com/office/word/2010/wordprocessingShape">
                    <wps:wsp>
                      <wps:cNvSpPr txBox="1"/>
                      <wps:spPr>
                        <a:xfrm>
                          <a:off x="0" y="0"/>
                          <a:ext cx="6480175" cy="352425"/>
                        </a:xfrm>
                        <a:prstGeom prst="rect"/>
                        <a:solidFill>
                          <a:srgbClr val="FFFFFF"/>
                        </a:solidFill>
                      </wps:spPr>
                      <wps:txbx>
                        <w:txbxContent>
                          <w:p>
                            <w:pPr>
                              <w:pStyle w:val="TextBody"/>
                              <w:bidi w:val="0"/>
                              <w:spacing w:lineRule="auto" w:line="288" w:before="0" w:after="0"/>
                              <w:jc w:val="center"/>
                              <w:rPr>
                                <w:rFonts w:ascii="Lato;sans-serif" w:hAnsi="Lato;sans-serif"/>
                                <w:b w:val="false"/>
                                <w:color w:val="000000"/>
                                <w:sz w:val="20"/>
                              </w:rPr>
                            </w:pPr>
                            <w:r>
                              <w:rPr>
                                <w:rFonts w:ascii="Lato;sans-serif" w:hAnsi="Lato;sans-serif"/>
                                <w:b w:val="false"/>
                                <w:color w:val="000000"/>
                                <w:sz w:val="20"/>
                              </w:rPr>
                              <w:t>74</w:t>
                            </w:r>
                          </w:p>
                          <w:p>
                            <w:pPr>
                              <w:pStyle w:val="TextBody"/>
                              <w:bidi w:val="0"/>
                              <w:spacing w:lineRule="auto" w:line="288" w:before="0" w:after="0"/>
                              <w:jc w:val="left"/>
                              <w:rPr>
                                <w:color w:val="000000"/>
                              </w:rPr>
                            </w:pPr>
                            <w:r>
                              <w:rPr>
                                <w:color w:val="000000"/>
                              </w:rPr>
                              <w:t>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Lato;sans-serif" w:hAnsi="Lato;sans-serif"/>
                          <w:b w:val="false"/>
                          <w:color w:val="000000"/>
                          <w:sz w:val="20"/>
                        </w:rPr>
                      </w:pPr>
                      <w:r>
                        <w:rPr>
                          <w:rFonts w:ascii="Lato;sans-serif" w:hAnsi="Lato;sans-serif"/>
                          <w:b w:val="false"/>
                          <w:color w:val="000000"/>
                          <w:sz w:val="20"/>
                        </w:rPr>
                        <w:t>74</w:t>
                      </w:r>
                    </w:p>
                    <w:p>
                      <w:pPr>
                        <w:pStyle w:val="TextBody"/>
                        <w:bidi w:val="0"/>
                        <w:spacing w:lineRule="auto" w:line="288" w:before="0" w:after="0"/>
                        <w:jc w:val="left"/>
                        <w:rPr>
                          <w:color w:val="000000"/>
                        </w:rPr>
                      </w:pPr>
                      <w:r>
                        <w:rPr>
                          <w:color w:val="000000"/>
                        </w:rPr>
                        <w:t>        </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80"/>
        <w:ind w:left="0" w:right="0" w:hanging="360"/>
        <w:jc w:val="both"/>
        <w:rPr>
          <w:rFonts w:ascii="Lato;sans-serif" w:hAnsi="Lato;sans-serif"/>
          <w:b w:val="false"/>
          <w:color w:val="000000"/>
          <w:sz w:val="16"/>
        </w:rPr>
      </w:pPr>
      <w:r>
        <w:rPr>
          <w:rFonts w:ascii="Lato;sans-serif" w:hAnsi="Lato;sans-serif"/>
          <w:b w:val="false"/>
          <w:color w:val="000000"/>
          <w:sz w:val="16"/>
        </w:rPr>
        <w:t>(5)In the case of each of Mr. Schuck, Mr. O'Brien, Mr. Roth, and Ms. McGrane, represents value of accelerated vesting of unvested time-based equity awards held as of December 31, 2025 which were scheduled to vest within the following 12 months; provided, however, that in the case of each of Mr. O'Brien, Mr. Roth, and Ms. McGrane, the accelerated vesting is subject to a cap on the fair market value of the shares ultimately accelerated based on years of service (up to $2,000,000 for three years of service, $2,750,000 for four years of service, $3,500,000 for five years of service, and $4,250,000 for six or more years of service, in each case, calculated from the date such person commenced employment, in any role, at the Company. For Mr. Roth, capped at $2,000,000 of the $3,462,651 total equity vested and scheduled to vest within the following 12 months. Such caps were not applicable to Mr. O’Brien or Ms. McGrane as a result of the length of their service to the Company and the value of their equity, respectively. For purposes of valuing accelerated vesting, the values are calculated as $10.17, the closing price of a share of our common stock on December 31, 2025, multiplied by the number of unvested shares subject to the award as of December 31, 2025 that are being accelerated.</w:t>
      </w:r>
    </w:p>
    <w:tbl>
      <w:tblPr>
        <w:tblW w:w="9205" w:type="dxa"/>
        <w:jc w:val="left"/>
        <w:tblInd w:w="0" w:type="dxa"/>
        <w:tblLayout w:type="fixed"/>
        <w:tblCellMar>
          <w:top w:w="28" w:type="dxa"/>
          <w:left w:w="28" w:type="dxa"/>
          <w:bottom w:w="28" w:type="dxa"/>
          <w:right w:w="28" w:type="dxa"/>
        </w:tblCellMar>
      </w:tblPr>
      <w:tblGrid>
        <w:gridCol w:w="780"/>
        <w:gridCol w:w="685"/>
        <w:gridCol w:w="694"/>
        <w:gridCol w:w="109"/>
        <w:gridCol w:w="109"/>
        <w:gridCol w:w="109"/>
        <w:gridCol w:w="945"/>
        <w:gridCol w:w="945"/>
        <w:gridCol w:w="945"/>
        <w:gridCol w:w="470"/>
        <w:gridCol w:w="470"/>
        <w:gridCol w:w="470"/>
        <w:gridCol w:w="713"/>
        <w:gridCol w:w="713"/>
        <w:gridCol w:w="1048"/>
      </w:tblGrid>
      <w:tr>
        <w:trPr/>
        <w:tc>
          <w:tcPr>
            <w:tcW w:w="780" w:type="dxa"/>
            <w:tcBorders/>
            <w:vAlign w:val="center"/>
          </w:tcPr>
          <w:p>
            <w:pPr>
              <w:pStyle w:val="TableContents"/>
              <w:bidi w:val="0"/>
              <w:spacing w:before="0" w:after="283"/>
              <w:jc w:val="left"/>
              <w:rPr>
                <w:sz w:val="4"/>
                <w:szCs w:val="4"/>
              </w:rPr>
            </w:pPr>
            <w:r>
              <w:rPr>
                <w:sz w:val="4"/>
                <w:szCs w:val="4"/>
              </w:rPr>
            </w:r>
          </w:p>
        </w:tc>
        <w:tc>
          <w:tcPr>
            <w:tcW w:w="685" w:type="dxa"/>
            <w:tcBorders/>
            <w:vAlign w:val="center"/>
          </w:tcPr>
          <w:p>
            <w:pPr>
              <w:pStyle w:val="TableContents"/>
              <w:bidi w:val="0"/>
              <w:spacing w:before="0" w:after="283"/>
              <w:jc w:val="left"/>
              <w:rPr>
                <w:sz w:val="4"/>
                <w:szCs w:val="4"/>
              </w:rPr>
            </w:pPr>
            <w:r>
              <w:rPr>
                <w:sz w:val="4"/>
                <w:szCs w:val="4"/>
              </w:rPr>
            </w:r>
          </w:p>
        </w:tc>
        <w:tc>
          <w:tcPr>
            <w:tcW w:w="69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45" w:type="dxa"/>
            <w:tcBorders/>
            <w:vAlign w:val="center"/>
          </w:tcPr>
          <w:p>
            <w:pPr>
              <w:pStyle w:val="TableContents"/>
              <w:bidi w:val="0"/>
              <w:spacing w:before="0" w:after="283"/>
              <w:jc w:val="left"/>
              <w:rPr>
                <w:sz w:val="4"/>
                <w:szCs w:val="4"/>
              </w:rPr>
            </w:pPr>
            <w:r>
              <w:rPr>
                <w:sz w:val="4"/>
                <w:szCs w:val="4"/>
              </w:rPr>
            </w:r>
          </w:p>
        </w:tc>
        <w:tc>
          <w:tcPr>
            <w:tcW w:w="945" w:type="dxa"/>
            <w:tcBorders/>
            <w:vAlign w:val="center"/>
          </w:tcPr>
          <w:p>
            <w:pPr>
              <w:pStyle w:val="TableContents"/>
              <w:bidi w:val="0"/>
              <w:spacing w:before="0" w:after="283"/>
              <w:jc w:val="left"/>
              <w:rPr>
                <w:sz w:val="4"/>
                <w:szCs w:val="4"/>
              </w:rPr>
            </w:pPr>
            <w:r>
              <w:rPr>
                <w:sz w:val="4"/>
                <w:szCs w:val="4"/>
              </w:rPr>
            </w:r>
          </w:p>
        </w:tc>
        <w:tc>
          <w:tcPr>
            <w:tcW w:w="945" w:type="dxa"/>
            <w:tcBorders/>
            <w:vAlign w:val="center"/>
          </w:tcPr>
          <w:p>
            <w:pPr>
              <w:pStyle w:val="TableContents"/>
              <w:bidi w:val="0"/>
              <w:spacing w:before="0" w:after="283"/>
              <w:jc w:val="left"/>
              <w:rPr>
                <w:sz w:val="4"/>
                <w:szCs w:val="4"/>
              </w:rPr>
            </w:pPr>
            <w:r>
              <w:rPr>
                <w:sz w:val="4"/>
                <w:szCs w:val="4"/>
              </w:rPr>
            </w:r>
          </w:p>
        </w:tc>
        <w:tc>
          <w:tcPr>
            <w:tcW w:w="470" w:type="dxa"/>
            <w:tcBorders/>
            <w:vAlign w:val="center"/>
          </w:tcPr>
          <w:p>
            <w:pPr>
              <w:pStyle w:val="TableContents"/>
              <w:bidi w:val="0"/>
              <w:spacing w:before="0" w:after="283"/>
              <w:jc w:val="left"/>
              <w:rPr>
                <w:sz w:val="4"/>
                <w:szCs w:val="4"/>
              </w:rPr>
            </w:pPr>
            <w:r>
              <w:rPr>
                <w:sz w:val="4"/>
                <w:szCs w:val="4"/>
              </w:rPr>
            </w:r>
          </w:p>
        </w:tc>
        <w:tc>
          <w:tcPr>
            <w:tcW w:w="470" w:type="dxa"/>
            <w:tcBorders/>
            <w:vAlign w:val="center"/>
          </w:tcPr>
          <w:p>
            <w:pPr>
              <w:pStyle w:val="TableContents"/>
              <w:bidi w:val="0"/>
              <w:spacing w:before="0" w:after="283"/>
              <w:jc w:val="left"/>
              <w:rPr>
                <w:sz w:val="4"/>
                <w:szCs w:val="4"/>
              </w:rPr>
            </w:pPr>
            <w:r>
              <w:rPr>
                <w:sz w:val="4"/>
                <w:szCs w:val="4"/>
              </w:rPr>
            </w:r>
          </w:p>
        </w:tc>
        <w:tc>
          <w:tcPr>
            <w:tcW w:w="470" w:type="dxa"/>
            <w:tcBorders/>
            <w:vAlign w:val="center"/>
          </w:tcPr>
          <w:p>
            <w:pPr>
              <w:pStyle w:val="TableContents"/>
              <w:bidi w:val="0"/>
              <w:spacing w:before="0" w:after="283"/>
              <w:jc w:val="left"/>
              <w:rPr>
                <w:sz w:val="4"/>
                <w:szCs w:val="4"/>
              </w:rPr>
            </w:pPr>
            <w:r>
              <w:rPr>
                <w:sz w:val="4"/>
                <w:szCs w:val="4"/>
              </w:rPr>
            </w:r>
          </w:p>
        </w:tc>
        <w:tc>
          <w:tcPr>
            <w:tcW w:w="713" w:type="dxa"/>
            <w:tcBorders/>
            <w:vAlign w:val="center"/>
          </w:tcPr>
          <w:p>
            <w:pPr>
              <w:pStyle w:val="TableContents"/>
              <w:bidi w:val="0"/>
              <w:spacing w:before="0" w:after="283"/>
              <w:jc w:val="left"/>
              <w:rPr>
                <w:sz w:val="4"/>
                <w:szCs w:val="4"/>
              </w:rPr>
            </w:pPr>
            <w:r>
              <w:rPr>
                <w:sz w:val="4"/>
                <w:szCs w:val="4"/>
              </w:rPr>
            </w:r>
          </w:p>
        </w:tc>
        <w:tc>
          <w:tcPr>
            <w:tcW w:w="713" w:type="dxa"/>
            <w:tcBorders/>
            <w:vAlign w:val="center"/>
          </w:tcPr>
          <w:p>
            <w:pPr>
              <w:pStyle w:val="TableContents"/>
              <w:bidi w:val="0"/>
              <w:spacing w:before="0" w:after="283"/>
              <w:jc w:val="left"/>
              <w:rPr>
                <w:sz w:val="4"/>
                <w:szCs w:val="4"/>
              </w:rPr>
            </w:pPr>
            <w:r>
              <w:rPr>
                <w:sz w:val="4"/>
                <w:szCs w:val="4"/>
              </w:rPr>
            </w:r>
          </w:p>
        </w:tc>
        <w:tc>
          <w:tcPr>
            <w:tcW w:w="1048" w:type="dxa"/>
            <w:tcBorders/>
            <w:vAlign w:val="center"/>
          </w:tcPr>
          <w:p>
            <w:pPr>
              <w:pStyle w:val="TableContents"/>
              <w:bidi w:val="0"/>
              <w:spacing w:before="0" w:after="283"/>
              <w:jc w:val="left"/>
              <w:rPr>
                <w:sz w:val="4"/>
                <w:szCs w:val="4"/>
              </w:rPr>
            </w:pPr>
            <w:r>
              <w:rPr>
                <w:sz w:val="4"/>
                <w:szCs w:val="4"/>
              </w:rPr>
            </w:r>
          </w:p>
        </w:tc>
      </w:tr>
      <w:tr>
        <w:trPr/>
        <w:tc>
          <w:tcPr>
            <w:tcW w:w="2159" w:type="dxa"/>
            <w:gridSpan w:val="3"/>
            <w:tcBorders/>
            <w:shd w:fill="F4423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4423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19" w:type="dxa"/>
            <w:gridSpan w:val="9"/>
            <w:tcBorders/>
            <w:shd w:fill="F44238" w:val="clear"/>
            <w:tcMar>
              <w:top w:w="0" w:type="dxa"/>
              <w:left w:w="0" w:type="dxa"/>
              <w:bottom w:w="0" w:type="dxa"/>
              <w:right w:w="0" w:type="dxa"/>
            </w:tcMar>
            <w:vAlign w:val="center"/>
          </w:tcPr>
          <w:p>
            <w:pPr>
              <w:pStyle w:val="TableContents"/>
              <w:bidi w:val="0"/>
              <w:spacing w:lineRule="auto" w:line="240" w:before="0" w:after="283"/>
              <w:jc w:val="center"/>
              <w:rPr>
                <w:rFonts w:ascii="Lato;sans-serif" w:hAnsi="Lato;sans-serif"/>
                <w:b/>
                <w:color w:val="FFFFFF"/>
                <w:sz w:val="16"/>
              </w:rPr>
            </w:pPr>
            <w:r>
              <w:rPr>
                <w:rFonts w:ascii="Lato;sans-serif" w:hAnsi="Lato;sans-serif"/>
                <w:b/>
                <w:color w:val="FFFFFF"/>
                <w:sz w:val="16"/>
              </w:rPr>
              <w:t>Death or Disability of Named Executive Officer</w:t>
            </w:r>
          </w:p>
        </w:tc>
      </w:tr>
      <w:tr>
        <w:trPr/>
        <w:tc>
          <w:tcPr>
            <w:tcW w:w="2159" w:type="dxa"/>
            <w:gridSpan w:val="3"/>
            <w:tcBorders/>
            <w:shd w:fill="F44238"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color w:val="FFFFFF"/>
                <w:sz w:val="16"/>
              </w:rPr>
            </w:pPr>
            <w:r>
              <w:rPr>
                <w:rFonts w:ascii="Lato;sans-serif" w:hAnsi="Lato;sans-serif"/>
                <w:b/>
                <w:color w:val="FFFFFF"/>
                <w:sz w:val="16"/>
              </w:rPr>
              <w:t>Name</w:t>
            </w:r>
          </w:p>
        </w:tc>
        <w:tc>
          <w:tcPr>
            <w:tcW w:w="327" w:type="dxa"/>
            <w:gridSpan w:val="3"/>
            <w:tcBorders/>
            <w:shd w:fill="F4423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5" w:type="dxa"/>
            <w:gridSpan w:val="3"/>
            <w:tcBorders/>
            <w:shd w:fill="F44238" w:val="clear"/>
            <w:tcMar>
              <w:top w:w="0" w:type="dxa"/>
              <w:left w:w="0" w:type="dxa"/>
              <w:bottom w:w="0" w:type="dxa"/>
              <w:right w:w="0" w:type="dxa"/>
            </w:tcMar>
            <w:vAlign w:val="center"/>
          </w:tcPr>
          <w:p>
            <w:pPr>
              <w:pStyle w:val="TableContents"/>
              <w:bidi w:val="0"/>
              <w:spacing w:lineRule="auto" w:line="240" w:before="0" w:after="0"/>
              <w:jc w:val="center"/>
              <w:rPr/>
            </w:pPr>
            <w:r>
              <w:rPr>
                <w:rFonts w:ascii="Lato;sans-serif" w:hAnsi="Lato;sans-serif"/>
                <w:b/>
                <w:color w:val="FFFFFF"/>
                <w:sz w:val="16"/>
              </w:rPr>
              <w:t>Cash Severance - Bonus ($)</w:t>
            </w:r>
            <w:r>
              <w:rPr>
                <w:rFonts w:ascii="Lato;sans-serif" w:hAnsi="Lato;sans-serif"/>
                <w:b/>
                <w:color w:val="FFFFFF"/>
                <w:sz w:val="10"/>
              </w:rPr>
              <w:t>(1)</w:t>
            </w:r>
          </w:p>
        </w:tc>
        <w:tc>
          <w:tcPr>
            <w:tcW w:w="1410" w:type="dxa"/>
            <w:gridSpan w:val="3"/>
            <w:tcBorders/>
            <w:shd w:fill="F4423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4" w:type="dxa"/>
            <w:gridSpan w:val="3"/>
            <w:tcBorders/>
            <w:shd w:fill="F44238" w:val="clear"/>
            <w:tcMar>
              <w:top w:w="0" w:type="dxa"/>
              <w:left w:w="0" w:type="dxa"/>
              <w:bottom w:w="0" w:type="dxa"/>
              <w:right w:w="0" w:type="dxa"/>
            </w:tcMar>
            <w:vAlign w:val="center"/>
          </w:tcPr>
          <w:p>
            <w:pPr>
              <w:pStyle w:val="TableContents"/>
              <w:bidi w:val="0"/>
              <w:spacing w:lineRule="auto" w:line="240" w:before="0" w:after="0"/>
              <w:jc w:val="center"/>
              <w:rPr/>
            </w:pPr>
            <w:r>
              <w:rPr>
                <w:rFonts w:ascii="Lato;sans-serif" w:hAnsi="Lato;sans-serif"/>
                <w:b/>
                <w:color w:val="FFFFFF"/>
                <w:sz w:val="16"/>
              </w:rPr>
              <w:t>Equity Acceleration ($)</w:t>
            </w:r>
            <w:r>
              <w:rPr>
                <w:rFonts w:ascii="Lato;sans-serif" w:hAnsi="Lato;sans-serif"/>
                <w:b/>
                <w:color w:val="FFFFFF"/>
                <w:sz w:val="10"/>
              </w:rPr>
              <w:t>(2)</w:t>
            </w:r>
          </w:p>
        </w:tc>
      </w:tr>
      <w:tr>
        <w:trPr/>
        <w:tc>
          <w:tcPr>
            <w:tcW w:w="2159"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53" w:after="30"/>
              <w:jc w:val="left"/>
              <w:rPr>
                <w:rFonts w:ascii="Lato;sans-serif" w:hAnsi="Lato;sans-serif"/>
                <w:b w:val="false"/>
                <w:color w:val="000000"/>
                <w:sz w:val="16"/>
              </w:rPr>
            </w:pPr>
            <w:r>
              <w:rPr>
                <w:rFonts w:ascii="Lato;sans-serif" w:hAnsi="Lato;sans-serif"/>
                <w:b w:val="false"/>
                <w:color w:val="000000"/>
                <w:sz w:val="16"/>
              </w:rPr>
              <w:t>Henry L. Schuck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5"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Lato;sans-serif" w:hAnsi="Lato;sans-serif"/>
                <w:b w:val="false"/>
                <w:color w:val="000000"/>
                <w:sz w:val="16"/>
              </w:rPr>
            </w:pPr>
            <w:r>
              <w:rPr>
                <w:rFonts w:ascii="Lato;sans-serif" w:hAnsi="Lato;sans-serif"/>
                <w:b w:val="false"/>
                <w:color w:val="000000"/>
                <w:sz w:val="16"/>
              </w:rPr>
              <w:t>600,000</w:t>
            </w:r>
          </w:p>
        </w:tc>
        <w:tc>
          <w:tcPr>
            <w:tcW w:w="14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4"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Lato;sans-serif" w:hAnsi="Lato;sans-serif"/>
                <w:b w:val="false"/>
                <w:color w:val="000000"/>
                <w:sz w:val="16"/>
              </w:rPr>
            </w:pPr>
            <w:r>
              <w:rPr>
                <w:rFonts w:ascii="Lato;sans-serif" w:hAnsi="Lato;sans-serif"/>
                <w:b w:val="false"/>
                <w:color w:val="000000"/>
                <w:sz w:val="16"/>
              </w:rPr>
              <w:t>50,850</w:t>
            </w:r>
          </w:p>
        </w:tc>
      </w:tr>
      <w:tr>
        <w:trPr/>
        <w:tc>
          <w:tcPr>
            <w:tcW w:w="2159" w:type="dxa"/>
            <w:gridSpan w:val="3"/>
            <w:tcBorders/>
            <w:shd w:fill="DBDBDB" w:val="clear"/>
            <w:tcMar>
              <w:top w:w="0" w:type="dxa"/>
              <w:left w:w="0" w:type="dxa"/>
              <w:bottom w:w="0" w:type="dxa"/>
              <w:right w:w="0" w:type="dxa"/>
            </w:tcMar>
            <w:vAlign w:val="center"/>
          </w:tcPr>
          <w:p>
            <w:pPr>
              <w:pStyle w:val="TableContents"/>
              <w:bidi w:val="0"/>
              <w:spacing w:lineRule="auto" w:line="333" w:before="0" w:after="0"/>
              <w:jc w:val="left"/>
              <w:rPr>
                <w:rFonts w:ascii="Lato;sans-serif" w:hAnsi="Lato;sans-serif"/>
                <w:b w:val="false"/>
                <w:color w:val="000000"/>
                <w:sz w:val="16"/>
              </w:rPr>
            </w:pPr>
            <w:r>
              <w:rPr>
                <w:rFonts w:ascii="Lato;sans-serif" w:hAnsi="Lato;sans-serif"/>
                <w:b w:val="false"/>
                <w:color w:val="000000"/>
                <w:sz w:val="16"/>
              </w:rPr>
              <w:t>Michael Graham O'Brien</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5"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Lato;sans-serif" w:hAnsi="Lato;sans-serif"/>
                <w:b w:val="false"/>
                <w:color w:val="000000"/>
                <w:sz w:val="16"/>
              </w:rPr>
            </w:pPr>
            <w:r>
              <w:rPr>
                <w:rFonts w:ascii="Lato;sans-serif" w:hAnsi="Lato;sans-serif"/>
                <w:b w:val="false"/>
                <w:color w:val="000000"/>
                <w:sz w:val="16"/>
              </w:rPr>
              <w:t>282,000</w:t>
            </w:r>
          </w:p>
        </w:tc>
        <w:tc>
          <w:tcPr>
            <w:tcW w:w="1410"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Lato;sans-serif" w:hAnsi="Lato;sans-serif"/>
                <w:b w:val="false"/>
                <w:color w:val="000000"/>
                <w:sz w:val="16"/>
              </w:rPr>
            </w:pPr>
            <w:r>
              <w:rPr>
                <w:rFonts w:ascii="Lato;sans-serif" w:hAnsi="Lato;sans-serif"/>
                <w:b w:val="false"/>
                <w:color w:val="000000"/>
                <w:sz w:val="16"/>
              </w:rPr>
              <w:t>50,850</w:t>
            </w:r>
          </w:p>
        </w:tc>
      </w:tr>
      <w:tr>
        <w:trPr/>
        <w:tc>
          <w:tcPr>
            <w:tcW w:w="2159" w:type="dxa"/>
            <w:gridSpan w:val="3"/>
            <w:tcBorders/>
            <w:shd w:fill="FFFFFF" w:val="clear"/>
            <w:tcMar>
              <w:top w:w="0" w:type="dxa"/>
              <w:left w:w="0" w:type="dxa"/>
              <w:bottom w:w="0" w:type="dxa"/>
              <w:right w:w="0" w:type="dxa"/>
            </w:tcMar>
            <w:vAlign w:val="center"/>
          </w:tcPr>
          <w:p>
            <w:pPr>
              <w:pStyle w:val="TableContents"/>
              <w:bidi w:val="0"/>
              <w:spacing w:lineRule="auto" w:line="333" w:before="0" w:after="0"/>
              <w:jc w:val="left"/>
              <w:rPr>
                <w:rFonts w:ascii="Lato;sans-serif" w:hAnsi="Lato;sans-serif"/>
                <w:b w:val="false"/>
                <w:color w:val="000000"/>
                <w:sz w:val="16"/>
              </w:rPr>
            </w:pPr>
            <w:r>
              <w:rPr>
                <w:rFonts w:ascii="Lato;sans-serif" w:hAnsi="Lato;sans-serif"/>
                <w:b w:val="false"/>
                <w:color w:val="000000"/>
                <w:sz w:val="16"/>
              </w:rPr>
              <w:t>James Roth</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Lato;sans-serif" w:hAnsi="Lato;sans-serif"/>
                <w:b w:val="false"/>
                <w:color w:val="000000"/>
                <w:sz w:val="16"/>
              </w:rPr>
            </w:pPr>
            <w:r>
              <w:rPr>
                <w:rFonts w:ascii="Lato;sans-serif" w:hAnsi="Lato;sans-serif"/>
                <w:b w:val="false"/>
                <w:color w:val="000000"/>
                <w:sz w:val="16"/>
              </w:rPr>
              <w:t>500,000</w:t>
            </w:r>
          </w:p>
        </w:tc>
        <w:tc>
          <w:tcPr>
            <w:tcW w:w="14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Lato;sans-serif" w:hAnsi="Lato;sans-serif"/>
                <w:b w:val="false"/>
                <w:color w:val="000000"/>
                <w:sz w:val="16"/>
              </w:rPr>
            </w:pPr>
            <w:r>
              <w:rPr>
                <w:rFonts w:ascii="Lato;sans-serif" w:hAnsi="Lato;sans-serif"/>
                <w:b w:val="false"/>
                <w:color w:val="000000"/>
                <w:sz w:val="16"/>
              </w:rPr>
              <w:t>50,850</w:t>
            </w:r>
          </w:p>
        </w:tc>
      </w:tr>
      <w:tr>
        <w:trPr/>
        <w:tc>
          <w:tcPr>
            <w:tcW w:w="2159" w:type="dxa"/>
            <w:gridSpan w:val="3"/>
            <w:tcBorders/>
            <w:shd w:fill="DBDBDB" w:val="clear"/>
            <w:tcMar>
              <w:top w:w="0" w:type="dxa"/>
              <w:left w:w="0" w:type="dxa"/>
              <w:bottom w:w="0" w:type="dxa"/>
              <w:right w:w="0" w:type="dxa"/>
            </w:tcMar>
            <w:vAlign w:val="center"/>
          </w:tcPr>
          <w:p>
            <w:pPr>
              <w:pStyle w:val="TableContents"/>
              <w:bidi w:val="0"/>
              <w:spacing w:lineRule="auto" w:line="333" w:before="0" w:after="0"/>
              <w:jc w:val="left"/>
              <w:rPr>
                <w:rFonts w:ascii="Lato;sans-serif" w:hAnsi="Lato;sans-serif"/>
                <w:b w:val="false"/>
                <w:color w:val="000000"/>
                <w:sz w:val="16"/>
              </w:rPr>
            </w:pPr>
            <w:r>
              <w:rPr>
                <w:rFonts w:ascii="Lato;sans-serif" w:hAnsi="Lato;sans-serif"/>
                <w:b w:val="false"/>
                <w:color w:val="000000"/>
                <w:sz w:val="16"/>
              </w:rPr>
              <w:t>Ashley McGrane</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5"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Lato;sans-serif" w:hAnsi="Lato;sans-serif"/>
                <w:b w:val="false"/>
                <w:color w:val="000000"/>
                <w:sz w:val="16"/>
              </w:rPr>
            </w:pPr>
            <w:r>
              <w:rPr>
                <w:rFonts w:ascii="Lato;sans-serif" w:hAnsi="Lato;sans-serif"/>
                <w:b w:val="false"/>
                <w:color w:val="000000"/>
                <w:sz w:val="16"/>
              </w:rPr>
              <w:t>212,500</w:t>
            </w:r>
          </w:p>
        </w:tc>
        <w:tc>
          <w:tcPr>
            <w:tcW w:w="1410"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Lato;sans-serif" w:hAnsi="Lato;sans-serif"/>
                <w:b w:val="false"/>
                <w:color w:val="000000"/>
                <w:sz w:val="16"/>
              </w:rPr>
            </w:pPr>
            <w:r>
              <w:rPr>
                <w:rFonts w:ascii="Lato;sans-serif" w:hAnsi="Lato;sans-serif"/>
                <w:b w:val="false"/>
                <w:color w:val="000000"/>
                <w:sz w:val="16"/>
              </w:rPr>
              <w:t>50,850</w:t>
            </w:r>
          </w:p>
        </w:tc>
      </w:tr>
    </w:tbl>
    <w:p>
      <w:pPr>
        <w:pStyle w:val="TextBody"/>
        <w:bidi w:val="0"/>
        <w:spacing w:lineRule="auto" w:line="333" w:before="0" w:after="0"/>
        <w:jc w:val="left"/>
        <w:rPr>
          <w:rFonts w:ascii="Times New Roman;serif" w:hAnsi="Times New Roman;serif"/>
          <w:b w:val="false"/>
          <w:color w:val="000000"/>
          <w:sz w:val="20"/>
        </w:rPr>
      </w:pPr>
      <w:r>
        <w:rPr>
          <w:rFonts w:ascii="Times New Roman;serif" w:hAnsi="Times New Roman;serif"/>
          <w:b w:val="false"/>
          <w:color w:val="000000"/>
          <w:sz w:val="20"/>
        </w:rPr>
        <w:t>__________________</w:t>
      </w:r>
    </w:p>
    <w:p>
      <w:pPr>
        <w:pStyle w:val="TextBody"/>
        <w:bidi w:val="0"/>
        <w:spacing w:lineRule="auto" w:line="288" w:before="0" w:after="0"/>
        <w:ind w:left="0" w:right="0" w:hanging="360"/>
        <w:jc w:val="both"/>
        <w:rPr>
          <w:rFonts w:ascii="Lato;sans-serif" w:hAnsi="Lato;sans-serif"/>
          <w:b w:val="false"/>
          <w:color w:val="000000"/>
          <w:sz w:val="16"/>
        </w:rPr>
      </w:pPr>
      <w:r>
        <w:rPr>
          <w:rFonts w:ascii="Lato;sans-serif" w:hAnsi="Lato;sans-serif"/>
          <w:b w:val="false"/>
          <w:color w:val="000000"/>
          <w:sz w:val="16"/>
        </w:rPr>
        <w:t>(1)Represents the NEO’s target annual bonus at 100% achievement.</w:t>
      </w:r>
    </w:p>
    <w:p>
      <w:pPr>
        <w:pStyle w:val="TextBody"/>
        <w:bidi w:val="0"/>
        <w:spacing w:lineRule="auto" w:line="288" w:before="0" w:after="0"/>
        <w:ind w:left="0" w:right="0" w:hanging="360"/>
        <w:jc w:val="both"/>
        <w:rPr>
          <w:rFonts w:ascii="Lato;sans-serif" w:hAnsi="Lato;sans-serif"/>
          <w:b w:val="false"/>
          <w:color w:val="000000"/>
          <w:sz w:val="16"/>
        </w:rPr>
      </w:pPr>
      <w:r>
        <w:rPr>
          <w:rFonts w:ascii="Lato;sans-serif" w:hAnsi="Lato;sans-serif"/>
          <w:b w:val="false"/>
          <w:color w:val="000000"/>
          <w:sz w:val="16"/>
        </w:rPr>
        <w:t>(2)Represents value of accelerated vesting of 5,000 RSU awards upon death or disability of an NEO, pursuant to the terms of the award agreements provided to NEOs under the 2020 Omnibus Incentive Plan.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333" w:before="300" w:after="180"/>
        <w:jc w:val="left"/>
        <w:rPr>
          <w:rFonts w:ascii="Lato;sans-serif" w:hAnsi="Lato;sans-serif"/>
          <w:b/>
          <w:color w:val="000000"/>
          <w:sz w:val="20"/>
        </w:rPr>
      </w:pPr>
      <w:r>
        <w:rPr>
          <w:rFonts w:ascii="Lato;sans-serif" w:hAnsi="Lato;sans-serif"/>
          <w:b/>
          <w:color w:val="000000"/>
          <w:sz w:val="20"/>
        </w:rPr>
        <w:t>CEO Pay Ratio Disclosure</w:t>
      </w:r>
    </w:p>
    <w:p>
      <w:pPr>
        <w:pStyle w:val="TextBody"/>
        <w:bidi w:val="0"/>
        <w:spacing w:lineRule="auto" w:line="288" w:before="300" w:after="180"/>
        <w:jc w:val="both"/>
        <w:rPr>
          <w:rFonts w:ascii="Lato;sans-serif" w:hAnsi="Lato;sans-serif"/>
          <w:b w:val="false"/>
          <w:i/>
          <w:color w:val="000000"/>
          <w:sz w:val="20"/>
        </w:rPr>
      </w:pPr>
      <w:r>
        <w:rPr>
          <w:rFonts w:ascii="Lato;sans-serif" w:hAnsi="Lato;sans-serif"/>
          <w:b w:val="false"/>
          <w:i/>
          <w:color w:val="000000"/>
          <w:sz w:val="20"/>
        </w:rPr>
        <w:t xml:space="preserve">Pay Ratio </w:t>
      </w:r>
    </w:p>
    <w:p>
      <w:pPr>
        <w:pStyle w:val="TextBody"/>
        <w:bidi w:val="0"/>
        <w:spacing w:lineRule="auto" w:line="288" w:before="0" w:after="180"/>
        <w:jc w:val="both"/>
        <w:rPr>
          <w:rFonts w:ascii="Lato;sans-serif" w:hAnsi="Lato;sans-serif"/>
          <w:b w:val="false"/>
          <w:color w:val="000000"/>
          <w:sz w:val="20"/>
        </w:rPr>
      </w:pPr>
      <w:r>
        <w:rPr>
          <w:rFonts w:ascii="Lato;sans-serif" w:hAnsi="Lato;sans-serif"/>
          <w:b w:val="false"/>
          <w:color w:val="000000"/>
          <w:sz w:val="20"/>
        </w:rPr>
        <w:t>As required by SEC rules, we are providing the following information about the ratio of the annual total compensation of our median employee and the annual total compensation of our CEO, Mr. Schuck, on December 31, 2025, the last day of our 2025 fiscal year.</w:t>
      </w:r>
    </w:p>
    <w:p>
      <w:pPr>
        <w:pStyle w:val="TextBody"/>
        <w:bidi w:val="0"/>
        <w:spacing w:lineRule="auto" w:line="288" w:before="0" w:after="0"/>
        <w:jc w:val="both"/>
        <w:rPr>
          <w:rFonts w:ascii="Lato;sans-serif" w:hAnsi="Lato;sans-serif"/>
          <w:b w:val="false"/>
          <w:color w:val="000000"/>
          <w:sz w:val="20"/>
        </w:rPr>
      </w:pPr>
      <w:r>
        <w:rPr>
          <w:rFonts w:ascii="Lato;sans-serif" w:hAnsi="Lato;sans-serif"/>
          <w:b w:val="false"/>
          <w:color w:val="000000"/>
          <w:sz w:val="20"/>
        </w:rPr>
        <w:t>For 2025, the annual total compensation for Mr. Schuck, from the Summary Compensation Table above, was $33,297,747, and the annual total compensation for our median-compensated employee was $159,305, resulting in an estimated pay ratio of 209:1.</w:t>
      </w:r>
    </w:p>
    <w:p>
      <w:pPr>
        <w:pStyle w:val="TextBody"/>
        <w:bidi w:val="0"/>
        <w:spacing w:before="0" w:after="0"/>
        <w:jc w:val="both"/>
        <w:rPr/>
      </w:pPr>
      <w:r>
        <w:rPr/>
      </w:r>
    </w:p>
    <w:p>
      <w:pPr>
        <w:pStyle w:val="TextBody"/>
        <w:bidi w:val="0"/>
        <w:spacing w:lineRule="auto" w:line="288" w:before="0" w:after="0"/>
        <w:jc w:val="both"/>
        <w:rPr/>
      </w:pPr>
      <w:r>
        <w:rPr>
          <w:rFonts w:ascii="Lato;sans-serif" w:hAnsi="Lato;sans-serif"/>
          <w:b w:val="false"/>
          <w:color w:val="000000"/>
          <w:sz w:val="20"/>
        </w:rPr>
        <w:t>The CEO pay ratio for fiscal year 2025 reflects the inclusion of Mr. Schuck’s CEO Premium-Priced Performance Option granted to him on November 26, 2025, which as presented in the Summary Compensation Table was calculated using the grant date fair value in accordance with FASB ASC Topic 718. The CEO Premium-Priced Performance Option is a one-time award granted in lieu of annual equity awards during the 10-year term of the award, and therefore is not reflective of Mr. Schuck's ongoing or recurring annual compensation. For additional information, see “</w:t>
      </w:r>
      <w:r>
        <w:rPr>
          <w:rFonts w:ascii="Lato;sans-serif" w:hAnsi="Lato;sans-serif"/>
          <w:b w:val="false"/>
          <w:i/>
          <w:color w:val="000000"/>
          <w:sz w:val="20"/>
        </w:rPr>
        <w:t>Executive Compensation Discussion and Analysis—Components of our Annual Compensation Program and 2025 Compensation—2025 CEO Premium-Priced Performance Option</w:t>
      </w:r>
      <w:r>
        <w:rPr>
          <w:rFonts w:ascii="Lato;sans-serif" w:hAnsi="Lato;sans-serif"/>
          <w:b w:val="false"/>
          <w:color w:val="000000"/>
          <w:sz w:val="20"/>
        </w:rPr>
        <w:t>.”</w:t>
      </w:r>
    </w:p>
    <w:p>
      <w:pPr>
        <w:pStyle w:val="TextBody"/>
        <w:bidi w:val="0"/>
        <w:spacing w:lineRule="auto" w:line="288" w:before="300" w:after="180"/>
        <w:jc w:val="both"/>
        <w:rPr>
          <w:rFonts w:ascii="Lato;sans-serif" w:hAnsi="Lato;sans-serif"/>
          <w:b w:val="false"/>
          <w:i/>
          <w:color w:val="000000"/>
          <w:sz w:val="20"/>
        </w:rPr>
      </w:pPr>
      <w:r>
        <w:rPr>
          <w:rFonts w:ascii="Lato;sans-serif" w:hAnsi="Lato;sans-serif"/>
          <w:b w:val="false"/>
          <w:i/>
          <w:color w:val="000000"/>
          <w:sz w:val="20"/>
        </w:rPr>
        <w:t>Identification of Median Employee</w:t>
      </w:r>
    </w:p>
    <w:p>
      <w:pPr>
        <w:pStyle w:val="TextBody"/>
        <w:bidi w:val="0"/>
        <w:spacing w:lineRule="auto" w:line="288" w:before="180" w:after="180"/>
        <w:jc w:val="both"/>
        <w:rPr>
          <w:rFonts w:ascii="Lato;sans-serif" w:hAnsi="Lato;sans-serif"/>
          <w:b w:val="false"/>
          <w:color w:val="000000"/>
          <w:sz w:val="20"/>
        </w:rPr>
      </w:pPr>
      <w:r>
        <w:rPr>
          <w:rFonts w:ascii="Lato;sans-serif" w:hAnsi="Lato;sans-serif"/>
          <w:b w:val="false"/>
          <w:color w:val="000000"/>
          <w:sz w:val="20"/>
        </w:rPr>
        <w:t>Our median employee was identified from all full-time and part-time employees employed as of December 31, 2025. We did not include any contractors or other non-employee workers in our employee population. To identify our median employee from our employee population, we calculated the aggregate amount of each employee’s (i) annualized base salary, (ii) targeted annual company bonus amount or targeted commission amount, (iii) the grant date fair value of equity awards granted, in each case during the period from January 1, 2025 through December 1, 2025. We selected the foregoing compensation elements because they represented our principal broad-based compensation elements. Compensation not paid in U.S. dollars was converted to U.S. dollars using the foreign exchange rates in effect as of December 31, 2025. We then ranked this compensation measure for our employees and identified the median employee. We did not include employees who terminated employment on December 31, 2025.</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1">
                <wp:simplePos x="0" y="0"/>
                <wp:positionH relativeFrom="character">
                  <wp:align>left</wp:align>
                </wp:positionH>
                <wp:positionV relativeFrom="line">
                  <wp:posOffset>635</wp:posOffset>
                </wp:positionV>
                <wp:extent cx="6480175" cy="352425"/>
                <wp:effectExtent l="0" t="0" r="0" b="0"/>
                <wp:wrapNone/>
                <wp:docPr id="97" name="Frame81"/>
                <a:graphic xmlns:a="http://schemas.openxmlformats.org/drawingml/2006/main">
                  <a:graphicData uri="http://schemas.microsoft.com/office/word/2010/wordprocessingShape">
                    <wps:wsp>
                      <wps:cNvSpPr txBox="1"/>
                      <wps:spPr>
                        <a:xfrm>
                          <a:off x="0" y="0"/>
                          <a:ext cx="6480175" cy="352425"/>
                        </a:xfrm>
                        <a:prstGeom prst="rect"/>
                        <a:solidFill>
                          <a:srgbClr val="FFFFFF"/>
                        </a:solidFill>
                      </wps:spPr>
                      <wps:txbx>
                        <w:txbxContent>
                          <w:p>
                            <w:pPr>
                              <w:pStyle w:val="TextBody"/>
                              <w:bidi w:val="0"/>
                              <w:spacing w:lineRule="auto" w:line="288" w:before="0" w:after="0"/>
                              <w:jc w:val="center"/>
                              <w:rPr>
                                <w:rFonts w:ascii="Lato;sans-serif" w:hAnsi="Lato;sans-serif"/>
                                <w:b w:val="false"/>
                                <w:color w:val="000000"/>
                                <w:sz w:val="20"/>
                              </w:rPr>
                            </w:pPr>
                            <w:r>
                              <w:rPr>
                                <w:rFonts w:ascii="Lato;sans-serif" w:hAnsi="Lato;sans-serif"/>
                                <w:b w:val="false"/>
                                <w:color w:val="000000"/>
                                <w:sz w:val="20"/>
                              </w:rPr>
                              <w:t>75</w:t>
                            </w:r>
                          </w:p>
                          <w:p>
                            <w:pPr>
                              <w:pStyle w:val="TextBody"/>
                              <w:bidi w:val="0"/>
                              <w:spacing w:lineRule="auto" w:line="288" w:before="0" w:after="0"/>
                              <w:jc w:val="left"/>
                              <w:rPr>
                                <w:color w:val="000000"/>
                              </w:rPr>
                            </w:pPr>
                            <w:r>
                              <w:rPr>
                                <w:color w:val="000000"/>
                              </w:rPr>
                              <w:t>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Lato;sans-serif" w:hAnsi="Lato;sans-serif"/>
                          <w:b w:val="false"/>
                          <w:color w:val="000000"/>
                          <w:sz w:val="20"/>
                        </w:rPr>
                      </w:pPr>
                      <w:r>
                        <w:rPr>
                          <w:rFonts w:ascii="Lato;sans-serif" w:hAnsi="Lato;sans-serif"/>
                          <w:b w:val="false"/>
                          <w:color w:val="000000"/>
                          <w:sz w:val="20"/>
                        </w:rPr>
                        <w:t>75</w:t>
                      </w:r>
                    </w:p>
                    <w:p>
                      <w:pPr>
                        <w:pStyle w:val="TextBody"/>
                        <w:bidi w:val="0"/>
                        <w:spacing w:lineRule="auto" w:line="288" w:before="0" w:after="0"/>
                        <w:jc w:val="left"/>
                        <w:rPr>
                          <w:color w:val="000000"/>
                        </w:rPr>
                      </w:pPr>
                      <w:r>
                        <w:rPr>
                          <w:color w:val="000000"/>
                        </w:rPr>
                        <w:t>        </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rFonts w:ascii="Lato;sans-serif" w:hAnsi="Lato;sans-serif"/>
          <w:b w:val="false"/>
          <w:color w:val="000000"/>
          <w:sz w:val="20"/>
        </w:rPr>
      </w:pPr>
      <w:r>
        <w:rPr>
          <w:rFonts w:ascii="Lato;sans-serif" w:hAnsi="Lato;sans-serif"/>
          <w:b w:val="false"/>
          <w:color w:val="000000"/>
          <w:sz w:val="20"/>
        </w:rPr>
        <w:t>The pay ratio reported above is a reasonable estimate calculated in a manner consistent with SEC rules based on our internal records and the methodology described above. Because the SEC rules for identifying the median compensated employee and calculating the pay ratio based on that employee’s annual total compensation allow companies to adopt a variety of methodologies, to apply certain exclusions, and to make reasonable estimates and assumptions that reflect their employee populations and compensation practices, the pay ratio reported by other companies may not be comparable to the pay ratio reported above, as other companies have different employee populations and compensation practices and may utilize different methodologies, exclusions, estimates and assumptions in calculating their own pay ratios.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333" w:before="300" w:after="180"/>
        <w:jc w:val="left"/>
        <w:rPr>
          <w:rFonts w:ascii="Lato;sans-serif" w:hAnsi="Lato;sans-serif"/>
          <w:b/>
          <w:color w:val="000000"/>
          <w:sz w:val="20"/>
        </w:rPr>
      </w:pPr>
      <w:r>
        <w:rPr>
          <w:rFonts w:ascii="Lato;sans-serif" w:hAnsi="Lato;sans-serif"/>
          <w:b/>
          <w:color w:val="000000"/>
          <w:sz w:val="20"/>
        </w:rPr>
        <w:t>Pay Versus Performance</w:t>
      </w:r>
    </w:p>
    <w:p>
      <w:pPr>
        <w:pStyle w:val="TextBody"/>
        <w:bidi w:val="0"/>
        <w:spacing w:lineRule="auto" w:line="256" w:before="180" w:after="180"/>
        <w:jc w:val="both"/>
        <w:rPr/>
      </w:pPr>
      <w:r>
        <w:rPr>
          <w:rFonts w:ascii="Lato;sans-serif" w:hAnsi="Lato;sans-serif"/>
          <w:b w:val="false"/>
          <w:color w:val="000000"/>
          <w:sz w:val="20"/>
        </w:rPr>
        <w:t>The Executive Compensation Discussion and Analysis section of this Proxy Statement sets forth the financial and other factors considered by the Compensation Committee when reviewing and setting the compensation of our NEOs for fiscal 2025. The following section has been prepared in accordance with the “pay versus performance” rules set forth in Item 402(v) (the “</w:t>
      </w:r>
      <w:r>
        <w:rPr>
          <w:rFonts w:ascii="Lato;sans-serif" w:hAnsi="Lato;sans-serif"/>
          <w:b/>
          <w:i/>
          <w:color w:val="000000"/>
          <w:sz w:val="20"/>
        </w:rPr>
        <w:t>Rule</w:t>
      </w:r>
      <w:r>
        <w:rPr>
          <w:color w:val="000000"/>
        </w:rPr>
        <w:t>”</w:t>
      </w:r>
      <w:r>
        <w:rPr>
          <w:rFonts w:ascii="Lato;sans-serif" w:hAnsi="Lato;sans-serif"/>
          <w:b w:val="false"/>
          <w:color w:val="000000"/>
          <w:sz w:val="20"/>
        </w:rPr>
        <w:t>) of Regulation S-K and sets forth information regarding compensation of our CEO, as our principal executive officer (“</w:t>
      </w:r>
      <w:r>
        <w:rPr>
          <w:rFonts w:ascii="Lato;sans-serif" w:hAnsi="Lato;sans-serif"/>
          <w:b/>
          <w:i/>
          <w:color w:val="000000"/>
          <w:sz w:val="20"/>
        </w:rPr>
        <w:t>PEO</w:t>
      </w:r>
      <w:r>
        <w:rPr>
          <w:color w:val="000000"/>
        </w:rPr>
        <w:t>”</w:t>
      </w:r>
      <w:r>
        <w:rPr>
          <w:rFonts w:ascii="Lato;sans-serif" w:hAnsi="Lato;sans-serif"/>
          <w:b w:val="false"/>
          <w:color w:val="000000"/>
          <w:sz w:val="20"/>
        </w:rPr>
        <w:t>), and our other non-PEO named executive officers. In accordance with the Rule, the table below and the discussion that follows includes an amount referred to as “compensation actually paid” as defined in the Rule (“</w:t>
      </w:r>
      <w:r>
        <w:rPr>
          <w:rFonts w:ascii="Lato;sans-serif" w:hAnsi="Lato;sans-serif"/>
          <w:b/>
          <w:i/>
          <w:color w:val="000000"/>
          <w:sz w:val="20"/>
        </w:rPr>
        <w:t>CAP</w:t>
      </w:r>
      <w:r>
        <w:rPr>
          <w:color w:val="000000"/>
        </w:rPr>
        <w:t>”</w:t>
      </w:r>
      <w:r>
        <w:rPr>
          <w:rFonts w:ascii="Lato;sans-serif" w:hAnsi="Lato;sans-serif"/>
          <w:b w:val="false"/>
          <w:color w:val="000000"/>
          <w:sz w:val="20"/>
        </w:rPr>
        <w:t>). The calculation of CAP includes, among other things, the revaluation of outstanding equity awards held by NEOs during fiscal 2025. In accordance with the Rule, the revaluation of equity awards includes, as applicable:</w:t>
      </w:r>
    </w:p>
    <w:p>
      <w:pPr>
        <w:pStyle w:val="TextBody"/>
        <w:bidi w:val="0"/>
        <w:spacing w:lineRule="auto" w:line="288" w:before="0" w:after="0"/>
        <w:ind w:left="0" w:right="0" w:hanging="360"/>
        <w:jc w:val="both"/>
        <w:rPr/>
      </w:pPr>
      <w:r>
        <w:rPr>
          <w:color w:val="000000"/>
        </w:rPr>
        <w:t>•</w:t>
      </w:r>
      <w:r>
        <w:rPr>
          <w:rFonts w:ascii="Lato;sans-serif" w:hAnsi="Lato;sans-serif"/>
          <w:b w:val="false"/>
          <w:color w:val="000000"/>
          <w:sz w:val="20"/>
        </w:rPr>
        <w:t>The year-end fair value of the awards granted in the covered fiscal year (e.g., 2025) that are outstanding and unvested as of the end of the covered fiscal year;</w:t>
      </w:r>
    </w:p>
    <w:p>
      <w:pPr>
        <w:pStyle w:val="TextBody"/>
        <w:bidi w:val="0"/>
        <w:spacing w:lineRule="auto" w:line="288" w:before="0" w:after="0"/>
        <w:ind w:left="0" w:right="0" w:hanging="360"/>
        <w:jc w:val="both"/>
        <w:rPr/>
      </w:pPr>
      <w:r>
        <w:rPr>
          <w:color w:val="000000"/>
        </w:rPr>
        <w:t>•</w:t>
      </w:r>
      <w:r>
        <w:rPr>
          <w:rFonts w:ascii="Lato;sans-serif" w:hAnsi="Lato;sans-serif"/>
          <w:b w:val="false"/>
          <w:color w:val="000000"/>
          <w:sz w:val="20"/>
        </w:rPr>
        <w:t>The change in fair value from the end of the prior fiscal year (e.g., 2024) to the end of the covered fiscal year with respect to any awards granted in prior years that are outstanding and unvested as of the end of the covered fiscal year;</w:t>
      </w:r>
    </w:p>
    <w:p>
      <w:pPr>
        <w:pStyle w:val="TextBody"/>
        <w:bidi w:val="0"/>
        <w:spacing w:lineRule="auto" w:line="288" w:before="0" w:after="0"/>
        <w:ind w:left="0" w:right="0" w:hanging="360"/>
        <w:jc w:val="both"/>
        <w:rPr/>
      </w:pPr>
      <w:r>
        <w:rPr>
          <w:color w:val="000000"/>
        </w:rPr>
        <w:t>•</w:t>
      </w:r>
      <w:r>
        <w:rPr>
          <w:rFonts w:ascii="Lato;sans-serif" w:hAnsi="Lato;sans-serif"/>
          <w:b w:val="false"/>
          <w:color w:val="000000"/>
          <w:sz w:val="20"/>
        </w:rPr>
        <w:t>The fair value, as of the vesting date, of any awards that were granted and vested in the same covered year;</w:t>
      </w:r>
    </w:p>
    <w:p>
      <w:pPr>
        <w:pStyle w:val="TextBody"/>
        <w:bidi w:val="0"/>
        <w:spacing w:lineRule="auto" w:line="288" w:before="0" w:after="0"/>
        <w:ind w:left="0" w:right="0" w:hanging="360"/>
        <w:jc w:val="both"/>
        <w:rPr/>
      </w:pPr>
      <w:r>
        <w:rPr>
          <w:color w:val="000000"/>
        </w:rPr>
        <w:t>•</w:t>
      </w:r>
      <w:r>
        <w:rPr>
          <w:rFonts w:ascii="Lato;sans-serif" w:hAnsi="Lato;sans-serif"/>
          <w:b w:val="false"/>
          <w:color w:val="000000"/>
          <w:sz w:val="20"/>
        </w:rPr>
        <w:t>The change in fair value from the end of the prior fiscal year to the vesting date or forfeiture date with respect to any awards granted in prior years that vested or failed to vest, as applicable, in the covered fiscal year; and</w:t>
      </w:r>
    </w:p>
    <w:p>
      <w:pPr>
        <w:pStyle w:val="TextBody"/>
        <w:bidi w:val="0"/>
        <w:spacing w:lineRule="auto" w:line="288" w:before="0" w:after="0"/>
        <w:ind w:left="0" w:right="0" w:hanging="360"/>
        <w:jc w:val="both"/>
        <w:rPr/>
      </w:pPr>
      <w:r>
        <w:rPr>
          <w:color w:val="000000"/>
        </w:rPr>
        <w:t>•</w:t>
      </w:r>
      <w:r>
        <w:rPr>
          <w:rFonts w:ascii="Lato;sans-serif" w:hAnsi="Lato;sans-serif"/>
          <w:b w:val="false"/>
          <w:color w:val="000000"/>
          <w:sz w:val="20"/>
        </w:rPr>
        <w:t>The value of dividends or other earnings paid on stock or option awards not otherwise reflected in fair value or total compensation.</w:t>
      </w:r>
    </w:p>
    <w:p>
      <w:pPr>
        <w:pStyle w:val="TextBody"/>
        <w:bidi w:val="0"/>
        <w:spacing w:lineRule="auto" w:line="333" w:before="300" w:after="120"/>
        <w:jc w:val="both"/>
        <w:rPr>
          <w:rFonts w:ascii="Lato;sans-serif" w:hAnsi="Lato;sans-serif"/>
          <w:b/>
          <w:i/>
          <w:color w:val="000000"/>
          <w:sz w:val="20"/>
        </w:rPr>
      </w:pPr>
      <w:r>
        <w:rPr>
          <w:rFonts w:ascii="Lato;sans-serif" w:hAnsi="Lato;sans-serif"/>
          <w:b/>
          <w:i/>
          <w:color w:val="000000"/>
          <w:sz w:val="20"/>
        </w:rPr>
        <w:t>Pay Versus Performance</w:t>
      </w:r>
    </w:p>
    <w:tbl>
      <w:tblPr>
        <w:tblW w:w="10205" w:type="dxa"/>
        <w:jc w:val="left"/>
        <w:tblInd w:w="0" w:type="dxa"/>
        <w:tblLayout w:type="fixed"/>
        <w:tblCellMar>
          <w:top w:w="28" w:type="dxa"/>
          <w:left w:w="28" w:type="dxa"/>
          <w:bottom w:w="28" w:type="dxa"/>
          <w:right w:w="28" w:type="dxa"/>
        </w:tblCellMar>
      </w:tblPr>
      <w:tblGrid>
        <w:gridCol w:w="195"/>
        <w:gridCol w:w="171"/>
        <w:gridCol w:w="175"/>
        <w:gridCol w:w="454"/>
        <w:gridCol w:w="454"/>
        <w:gridCol w:w="455"/>
        <w:gridCol w:w="451"/>
        <w:gridCol w:w="451"/>
        <w:gridCol w:w="452"/>
        <w:gridCol w:w="470"/>
        <w:gridCol w:w="470"/>
        <w:gridCol w:w="472"/>
        <w:gridCol w:w="467"/>
        <w:gridCol w:w="467"/>
        <w:gridCol w:w="468"/>
        <w:gridCol w:w="702"/>
        <w:gridCol w:w="273"/>
        <w:gridCol w:w="184"/>
        <w:gridCol w:w="708"/>
        <w:gridCol w:w="277"/>
        <w:gridCol w:w="191"/>
        <w:gridCol w:w="259"/>
        <w:gridCol w:w="259"/>
        <w:gridCol w:w="260"/>
        <w:gridCol w:w="294"/>
        <w:gridCol w:w="294"/>
        <w:gridCol w:w="432"/>
      </w:tblGrid>
      <w:tr>
        <w:trPr/>
        <w:tc>
          <w:tcPr>
            <w:tcW w:w="195"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454" w:type="dxa"/>
            <w:tcBorders/>
            <w:vAlign w:val="center"/>
          </w:tcPr>
          <w:p>
            <w:pPr>
              <w:pStyle w:val="TableContents"/>
              <w:bidi w:val="0"/>
              <w:spacing w:before="0" w:after="283"/>
              <w:jc w:val="left"/>
              <w:rPr>
                <w:sz w:val="4"/>
                <w:szCs w:val="4"/>
              </w:rPr>
            </w:pPr>
            <w:r>
              <w:rPr>
                <w:sz w:val="4"/>
                <w:szCs w:val="4"/>
              </w:rPr>
            </w:r>
          </w:p>
        </w:tc>
        <w:tc>
          <w:tcPr>
            <w:tcW w:w="454"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452" w:type="dxa"/>
            <w:tcBorders/>
            <w:vAlign w:val="center"/>
          </w:tcPr>
          <w:p>
            <w:pPr>
              <w:pStyle w:val="TableContents"/>
              <w:bidi w:val="0"/>
              <w:spacing w:before="0" w:after="283"/>
              <w:jc w:val="left"/>
              <w:rPr>
                <w:sz w:val="4"/>
                <w:szCs w:val="4"/>
              </w:rPr>
            </w:pPr>
            <w:r>
              <w:rPr>
                <w:sz w:val="4"/>
                <w:szCs w:val="4"/>
              </w:rPr>
            </w:r>
          </w:p>
        </w:tc>
        <w:tc>
          <w:tcPr>
            <w:tcW w:w="470" w:type="dxa"/>
            <w:tcBorders/>
            <w:vAlign w:val="center"/>
          </w:tcPr>
          <w:p>
            <w:pPr>
              <w:pStyle w:val="TableContents"/>
              <w:bidi w:val="0"/>
              <w:spacing w:before="0" w:after="283"/>
              <w:jc w:val="left"/>
              <w:rPr>
                <w:sz w:val="4"/>
                <w:szCs w:val="4"/>
              </w:rPr>
            </w:pPr>
            <w:r>
              <w:rPr>
                <w:sz w:val="4"/>
                <w:szCs w:val="4"/>
              </w:rPr>
            </w:r>
          </w:p>
        </w:tc>
        <w:tc>
          <w:tcPr>
            <w:tcW w:w="470" w:type="dxa"/>
            <w:tcBorders/>
            <w:vAlign w:val="center"/>
          </w:tcPr>
          <w:p>
            <w:pPr>
              <w:pStyle w:val="TableContents"/>
              <w:bidi w:val="0"/>
              <w:spacing w:before="0" w:after="283"/>
              <w:jc w:val="left"/>
              <w:rPr>
                <w:sz w:val="4"/>
                <w:szCs w:val="4"/>
              </w:rPr>
            </w:pPr>
            <w:r>
              <w:rPr>
                <w:sz w:val="4"/>
                <w:szCs w:val="4"/>
              </w:rPr>
            </w:r>
          </w:p>
        </w:tc>
        <w:tc>
          <w:tcPr>
            <w:tcW w:w="472" w:type="dxa"/>
            <w:tcBorders/>
            <w:vAlign w:val="center"/>
          </w:tcPr>
          <w:p>
            <w:pPr>
              <w:pStyle w:val="TableContents"/>
              <w:bidi w:val="0"/>
              <w:spacing w:before="0" w:after="283"/>
              <w:jc w:val="left"/>
              <w:rPr>
                <w:sz w:val="4"/>
                <w:szCs w:val="4"/>
              </w:rPr>
            </w:pPr>
            <w:r>
              <w:rPr>
                <w:sz w:val="4"/>
                <w:szCs w:val="4"/>
              </w:rPr>
            </w:r>
          </w:p>
        </w:tc>
        <w:tc>
          <w:tcPr>
            <w:tcW w:w="467" w:type="dxa"/>
            <w:tcBorders/>
            <w:vAlign w:val="center"/>
          </w:tcPr>
          <w:p>
            <w:pPr>
              <w:pStyle w:val="TableContents"/>
              <w:bidi w:val="0"/>
              <w:spacing w:before="0" w:after="283"/>
              <w:jc w:val="left"/>
              <w:rPr>
                <w:sz w:val="4"/>
                <w:szCs w:val="4"/>
              </w:rPr>
            </w:pPr>
            <w:r>
              <w:rPr>
                <w:sz w:val="4"/>
                <w:szCs w:val="4"/>
              </w:rPr>
            </w:r>
          </w:p>
        </w:tc>
        <w:tc>
          <w:tcPr>
            <w:tcW w:w="467" w:type="dxa"/>
            <w:tcBorders/>
            <w:vAlign w:val="center"/>
          </w:tcPr>
          <w:p>
            <w:pPr>
              <w:pStyle w:val="TableContents"/>
              <w:bidi w:val="0"/>
              <w:spacing w:before="0" w:after="283"/>
              <w:jc w:val="left"/>
              <w:rPr>
                <w:sz w:val="4"/>
                <w:szCs w:val="4"/>
              </w:rPr>
            </w:pPr>
            <w:r>
              <w:rPr>
                <w:sz w:val="4"/>
                <w:szCs w:val="4"/>
              </w:rPr>
            </w:r>
          </w:p>
        </w:tc>
        <w:tc>
          <w:tcPr>
            <w:tcW w:w="468" w:type="dxa"/>
            <w:tcBorders/>
            <w:vAlign w:val="center"/>
          </w:tcPr>
          <w:p>
            <w:pPr>
              <w:pStyle w:val="TableContents"/>
              <w:bidi w:val="0"/>
              <w:spacing w:before="0" w:after="283"/>
              <w:jc w:val="left"/>
              <w:rPr>
                <w:sz w:val="4"/>
                <w:szCs w:val="4"/>
              </w:rPr>
            </w:pPr>
            <w:r>
              <w:rPr>
                <w:sz w:val="4"/>
                <w:szCs w:val="4"/>
              </w:rPr>
            </w:r>
          </w:p>
        </w:tc>
        <w:tc>
          <w:tcPr>
            <w:tcW w:w="702"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708"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r>
      <w:tr>
        <w:trPr/>
        <w:tc>
          <w:tcPr>
            <w:tcW w:w="541" w:type="dxa"/>
            <w:gridSpan w:val="3"/>
            <w:vMerge w:val="restart"/>
            <w:tcBorders/>
            <w:shd w:fill="F44238"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color w:val="FFFFFF"/>
                <w:sz w:val="16"/>
              </w:rPr>
            </w:pPr>
            <w:r>
              <w:rPr>
                <w:rFonts w:ascii="Lato;sans-serif" w:hAnsi="Lato;sans-serif"/>
                <w:b/>
                <w:color w:val="FFFFFF"/>
                <w:sz w:val="16"/>
              </w:rPr>
              <w:t>Year</w:t>
            </w:r>
          </w:p>
        </w:tc>
        <w:tc>
          <w:tcPr>
            <w:tcW w:w="1363" w:type="dxa"/>
            <w:gridSpan w:val="3"/>
            <w:vMerge w:val="restart"/>
            <w:tcBorders/>
            <w:shd w:fill="F44238" w:val="clear"/>
            <w:tcMar>
              <w:top w:w="0" w:type="dxa"/>
              <w:left w:w="0" w:type="dxa"/>
              <w:bottom w:w="0" w:type="dxa"/>
              <w:right w:w="0" w:type="dxa"/>
            </w:tcMar>
            <w:vAlign w:val="center"/>
          </w:tcPr>
          <w:p>
            <w:pPr>
              <w:pStyle w:val="TableContents"/>
              <w:bidi w:val="0"/>
              <w:spacing w:lineRule="auto" w:line="240" w:before="0" w:after="0"/>
              <w:jc w:val="left"/>
              <w:rPr/>
            </w:pPr>
            <w:r>
              <w:rPr>
                <w:rFonts w:ascii="Lato;sans-serif" w:hAnsi="Lato;sans-serif"/>
                <w:b w:val="false"/>
                <w:color w:val="FFFFFF"/>
                <w:sz w:val="16"/>
              </w:rPr>
              <w:t>Summary Compensation Table Total for PEO ($)</w:t>
            </w:r>
            <w:r>
              <w:rPr>
                <w:rFonts w:ascii="Lato;sans-serif" w:hAnsi="Lato;sans-serif"/>
                <w:b w:val="false"/>
                <w:color w:val="FFFFFF"/>
                <w:sz w:val="10"/>
              </w:rPr>
              <w:t>(1)</w:t>
            </w:r>
          </w:p>
        </w:tc>
        <w:tc>
          <w:tcPr>
            <w:tcW w:w="1354" w:type="dxa"/>
            <w:gridSpan w:val="3"/>
            <w:vMerge w:val="restart"/>
            <w:tcBorders/>
            <w:shd w:fill="F44238" w:val="clear"/>
            <w:tcMar>
              <w:top w:w="0" w:type="dxa"/>
              <w:left w:w="0" w:type="dxa"/>
              <w:bottom w:w="0" w:type="dxa"/>
              <w:right w:w="0" w:type="dxa"/>
            </w:tcMar>
            <w:vAlign w:val="center"/>
          </w:tcPr>
          <w:p>
            <w:pPr>
              <w:pStyle w:val="TableContents"/>
              <w:bidi w:val="0"/>
              <w:spacing w:lineRule="auto" w:line="240" w:before="0" w:after="0"/>
              <w:jc w:val="center"/>
              <w:rPr/>
            </w:pPr>
            <w:r>
              <w:rPr>
                <w:rFonts w:ascii="Lato;sans-serif" w:hAnsi="Lato;sans-serif"/>
                <w:b w:val="false"/>
                <w:color w:val="FFFFFF"/>
                <w:sz w:val="16"/>
              </w:rPr>
              <w:t>Compensation Actually Paid to PEO ($)</w:t>
            </w:r>
            <w:r>
              <w:rPr>
                <w:rFonts w:ascii="Lato;sans-serif" w:hAnsi="Lato;sans-serif"/>
                <w:b w:val="false"/>
                <w:color w:val="FFFFFF"/>
                <w:sz w:val="10"/>
              </w:rPr>
              <w:t>(2)(5)</w:t>
            </w:r>
          </w:p>
        </w:tc>
        <w:tc>
          <w:tcPr>
            <w:tcW w:w="1412" w:type="dxa"/>
            <w:gridSpan w:val="3"/>
            <w:vMerge w:val="restart"/>
            <w:tcBorders/>
            <w:shd w:fill="F44238" w:val="clear"/>
            <w:tcMar>
              <w:top w:w="0" w:type="dxa"/>
              <w:left w:w="0" w:type="dxa"/>
              <w:bottom w:w="0" w:type="dxa"/>
              <w:right w:w="0" w:type="dxa"/>
            </w:tcMar>
            <w:vAlign w:val="center"/>
          </w:tcPr>
          <w:p>
            <w:pPr>
              <w:pStyle w:val="TableContents"/>
              <w:bidi w:val="0"/>
              <w:spacing w:lineRule="auto" w:line="240" w:before="0" w:after="0"/>
              <w:jc w:val="center"/>
              <w:rPr/>
            </w:pPr>
            <w:r>
              <w:rPr>
                <w:rFonts w:ascii="Lato;sans-serif" w:hAnsi="Lato;sans-serif"/>
                <w:b w:val="false"/>
                <w:color w:val="FFFFFF"/>
                <w:sz w:val="16"/>
              </w:rPr>
              <w:t>Average Summary Compensation Table Total for Non-PEO Named Executive Officers ($)</w:t>
            </w:r>
            <w:r>
              <w:rPr>
                <w:rFonts w:ascii="Lato;sans-serif" w:hAnsi="Lato;sans-serif"/>
                <w:b w:val="false"/>
                <w:color w:val="FFFFFF"/>
                <w:sz w:val="10"/>
              </w:rPr>
              <w:t>(3)</w:t>
            </w:r>
          </w:p>
        </w:tc>
        <w:tc>
          <w:tcPr>
            <w:tcW w:w="1402" w:type="dxa"/>
            <w:gridSpan w:val="3"/>
            <w:vMerge w:val="restart"/>
            <w:tcBorders/>
            <w:shd w:fill="F44238" w:val="clear"/>
            <w:tcMar>
              <w:top w:w="0" w:type="dxa"/>
              <w:left w:w="0" w:type="dxa"/>
              <w:bottom w:w="0" w:type="dxa"/>
              <w:right w:w="0" w:type="dxa"/>
            </w:tcMar>
            <w:vAlign w:val="center"/>
          </w:tcPr>
          <w:p>
            <w:pPr>
              <w:pStyle w:val="TableContents"/>
              <w:bidi w:val="0"/>
              <w:spacing w:lineRule="auto" w:line="240" w:before="0" w:after="0"/>
              <w:jc w:val="center"/>
              <w:rPr/>
            </w:pPr>
            <w:r>
              <w:rPr>
                <w:rFonts w:ascii="Lato;sans-serif" w:hAnsi="Lato;sans-serif"/>
                <w:b w:val="false"/>
                <w:color w:val="FFFFFF"/>
                <w:sz w:val="16"/>
              </w:rPr>
              <w:t>Average Compensation Actually Paid to Non-PEO Named Executive Officers ($)</w:t>
            </w:r>
            <w:r>
              <w:rPr>
                <w:rFonts w:ascii="Lato;sans-serif" w:hAnsi="Lato;sans-serif"/>
                <w:b w:val="false"/>
                <w:color w:val="FFFFFF"/>
                <w:sz w:val="10"/>
              </w:rPr>
              <w:t>(4)(5)</w:t>
            </w:r>
          </w:p>
        </w:tc>
        <w:tc>
          <w:tcPr>
            <w:tcW w:w="2335" w:type="dxa"/>
            <w:gridSpan w:val="6"/>
            <w:tcBorders/>
            <w:shd w:fill="F44238" w:val="clear"/>
            <w:tcMar>
              <w:top w:w="0" w:type="dxa"/>
              <w:left w:w="0" w:type="dxa"/>
              <w:bottom w:w="0" w:type="dxa"/>
              <w:right w:w="0" w:type="dxa"/>
            </w:tcMar>
            <w:vAlign w:val="center"/>
          </w:tcPr>
          <w:p>
            <w:pPr>
              <w:pStyle w:val="TableContents"/>
              <w:bidi w:val="0"/>
              <w:spacing w:lineRule="auto" w:line="240" w:before="0" w:after="0"/>
              <w:jc w:val="center"/>
              <w:rPr/>
            </w:pPr>
            <w:r>
              <w:rPr>
                <w:rFonts w:ascii="Lato;sans-serif" w:hAnsi="Lato;sans-serif"/>
                <w:b w:val="false"/>
                <w:color w:val="FFFFFF"/>
                <w:sz w:val="16"/>
              </w:rPr>
              <w:t>Value of Initial Fixed $100 Investment Based on</w:t>
            </w:r>
            <w:r>
              <w:rPr>
                <w:rFonts w:ascii="Lato;sans-serif" w:hAnsi="Lato;sans-serif"/>
                <w:b w:val="false"/>
                <w:color w:val="FFFFFF"/>
                <w:sz w:val="10"/>
              </w:rPr>
              <w:t>(6)</w:t>
            </w:r>
          </w:p>
        </w:tc>
        <w:tc>
          <w:tcPr>
            <w:tcW w:w="778" w:type="dxa"/>
            <w:gridSpan w:val="3"/>
            <w:vMerge w:val="restart"/>
            <w:tcBorders/>
            <w:shd w:fill="F44238" w:val="clear"/>
            <w:tcMar>
              <w:top w:w="0" w:type="dxa"/>
              <w:left w:w="0" w:type="dxa"/>
              <w:bottom w:w="0" w:type="dxa"/>
              <w:right w:w="0" w:type="dxa"/>
            </w:tcMar>
            <w:vAlign w:val="center"/>
          </w:tcPr>
          <w:p>
            <w:pPr>
              <w:pStyle w:val="TableContents"/>
              <w:bidi w:val="0"/>
              <w:spacing w:lineRule="auto" w:line="240" w:before="0" w:after="0"/>
              <w:jc w:val="center"/>
              <w:rPr>
                <w:rFonts w:ascii="Lato;sans-serif" w:hAnsi="Lato;sans-serif"/>
                <w:b w:val="false"/>
                <w:color w:val="FFFFFF"/>
                <w:sz w:val="16"/>
              </w:rPr>
            </w:pPr>
            <w:r>
              <w:rPr>
                <w:rFonts w:ascii="Lato;sans-serif" w:hAnsi="Lato;sans-serif"/>
                <w:b w:val="false"/>
                <w:color w:val="FFFFFF"/>
                <w:sz w:val="16"/>
              </w:rPr>
              <w:t>Net Income (Loss) ($ in millions)</w:t>
            </w:r>
          </w:p>
        </w:tc>
        <w:tc>
          <w:tcPr>
            <w:tcW w:w="1020" w:type="dxa"/>
            <w:gridSpan w:val="3"/>
            <w:vMerge w:val="restart"/>
            <w:tcBorders/>
            <w:shd w:fill="F44238" w:val="clear"/>
            <w:tcMar>
              <w:top w:w="0" w:type="dxa"/>
              <w:left w:w="0" w:type="dxa"/>
              <w:bottom w:w="0" w:type="dxa"/>
              <w:right w:w="0" w:type="dxa"/>
            </w:tcMar>
            <w:vAlign w:val="center"/>
          </w:tcPr>
          <w:p>
            <w:pPr>
              <w:pStyle w:val="TableContents"/>
              <w:bidi w:val="0"/>
              <w:spacing w:lineRule="auto" w:line="240" w:before="0" w:after="0"/>
              <w:jc w:val="center"/>
              <w:rPr/>
            </w:pPr>
            <w:r>
              <w:rPr>
                <w:rFonts w:ascii="Lato;sans-serif" w:hAnsi="Lato;sans-serif"/>
                <w:b w:val="false"/>
                <w:color w:val="FFFFFF"/>
                <w:sz w:val="16"/>
              </w:rPr>
              <w:t>Company Selected Measure AOI ($ in millions)</w:t>
            </w:r>
            <w:r>
              <w:rPr>
                <w:rFonts w:ascii="Lato;sans-serif" w:hAnsi="Lato;sans-serif"/>
                <w:b w:val="false"/>
                <w:color w:val="FFFFFF"/>
                <w:sz w:val="10"/>
              </w:rPr>
              <w:t>(8)</w:t>
            </w:r>
          </w:p>
        </w:tc>
      </w:tr>
      <w:tr>
        <w:trPr/>
        <w:tc>
          <w:tcPr>
            <w:tcW w:w="541" w:type="dxa"/>
            <w:gridSpan w:val="3"/>
            <w:vMerge w:val="continue"/>
            <w:tcBorders/>
            <w:shd w:fill="F44238" w:val="clear"/>
            <w:tcMar>
              <w:top w:w="0" w:type="dxa"/>
              <w:left w:w="0" w:type="dxa"/>
              <w:bottom w:w="0" w:type="dxa"/>
              <w:right w:w="0" w:type="dxa"/>
            </w:tcMar>
            <w:vAlign w:val="center"/>
          </w:tcPr>
          <w:p>
            <w:pPr>
              <w:pStyle w:val="Normal"/>
              <w:bidi w:val="0"/>
              <w:jc w:val="left"/>
              <w:rPr/>
            </w:pPr>
            <w:r>
              <w:rPr/>
            </w:r>
          </w:p>
        </w:tc>
        <w:tc>
          <w:tcPr>
            <w:tcW w:w="1363" w:type="dxa"/>
            <w:gridSpan w:val="3"/>
            <w:vMerge w:val="continue"/>
            <w:tcBorders/>
            <w:shd w:fill="F44238" w:val="clear"/>
            <w:tcMar>
              <w:top w:w="0" w:type="dxa"/>
              <w:left w:w="0" w:type="dxa"/>
              <w:bottom w:w="0" w:type="dxa"/>
              <w:right w:w="0" w:type="dxa"/>
            </w:tcMar>
            <w:vAlign w:val="center"/>
          </w:tcPr>
          <w:p>
            <w:pPr>
              <w:pStyle w:val="Normal"/>
              <w:bidi w:val="0"/>
              <w:jc w:val="left"/>
              <w:rPr/>
            </w:pPr>
            <w:r>
              <w:rPr/>
            </w:r>
          </w:p>
        </w:tc>
        <w:tc>
          <w:tcPr>
            <w:tcW w:w="1354" w:type="dxa"/>
            <w:gridSpan w:val="3"/>
            <w:vMerge w:val="continue"/>
            <w:tcBorders/>
            <w:shd w:fill="F44238" w:val="clear"/>
            <w:tcMar>
              <w:top w:w="0" w:type="dxa"/>
              <w:left w:w="0" w:type="dxa"/>
              <w:bottom w:w="0" w:type="dxa"/>
              <w:right w:w="0" w:type="dxa"/>
            </w:tcMar>
            <w:vAlign w:val="center"/>
          </w:tcPr>
          <w:p>
            <w:pPr>
              <w:pStyle w:val="Normal"/>
              <w:bidi w:val="0"/>
              <w:jc w:val="left"/>
              <w:rPr/>
            </w:pPr>
            <w:r>
              <w:rPr/>
            </w:r>
          </w:p>
        </w:tc>
        <w:tc>
          <w:tcPr>
            <w:tcW w:w="1412" w:type="dxa"/>
            <w:gridSpan w:val="3"/>
            <w:vMerge w:val="continue"/>
            <w:tcBorders/>
            <w:shd w:fill="F44238" w:val="clear"/>
            <w:tcMar>
              <w:top w:w="0" w:type="dxa"/>
              <w:left w:w="0" w:type="dxa"/>
              <w:bottom w:w="0" w:type="dxa"/>
              <w:right w:w="0" w:type="dxa"/>
            </w:tcMar>
            <w:vAlign w:val="center"/>
          </w:tcPr>
          <w:p>
            <w:pPr>
              <w:pStyle w:val="Normal"/>
              <w:bidi w:val="0"/>
              <w:jc w:val="left"/>
              <w:rPr/>
            </w:pPr>
            <w:r>
              <w:rPr/>
            </w:r>
          </w:p>
        </w:tc>
        <w:tc>
          <w:tcPr>
            <w:tcW w:w="1402" w:type="dxa"/>
            <w:gridSpan w:val="3"/>
            <w:vMerge w:val="continue"/>
            <w:tcBorders/>
            <w:shd w:fill="F44238" w:val="clear"/>
            <w:tcMar>
              <w:top w:w="0" w:type="dxa"/>
              <w:left w:w="0" w:type="dxa"/>
              <w:bottom w:w="0" w:type="dxa"/>
              <w:right w:w="0" w:type="dxa"/>
            </w:tcMar>
            <w:vAlign w:val="center"/>
          </w:tcPr>
          <w:p>
            <w:pPr>
              <w:pStyle w:val="Normal"/>
              <w:bidi w:val="0"/>
              <w:jc w:val="left"/>
              <w:rPr/>
            </w:pPr>
            <w:r>
              <w:rPr/>
            </w:r>
          </w:p>
        </w:tc>
        <w:tc>
          <w:tcPr>
            <w:tcW w:w="1159" w:type="dxa"/>
            <w:gridSpan w:val="3"/>
            <w:tcBorders/>
            <w:shd w:fill="F44238" w:val="clear"/>
            <w:tcMar>
              <w:top w:w="0" w:type="dxa"/>
              <w:left w:w="0" w:type="dxa"/>
              <w:bottom w:w="0" w:type="dxa"/>
              <w:right w:w="0" w:type="dxa"/>
            </w:tcMar>
            <w:vAlign w:val="center"/>
          </w:tcPr>
          <w:p>
            <w:pPr>
              <w:pStyle w:val="TableContents"/>
              <w:bidi w:val="0"/>
              <w:spacing w:lineRule="auto" w:line="240" w:before="0" w:after="283"/>
              <w:jc w:val="center"/>
              <w:rPr>
                <w:rFonts w:ascii="Lato;sans-serif" w:hAnsi="Lato;sans-serif"/>
                <w:b w:val="false"/>
                <w:color w:val="FFFFFF"/>
                <w:sz w:val="16"/>
              </w:rPr>
            </w:pPr>
            <w:r>
              <w:rPr>
                <w:rFonts w:ascii="Lato;sans-serif" w:hAnsi="Lato;sans-serif"/>
                <w:b w:val="false"/>
                <w:color w:val="FFFFFF"/>
                <w:sz w:val="16"/>
              </w:rPr>
              <w:t>Total Shareholder Return ($)</w:t>
            </w:r>
          </w:p>
        </w:tc>
        <w:tc>
          <w:tcPr>
            <w:tcW w:w="1176" w:type="dxa"/>
            <w:gridSpan w:val="3"/>
            <w:tcBorders/>
            <w:shd w:fill="F44238" w:val="clear"/>
            <w:tcMar>
              <w:top w:w="0" w:type="dxa"/>
              <w:left w:w="0" w:type="dxa"/>
              <w:bottom w:w="0" w:type="dxa"/>
              <w:right w:w="0" w:type="dxa"/>
            </w:tcMar>
            <w:vAlign w:val="center"/>
          </w:tcPr>
          <w:p>
            <w:pPr>
              <w:pStyle w:val="TableContents"/>
              <w:bidi w:val="0"/>
              <w:spacing w:lineRule="auto" w:line="240" w:before="0" w:after="0"/>
              <w:jc w:val="center"/>
              <w:rPr/>
            </w:pPr>
            <w:r>
              <w:rPr>
                <w:rFonts w:ascii="Lato;sans-serif" w:hAnsi="Lato;sans-serif"/>
                <w:b w:val="false"/>
                <w:color w:val="FFFFFF"/>
                <w:sz w:val="16"/>
              </w:rPr>
              <w:t>Peer Group Total Shareholder Return ($)</w:t>
            </w:r>
            <w:r>
              <w:rPr>
                <w:rFonts w:ascii="Lato;sans-serif" w:hAnsi="Lato;sans-serif"/>
                <w:b w:val="false"/>
                <w:color w:val="FFFFFF"/>
                <w:sz w:val="10"/>
              </w:rPr>
              <w:t>(7)</w:t>
            </w:r>
          </w:p>
        </w:tc>
        <w:tc>
          <w:tcPr>
            <w:tcW w:w="778" w:type="dxa"/>
            <w:gridSpan w:val="3"/>
            <w:vMerge w:val="continue"/>
            <w:tcBorders/>
            <w:shd w:fill="F44238" w:val="clear"/>
            <w:tcMar>
              <w:top w:w="0" w:type="dxa"/>
              <w:left w:w="0" w:type="dxa"/>
              <w:bottom w:w="0" w:type="dxa"/>
              <w:right w:w="0" w:type="dxa"/>
            </w:tcMar>
            <w:vAlign w:val="center"/>
          </w:tcPr>
          <w:p>
            <w:pPr>
              <w:pStyle w:val="Normal"/>
              <w:bidi w:val="0"/>
              <w:jc w:val="left"/>
              <w:rPr/>
            </w:pPr>
            <w:r>
              <w:rPr/>
            </w:r>
          </w:p>
        </w:tc>
        <w:tc>
          <w:tcPr>
            <w:tcW w:w="1020" w:type="dxa"/>
            <w:gridSpan w:val="3"/>
            <w:vMerge w:val="continue"/>
            <w:tcBorders/>
            <w:shd w:fill="F44238" w:val="clear"/>
            <w:tcMar>
              <w:top w:w="0" w:type="dxa"/>
              <w:left w:w="0" w:type="dxa"/>
              <w:bottom w:w="0" w:type="dxa"/>
              <w:right w:w="0" w:type="dxa"/>
            </w:tcMar>
            <w:vAlign w:val="center"/>
          </w:tcPr>
          <w:p>
            <w:pPr>
              <w:pStyle w:val="Normal"/>
              <w:bidi w:val="0"/>
              <w:jc w:val="left"/>
              <w:rPr/>
            </w:pPr>
            <w:r>
              <w:rPr/>
            </w:r>
          </w:p>
        </w:tc>
      </w:tr>
      <w:tr>
        <w:trPr/>
        <w:tc>
          <w:tcPr>
            <w:tcW w:w="541"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333" w:before="0" w:after="283"/>
              <w:jc w:val="left"/>
              <w:rPr>
                <w:rFonts w:ascii="Lato;sans-serif" w:hAnsi="Lato;sans-serif"/>
                <w:b w:val="false"/>
                <w:color w:val="000000"/>
                <w:sz w:val="16"/>
              </w:rPr>
            </w:pPr>
            <w:r>
              <w:rPr>
                <w:rFonts w:ascii="Lato;sans-serif" w:hAnsi="Lato;sans-serif"/>
                <w:b w:val="false"/>
                <w:color w:val="000000"/>
                <w:sz w:val="16"/>
              </w:rPr>
              <w:t>2025</w:t>
            </w:r>
          </w:p>
        </w:tc>
        <w:tc>
          <w:tcPr>
            <w:tcW w:w="1363"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Lato;sans-serif" w:hAnsi="Lato;sans-serif"/>
                <w:b w:val="false"/>
                <w:color w:val="000000"/>
                <w:sz w:val="16"/>
              </w:rPr>
            </w:pPr>
            <w:r>
              <w:rPr>
                <w:rFonts w:ascii="Lato;sans-serif" w:hAnsi="Lato;sans-serif"/>
                <w:b w:val="false"/>
                <w:color w:val="000000"/>
                <w:sz w:val="16"/>
              </w:rPr>
              <w:t>33,297,747</w:t>
            </w:r>
          </w:p>
        </w:tc>
        <w:tc>
          <w:tcPr>
            <w:tcW w:w="1354"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Lato;sans-serif" w:hAnsi="Lato;sans-serif"/>
                <w:b w:val="false"/>
                <w:color w:val="000000"/>
                <w:sz w:val="16"/>
              </w:rPr>
            </w:pPr>
            <w:r>
              <w:rPr>
                <w:rFonts w:ascii="Lato;sans-serif" w:hAnsi="Lato;sans-serif"/>
                <w:b w:val="false"/>
                <w:color w:val="000000"/>
                <w:sz w:val="16"/>
              </w:rPr>
              <w:t>35,270,457</w:t>
            </w:r>
          </w:p>
        </w:tc>
        <w:tc>
          <w:tcPr>
            <w:tcW w:w="1412"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Lato;sans-serif" w:hAnsi="Lato;sans-serif"/>
                <w:b w:val="false"/>
                <w:color w:val="000000"/>
                <w:sz w:val="16"/>
              </w:rPr>
            </w:pPr>
            <w:r>
              <w:rPr>
                <w:rFonts w:ascii="Lato;sans-serif" w:hAnsi="Lato;sans-serif"/>
                <w:b w:val="false"/>
                <w:color w:val="000000"/>
                <w:sz w:val="16"/>
              </w:rPr>
              <w:t>4,805,099</w:t>
            </w:r>
          </w:p>
        </w:tc>
        <w:tc>
          <w:tcPr>
            <w:tcW w:w="1402"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Lato;sans-serif" w:hAnsi="Lato;sans-serif"/>
                <w:b w:val="false"/>
                <w:color w:val="000000"/>
                <w:sz w:val="16"/>
              </w:rPr>
            </w:pPr>
            <w:r>
              <w:rPr>
                <w:rFonts w:ascii="Lato;sans-serif" w:hAnsi="Lato;sans-serif"/>
                <w:b w:val="false"/>
                <w:color w:val="000000"/>
                <w:sz w:val="16"/>
              </w:rPr>
              <w:t>4,707,548</w:t>
            </w:r>
          </w:p>
        </w:tc>
        <w:tc>
          <w:tcPr>
            <w:tcW w:w="1159"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Lato;sans-serif" w:hAnsi="Lato;sans-serif"/>
                <w:b w:val="false"/>
                <w:color w:val="000000"/>
                <w:sz w:val="16"/>
              </w:rPr>
            </w:pPr>
            <w:r>
              <w:rPr>
                <w:rFonts w:ascii="Lato;sans-serif" w:hAnsi="Lato;sans-serif"/>
                <w:b w:val="false"/>
                <w:color w:val="000000"/>
                <w:sz w:val="16"/>
              </w:rPr>
              <w:t>21.09</w:t>
            </w:r>
          </w:p>
        </w:tc>
        <w:tc>
          <w:tcPr>
            <w:tcW w:w="1176"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Lato;sans-serif" w:hAnsi="Lato;sans-serif"/>
                <w:b w:val="false"/>
                <w:color w:val="000000"/>
                <w:sz w:val="16"/>
              </w:rPr>
            </w:pPr>
            <w:r>
              <w:rPr>
                <w:rFonts w:ascii="Lato;sans-serif" w:hAnsi="Lato;sans-serif"/>
                <w:b w:val="false"/>
                <w:color w:val="000000"/>
                <w:sz w:val="16"/>
              </w:rPr>
              <w:t>258.44</w:t>
            </w:r>
          </w:p>
        </w:tc>
        <w:tc>
          <w:tcPr>
            <w:tcW w:w="778"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Lato;sans-serif" w:hAnsi="Lato;sans-serif"/>
                <w:b w:val="false"/>
                <w:color w:val="000000"/>
                <w:sz w:val="16"/>
              </w:rPr>
            </w:pPr>
            <w:r>
              <w:rPr>
                <w:rFonts w:ascii="Lato;sans-serif" w:hAnsi="Lato;sans-serif"/>
                <w:b w:val="false"/>
                <w:color w:val="000000"/>
                <w:sz w:val="16"/>
              </w:rPr>
              <w:t>124.2</w:t>
            </w:r>
          </w:p>
        </w:tc>
        <w:tc>
          <w:tcPr>
            <w:tcW w:w="1020"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Lato;sans-serif" w:hAnsi="Lato;sans-serif"/>
                <w:b w:val="false"/>
                <w:color w:val="000000"/>
                <w:sz w:val="16"/>
              </w:rPr>
            </w:pPr>
            <w:r>
              <w:rPr>
                <w:rFonts w:ascii="Lato;sans-serif" w:hAnsi="Lato;sans-serif"/>
                <w:b w:val="false"/>
                <w:color w:val="000000"/>
                <w:sz w:val="16"/>
              </w:rPr>
              <w:t>445.9</w:t>
            </w:r>
          </w:p>
        </w:tc>
      </w:tr>
      <w:tr>
        <w:trPr/>
        <w:tc>
          <w:tcPr>
            <w:tcW w:w="541" w:type="dxa"/>
            <w:gridSpan w:val="3"/>
            <w:tcBorders/>
            <w:shd w:fill="DBDBDB" w:val="clear"/>
            <w:tcMar>
              <w:top w:w="0" w:type="dxa"/>
              <w:left w:w="0" w:type="dxa"/>
              <w:bottom w:w="0" w:type="dxa"/>
              <w:right w:w="0" w:type="dxa"/>
            </w:tcMar>
            <w:vAlign w:val="center"/>
          </w:tcPr>
          <w:p>
            <w:pPr>
              <w:pStyle w:val="TableContents"/>
              <w:bidi w:val="0"/>
              <w:spacing w:lineRule="auto" w:line="333" w:before="0" w:after="283"/>
              <w:jc w:val="left"/>
              <w:rPr>
                <w:rFonts w:ascii="Lato;sans-serif" w:hAnsi="Lato;sans-serif"/>
                <w:b w:val="false"/>
                <w:color w:val="000000"/>
                <w:sz w:val="16"/>
              </w:rPr>
            </w:pPr>
            <w:r>
              <w:rPr>
                <w:rFonts w:ascii="Lato;sans-serif" w:hAnsi="Lato;sans-serif"/>
                <w:b w:val="false"/>
                <w:color w:val="000000"/>
                <w:sz w:val="16"/>
              </w:rPr>
              <w:t>2024</w:t>
            </w:r>
          </w:p>
        </w:tc>
        <w:tc>
          <w:tcPr>
            <w:tcW w:w="1363"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Lato;sans-serif" w:hAnsi="Lato;sans-serif"/>
                <w:b w:val="false"/>
                <w:color w:val="000000"/>
                <w:sz w:val="16"/>
              </w:rPr>
            </w:pPr>
            <w:r>
              <w:rPr>
                <w:rFonts w:ascii="Lato;sans-serif" w:hAnsi="Lato;sans-serif"/>
                <w:b w:val="false"/>
                <w:color w:val="000000"/>
                <w:sz w:val="16"/>
              </w:rPr>
              <w:t>6,253,865</w:t>
            </w:r>
          </w:p>
        </w:tc>
        <w:tc>
          <w:tcPr>
            <w:tcW w:w="135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Lato;sans-serif" w:hAnsi="Lato;sans-serif"/>
                <w:b w:val="false"/>
                <w:color w:val="000000"/>
                <w:sz w:val="16"/>
              </w:rPr>
            </w:pPr>
            <w:r>
              <w:rPr>
                <w:rFonts w:ascii="Lato;sans-serif" w:hAnsi="Lato;sans-serif"/>
                <w:b w:val="false"/>
                <w:color w:val="000000"/>
                <w:sz w:val="16"/>
              </w:rPr>
              <w:t>1,024,960</w:t>
            </w:r>
          </w:p>
        </w:tc>
        <w:tc>
          <w:tcPr>
            <w:tcW w:w="1412"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Lato;sans-serif" w:hAnsi="Lato;sans-serif"/>
                <w:b w:val="false"/>
                <w:color w:val="000000"/>
                <w:sz w:val="16"/>
              </w:rPr>
            </w:pPr>
            <w:r>
              <w:rPr>
                <w:rFonts w:ascii="Lato;sans-serif" w:hAnsi="Lato;sans-serif"/>
                <w:b w:val="false"/>
                <w:color w:val="000000"/>
                <w:sz w:val="16"/>
              </w:rPr>
              <w:t>3,579,079</w:t>
            </w:r>
          </w:p>
        </w:tc>
        <w:tc>
          <w:tcPr>
            <w:tcW w:w="1402"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Lato;sans-serif" w:hAnsi="Lato;sans-serif"/>
                <w:b w:val="false"/>
                <w:color w:val="000000"/>
                <w:sz w:val="16"/>
              </w:rPr>
            </w:pPr>
            <w:r>
              <w:rPr>
                <w:rFonts w:ascii="Lato;sans-serif" w:hAnsi="Lato;sans-serif"/>
                <w:b w:val="false"/>
                <w:color w:val="000000"/>
                <w:sz w:val="16"/>
              </w:rPr>
              <w:t>808,766</w:t>
            </w:r>
          </w:p>
        </w:tc>
        <w:tc>
          <w:tcPr>
            <w:tcW w:w="1159"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Lato;sans-serif" w:hAnsi="Lato;sans-serif"/>
                <w:b w:val="false"/>
                <w:color w:val="000000"/>
                <w:sz w:val="16"/>
              </w:rPr>
            </w:pPr>
            <w:r>
              <w:rPr>
                <w:rFonts w:ascii="Lato;sans-serif" w:hAnsi="Lato;sans-serif"/>
                <w:b w:val="false"/>
                <w:color w:val="000000"/>
                <w:sz w:val="16"/>
              </w:rPr>
              <w:t>30.91</w:t>
            </w:r>
          </w:p>
        </w:tc>
        <w:tc>
          <w:tcPr>
            <w:tcW w:w="1176"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Lato;sans-serif" w:hAnsi="Lato;sans-serif"/>
                <w:b w:val="false"/>
                <w:color w:val="000000"/>
                <w:sz w:val="16"/>
              </w:rPr>
            </w:pPr>
            <w:r>
              <w:rPr>
                <w:rFonts w:ascii="Lato;sans-serif" w:hAnsi="Lato;sans-serif"/>
                <w:b w:val="false"/>
                <w:color w:val="000000"/>
                <w:sz w:val="16"/>
              </w:rPr>
              <w:t>273.18</w:t>
            </w:r>
          </w:p>
        </w:tc>
        <w:tc>
          <w:tcPr>
            <w:tcW w:w="778"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Lato;sans-serif" w:hAnsi="Lato;sans-serif"/>
                <w:b w:val="false"/>
                <w:color w:val="000000"/>
                <w:sz w:val="16"/>
              </w:rPr>
            </w:pPr>
            <w:r>
              <w:rPr>
                <w:rFonts w:ascii="Lato;sans-serif" w:hAnsi="Lato;sans-serif"/>
                <w:b w:val="false"/>
                <w:color w:val="000000"/>
                <w:sz w:val="16"/>
              </w:rPr>
              <w:t>29.1</w:t>
            </w:r>
          </w:p>
        </w:tc>
        <w:tc>
          <w:tcPr>
            <w:tcW w:w="1020"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Lato;sans-serif" w:hAnsi="Lato;sans-serif"/>
                <w:b w:val="false"/>
                <w:color w:val="000000"/>
                <w:sz w:val="16"/>
              </w:rPr>
            </w:pPr>
            <w:r>
              <w:rPr>
                <w:rFonts w:ascii="Lato;sans-serif" w:hAnsi="Lato;sans-serif"/>
                <w:b w:val="false"/>
                <w:color w:val="000000"/>
                <w:sz w:val="16"/>
              </w:rPr>
              <w:t>428.5</w:t>
            </w:r>
          </w:p>
        </w:tc>
      </w:tr>
      <w:tr>
        <w:trPr/>
        <w:tc>
          <w:tcPr>
            <w:tcW w:w="541" w:type="dxa"/>
            <w:gridSpan w:val="3"/>
            <w:tcBorders/>
            <w:shd w:fill="FFFFFF" w:val="clear"/>
            <w:tcMar>
              <w:top w:w="0" w:type="dxa"/>
              <w:left w:w="0" w:type="dxa"/>
              <w:bottom w:w="0" w:type="dxa"/>
              <w:right w:w="0" w:type="dxa"/>
            </w:tcMar>
            <w:vAlign w:val="center"/>
          </w:tcPr>
          <w:p>
            <w:pPr>
              <w:pStyle w:val="TableContents"/>
              <w:bidi w:val="0"/>
              <w:spacing w:lineRule="auto" w:line="333" w:before="0" w:after="283"/>
              <w:jc w:val="left"/>
              <w:rPr>
                <w:rFonts w:ascii="Lato;sans-serif" w:hAnsi="Lato;sans-serif"/>
                <w:b w:val="false"/>
                <w:color w:val="000000"/>
                <w:sz w:val="16"/>
              </w:rPr>
            </w:pPr>
            <w:r>
              <w:rPr>
                <w:rFonts w:ascii="Lato;sans-serif" w:hAnsi="Lato;sans-serif"/>
                <w:b w:val="false"/>
                <w:color w:val="000000"/>
                <w:sz w:val="16"/>
              </w:rPr>
              <w:t>2023</w:t>
            </w:r>
          </w:p>
        </w:tc>
        <w:tc>
          <w:tcPr>
            <w:tcW w:w="13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Lato;sans-serif" w:hAnsi="Lato;sans-serif"/>
                <w:b w:val="false"/>
                <w:color w:val="000000"/>
                <w:sz w:val="16"/>
              </w:rPr>
            </w:pPr>
            <w:r>
              <w:rPr>
                <w:rFonts w:ascii="Lato;sans-serif" w:hAnsi="Lato;sans-serif"/>
                <w:b w:val="false"/>
                <w:color w:val="000000"/>
                <w:sz w:val="16"/>
              </w:rPr>
              <w:t>4,973,764</w:t>
            </w:r>
          </w:p>
        </w:tc>
        <w:tc>
          <w:tcPr>
            <w:tcW w:w="13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Lato;sans-serif" w:hAnsi="Lato;sans-serif"/>
                <w:b w:val="false"/>
                <w:color w:val="000000"/>
                <w:sz w:val="16"/>
              </w:rPr>
            </w:pPr>
            <w:r>
              <w:rPr>
                <w:rFonts w:ascii="Lato;sans-serif" w:hAnsi="Lato;sans-serif"/>
                <w:b w:val="false"/>
                <w:color w:val="000000"/>
                <w:sz w:val="16"/>
              </w:rPr>
              <w:t>2,304,429</w:t>
            </w:r>
          </w:p>
        </w:tc>
        <w:tc>
          <w:tcPr>
            <w:tcW w:w="14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Lato;sans-serif" w:hAnsi="Lato;sans-serif"/>
                <w:b w:val="false"/>
                <w:color w:val="000000"/>
                <w:sz w:val="16"/>
              </w:rPr>
            </w:pPr>
            <w:r>
              <w:rPr>
                <w:rFonts w:ascii="Lato;sans-serif" w:hAnsi="Lato;sans-serif"/>
                <w:b w:val="false"/>
                <w:color w:val="000000"/>
                <w:sz w:val="16"/>
              </w:rPr>
              <w:t>7,528,568</w:t>
            </w:r>
          </w:p>
        </w:tc>
        <w:tc>
          <w:tcPr>
            <w:tcW w:w="14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Lato;sans-serif" w:hAnsi="Lato;sans-serif"/>
                <w:b w:val="false"/>
                <w:color w:val="000000"/>
                <w:sz w:val="16"/>
              </w:rPr>
            </w:pPr>
            <w:r>
              <w:rPr>
                <w:rFonts w:ascii="Lato;sans-serif" w:hAnsi="Lato;sans-serif"/>
                <w:b w:val="false"/>
                <w:color w:val="000000"/>
                <w:sz w:val="16"/>
              </w:rPr>
              <w:t>2,255,270</w:t>
            </w:r>
          </w:p>
        </w:tc>
        <w:tc>
          <w:tcPr>
            <w:tcW w:w="11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Lato;sans-serif" w:hAnsi="Lato;sans-serif"/>
                <w:b w:val="false"/>
                <w:color w:val="000000"/>
                <w:sz w:val="16"/>
              </w:rPr>
            </w:pPr>
            <w:r>
              <w:rPr>
                <w:rFonts w:ascii="Lato;sans-serif" w:hAnsi="Lato;sans-serif"/>
                <w:b w:val="false"/>
                <w:color w:val="000000"/>
                <w:sz w:val="16"/>
              </w:rPr>
              <w:t>54.38</w:t>
            </w:r>
          </w:p>
        </w:tc>
        <w:tc>
          <w:tcPr>
            <w:tcW w:w="11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Lato;sans-serif" w:hAnsi="Lato;sans-serif"/>
                <w:b w:val="false"/>
                <w:color w:val="000000"/>
                <w:sz w:val="16"/>
              </w:rPr>
            </w:pPr>
            <w:r>
              <w:rPr>
                <w:rFonts w:ascii="Lato;sans-serif" w:hAnsi="Lato;sans-serif"/>
                <w:b w:val="false"/>
                <w:color w:val="000000"/>
                <w:sz w:val="16"/>
              </w:rPr>
              <w:t>200.34</w:t>
            </w:r>
          </w:p>
        </w:tc>
        <w:tc>
          <w:tcPr>
            <w:tcW w:w="7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Lato;sans-serif" w:hAnsi="Lato;sans-serif"/>
                <w:b w:val="false"/>
                <w:color w:val="000000"/>
                <w:sz w:val="16"/>
              </w:rPr>
            </w:pPr>
            <w:r>
              <w:rPr>
                <w:rFonts w:ascii="Lato;sans-serif" w:hAnsi="Lato;sans-serif"/>
                <w:b w:val="false"/>
                <w:color w:val="000000"/>
                <w:sz w:val="16"/>
              </w:rPr>
              <w:t>107.3</w:t>
            </w:r>
          </w:p>
        </w:tc>
        <w:tc>
          <w:tcPr>
            <w:tcW w:w="10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Lato;sans-serif" w:hAnsi="Lato;sans-serif"/>
                <w:b w:val="false"/>
                <w:color w:val="000000"/>
                <w:sz w:val="16"/>
              </w:rPr>
            </w:pPr>
            <w:r>
              <w:rPr>
                <w:rFonts w:ascii="Lato;sans-serif" w:hAnsi="Lato;sans-serif"/>
                <w:b w:val="false"/>
                <w:color w:val="000000"/>
                <w:sz w:val="16"/>
              </w:rPr>
              <w:t>498.6</w:t>
            </w:r>
          </w:p>
        </w:tc>
      </w:tr>
      <w:tr>
        <w:trPr/>
        <w:tc>
          <w:tcPr>
            <w:tcW w:w="541" w:type="dxa"/>
            <w:gridSpan w:val="3"/>
            <w:tcBorders/>
            <w:shd w:fill="DBDBDB" w:val="clear"/>
            <w:tcMar>
              <w:top w:w="0" w:type="dxa"/>
              <w:left w:w="0" w:type="dxa"/>
              <w:bottom w:w="0" w:type="dxa"/>
              <w:right w:w="0" w:type="dxa"/>
            </w:tcMar>
            <w:vAlign w:val="center"/>
          </w:tcPr>
          <w:p>
            <w:pPr>
              <w:pStyle w:val="TableContents"/>
              <w:bidi w:val="0"/>
              <w:spacing w:lineRule="auto" w:line="333" w:before="0" w:after="283"/>
              <w:jc w:val="left"/>
              <w:rPr>
                <w:rFonts w:ascii="Lato;sans-serif" w:hAnsi="Lato;sans-serif"/>
                <w:b w:val="false"/>
                <w:color w:val="000000"/>
                <w:sz w:val="16"/>
              </w:rPr>
            </w:pPr>
            <w:r>
              <w:rPr>
                <w:rFonts w:ascii="Lato;sans-serif" w:hAnsi="Lato;sans-serif"/>
                <w:b w:val="false"/>
                <w:color w:val="000000"/>
                <w:sz w:val="16"/>
              </w:rPr>
              <w:t>2022</w:t>
            </w:r>
          </w:p>
        </w:tc>
        <w:tc>
          <w:tcPr>
            <w:tcW w:w="1363"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Lato;sans-serif" w:hAnsi="Lato;sans-serif"/>
                <w:b w:val="false"/>
                <w:color w:val="000000"/>
                <w:sz w:val="16"/>
              </w:rPr>
            </w:pPr>
            <w:r>
              <w:rPr>
                <w:rFonts w:ascii="Lato;sans-serif" w:hAnsi="Lato;sans-serif"/>
                <w:b w:val="false"/>
                <w:color w:val="000000"/>
                <w:sz w:val="16"/>
              </w:rPr>
              <w:t>834,971</w:t>
            </w:r>
          </w:p>
        </w:tc>
        <w:tc>
          <w:tcPr>
            <w:tcW w:w="135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Lato;sans-serif" w:hAnsi="Lato;sans-serif"/>
                <w:b w:val="false"/>
                <w:color w:val="000000"/>
                <w:sz w:val="16"/>
              </w:rPr>
            </w:pPr>
            <w:r>
              <w:rPr>
                <w:rFonts w:ascii="Lato;sans-serif" w:hAnsi="Lato;sans-serif"/>
                <w:b w:val="false"/>
                <w:color w:val="000000"/>
                <w:sz w:val="16"/>
              </w:rPr>
              <w:t>(9,307,765)</w:t>
            </w:r>
          </w:p>
        </w:tc>
        <w:tc>
          <w:tcPr>
            <w:tcW w:w="1412"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Lato;sans-serif" w:hAnsi="Lato;sans-serif"/>
                <w:b w:val="false"/>
                <w:color w:val="000000"/>
                <w:sz w:val="16"/>
              </w:rPr>
            </w:pPr>
            <w:r>
              <w:rPr>
                <w:rFonts w:ascii="Lato;sans-serif" w:hAnsi="Lato;sans-serif"/>
                <w:b w:val="false"/>
                <w:color w:val="000000"/>
                <w:sz w:val="16"/>
              </w:rPr>
              <w:t>13,992,890</w:t>
            </w:r>
          </w:p>
        </w:tc>
        <w:tc>
          <w:tcPr>
            <w:tcW w:w="1402"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Lato;sans-serif" w:hAnsi="Lato;sans-serif"/>
                <w:b w:val="false"/>
                <w:color w:val="000000"/>
                <w:sz w:val="16"/>
              </w:rPr>
            </w:pPr>
            <w:r>
              <w:rPr>
                <w:rFonts w:ascii="Lato;sans-serif" w:hAnsi="Lato;sans-serif"/>
                <w:b w:val="false"/>
                <w:color w:val="000000"/>
                <w:sz w:val="16"/>
              </w:rPr>
              <w:t>(3,364,287)</w:t>
            </w:r>
          </w:p>
        </w:tc>
        <w:tc>
          <w:tcPr>
            <w:tcW w:w="1159"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Lato;sans-serif" w:hAnsi="Lato;sans-serif"/>
                <w:b w:val="false"/>
                <w:color w:val="000000"/>
                <w:sz w:val="16"/>
              </w:rPr>
            </w:pPr>
            <w:r>
              <w:rPr>
                <w:rFonts w:ascii="Lato;sans-serif" w:hAnsi="Lato;sans-serif"/>
                <w:b w:val="false"/>
                <w:color w:val="000000"/>
                <w:sz w:val="16"/>
              </w:rPr>
              <w:t>88.56</w:t>
            </w:r>
          </w:p>
        </w:tc>
        <w:tc>
          <w:tcPr>
            <w:tcW w:w="1176"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Lato;sans-serif" w:hAnsi="Lato;sans-serif"/>
                <w:b w:val="false"/>
                <w:color w:val="000000"/>
                <w:sz w:val="16"/>
              </w:rPr>
            </w:pPr>
            <w:r>
              <w:rPr>
                <w:rFonts w:ascii="Lato;sans-serif" w:hAnsi="Lato;sans-serif"/>
                <w:b w:val="false"/>
                <w:color w:val="000000"/>
                <w:sz w:val="16"/>
              </w:rPr>
              <w:t>120.35</w:t>
            </w:r>
          </w:p>
        </w:tc>
        <w:tc>
          <w:tcPr>
            <w:tcW w:w="778"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Lato;sans-serif" w:hAnsi="Lato;sans-serif"/>
                <w:b w:val="false"/>
                <w:color w:val="000000"/>
                <w:sz w:val="16"/>
              </w:rPr>
            </w:pPr>
            <w:r>
              <w:rPr>
                <w:rFonts w:ascii="Lato;sans-serif" w:hAnsi="Lato;sans-serif"/>
                <w:b w:val="false"/>
                <w:color w:val="000000"/>
                <w:sz w:val="16"/>
              </w:rPr>
              <w:t>63.2</w:t>
            </w:r>
          </w:p>
        </w:tc>
        <w:tc>
          <w:tcPr>
            <w:tcW w:w="1020"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Lato;sans-serif" w:hAnsi="Lato;sans-serif"/>
                <w:b w:val="false"/>
                <w:color w:val="000000"/>
                <w:sz w:val="16"/>
              </w:rPr>
            </w:pPr>
            <w:r>
              <w:rPr>
                <w:rFonts w:ascii="Lato;sans-serif" w:hAnsi="Lato;sans-serif"/>
                <w:b w:val="false"/>
                <w:color w:val="000000"/>
                <w:sz w:val="16"/>
              </w:rPr>
              <w:t>447.8</w:t>
            </w:r>
          </w:p>
        </w:tc>
      </w:tr>
      <w:tr>
        <w:trPr/>
        <w:tc>
          <w:tcPr>
            <w:tcW w:w="541" w:type="dxa"/>
            <w:gridSpan w:val="3"/>
            <w:tcBorders/>
            <w:shd w:fill="FFFFFF" w:val="clear"/>
            <w:tcMar>
              <w:top w:w="0" w:type="dxa"/>
              <w:left w:w="0" w:type="dxa"/>
              <w:bottom w:w="0" w:type="dxa"/>
              <w:right w:w="0" w:type="dxa"/>
            </w:tcMar>
            <w:vAlign w:val="center"/>
          </w:tcPr>
          <w:p>
            <w:pPr>
              <w:pStyle w:val="TableContents"/>
              <w:bidi w:val="0"/>
              <w:spacing w:lineRule="auto" w:line="333" w:before="0" w:after="283"/>
              <w:jc w:val="left"/>
              <w:rPr>
                <w:rFonts w:ascii="Lato;sans-serif" w:hAnsi="Lato;sans-serif"/>
                <w:b w:val="false"/>
                <w:color w:val="000000"/>
                <w:sz w:val="16"/>
              </w:rPr>
            </w:pPr>
            <w:r>
              <w:rPr>
                <w:rFonts w:ascii="Lato;sans-serif" w:hAnsi="Lato;sans-serif"/>
                <w:b w:val="false"/>
                <w:color w:val="000000"/>
                <w:sz w:val="16"/>
              </w:rPr>
              <w:t>2021</w:t>
            </w:r>
          </w:p>
        </w:tc>
        <w:tc>
          <w:tcPr>
            <w:tcW w:w="13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Lato;sans-serif" w:hAnsi="Lato;sans-serif"/>
                <w:b w:val="false"/>
                <w:color w:val="000000"/>
                <w:sz w:val="16"/>
              </w:rPr>
            </w:pPr>
            <w:r>
              <w:rPr>
                <w:rFonts w:ascii="Lato;sans-serif" w:hAnsi="Lato;sans-serif"/>
                <w:b w:val="false"/>
                <w:color w:val="000000"/>
                <w:sz w:val="16"/>
              </w:rPr>
              <w:t>1,309,234</w:t>
            </w:r>
          </w:p>
        </w:tc>
        <w:tc>
          <w:tcPr>
            <w:tcW w:w="13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Lato;sans-serif" w:hAnsi="Lato;sans-serif"/>
                <w:b w:val="false"/>
                <w:color w:val="000000"/>
                <w:sz w:val="16"/>
              </w:rPr>
            </w:pPr>
            <w:r>
              <w:rPr>
                <w:rFonts w:ascii="Lato;sans-serif" w:hAnsi="Lato;sans-serif"/>
                <w:b w:val="false"/>
                <w:color w:val="000000"/>
                <w:sz w:val="16"/>
              </w:rPr>
              <w:t>12,173,581</w:t>
            </w:r>
          </w:p>
        </w:tc>
        <w:tc>
          <w:tcPr>
            <w:tcW w:w="14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Lato;sans-serif" w:hAnsi="Lato;sans-serif"/>
                <w:b w:val="false"/>
                <w:color w:val="000000"/>
                <w:sz w:val="16"/>
              </w:rPr>
            </w:pPr>
            <w:r>
              <w:rPr>
                <w:rFonts w:ascii="Lato;sans-serif" w:hAnsi="Lato;sans-serif"/>
                <w:b w:val="false"/>
                <w:color w:val="000000"/>
                <w:sz w:val="16"/>
              </w:rPr>
              <w:t>9,189,778</w:t>
            </w:r>
          </w:p>
        </w:tc>
        <w:tc>
          <w:tcPr>
            <w:tcW w:w="14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Lato;sans-serif" w:hAnsi="Lato;sans-serif"/>
                <w:b w:val="false"/>
                <w:color w:val="000000"/>
                <w:sz w:val="16"/>
              </w:rPr>
            </w:pPr>
            <w:r>
              <w:rPr>
                <w:rFonts w:ascii="Lato;sans-serif" w:hAnsi="Lato;sans-serif"/>
                <w:b w:val="false"/>
                <w:color w:val="000000"/>
                <w:sz w:val="16"/>
              </w:rPr>
              <w:t>18,433,785</w:t>
            </w:r>
          </w:p>
        </w:tc>
        <w:tc>
          <w:tcPr>
            <w:tcW w:w="11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Lato;sans-serif" w:hAnsi="Lato;sans-serif"/>
                <w:b w:val="false"/>
                <w:color w:val="000000"/>
                <w:sz w:val="16"/>
              </w:rPr>
            </w:pPr>
            <w:r>
              <w:rPr>
                <w:rFonts w:ascii="Lato;sans-serif" w:hAnsi="Lato;sans-serif"/>
                <w:b w:val="false"/>
                <w:color w:val="000000"/>
                <w:sz w:val="16"/>
              </w:rPr>
              <w:t>188.82</w:t>
            </w:r>
          </w:p>
        </w:tc>
        <w:tc>
          <w:tcPr>
            <w:tcW w:w="11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Lato;sans-serif" w:hAnsi="Lato;sans-serif"/>
                <w:b w:val="false"/>
                <w:color w:val="000000"/>
                <w:sz w:val="16"/>
              </w:rPr>
            </w:pPr>
            <w:r>
              <w:rPr>
                <w:rFonts w:ascii="Lato;sans-serif" w:hAnsi="Lato;sans-serif"/>
                <w:b w:val="false"/>
                <w:color w:val="000000"/>
                <w:sz w:val="16"/>
              </w:rPr>
              <w:t>187.38</w:t>
            </w:r>
          </w:p>
        </w:tc>
        <w:tc>
          <w:tcPr>
            <w:tcW w:w="7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Lato;sans-serif" w:hAnsi="Lato;sans-serif"/>
                <w:b w:val="false"/>
                <w:color w:val="000000"/>
                <w:sz w:val="16"/>
              </w:rPr>
            </w:pPr>
            <w:r>
              <w:rPr>
                <w:rFonts w:ascii="Lato;sans-serif" w:hAnsi="Lato;sans-serif"/>
                <w:b w:val="false"/>
                <w:color w:val="000000"/>
                <w:sz w:val="16"/>
              </w:rPr>
              <w:t>94.9</w:t>
            </w:r>
          </w:p>
        </w:tc>
        <w:tc>
          <w:tcPr>
            <w:tcW w:w="10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Lato;sans-serif" w:hAnsi="Lato;sans-serif"/>
                <w:b w:val="false"/>
                <w:color w:val="000000"/>
                <w:sz w:val="16"/>
              </w:rPr>
            </w:pPr>
            <w:r>
              <w:rPr>
                <w:rFonts w:ascii="Lato;sans-serif" w:hAnsi="Lato;sans-serif"/>
                <w:b w:val="false"/>
                <w:color w:val="000000"/>
                <w:sz w:val="16"/>
              </w:rPr>
              <w:t>306.6</w:t>
            </w:r>
          </w:p>
        </w:tc>
      </w:tr>
    </w:tbl>
    <w:p>
      <w:pPr>
        <w:pStyle w:val="TextBody"/>
        <w:bidi w:val="0"/>
        <w:spacing w:lineRule="auto" w:line="333" w:before="0" w:after="0"/>
        <w:jc w:val="left"/>
        <w:rPr>
          <w:rFonts w:ascii="Times New Roman;serif" w:hAnsi="Times New Roman;serif"/>
          <w:b w:val="false"/>
          <w:color w:val="000000"/>
          <w:sz w:val="20"/>
        </w:rPr>
      </w:pPr>
      <w:r>
        <w:rPr>
          <w:rFonts w:ascii="Times New Roman;serif" w:hAnsi="Times New Roman;serif"/>
          <w:b w:val="false"/>
          <w:color w:val="000000"/>
          <w:sz w:val="20"/>
        </w:rPr>
        <w:t>__________________</w:t>
      </w:r>
    </w:p>
    <w:p>
      <w:pPr>
        <w:pStyle w:val="TextBody"/>
        <w:bidi w:val="0"/>
        <w:spacing w:lineRule="auto" w:line="288" w:before="0" w:after="0"/>
        <w:ind w:left="0" w:right="0" w:hanging="360"/>
        <w:jc w:val="both"/>
        <w:rPr>
          <w:rFonts w:ascii="Lato;sans-serif" w:hAnsi="Lato;sans-serif"/>
          <w:b w:val="false"/>
          <w:color w:val="000000"/>
          <w:sz w:val="16"/>
        </w:rPr>
      </w:pPr>
      <w:r>
        <w:rPr>
          <w:rFonts w:ascii="Lato;sans-serif" w:hAnsi="Lato;sans-serif"/>
          <w:b w:val="false"/>
          <w:color w:val="000000"/>
          <w:sz w:val="16"/>
        </w:rPr>
        <w:t>(1)The dollar amounts reported in this column are the amounts of total compensation reported for Mr. Schuck, our CEO, for each corresponding year as reported in the “Total” column of the “Summary Compensation Table” in this Proxy Statement.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2">
                <wp:simplePos x="0" y="0"/>
                <wp:positionH relativeFrom="character">
                  <wp:align>left</wp:align>
                </wp:positionH>
                <wp:positionV relativeFrom="line">
                  <wp:posOffset>635</wp:posOffset>
                </wp:positionV>
                <wp:extent cx="6480175" cy="352425"/>
                <wp:effectExtent l="0" t="0" r="0" b="0"/>
                <wp:wrapNone/>
                <wp:docPr id="98" name="Frame82"/>
                <a:graphic xmlns:a="http://schemas.openxmlformats.org/drawingml/2006/main">
                  <a:graphicData uri="http://schemas.microsoft.com/office/word/2010/wordprocessingShape">
                    <wps:wsp>
                      <wps:cNvSpPr txBox="1"/>
                      <wps:spPr>
                        <a:xfrm>
                          <a:off x="0" y="0"/>
                          <a:ext cx="6480175" cy="352425"/>
                        </a:xfrm>
                        <a:prstGeom prst="rect"/>
                        <a:solidFill>
                          <a:srgbClr val="FFFFFF"/>
                        </a:solidFill>
                      </wps:spPr>
                      <wps:txbx>
                        <w:txbxContent>
                          <w:p>
                            <w:pPr>
                              <w:pStyle w:val="TextBody"/>
                              <w:bidi w:val="0"/>
                              <w:spacing w:lineRule="auto" w:line="288" w:before="0" w:after="0"/>
                              <w:jc w:val="center"/>
                              <w:rPr>
                                <w:rFonts w:ascii="Lato;sans-serif" w:hAnsi="Lato;sans-serif"/>
                                <w:b w:val="false"/>
                                <w:color w:val="000000"/>
                                <w:sz w:val="20"/>
                              </w:rPr>
                            </w:pPr>
                            <w:r>
                              <w:rPr>
                                <w:rFonts w:ascii="Lato;sans-serif" w:hAnsi="Lato;sans-serif"/>
                                <w:b w:val="false"/>
                                <w:color w:val="000000"/>
                                <w:sz w:val="20"/>
                              </w:rPr>
                              <w:t>76</w:t>
                            </w:r>
                          </w:p>
                          <w:p>
                            <w:pPr>
                              <w:pStyle w:val="TextBody"/>
                              <w:bidi w:val="0"/>
                              <w:spacing w:lineRule="auto" w:line="288" w:before="0" w:after="0"/>
                              <w:jc w:val="left"/>
                              <w:rPr>
                                <w:color w:val="000000"/>
                              </w:rPr>
                            </w:pPr>
                            <w:r>
                              <w:rPr>
                                <w:color w:val="000000"/>
                              </w:rPr>
                              <w:t>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Lato;sans-serif" w:hAnsi="Lato;sans-serif"/>
                          <w:b w:val="false"/>
                          <w:color w:val="000000"/>
                          <w:sz w:val="20"/>
                        </w:rPr>
                      </w:pPr>
                      <w:r>
                        <w:rPr>
                          <w:rFonts w:ascii="Lato;sans-serif" w:hAnsi="Lato;sans-serif"/>
                          <w:b w:val="false"/>
                          <w:color w:val="000000"/>
                          <w:sz w:val="20"/>
                        </w:rPr>
                        <w:t>76</w:t>
                      </w:r>
                    </w:p>
                    <w:p>
                      <w:pPr>
                        <w:pStyle w:val="TextBody"/>
                        <w:bidi w:val="0"/>
                        <w:spacing w:lineRule="auto" w:line="288" w:before="0" w:after="0"/>
                        <w:jc w:val="left"/>
                        <w:rPr>
                          <w:color w:val="000000"/>
                        </w:rPr>
                      </w:pPr>
                      <w:r>
                        <w:rPr>
                          <w:color w:val="000000"/>
                        </w:rPr>
                        <w:t>        </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ind w:left="0" w:right="0" w:hanging="360"/>
        <w:jc w:val="both"/>
        <w:rPr>
          <w:rFonts w:ascii="Lato;sans-serif" w:hAnsi="Lato;sans-serif"/>
          <w:b w:val="false"/>
          <w:color w:val="000000"/>
          <w:sz w:val="16"/>
        </w:rPr>
      </w:pPr>
      <w:r>
        <w:rPr>
          <w:rFonts w:ascii="Lato;sans-serif" w:hAnsi="Lato;sans-serif"/>
          <w:b w:val="false"/>
          <w:color w:val="000000"/>
          <w:sz w:val="16"/>
        </w:rPr>
        <w:t>(2)In accordance with the requirements of Item 402(v)(2)(iii) of Regulation S-K, the following adjustments were made to the amounts reported for Mr. Schuck in the Summary Compensation Table. Importantly, the dollar amounts do not reflect the actual amount of compensation earned by, or paid to, Mr. Schuck during the applicable year. Note the “Year over Year change in Fair Value of Outstanding and Unvested Equity Awards” for 2021 and 2022 and “Year over Year Change in Fair Value of Equity Awards Granted in the Prior Years that Vested in the Year” for 2022 was incorrectly calculated in the corresponding table of adjustments in Company’s proxy statement for the fiscal year ended December 31, 2022 and has been corrected in the table below.</w:t>
      </w:r>
    </w:p>
    <w:tbl>
      <w:tblPr>
        <w:tblW w:w="10205" w:type="dxa"/>
        <w:jc w:val="left"/>
        <w:tblInd w:w="0" w:type="dxa"/>
        <w:tblLayout w:type="fixed"/>
        <w:tblCellMar>
          <w:top w:w="28" w:type="dxa"/>
          <w:left w:w="28" w:type="dxa"/>
          <w:bottom w:w="28" w:type="dxa"/>
          <w:right w:w="28" w:type="dxa"/>
        </w:tblCellMar>
      </w:tblPr>
      <w:tblGrid>
        <w:gridCol w:w="1816"/>
        <w:gridCol w:w="1519"/>
        <w:gridCol w:w="1527"/>
        <w:gridCol w:w="344"/>
        <w:gridCol w:w="344"/>
        <w:gridCol w:w="348"/>
        <w:gridCol w:w="370"/>
        <w:gridCol w:w="370"/>
        <w:gridCol w:w="375"/>
        <w:gridCol w:w="335"/>
        <w:gridCol w:w="335"/>
        <w:gridCol w:w="340"/>
        <w:gridCol w:w="335"/>
        <w:gridCol w:w="335"/>
        <w:gridCol w:w="340"/>
        <w:gridCol w:w="338"/>
        <w:gridCol w:w="338"/>
        <w:gridCol w:w="496"/>
      </w:tblGrid>
      <w:tr>
        <w:trPr/>
        <w:tc>
          <w:tcPr>
            <w:tcW w:w="1816" w:type="dxa"/>
            <w:tcBorders/>
            <w:vAlign w:val="center"/>
          </w:tcPr>
          <w:p>
            <w:pPr>
              <w:pStyle w:val="TableContents"/>
              <w:bidi w:val="0"/>
              <w:spacing w:before="0" w:after="283"/>
              <w:jc w:val="left"/>
              <w:rPr>
                <w:sz w:val="4"/>
                <w:szCs w:val="4"/>
              </w:rPr>
            </w:pPr>
            <w:r>
              <w:rPr>
                <w:sz w:val="4"/>
                <w:szCs w:val="4"/>
              </w:rPr>
            </w:r>
          </w:p>
        </w:tc>
        <w:tc>
          <w:tcPr>
            <w:tcW w:w="1519" w:type="dxa"/>
            <w:tcBorders/>
            <w:vAlign w:val="center"/>
          </w:tcPr>
          <w:p>
            <w:pPr>
              <w:pStyle w:val="TableContents"/>
              <w:bidi w:val="0"/>
              <w:spacing w:before="0" w:after="283"/>
              <w:jc w:val="left"/>
              <w:rPr>
                <w:sz w:val="4"/>
                <w:szCs w:val="4"/>
              </w:rPr>
            </w:pPr>
            <w:r>
              <w:rPr>
                <w:sz w:val="4"/>
                <w:szCs w:val="4"/>
              </w:rPr>
            </w:r>
          </w:p>
        </w:tc>
        <w:tc>
          <w:tcPr>
            <w:tcW w:w="1527"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r>
      <w:tr>
        <w:trPr/>
        <w:tc>
          <w:tcPr>
            <w:tcW w:w="4862" w:type="dxa"/>
            <w:gridSpan w:val="3"/>
            <w:tcBorders/>
            <w:shd w:fill="F44238" w:val="clear"/>
            <w:tcMar>
              <w:top w:w="0" w:type="dxa"/>
              <w:left w:w="0" w:type="dxa"/>
              <w:bottom w:w="0" w:type="dxa"/>
              <w:right w:w="0" w:type="dxa"/>
            </w:tcMar>
            <w:vAlign w:val="center"/>
          </w:tcPr>
          <w:p>
            <w:pPr>
              <w:pStyle w:val="TableContents"/>
              <w:bidi w:val="0"/>
              <w:spacing w:lineRule="auto" w:line="268" w:before="0" w:after="283"/>
              <w:jc w:val="center"/>
              <w:rPr>
                <w:rFonts w:ascii="Lato;sans-serif" w:hAnsi="Lato;sans-serif"/>
                <w:b/>
                <w:color w:val="FFFFFF"/>
                <w:sz w:val="16"/>
              </w:rPr>
            </w:pPr>
            <w:r>
              <w:rPr>
                <w:rFonts w:ascii="Lato;sans-serif" w:hAnsi="Lato;sans-serif"/>
                <w:b/>
                <w:color w:val="FFFFFF"/>
                <w:sz w:val="16"/>
              </w:rPr>
              <w:t>Description</w:t>
            </w:r>
          </w:p>
        </w:tc>
        <w:tc>
          <w:tcPr>
            <w:tcW w:w="1036" w:type="dxa"/>
            <w:gridSpan w:val="3"/>
            <w:tcBorders/>
            <w:shd w:fill="F44238" w:val="clear"/>
            <w:tcMar>
              <w:top w:w="0" w:type="dxa"/>
              <w:left w:w="0" w:type="dxa"/>
              <w:bottom w:w="0" w:type="dxa"/>
              <w:right w:w="0" w:type="dxa"/>
            </w:tcMar>
            <w:vAlign w:val="center"/>
          </w:tcPr>
          <w:p>
            <w:pPr>
              <w:pStyle w:val="TableContents"/>
              <w:bidi w:val="0"/>
              <w:spacing w:lineRule="auto" w:line="268" w:before="0" w:after="0"/>
              <w:jc w:val="center"/>
              <w:rPr>
                <w:rFonts w:ascii="Lato;sans-serif" w:hAnsi="Lato;sans-serif"/>
                <w:b/>
                <w:color w:val="FFFFFF"/>
                <w:sz w:val="16"/>
              </w:rPr>
            </w:pPr>
            <w:r>
              <w:rPr>
                <w:rFonts w:ascii="Lato;sans-serif" w:hAnsi="Lato;sans-serif"/>
                <w:b/>
                <w:color w:val="FFFFFF"/>
                <w:sz w:val="16"/>
              </w:rPr>
              <w:t>2021</w:t>
            </w:r>
          </w:p>
          <w:p>
            <w:pPr>
              <w:pStyle w:val="TableContents"/>
              <w:bidi w:val="0"/>
              <w:spacing w:lineRule="auto" w:line="268" w:before="0" w:after="0"/>
              <w:jc w:val="center"/>
              <w:rPr>
                <w:rFonts w:ascii="Lato;sans-serif" w:hAnsi="Lato;sans-serif"/>
                <w:b/>
                <w:color w:val="FFFFFF"/>
                <w:sz w:val="16"/>
              </w:rPr>
            </w:pPr>
            <w:r>
              <w:rPr>
                <w:rFonts w:ascii="Lato;sans-serif" w:hAnsi="Lato;sans-serif"/>
                <w:b/>
                <w:color w:val="FFFFFF"/>
                <w:sz w:val="16"/>
              </w:rPr>
              <w:t>($)</w:t>
            </w:r>
          </w:p>
        </w:tc>
        <w:tc>
          <w:tcPr>
            <w:tcW w:w="1115" w:type="dxa"/>
            <w:gridSpan w:val="3"/>
            <w:tcBorders/>
            <w:shd w:fill="F44238" w:val="clear"/>
            <w:tcMar>
              <w:top w:w="0" w:type="dxa"/>
              <w:left w:w="0" w:type="dxa"/>
              <w:bottom w:w="0" w:type="dxa"/>
              <w:right w:w="0" w:type="dxa"/>
            </w:tcMar>
            <w:vAlign w:val="center"/>
          </w:tcPr>
          <w:p>
            <w:pPr>
              <w:pStyle w:val="TableContents"/>
              <w:bidi w:val="0"/>
              <w:spacing w:lineRule="auto" w:line="268" w:before="0" w:after="0"/>
              <w:jc w:val="center"/>
              <w:rPr>
                <w:rFonts w:ascii="Lato;sans-serif" w:hAnsi="Lato;sans-serif"/>
                <w:b/>
                <w:color w:val="FFFFFF"/>
                <w:sz w:val="16"/>
              </w:rPr>
            </w:pPr>
            <w:r>
              <w:rPr>
                <w:rFonts w:ascii="Lato;sans-serif" w:hAnsi="Lato;sans-serif"/>
                <w:b/>
                <w:color w:val="FFFFFF"/>
                <w:sz w:val="16"/>
              </w:rPr>
              <w:t>2022</w:t>
            </w:r>
          </w:p>
          <w:p>
            <w:pPr>
              <w:pStyle w:val="TableContents"/>
              <w:bidi w:val="0"/>
              <w:spacing w:lineRule="auto" w:line="268" w:before="0" w:after="0"/>
              <w:jc w:val="center"/>
              <w:rPr>
                <w:rFonts w:ascii="Lato;sans-serif" w:hAnsi="Lato;sans-serif"/>
                <w:b/>
                <w:color w:val="FFFFFF"/>
                <w:sz w:val="16"/>
              </w:rPr>
            </w:pPr>
            <w:r>
              <w:rPr>
                <w:rFonts w:ascii="Lato;sans-serif" w:hAnsi="Lato;sans-serif"/>
                <w:b/>
                <w:color w:val="FFFFFF"/>
                <w:sz w:val="16"/>
              </w:rPr>
              <w:t>($)</w:t>
            </w:r>
          </w:p>
        </w:tc>
        <w:tc>
          <w:tcPr>
            <w:tcW w:w="1010" w:type="dxa"/>
            <w:gridSpan w:val="3"/>
            <w:tcBorders/>
            <w:shd w:fill="F44238" w:val="clear"/>
            <w:tcMar>
              <w:top w:w="0" w:type="dxa"/>
              <w:left w:w="0" w:type="dxa"/>
              <w:bottom w:w="0" w:type="dxa"/>
              <w:right w:w="0" w:type="dxa"/>
            </w:tcMar>
            <w:vAlign w:val="center"/>
          </w:tcPr>
          <w:p>
            <w:pPr>
              <w:pStyle w:val="TableContents"/>
              <w:bidi w:val="0"/>
              <w:spacing w:lineRule="auto" w:line="268" w:before="0" w:after="0"/>
              <w:jc w:val="center"/>
              <w:rPr>
                <w:rFonts w:ascii="Lato;sans-serif" w:hAnsi="Lato;sans-serif"/>
                <w:b/>
                <w:color w:val="FFFFFF"/>
                <w:sz w:val="16"/>
              </w:rPr>
            </w:pPr>
            <w:r>
              <w:rPr>
                <w:rFonts w:ascii="Lato;sans-serif" w:hAnsi="Lato;sans-serif"/>
                <w:b/>
                <w:color w:val="FFFFFF"/>
                <w:sz w:val="16"/>
              </w:rPr>
              <w:t>2023</w:t>
            </w:r>
          </w:p>
          <w:p>
            <w:pPr>
              <w:pStyle w:val="TableContents"/>
              <w:bidi w:val="0"/>
              <w:spacing w:lineRule="auto" w:line="268" w:before="0" w:after="0"/>
              <w:jc w:val="center"/>
              <w:rPr>
                <w:rFonts w:ascii="Lato;sans-serif" w:hAnsi="Lato;sans-serif"/>
                <w:b/>
                <w:color w:val="FFFFFF"/>
                <w:sz w:val="16"/>
              </w:rPr>
            </w:pPr>
            <w:r>
              <w:rPr>
                <w:rFonts w:ascii="Lato;sans-serif" w:hAnsi="Lato;sans-serif"/>
                <w:b/>
                <w:color w:val="FFFFFF"/>
                <w:sz w:val="16"/>
              </w:rPr>
              <w:t>($)</w:t>
            </w:r>
          </w:p>
        </w:tc>
        <w:tc>
          <w:tcPr>
            <w:tcW w:w="1010" w:type="dxa"/>
            <w:gridSpan w:val="3"/>
            <w:tcBorders/>
            <w:shd w:fill="F44238" w:val="clear"/>
            <w:tcMar>
              <w:top w:w="0" w:type="dxa"/>
              <w:left w:w="0" w:type="dxa"/>
              <w:bottom w:w="0" w:type="dxa"/>
              <w:right w:w="0" w:type="dxa"/>
            </w:tcMar>
            <w:vAlign w:val="center"/>
          </w:tcPr>
          <w:p>
            <w:pPr>
              <w:pStyle w:val="TableContents"/>
              <w:bidi w:val="0"/>
              <w:spacing w:lineRule="auto" w:line="268" w:before="0" w:after="0"/>
              <w:jc w:val="center"/>
              <w:rPr>
                <w:rFonts w:ascii="Lato;sans-serif" w:hAnsi="Lato;sans-serif"/>
                <w:b/>
                <w:color w:val="FFFFFF"/>
                <w:sz w:val="16"/>
              </w:rPr>
            </w:pPr>
            <w:r>
              <w:rPr>
                <w:rFonts w:ascii="Lato;sans-serif" w:hAnsi="Lato;sans-serif"/>
                <w:b/>
                <w:color w:val="FFFFFF"/>
                <w:sz w:val="16"/>
              </w:rPr>
              <w:t>2024</w:t>
            </w:r>
          </w:p>
          <w:p>
            <w:pPr>
              <w:pStyle w:val="TableContents"/>
              <w:bidi w:val="0"/>
              <w:spacing w:lineRule="auto" w:line="268" w:before="0" w:after="0"/>
              <w:jc w:val="center"/>
              <w:rPr>
                <w:rFonts w:ascii="Lato;sans-serif" w:hAnsi="Lato;sans-serif"/>
                <w:b/>
                <w:color w:val="FFFFFF"/>
                <w:sz w:val="16"/>
              </w:rPr>
            </w:pPr>
            <w:r>
              <w:rPr>
                <w:rFonts w:ascii="Lato;sans-serif" w:hAnsi="Lato;sans-serif"/>
                <w:b/>
                <w:color w:val="FFFFFF"/>
                <w:sz w:val="16"/>
              </w:rPr>
              <w:t>($)</w:t>
            </w:r>
          </w:p>
        </w:tc>
        <w:tc>
          <w:tcPr>
            <w:tcW w:w="1172" w:type="dxa"/>
            <w:gridSpan w:val="3"/>
            <w:tcBorders/>
            <w:shd w:fill="F44238" w:val="clear"/>
            <w:tcMar>
              <w:top w:w="0" w:type="dxa"/>
              <w:left w:w="0" w:type="dxa"/>
              <w:bottom w:w="0" w:type="dxa"/>
              <w:right w:w="0" w:type="dxa"/>
            </w:tcMar>
            <w:vAlign w:val="center"/>
          </w:tcPr>
          <w:p>
            <w:pPr>
              <w:pStyle w:val="TableContents"/>
              <w:bidi w:val="0"/>
              <w:spacing w:lineRule="auto" w:line="268" w:before="0" w:after="0"/>
              <w:jc w:val="center"/>
              <w:rPr>
                <w:rFonts w:ascii="Lato;sans-serif" w:hAnsi="Lato;sans-serif"/>
                <w:b/>
                <w:color w:val="FFFFFF"/>
                <w:sz w:val="16"/>
              </w:rPr>
            </w:pPr>
            <w:r>
              <w:rPr>
                <w:rFonts w:ascii="Lato;sans-serif" w:hAnsi="Lato;sans-serif"/>
                <w:b/>
                <w:color w:val="FFFFFF"/>
                <w:sz w:val="16"/>
              </w:rPr>
              <w:t>2025</w:t>
            </w:r>
          </w:p>
          <w:p>
            <w:pPr>
              <w:pStyle w:val="TableContents"/>
              <w:bidi w:val="0"/>
              <w:spacing w:lineRule="auto" w:line="268" w:before="0" w:after="0"/>
              <w:jc w:val="center"/>
              <w:rPr>
                <w:rFonts w:ascii="Lato;sans-serif" w:hAnsi="Lato;sans-serif"/>
                <w:b/>
                <w:color w:val="FFFFFF"/>
                <w:sz w:val="16"/>
              </w:rPr>
            </w:pPr>
            <w:r>
              <w:rPr>
                <w:rFonts w:ascii="Lato;sans-serif" w:hAnsi="Lato;sans-serif"/>
                <w:b/>
                <w:color w:val="FFFFFF"/>
                <w:sz w:val="16"/>
              </w:rPr>
              <w:t>($)</w:t>
            </w:r>
          </w:p>
        </w:tc>
      </w:tr>
      <w:tr>
        <w:trPr/>
        <w:tc>
          <w:tcPr>
            <w:tcW w:w="4862"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68" w:before="0" w:after="283"/>
              <w:jc w:val="left"/>
              <w:rPr>
                <w:rFonts w:ascii="Lato;sans-serif" w:hAnsi="Lato;sans-serif"/>
                <w:b w:val="false"/>
                <w:color w:val="000000"/>
                <w:sz w:val="16"/>
              </w:rPr>
            </w:pPr>
            <w:r>
              <w:rPr>
                <w:rFonts w:ascii="Lato;sans-serif" w:hAnsi="Lato;sans-serif"/>
                <w:b w:val="false"/>
                <w:color w:val="000000"/>
                <w:sz w:val="16"/>
              </w:rPr>
              <w:t>Change in Pension Value Deduction</w:t>
            </w:r>
          </w:p>
        </w:tc>
        <w:tc>
          <w:tcPr>
            <w:tcW w:w="1036"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68" w:before="0" w:after="283"/>
              <w:jc w:val="center"/>
              <w:rPr>
                <w:color w:val="000000"/>
              </w:rPr>
            </w:pPr>
            <w:r>
              <w:rPr>
                <w:color w:val="000000"/>
              </w:rPr>
              <w:t>—</w:t>
            </w:r>
          </w:p>
        </w:tc>
        <w:tc>
          <w:tcPr>
            <w:tcW w:w="1115"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68" w:before="0" w:after="283"/>
              <w:jc w:val="center"/>
              <w:rPr>
                <w:color w:val="000000"/>
              </w:rPr>
            </w:pPr>
            <w:r>
              <w:rPr>
                <w:color w:val="000000"/>
              </w:rPr>
              <w:t>—</w:t>
            </w:r>
          </w:p>
        </w:tc>
        <w:tc>
          <w:tcPr>
            <w:tcW w:w="101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68" w:before="0" w:after="283"/>
              <w:jc w:val="center"/>
              <w:rPr>
                <w:color w:val="000000"/>
              </w:rPr>
            </w:pPr>
            <w:r>
              <w:rPr>
                <w:color w:val="000000"/>
              </w:rPr>
              <w:t>—</w:t>
            </w:r>
          </w:p>
        </w:tc>
        <w:tc>
          <w:tcPr>
            <w:tcW w:w="101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68" w:before="0" w:after="283"/>
              <w:jc w:val="center"/>
              <w:rPr>
                <w:color w:val="000000"/>
              </w:rPr>
            </w:pPr>
            <w:r>
              <w:rPr>
                <w:color w:val="000000"/>
              </w:rPr>
              <w:t>—</w:t>
            </w:r>
          </w:p>
        </w:tc>
        <w:tc>
          <w:tcPr>
            <w:tcW w:w="1172"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68" w:before="0" w:after="283"/>
              <w:jc w:val="center"/>
              <w:rPr>
                <w:color w:val="000000"/>
              </w:rPr>
            </w:pPr>
            <w:r>
              <w:rPr>
                <w:color w:val="000000"/>
              </w:rPr>
              <w:t>—</w:t>
            </w:r>
          </w:p>
        </w:tc>
      </w:tr>
      <w:tr>
        <w:trPr/>
        <w:tc>
          <w:tcPr>
            <w:tcW w:w="4862" w:type="dxa"/>
            <w:gridSpan w:val="3"/>
            <w:tcBorders/>
            <w:shd w:fill="DBDBDB" w:val="clear"/>
            <w:tcMar>
              <w:top w:w="0" w:type="dxa"/>
              <w:left w:w="0" w:type="dxa"/>
              <w:bottom w:w="0" w:type="dxa"/>
              <w:right w:w="0" w:type="dxa"/>
            </w:tcMar>
            <w:vAlign w:val="center"/>
          </w:tcPr>
          <w:p>
            <w:pPr>
              <w:pStyle w:val="TableContents"/>
              <w:bidi w:val="0"/>
              <w:spacing w:lineRule="auto" w:line="268" w:before="0" w:after="283"/>
              <w:jc w:val="left"/>
              <w:rPr>
                <w:rFonts w:ascii="Lato;sans-serif" w:hAnsi="Lato;sans-serif"/>
                <w:b w:val="false"/>
                <w:color w:val="000000"/>
                <w:sz w:val="16"/>
              </w:rPr>
            </w:pPr>
            <w:r>
              <w:rPr>
                <w:rFonts w:ascii="Lato;sans-serif" w:hAnsi="Lato;sans-serif"/>
                <w:b w:val="false"/>
                <w:color w:val="000000"/>
                <w:sz w:val="16"/>
              </w:rPr>
              <w:t>Pension Service Cost Addition</w:t>
            </w:r>
          </w:p>
        </w:tc>
        <w:tc>
          <w:tcPr>
            <w:tcW w:w="1036" w:type="dxa"/>
            <w:gridSpan w:val="3"/>
            <w:tcBorders/>
            <w:shd w:fill="DBDBDB" w:val="clear"/>
            <w:tcMar>
              <w:top w:w="0" w:type="dxa"/>
              <w:left w:w="0" w:type="dxa"/>
              <w:bottom w:w="0" w:type="dxa"/>
              <w:right w:w="0" w:type="dxa"/>
            </w:tcMar>
            <w:vAlign w:val="center"/>
          </w:tcPr>
          <w:p>
            <w:pPr>
              <w:pStyle w:val="TableContents"/>
              <w:bidi w:val="0"/>
              <w:spacing w:lineRule="auto" w:line="268" w:before="0" w:after="283"/>
              <w:jc w:val="center"/>
              <w:rPr>
                <w:color w:val="000000"/>
              </w:rPr>
            </w:pPr>
            <w:r>
              <w:rPr>
                <w:color w:val="000000"/>
              </w:rPr>
              <w:t>—</w:t>
            </w:r>
          </w:p>
        </w:tc>
        <w:tc>
          <w:tcPr>
            <w:tcW w:w="1115" w:type="dxa"/>
            <w:gridSpan w:val="3"/>
            <w:tcBorders/>
            <w:shd w:fill="DBDBDB" w:val="clear"/>
            <w:tcMar>
              <w:top w:w="0" w:type="dxa"/>
              <w:left w:w="0" w:type="dxa"/>
              <w:bottom w:w="0" w:type="dxa"/>
              <w:right w:w="0" w:type="dxa"/>
            </w:tcMar>
            <w:vAlign w:val="center"/>
          </w:tcPr>
          <w:p>
            <w:pPr>
              <w:pStyle w:val="TableContents"/>
              <w:bidi w:val="0"/>
              <w:spacing w:lineRule="auto" w:line="268" w:before="0" w:after="283"/>
              <w:jc w:val="center"/>
              <w:rPr>
                <w:color w:val="000000"/>
              </w:rPr>
            </w:pPr>
            <w:r>
              <w:rPr>
                <w:color w:val="000000"/>
              </w:rPr>
              <w:t>—</w:t>
            </w:r>
          </w:p>
        </w:tc>
        <w:tc>
          <w:tcPr>
            <w:tcW w:w="1010" w:type="dxa"/>
            <w:gridSpan w:val="3"/>
            <w:tcBorders/>
            <w:shd w:fill="DBDBDB" w:val="clear"/>
            <w:tcMar>
              <w:top w:w="0" w:type="dxa"/>
              <w:left w:w="0" w:type="dxa"/>
              <w:bottom w:w="0" w:type="dxa"/>
              <w:right w:w="0" w:type="dxa"/>
            </w:tcMar>
            <w:vAlign w:val="center"/>
          </w:tcPr>
          <w:p>
            <w:pPr>
              <w:pStyle w:val="TableContents"/>
              <w:bidi w:val="0"/>
              <w:spacing w:lineRule="auto" w:line="268" w:before="0" w:after="283"/>
              <w:jc w:val="center"/>
              <w:rPr>
                <w:color w:val="000000"/>
              </w:rPr>
            </w:pPr>
            <w:r>
              <w:rPr>
                <w:color w:val="000000"/>
              </w:rPr>
              <w:t>—</w:t>
            </w:r>
          </w:p>
        </w:tc>
        <w:tc>
          <w:tcPr>
            <w:tcW w:w="1010" w:type="dxa"/>
            <w:gridSpan w:val="3"/>
            <w:tcBorders/>
            <w:shd w:fill="DBDBDB" w:val="clear"/>
            <w:tcMar>
              <w:top w:w="0" w:type="dxa"/>
              <w:left w:w="0" w:type="dxa"/>
              <w:bottom w:w="0" w:type="dxa"/>
              <w:right w:w="0" w:type="dxa"/>
            </w:tcMar>
            <w:vAlign w:val="center"/>
          </w:tcPr>
          <w:p>
            <w:pPr>
              <w:pStyle w:val="TableContents"/>
              <w:bidi w:val="0"/>
              <w:spacing w:lineRule="auto" w:line="268" w:before="0" w:after="283"/>
              <w:jc w:val="center"/>
              <w:rPr>
                <w:color w:val="000000"/>
              </w:rPr>
            </w:pPr>
            <w:r>
              <w:rPr>
                <w:color w:val="000000"/>
              </w:rPr>
              <w:t>—</w:t>
            </w:r>
          </w:p>
        </w:tc>
        <w:tc>
          <w:tcPr>
            <w:tcW w:w="1172" w:type="dxa"/>
            <w:gridSpan w:val="3"/>
            <w:tcBorders/>
            <w:shd w:fill="DBDBDB" w:val="clear"/>
            <w:tcMar>
              <w:top w:w="0" w:type="dxa"/>
              <w:left w:w="0" w:type="dxa"/>
              <w:bottom w:w="0" w:type="dxa"/>
              <w:right w:w="0" w:type="dxa"/>
            </w:tcMar>
            <w:vAlign w:val="center"/>
          </w:tcPr>
          <w:p>
            <w:pPr>
              <w:pStyle w:val="TableContents"/>
              <w:bidi w:val="0"/>
              <w:spacing w:lineRule="auto" w:line="268" w:before="0" w:after="283"/>
              <w:jc w:val="center"/>
              <w:rPr>
                <w:color w:val="000000"/>
              </w:rPr>
            </w:pPr>
            <w:r>
              <w:rPr>
                <w:color w:val="000000"/>
              </w:rPr>
              <w:t>—</w:t>
            </w:r>
          </w:p>
        </w:tc>
      </w:tr>
      <w:tr>
        <w:trPr/>
        <w:tc>
          <w:tcPr>
            <w:tcW w:w="4862"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Lato;sans-serif" w:hAnsi="Lato;sans-serif"/>
                <w:b w:val="false"/>
                <w:color w:val="000000"/>
                <w:sz w:val="16"/>
              </w:rPr>
            </w:pPr>
            <w:r>
              <w:rPr>
                <w:rFonts w:ascii="Lato;sans-serif" w:hAnsi="Lato;sans-serif"/>
                <w:b w:val="false"/>
                <w:color w:val="000000"/>
                <w:sz w:val="16"/>
              </w:rPr>
              <w:t>Prior Pension Service Cost Addition</w:t>
            </w:r>
          </w:p>
        </w:tc>
        <w:tc>
          <w:tcPr>
            <w:tcW w:w="1036"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center"/>
              <w:rPr>
                <w:color w:val="000000"/>
              </w:rPr>
            </w:pPr>
            <w:r>
              <w:rPr>
                <w:color w:val="000000"/>
              </w:rPr>
              <w:t>—</w:t>
            </w:r>
          </w:p>
        </w:tc>
        <w:tc>
          <w:tcPr>
            <w:tcW w:w="1115"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center"/>
              <w:rPr>
                <w:color w:val="000000"/>
              </w:rPr>
            </w:pPr>
            <w:r>
              <w:rPr>
                <w:color w:val="000000"/>
              </w:rPr>
              <w:t>—</w:t>
            </w:r>
          </w:p>
        </w:tc>
        <w:tc>
          <w:tcPr>
            <w:tcW w:w="1010"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center"/>
              <w:rPr>
                <w:color w:val="000000"/>
              </w:rPr>
            </w:pPr>
            <w:r>
              <w:rPr>
                <w:color w:val="000000"/>
              </w:rPr>
              <w:t>—</w:t>
            </w:r>
          </w:p>
        </w:tc>
        <w:tc>
          <w:tcPr>
            <w:tcW w:w="1010"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center"/>
              <w:rPr>
                <w:color w:val="000000"/>
              </w:rPr>
            </w:pPr>
            <w:r>
              <w:rPr>
                <w:color w:val="000000"/>
              </w:rPr>
              <w:t>—</w:t>
            </w:r>
          </w:p>
        </w:tc>
        <w:tc>
          <w:tcPr>
            <w:tcW w:w="1172"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center"/>
              <w:rPr>
                <w:color w:val="000000"/>
              </w:rPr>
            </w:pPr>
            <w:r>
              <w:rPr>
                <w:color w:val="000000"/>
              </w:rPr>
              <w:t>—</w:t>
            </w:r>
          </w:p>
        </w:tc>
      </w:tr>
      <w:tr>
        <w:trPr/>
        <w:tc>
          <w:tcPr>
            <w:tcW w:w="4862" w:type="dxa"/>
            <w:gridSpan w:val="3"/>
            <w:tcBorders/>
            <w:shd w:fill="DBDBDB" w:val="clear"/>
            <w:tcMar>
              <w:top w:w="0" w:type="dxa"/>
              <w:left w:w="0" w:type="dxa"/>
              <w:bottom w:w="0" w:type="dxa"/>
              <w:right w:w="0" w:type="dxa"/>
            </w:tcMar>
            <w:vAlign w:val="center"/>
          </w:tcPr>
          <w:p>
            <w:pPr>
              <w:pStyle w:val="TableContents"/>
              <w:bidi w:val="0"/>
              <w:spacing w:lineRule="auto" w:line="268" w:before="0" w:after="283"/>
              <w:jc w:val="left"/>
              <w:rPr>
                <w:rFonts w:ascii="Lato;sans-serif" w:hAnsi="Lato;sans-serif"/>
                <w:b w:val="false"/>
                <w:color w:val="000000"/>
                <w:sz w:val="16"/>
              </w:rPr>
            </w:pPr>
            <w:r>
              <w:rPr>
                <w:rFonts w:ascii="Lato;sans-serif" w:hAnsi="Lato;sans-serif"/>
                <w:b w:val="false"/>
                <w:color w:val="000000"/>
                <w:sz w:val="16"/>
              </w:rPr>
              <w:t>Deductions from SCT “Stock Awards” Column Value</w:t>
            </w:r>
          </w:p>
        </w:tc>
        <w:tc>
          <w:tcPr>
            <w:tcW w:w="1036" w:type="dxa"/>
            <w:gridSpan w:val="3"/>
            <w:tcBorders/>
            <w:shd w:fill="DBDBDB" w:val="clear"/>
            <w:tcMar>
              <w:top w:w="0" w:type="dxa"/>
              <w:left w:w="0" w:type="dxa"/>
              <w:bottom w:w="0" w:type="dxa"/>
              <w:right w:w="0" w:type="dxa"/>
            </w:tcMar>
            <w:vAlign w:val="center"/>
          </w:tcPr>
          <w:p>
            <w:pPr>
              <w:pStyle w:val="TableContents"/>
              <w:bidi w:val="0"/>
              <w:spacing w:lineRule="auto" w:line="268" w:before="0" w:after="283"/>
              <w:jc w:val="center"/>
              <w:rPr>
                <w:color w:val="000000"/>
              </w:rPr>
            </w:pPr>
            <w:r>
              <w:rPr>
                <w:color w:val="000000"/>
              </w:rPr>
              <w:t>—</w:t>
            </w:r>
          </w:p>
        </w:tc>
        <w:tc>
          <w:tcPr>
            <w:tcW w:w="1115" w:type="dxa"/>
            <w:gridSpan w:val="3"/>
            <w:tcBorders/>
            <w:shd w:fill="DBDBDB" w:val="clear"/>
            <w:tcMar>
              <w:top w:w="0" w:type="dxa"/>
              <w:left w:w="0" w:type="dxa"/>
              <w:bottom w:w="0" w:type="dxa"/>
              <w:right w:w="0" w:type="dxa"/>
            </w:tcMar>
            <w:vAlign w:val="center"/>
          </w:tcPr>
          <w:p>
            <w:pPr>
              <w:pStyle w:val="TableContents"/>
              <w:bidi w:val="0"/>
              <w:spacing w:lineRule="auto" w:line="268" w:before="0" w:after="283"/>
              <w:jc w:val="center"/>
              <w:rPr>
                <w:color w:val="000000"/>
              </w:rPr>
            </w:pPr>
            <w:r>
              <w:rPr>
                <w:color w:val="000000"/>
              </w:rPr>
              <w:t>—</w:t>
            </w:r>
          </w:p>
        </w:tc>
        <w:tc>
          <w:tcPr>
            <w:tcW w:w="1010" w:type="dxa"/>
            <w:gridSpan w:val="3"/>
            <w:tcBorders/>
            <w:shd w:fill="DBDBDB" w:val="clear"/>
            <w:tcMar>
              <w:top w:w="0" w:type="dxa"/>
              <w:left w:w="0" w:type="dxa"/>
              <w:bottom w:w="0" w:type="dxa"/>
              <w:right w:w="0" w:type="dxa"/>
            </w:tcMar>
            <w:vAlign w:val="center"/>
          </w:tcPr>
          <w:p>
            <w:pPr>
              <w:pStyle w:val="TableContents"/>
              <w:bidi w:val="0"/>
              <w:spacing w:lineRule="auto" w:line="268" w:before="0" w:after="283"/>
              <w:jc w:val="center"/>
              <w:rPr>
                <w:rFonts w:ascii="Lato;sans-serif" w:hAnsi="Lato;sans-serif"/>
                <w:b w:val="false"/>
                <w:color w:val="000000"/>
                <w:sz w:val="16"/>
              </w:rPr>
            </w:pPr>
            <w:r>
              <w:rPr>
                <w:rFonts w:ascii="Lato;sans-serif" w:hAnsi="Lato;sans-serif"/>
                <w:b w:val="false"/>
                <w:color w:val="000000"/>
                <w:sz w:val="16"/>
              </w:rPr>
              <w:t>(4,412,514)</w:t>
            </w:r>
          </w:p>
        </w:tc>
        <w:tc>
          <w:tcPr>
            <w:tcW w:w="1010" w:type="dxa"/>
            <w:gridSpan w:val="3"/>
            <w:tcBorders/>
            <w:shd w:fill="DBDBDB" w:val="clear"/>
            <w:tcMar>
              <w:top w:w="0" w:type="dxa"/>
              <w:left w:w="0" w:type="dxa"/>
              <w:bottom w:w="0" w:type="dxa"/>
              <w:right w:w="0" w:type="dxa"/>
            </w:tcMar>
            <w:vAlign w:val="center"/>
          </w:tcPr>
          <w:p>
            <w:pPr>
              <w:pStyle w:val="TableContents"/>
              <w:bidi w:val="0"/>
              <w:spacing w:lineRule="auto" w:line="268" w:before="0" w:after="283"/>
              <w:jc w:val="center"/>
              <w:rPr>
                <w:rFonts w:ascii="Lato;sans-serif" w:hAnsi="Lato;sans-serif"/>
                <w:b w:val="false"/>
                <w:color w:val="000000"/>
                <w:sz w:val="16"/>
              </w:rPr>
            </w:pPr>
            <w:r>
              <w:rPr>
                <w:rFonts w:ascii="Lato;sans-serif" w:hAnsi="Lato;sans-serif"/>
                <w:b w:val="false"/>
                <w:color w:val="000000"/>
                <w:sz w:val="16"/>
              </w:rPr>
              <w:t>(5,550,604)</w:t>
            </w:r>
          </w:p>
        </w:tc>
        <w:tc>
          <w:tcPr>
            <w:tcW w:w="1172" w:type="dxa"/>
            <w:gridSpan w:val="3"/>
            <w:tcBorders/>
            <w:shd w:fill="DBDBDB" w:val="clear"/>
            <w:tcMar>
              <w:top w:w="0" w:type="dxa"/>
              <w:left w:w="0" w:type="dxa"/>
              <w:bottom w:w="0" w:type="dxa"/>
              <w:right w:w="0" w:type="dxa"/>
            </w:tcMar>
            <w:vAlign w:val="center"/>
          </w:tcPr>
          <w:p>
            <w:pPr>
              <w:pStyle w:val="TableContents"/>
              <w:bidi w:val="0"/>
              <w:spacing w:lineRule="auto" w:line="268" w:before="0" w:after="283"/>
              <w:jc w:val="center"/>
              <w:rPr>
                <w:rFonts w:ascii="Lato;sans-serif" w:hAnsi="Lato;sans-serif"/>
                <w:b w:val="false"/>
                <w:color w:val="000000"/>
                <w:sz w:val="16"/>
              </w:rPr>
            </w:pPr>
            <w:r>
              <w:rPr>
                <w:rFonts w:ascii="Lato;sans-serif" w:hAnsi="Lato;sans-serif"/>
                <w:b w:val="false"/>
                <w:color w:val="000000"/>
                <w:sz w:val="16"/>
              </w:rPr>
              <w:t>(32,356,780)</w:t>
            </w:r>
          </w:p>
        </w:tc>
      </w:tr>
      <w:tr>
        <w:trPr/>
        <w:tc>
          <w:tcPr>
            <w:tcW w:w="4862"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Lato;sans-serif" w:hAnsi="Lato;sans-serif"/>
                <w:b w:val="false"/>
                <w:color w:val="000000"/>
                <w:sz w:val="16"/>
              </w:rPr>
            </w:pPr>
            <w:r>
              <w:rPr>
                <w:rFonts w:ascii="Lato;sans-serif" w:hAnsi="Lato;sans-serif"/>
                <w:b w:val="false"/>
                <w:color w:val="000000"/>
                <w:sz w:val="16"/>
              </w:rPr>
              <w:t>Stock and Option Awards Adjustment</w:t>
            </w:r>
          </w:p>
        </w:tc>
        <w:tc>
          <w:tcPr>
            <w:tcW w:w="1036"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center"/>
              <w:rPr>
                <w:rFonts w:ascii="Lato;sans-serif" w:hAnsi="Lato;sans-serif"/>
                <w:b w:val="false"/>
                <w:color w:val="000000"/>
                <w:sz w:val="16"/>
              </w:rPr>
            </w:pPr>
            <w:r>
              <w:rPr>
                <w:rFonts w:ascii="Lato;sans-serif" w:hAnsi="Lato;sans-serif"/>
                <w:b w:val="false"/>
                <w:color w:val="000000"/>
                <w:sz w:val="16"/>
              </w:rPr>
              <w:t>10,864,347</w:t>
            </w:r>
          </w:p>
        </w:tc>
        <w:tc>
          <w:tcPr>
            <w:tcW w:w="1115"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center"/>
              <w:rPr>
                <w:rFonts w:ascii="Lato;sans-serif" w:hAnsi="Lato;sans-serif"/>
                <w:b w:val="false"/>
                <w:color w:val="000000"/>
                <w:sz w:val="16"/>
              </w:rPr>
            </w:pPr>
            <w:r>
              <w:rPr>
                <w:rFonts w:ascii="Lato;sans-serif" w:hAnsi="Lato;sans-serif"/>
                <w:b w:val="false"/>
                <w:color w:val="000000"/>
                <w:sz w:val="16"/>
              </w:rPr>
              <w:t>(10,142,736)</w:t>
            </w:r>
          </w:p>
        </w:tc>
        <w:tc>
          <w:tcPr>
            <w:tcW w:w="1010"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center"/>
              <w:rPr>
                <w:rFonts w:ascii="Lato;sans-serif" w:hAnsi="Lato;sans-serif"/>
                <w:b w:val="false"/>
                <w:color w:val="000000"/>
                <w:sz w:val="16"/>
              </w:rPr>
            </w:pPr>
            <w:r>
              <w:rPr>
                <w:rFonts w:ascii="Lato;sans-serif" w:hAnsi="Lato;sans-serif"/>
                <w:b w:val="false"/>
                <w:color w:val="000000"/>
                <w:sz w:val="16"/>
              </w:rPr>
              <w:t>1,743,179</w:t>
            </w:r>
          </w:p>
        </w:tc>
        <w:tc>
          <w:tcPr>
            <w:tcW w:w="1010"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center"/>
              <w:rPr>
                <w:rFonts w:ascii="Lato;sans-serif" w:hAnsi="Lato;sans-serif"/>
                <w:b w:val="false"/>
                <w:color w:val="000000"/>
                <w:sz w:val="16"/>
              </w:rPr>
            </w:pPr>
            <w:r>
              <w:rPr>
                <w:rFonts w:ascii="Lato;sans-serif" w:hAnsi="Lato;sans-serif"/>
                <w:b w:val="false"/>
                <w:color w:val="000000"/>
                <w:sz w:val="16"/>
              </w:rPr>
              <w:t>321,699</w:t>
            </w:r>
          </w:p>
        </w:tc>
        <w:tc>
          <w:tcPr>
            <w:tcW w:w="1172"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center"/>
              <w:rPr>
                <w:rFonts w:ascii="Lato;sans-serif" w:hAnsi="Lato;sans-serif"/>
                <w:b w:val="false"/>
                <w:color w:val="000000"/>
                <w:sz w:val="16"/>
              </w:rPr>
            </w:pPr>
            <w:r>
              <w:rPr>
                <w:rFonts w:ascii="Lato;sans-serif" w:hAnsi="Lato;sans-serif"/>
                <w:b w:val="false"/>
                <w:color w:val="000000"/>
                <w:sz w:val="16"/>
              </w:rPr>
              <w:t>34,329,490</w:t>
            </w:r>
          </w:p>
        </w:tc>
      </w:tr>
      <w:tr>
        <w:trPr/>
        <w:tc>
          <w:tcPr>
            <w:tcW w:w="4862" w:type="dxa"/>
            <w:gridSpan w:val="3"/>
            <w:tcBorders/>
            <w:shd w:fill="DBDBDB" w:val="clear"/>
            <w:tcMar>
              <w:top w:w="0" w:type="dxa"/>
              <w:left w:w="0" w:type="dxa"/>
              <w:bottom w:w="0" w:type="dxa"/>
              <w:right w:w="0" w:type="dxa"/>
            </w:tcMar>
            <w:vAlign w:val="center"/>
          </w:tcPr>
          <w:p>
            <w:pPr>
              <w:pStyle w:val="TableContents"/>
              <w:bidi w:val="0"/>
              <w:spacing w:lineRule="auto" w:line="268" w:before="0" w:after="0"/>
              <w:jc w:val="left"/>
              <w:rPr>
                <w:rFonts w:ascii="Lato;sans-serif" w:hAnsi="Lato;sans-serif"/>
                <w:b w:val="false"/>
                <w:i/>
                <w:color w:val="000000"/>
                <w:sz w:val="16"/>
              </w:rPr>
            </w:pPr>
            <w:r>
              <w:rPr>
                <w:rFonts w:ascii="Lato;sans-serif" w:hAnsi="Lato;sans-serif"/>
                <w:b w:val="false"/>
                <w:i/>
                <w:color w:val="000000"/>
                <w:sz w:val="16"/>
              </w:rPr>
              <w:t>Year End Fair Value of Unvested Equity Awards Granted in the Year</w:t>
            </w:r>
          </w:p>
        </w:tc>
        <w:tc>
          <w:tcPr>
            <w:tcW w:w="1036" w:type="dxa"/>
            <w:gridSpan w:val="3"/>
            <w:tcBorders/>
            <w:shd w:fill="DBDBDB" w:val="clear"/>
            <w:tcMar>
              <w:top w:w="0" w:type="dxa"/>
              <w:left w:w="0" w:type="dxa"/>
              <w:bottom w:w="0" w:type="dxa"/>
              <w:right w:w="0" w:type="dxa"/>
            </w:tcMar>
            <w:vAlign w:val="center"/>
          </w:tcPr>
          <w:p>
            <w:pPr>
              <w:pStyle w:val="TableContents"/>
              <w:bidi w:val="0"/>
              <w:spacing w:lineRule="auto" w:line="268" w:before="0" w:after="283"/>
              <w:jc w:val="center"/>
              <w:rPr>
                <w:color w:val="000000"/>
              </w:rPr>
            </w:pPr>
            <w:r>
              <w:rPr>
                <w:color w:val="000000"/>
              </w:rPr>
              <w:t>—</w:t>
            </w:r>
          </w:p>
        </w:tc>
        <w:tc>
          <w:tcPr>
            <w:tcW w:w="1115" w:type="dxa"/>
            <w:gridSpan w:val="3"/>
            <w:tcBorders/>
            <w:shd w:fill="DBDBDB" w:val="clear"/>
            <w:tcMar>
              <w:top w:w="0" w:type="dxa"/>
              <w:left w:w="0" w:type="dxa"/>
              <w:bottom w:w="0" w:type="dxa"/>
              <w:right w:w="0" w:type="dxa"/>
            </w:tcMar>
            <w:vAlign w:val="center"/>
          </w:tcPr>
          <w:p>
            <w:pPr>
              <w:pStyle w:val="TableContents"/>
              <w:bidi w:val="0"/>
              <w:spacing w:lineRule="auto" w:line="268" w:before="0" w:after="283"/>
              <w:jc w:val="center"/>
              <w:rPr>
                <w:color w:val="000000"/>
              </w:rPr>
            </w:pPr>
            <w:r>
              <w:rPr>
                <w:color w:val="000000"/>
              </w:rPr>
              <w:t>—</w:t>
            </w:r>
          </w:p>
        </w:tc>
        <w:tc>
          <w:tcPr>
            <w:tcW w:w="1010" w:type="dxa"/>
            <w:gridSpan w:val="3"/>
            <w:tcBorders/>
            <w:shd w:fill="DBDBDB" w:val="clear"/>
            <w:tcMar>
              <w:top w:w="0" w:type="dxa"/>
              <w:left w:w="0" w:type="dxa"/>
              <w:bottom w:w="0" w:type="dxa"/>
              <w:right w:w="0" w:type="dxa"/>
            </w:tcMar>
            <w:vAlign w:val="center"/>
          </w:tcPr>
          <w:p>
            <w:pPr>
              <w:pStyle w:val="TableContents"/>
              <w:bidi w:val="0"/>
              <w:spacing w:lineRule="auto" w:line="268" w:before="0" w:after="283"/>
              <w:jc w:val="center"/>
              <w:rPr>
                <w:rFonts w:ascii="Lato;sans-serif" w:hAnsi="Lato;sans-serif"/>
                <w:b w:val="false"/>
                <w:color w:val="000000"/>
                <w:sz w:val="16"/>
              </w:rPr>
            </w:pPr>
            <w:r>
              <w:rPr>
                <w:rFonts w:ascii="Lato;sans-serif" w:hAnsi="Lato;sans-serif"/>
                <w:b w:val="false"/>
                <w:color w:val="000000"/>
                <w:sz w:val="16"/>
              </w:rPr>
              <w:t>3,301,796</w:t>
            </w:r>
          </w:p>
        </w:tc>
        <w:tc>
          <w:tcPr>
            <w:tcW w:w="1010" w:type="dxa"/>
            <w:gridSpan w:val="3"/>
            <w:tcBorders/>
            <w:shd w:fill="DBDBDB" w:val="clear"/>
            <w:tcMar>
              <w:top w:w="0" w:type="dxa"/>
              <w:left w:w="0" w:type="dxa"/>
              <w:bottom w:w="0" w:type="dxa"/>
              <w:right w:w="0" w:type="dxa"/>
            </w:tcMar>
            <w:vAlign w:val="center"/>
          </w:tcPr>
          <w:p>
            <w:pPr>
              <w:pStyle w:val="TableContents"/>
              <w:bidi w:val="0"/>
              <w:spacing w:lineRule="auto" w:line="268" w:before="0" w:after="283"/>
              <w:jc w:val="center"/>
              <w:rPr>
                <w:rFonts w:ascii="Lato;sans-serif" w:hAnsi="Lato;sans-serif"/>
                <w:b w:val="false"/>
                <w:color w:val="000000"/>
                <w:sz w:val="16"/>
              </w:rPr>
            </w:pPr>
            <w:r>
              <w:rPr>
                <w:rFonts w:ascii="Lato;sans-serif" w:hAnsi="Lato;sans-serif"/>
                <w:b w:val="false"/>
                <w:color w:val="000000"/>
                <w:sz w:val="16"/>
              </w:rPr>
              <w:t>4,274,281</w:t>
            </w:r>
          </w:p>
        </w:tc>
        <w:tc>
          <w:tcPr>
            <w:tcW w:w="1172" w:type="dxa"/>
            <w:gridSpan w:val="3"/>
            <w:tcBorders/>
            <w:shd w:fill="DBDBDB" w:val="clear"/>
            <w:tcMar>
              <w:top w:w="0" w:type="dxa"/>
              <w:left w:w="0" w:type="dxa"/>
              <w:bottom w:w="0" w:type="dxa"/>
              <w:right w:w="0" w:type="dxa"/>
            </w:tcMar>
            <w:vAlign w:val="center"/>
          </w:tcPr>
          <w:p>
            <w:pPr>
              <w:pStyle w:val="TableContents"/>
              <w:bidi w:val="0"/>
              <w:spacing w:lineRule="auto" w:line="268" w:before="0" w:after="283"/>
              <w:jc w:val="center"/>
              <w:rPr>
                <w:rFonts w:ascii="Lato;sans-serif" w:hAnsi="Lato;sans-serif"/>
                <w:b w:val="false"/>
                <w:color w:val="000000"/>
                <w:sz w:val="16"/>
              </w:rPr>
            </w:pPr>
            <w:r>
              <w:rPr>
                <w:rFonts w:ascii="Lato;sans-serif" w:hAnsi="Lato;sans-serif"/>
                <w:b w:val="false"/>
                <w:color w:val="000000"/>
                <w:sz w:val="16"/>
              </w:rPr>
              <w:t>34,815,413</w:t>
            </w:r>
          </w:p>
        </w:tc>
      </w:tr>
      <w:tr>
        <w:trPr/>
        <w:tc>
          <w:tcPr>
            <w:tcW w:w="4862"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Lato;sans-serif" w:hAnsi="Lato;sans-serif"/>
                <w:b w:val="false"/>
                <w:color w:val="000000"/>
                <w:sz w:val="16"/>
              </w:rPr>
            </w:pPr>
            <w:r>
              <w:rPr>
                <w:rFonts w:ascii="Lato;sans-serif" w:hAnsi="Lato;sans-serif"/>
                <w:b w:val="false"/>
                <w:color w:val="000000"/>
                <w:sz w:val="16"/>
              </w:rPr>
              <w:t>Year over Year Change in Fair Value of Outstanding and Unvested Equity Awards</w:t>
            </w:r>
          </w:p>
        </w:tc>
        <w:tc>
          <w:tcPr>
            <w:tcW w:w="1036"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center"/>
              <w:rPr>
                <w:rFonts w:ascii="Lato;sans-serif" w:hAnsi="Lato;sans-serif"/>
                <w:b w:val="false"/>
                <w:color w:val="000000"/>
                <w:sz w:val="16"/>
              </w:rPr>
            </w:pPr>
            <w:r>
              <w:rPr>
                <w:rFonts w:ascii="Lato;sans-serif" w:hAnsi="Lato;sans-serif"/>
                <w:b w:val="false"/>
                <w:color w:val="000000"/>
                <w:sz w:val="16"/>
              </w:rPr>
              <w:t>7,599,443</w:t>
            </w:r>
          </w:p>
        </w:tc>
        <w:tc>
          <w:tcPr>
            <w:tcW w:w="1115"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center"/>
              <w:rPr>
                <w:rFonts w:ascii="Lato;sans-serif" w:hAnsi="Lato;sans-serif"/>
                <w:b w:val="false"/>
                <w:color w:val="000000"/>
                <w:sz w:val="16"/>
              </w:rPr>
            </w:pPr>
            <w:r>
              <w:rPr>
                <w:rFonts w:ascii="Lato;sans-serif" w:hAnsi="Lato;sans-serif"/>
                <w:b w:val="false"/>
                <w:color w:val="000000"/>
                <w:sz w:val="16"/>
              </w:rPr>
              <w:t>(6,954,599)</w:t>
            </w:r>
          </w:p>
        </w:tc>
        <w:tc>
          <w:tcPr>
            <w:tcW w:w="1010"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center"/>
              <w:rPr>
                <w:rFonts w:ascii="Lato;sans-serif" w:hAnsi="Lato;sans-serif"/>
                <w:b w:val="false"/>
                <w:color w:val="000000"/>
                <w:sz w:val="16"/>
              </w:rPr>
            </w:pPr>
            <w:r>
              <w:rPr>
                <w:rFonts w:ascii="Lato;sans-serif" w:hAnsi="Lato;sans-serif"/>
                <w:b w:val="false"/>
                <w:color w:val="000000"/>
                <w:sz w:val="16"/>
              </w:rPr>
              <w:t>(1,185,286)</w:t>
            </w:r>
          </w:p>
        </w:tc>
        <w:tc>
          <w:tcPr>
            <w:tcW w:w="1010"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center"/>
              <w:rPr>
                <w:color w:val="000000"/>
              </w:rPr>
            </w:pPr>
            <w:r>
              <w:rPr>
                <w:color w:val="000000"/>
              </w:rPr>
              <w:t>—</w:t>
            </w:r>
          </w:p>
        </w:tc>
        <w:tc>
          <w:tcPr>
            <w:tcW w:w="1172"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center"/>
              <w:rPr>
                <w:rFonts w:ascii="Lato;sans-serif" w:hAnsi="Lato;sans-serif"/>
                <w:b w:val="false"/>
                <w:color w:val="000000"/>
                <w:sz w:val="16"/>
              </w:rPr>
            </w:pPr>
            <w:r>
              <w:rPr>
                <w:rFonts w:ascii="Lato;sans-serif" w:hAnsi="Lato;sans-serif"/>
                <w:b w:val="false"/>
                <w:color w:val="000000"/>
                <w:sz w:val="16"/>
              </w:rPr>
              <w:t>(421,061)</w:t>
            </w:r>
          </w:p>
        </w:tc>
      </w:tr>
      <w:tr>
        <w:trPr/>
        <w:tc>
          <w:tcPr>
            <w:tcW w:w="4862" w:type="dxa"/>
            <w:gridSpan w:val="3"/>
            <w:tcBorders/>
            <w:shd w:fill="DBDBDB" w:val="clear"/>
            <w:tcMar>
              <w:top w:w="0" w:type="dxa"/>
              <w:left w:w="0" w:type="dxa"/>
              <w:bottom w:w="0" w:type="dxa"/>
              <w:right w:w="0" w:type="dxa"/>
            </w:tcMar>
            <w:vAlign w:val="center"/>
          </w:tcPr>
          <w:p>
            <w:pPr>
              <w:pStyle w:val="TableContents"/>
              <w:bidi w:val="0"/>
              <w:spacing w:lineRule="auto" w:line="268" w:before="0" w:after="283"/>
              <w:jc w:val="left"/>
              <w:rPr>
                <w:rFonts w:ascii="Lato;sans-serif" w:hAnsi="Lato;sans-serif"/>
                <w:b w:val="false"/>
                <w:i/>
                <w:color w:val="000000"/>
                <w:sz w:val="16"/>
              </w:rPr>
            </w:pPr>
            <w:r>
              <w:rPr>
                <w:rFonts w:ascii="Lato;sans-serif" w:hAnsi="Lato;sans-serif"/>
                <w:b w:val="false"/>
                <w:i/>
                <w:color w:val="000000"/>
                <w:sz w:val="16"/>
              </w:rPr>
              <w:t>Fair Value as of Vesting Date of Equity Awards Granted and Vested in the Year</w:t>
            </w:r>
          </w:p>
        </w:tc>
        <w:tc>
          <w:tcPr>
            <w:tcW w:w="1036" w:type="dxa"/>
            <w:gridSpan w:val="3"/>
            <w:tcBorders/>
            <w:shd w:fill="DBDBDB" w:val="clear"/>
            <w:tcMar>
              <w:top w:w="0" w:type="dxa"/>
              <w:left w:w="0" w:type="dxa"/>
              <w:bottom w:w="0" w:type="dxa"/>
              <w:right w:w="0" w:type="dxa"/>
            </w:tcMar>
            <w:vAlign w:val="center"/>
          </w:tcPr>
          <w:p>
            <w:pPr>
              <w:pStyle w:val="TableContents"/>
              <w:bidi w:val="0"/>
              <w:spacing w:lineRule="auto" w:line="268" w:before="0" w:after="283"/>
              <w:jc w:val="center"/>
              <w:rPr>
                <w:color w:val="000000"/>
              </w:rPr>
            </w:pPr>
            <w:r>
              <w:rPr>
                <w:color w:val="000000"/>
              </w:rPr>
              <w:t>—</w:t>
            </w:r>
          </w:p>
        </w:tc>
        <w:tc>
          <w:tcPr>
            <w:tcW w:w="1115" w:type="dxa"/>
            <w:gridSpan w:val="3"/>
            <w:tcBorders/>
            <w:shd w:fill="DBDBDB" w:val="clear"/>
            <w:tcMar>
              <w:top w:w="0" w:type="dxa"/>
              <w:left w:w="0" w:type="dxa"/>
              <w:bottom w:w="0" w:type="dxa"/>
              <w:right w:w="0" w:type="dxa"/>
            </w:tcMar>
            <w:vAlign w:val="center"/>
          </w:tcPr>
          <w:p>
            <w:pPr>
              <w:pStyle w:val="TableContents"/>
              <w:bidi w:val="0"/>
              <w:spacing w:lineRule="auto" w:line="268" w:before="0" w:after="283"/>
              <w:jc w:val="center"/>
              <w:rPr>
                <w:color w:val="000000"/>
              </w:rPr>
            </w:pPr>
            <w:r>
              <w:rPr>
                <w:color w:val="000000"/>
              </w:rPr>
              <w:t>—</w:t>
            </w:r>
          </w:p>
        </w:tc>
        <w:tc>
          <w:tcPr>
            <w:tcW w:w="1010" w:type="dxa"/>
            <w:gridSpan w:val="3"/>
            <w:tcBorders/>
            <w:shd w:fill="DBDBDB" w:val="clear"/>
            <w:tcMar>
              <w:top w:w="0" w:type="dxa"/>
              <w:left w:w="0" w:type="dxa"/>
              <w:bottom w:w="0" w:type="dxa"/>
              <w:right w:w="0" w:type="dxa"/>
            </w:tcMar>
            <w:vAlign w:val="center"/>
          </w:tcPr>
          <w:p>
            <w:pPr>
              <w:pStyle w:val="TableContents"/>
              <w:bidi w:val="0"/>
              <w:spacing w:lineRule="auto" w:line="268" w:before="0" w:after="283"/>
              <w:jc w:val="center"/>
              <w:rPr>
                <w:color w:val="000000"/>
              </w:rPr>
            </w:pPr>
            <w:r>
              <w:rPr>
                <w:color w:val="000000"/>
              </w:rPr>
              <w:t>—</w:t>
            </w:r>
          </w:p>
        </w:tc>
        <w:tc>
          <w:tcPr>
            <w:tcW w:w="1010" w:type="dxa"/>
            <w:gridSpan w:val="3"/>
            <w:tcBorders/>
            <w:shd w:fill="DBDBDB" w:val="clear"/>
            <w:tcMar>
              <w:top w:w="0" w:type="dxa"/>
              <w:left w:w="0" w:type="dxa"/>
              <w:bottom w:w="0" w:type="dxa"/>
              <w:right w:w="0" w:type="dxa"/>
            </w:tcMar>
            <w:vAlign w:val="center"/>
          </w:tcPr>
          <w:p>
            <w:pPr>
              <w:pStyle w:val="TableContents"/>
              <w:bidi w:val="0"/>
              <w:spacing w:lineRule="auto" w:line="268" w:before="0" w:after="283"/>
              <w:jc w:val="center"/>
              <w:rPr>
                <w:color w:val="000000"/>
              </w:rPr>
            </w:pPr>
            <w:r>
              <w:rPr>
                <w:color w:val="000000"/>
              </w:rPr>
              <w:t>—</w:t>
            </w:r>
          </w:p>
        </w:tc>
        <w:tc>
          <w:tcPr>
            <w:tcW w:w="1172" w:type="dxa"/>
            <w:gridSpan w:val="3"/>
            <w:tcBorders/>
            <w:shd w:fill="DBDBDB" w:val="clear"/>
            <w:tcMar>
              <w:top w:w="0" w:type="dxa"/>
              <w:left w:w="0" w:type="dxa"/>
              <w:bottom w:w="0" w:type="dxa"/>
              <w:right w:w="0" w:type="dxa"/>
            </w:tcMar>
            <w:vAlign w:val="center"/>
          </w:tcPr>
          <w:p>
            <w:pPr>
              <w:pStyle w:val="TableContents"/>
              <w:bidi w:val="0"/>
              <w:spacing w:lineRule="auto" w:line="268" w:before="0" w:after="283"/>
              <w:jc w:val="center"/>
              <w:rPr>
                <w:color w:val="000000"/>
              </w:rPr>
            </w:pPr>
            <w:r>
              <w:rPr>
                <w:color w:val="000000"/>
              </w:rPr>
              <w:t>—</w:t>
            </w:r>
          </w:p>
        </w:tc>
      </w:tr>
      <w:tr>
        <w:trPr/>
        <w:tc>
          <w:tcPr>
            <w:tcW w:w="4862"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Lato;sans-serif" w:hAnsi="Lato;sans-serif"/>
                <w:b w:val="false"/>
                <w:i/>
                <w:color w:val="000000"/>
                <w:sz w:val="16"/>
              </w:rPr>
            </w:pPr>
            <w:r>
              <w:rPr>
                <w:rFonts w:ascii="Lato;sans-serif" w:hAnsi="Lato;sans-serif"/>
                <w:b w:val="false"/>
                <w:i/>
                <w:color w:val="000000"/>
                <w:sz w:val="16"/>
              </w:rPr>
              <w:t>Year over Year Change in Fair Value of Equity Awards Granted in Prior Years that Vested in the Year</w:t>
            </w:r>
          </w:p>
        </w:tc>
        <w:tc>
          <w:tcPr>
            <w:tcW w:w="1036"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center"/>
              <w:rPr>
                <w:rFonts w:ascii="Lato;sans-serif" w:hAnsi="Lato;sans-serif"/>
                <w:b w:val="false"/>
                <w:color w:val="000000"/>
                <w:sz w:val="16"/>
              </w:rPr>
            </w:pPr>
            <w:r>
              <w:rPr>
                <w:rFonts w:ascii="Lato;sans-serif" w:hAnsi="Lato;sans-serif"/>
                <w:b w:val="false"/>
                <w:color w:val="000000"/>
                <w:sz w:val="16"/>
              </w:rPr>
              <w:t>3,264,904</w:t>
            </w:r>
          </w:p>
        </w:tc>
        <w:tc>
          <w:tcPr>
            <w:tcW w:w="1115"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center"/>
              <w:rPr>
                <w:rFonts w:ascii="Lato;sans-serif" w:hAnsi="Lato;sans-serif"/>
                <w:b w:val="false"/>
                <w:color w:val="000000"/>
                <w:sz w:val="16"/>
              </w:rPr>
            </w:pPr>
            <w:r>
              <w:rPr>
                <w:rFonts w:ascii="Lato;sans-serif" w:hAnsi="Lato;sans-serif"/>
                <w:b w:val="false"/>
                <w:color w:val="000000"/>
                <w:sz w:val="16"/>
              </w:rPr>
              <w:t>(3,188,137)</w:t>
            </w:r>
          </w:p>
        </w:tc>
        <w:tc>
          <w:tcPr>
            <w:tcW w:w="1010"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center"/>
              <w:rPr>
                <w:rFonts w:ascii="Lato;sans-serif" w:hAnsi="Lato;sans-serif"/>
                <w:b w:val="false"/>
                <w:color w:val="000000"/>
                <w:sz w:val="16"/>
              </w:rPr>
            </w:pPr>
            <w:r>
              <w:rPr>
                <w:rFonts w:ascii="Lato;sans-serif" w:hAnsi="Lato;sans-serif"/>
                <w:b w:val="false"/>
                <w:color w:val="000000"/>
                <w:sz w:val="16"/>
              </w:rPr>
              <w:t>(373,331)</w:t>
            </w:r>
          </w:p>
        </w:tc>
        <w:tc>
          <w:tcPr>
            <w:tcW w:w="1010"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center"/>
              <w:rPr>
                <w:rFonts w:ascii="Lato;sans-serif" w:hAnsi="Lato;sans-serif"/>
                <w:b w:val="false"/>
                <w:color w:val="000000"/>
                <w:sz w:val="16"/>
              </w:rPr>
            </w:pPr>
            <w:r>
              <w:rPr>
                <w:rFonts w:ascii="Lato;sans-serif" w:hAnsi="Lato;sans-serif"/>
                <w:b w:val="false"/>
                <w:color w:val="000000"/>
                <w:sz w:val="16"/>
              </w:rPr>
              <w:t>(650,786)</w:t>
            </w:r>
          </w:p>
        </w:tc>
        <w:tc>
          <w:tcPr>
            <w:tcW w:w="1172"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center"/>
              <w:rPr>
                <w:rFonts w:ascii="Lato;sans-serif" w:hAnsi="Lato;sans-serif"/>
                <w:b w:val="false"/>
                <w:color w:val="000000"/>
                <w:sz w:val="16"/>
              </w:rPr>
            </w:pPr>
            <w:r>
              <w:rPr>
                <w:rFonts w:ascii="Lato;sans-serif" w:hAnsi="Lato;sans-serif"/>
                <w:b w:val="false"/>
                <w:color w:val="000000"/>
                <w:sz w:val="16"/>
              </w:rPr>
              <w:t>(64,862)</w:t>
            </w:r>
          </w:p>
        </w:tc>
      </w:tr>
      <w:tr>
        <w:trPr/>
        <w:tc>
          <w:tcPr>
            <w:tcW w:w="4862" w:type="dxa"/>
            <w:gridSpan w:val="3"/>
            <w:tcBorders/>
            <w:shd w:fill="DBDBDB" w:val="clear"/>
            <w:tcMar>
              <w:top w:w="0" w:type="dxa"/>
              <w:left w:w="0" w:type="dxa"/>
              <w:bottom w:w="0" w:type="dxa"/>
              <w:right w:w="0" w:type="dxa"/>
            </w:tcMar>
            <w:vAlign w:val="center"/>
          </w:tcPr>
          <w:p>
            <w:pPr>
              <w:pStyle w:val="TableContents"/>
              <w:bidi w:val="0"/>
              <w:spacing w:lineRule="auto" w:line="268" w:before="0" w:after="0"/>
              <w:jc w:val="left"/>
              <w:rPr>
                <w:rFonts w:ascii="Lato;sans-serif" w:hAnsi="Lato;sans-serif"/>
                <w:b w:val="false"/>
                <w:i/>
                <w:color w:val="000000"/>
                <w:sz w:val="16"/>
              </w:rPr>
            </w:pPr>
            <w:r>
              <w:rPr>
                <w:rFonts w:ascii="Lato;sans-serif" w:hAnsi="Lato;sans-serif"/>
                <w:b w:val="false"/>
                <w:i/>
                <w:color w:val="000000"/>
                <w:sz w:val="16"/>
              </w:rPr>
              <w:t>Fair Value at the End of the Prior Year of Equity Awards that Failed to Meet Vesting Conditions in the Year</w:t>
            </w:r>
          </w:p>
        </w:tc>
        <w:tc>
          <w:tcPr>
            <w:tcW w:w="1036" w:type="dxa"/>
            <w:gridSpan w:val="3"/>
            <w:tcBorders/>
            <w:shd w:fill="DBDBDB" w:val="clear"/>
            <w:tcMar>
              <w:top w:w="0" w:type="dxa"/>
              <w:left w:w="0" w:type="dxa"/>
              <w:bottom w:w="0" w:type="dxa"/>
              <w:right w:w="0" w:type="dxa"/>
            </w:tcMar>
            <w:vAlign w:val="center"/>
          </w:tcPr>
          <w:p>
            <w:pPr>
              <w:pStyle w:val="TableContents"/>
              <w:bidi w:val="0"/>
              <w:spacing w:lineRule="auto" w:line="268" w:before="0" w:after="283"/>
              <w:jc w:val="center"/>
              <w:rPr>
                <w:color w:val="000000"/>
              </w:rPr>
            </w:pPr>
            <w:r>
              <w:rPr>
                <w:color w:val="000000"/>
              </w:rPr>
              <w:t>—</w:t>
            </w:r>
          </w:p>
        </w:tc>
        <w:tc>
          <w:tcPr>
            <w:tcW w:w="1115" w:type="dxa"/>
            <w:gridSpan w:val="3"/>
            <w:tcBorders/>
            <w:shd w:fill="DBDBDB" w:val="clear"/>
            <w:tcMar>
              <w:top w:w="0" w:type="dxa"/>
              <w:left w:w="0" w:type="dxa"/>
              <w:bottom w:w="0" w:type="dxa"/>
              <w:right w:w="0" w:type="dxa"/>
            </w:tcMar>
            <w:vAlign w:val="center"/>
          </w:tcPr>
          <w:p>
            <w:pPr>
              <w:pStyle w:val="TableContents"/>
              <w:bidi w:val="0"/>
              <w:spacing w:lineRule="auto" w:line="268" w:before="0" w:after="283"/>
              <w:jc w:val="center"/>
              <w:rPr>
                <w:color w:val="000000"/>
              </w:rPr>
            </w:pPr>
            <w:r>
              <w:rPr>
                <w:color w:val="000000"/>
              </w:rPr>
              <w:t>—</w:t>
            </w:r>
          </w:p>
        </w:tc>
        <w:tc>
          <w:tcPr>
            <w:tcW w:w="1010" w:type="dxa"/>
            <w:gridSpan w:val="3"/>
            <w:tcBorders/>
            <w:shd w:fill="DBDBDB" w:val="clear"/>
            <w:tcMar>
              <w:top w:w="0" w:type="dxa"/>
              <w:left w:w="0" w:type="dxa"/>
              <w:bottom w:w="0" w:type="dxa"/>
              <w:right w:w="0" w:type="dxa"/>
            </w:tcMar>
            <w:vAlign w:val="center"/>
          </w:tcPr>
          <w:p>
            <w:pPr>
              <w:pStyle w:val="TableContents"/>
              <w:bidi w:val="0"/>
              <w:spacing w:lineRule="auto" w:line="268" w:before="0" w:after="283"/>
              <w:jc w:val="center"/>
              <w:rPr>
                <w:color w:val="000000"/>
              </w:rPr>
            </w:pPr>
            <w:r>
              <w:rPr>
                <w:color w:val="000000"/>
              </w:rPr>
              <w:t>—</w:t>
            </w:r>
          </w:p>
        </w:tc>
        <w:tc>
          <w:tcPr>
            <w:tcW w:w="1010" w:type="dxa"/>
            <w:gridSpan w:val="3"/>
            <w:tcBorders/>
            <w:shd w:fill="DBDBDB" w:val="clear"/>
            <w:tcMar>
              <w:top w:w="0" w:type="dxa"/>
              <w:left w:w="0" w:type="dxa"/>
              <w:bottom w:w="0" w:type="dxa"/>
              <w:right w:w="0" w:type="dxa"/>
            </w:tcMar>
            <w:vAlign w:val="center"/>
          </w:tcPr>
          <w:p>
            <w:pPr>
              <w:pStyle w:val="TableContents"/>
              <w:bidi w:val="0"/>
              <w:spacing w:lineRule="auto" w:line="268" w:before="0" w:after="283"/>
              <w:jc w:val="center"/>
              <w:rPr>
                <w:rFonts w:ascii="Lato;sans-serif" w:hAnsi="Lato;sans-serif"/>
                <w:b w:val="false"/>
                <w:color w:val="000000"/>
                <w:sz w:val="16"/>
              </w:rPr>
            </w:pPr>
            <w:r>
              <w:rPr>
                <w:rFonts w:ascii="Lato;sans-serif" w:hAnsi="Lato;sans-serif"/>
                <w:b w:val="false"/>
                <w:color w:val="000000"/>
                <w:sz w:val="16"/>
              </w:rPr>
              <w:t>(3,301,796)</w:t>
            </w:r>
          </w:p>
        </w:tc>
        <w:tc>
          <w:tcPr>
            <w:tcW w:w="1172" w:type="dxa"/>
            <w:gridSpan w:val="3"/>
            <w:tcBorders/>
            <w:shd w:fill="DBDBDB" w:val="clear"/>
            <w:tcMar>
              <w:top w:w="0" w:type="dxa"/>
              <w:left w:w="0" w:type="dxa"/>
              <w:bottom w:w="0" w:type="dxa"/>
              <w:right w:w="0" w:type="dxa"/>
            </w:tcMar>
            <w:vAlign w:val="center"/>
          </w:tcPr>
          <w:p>
            <w:pPr>
              <w:pStyle w:val="TableContents"/>
              <w:bidi w:val="0"/>
              <w:spacing w:lineRule="auto" w:line="268" w:before="0" w:after="283"/>
              <w:jc w:val="center"/>
              <w:rPr>
                <w:color w:val="000000"/>
              </w:rPr>
            </w:pPr>
            <w:r>
              <w:rPr>
                <w:color w:val="000000"/>
              </w:rPr>
              <w:t>—</w:t>
            </w:r>
          </w:p>
        </w:tc>
      </w:tr>
      <w:tr>
        <w:trPr/>
        <w:tc>
          <w:tcPr>
            <w:tcW w:w="4862"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Lato;sans-serif" w:hAnsi="Lato;sans-serif"/>
                <w:b w:val="false"/>
                <w:i/>
                <w:color w:val="000000"/>
                <w:sz w:val="16"/>
              </w:rPr>
            </w:pPr>
            <w:r>
              <w:rPr>
                <w:rFonts w:ascii="Lato;sans-serif" w:hAnsi="Lato;sans-serif"/>
                <w:b w:val="false"/>
                <w:i/>
                <w:color w:val="000000"/>
                <w:sz w:val="16"/>
              </w:rPr>
              <w:t>Value of Dividends or other Earnings Paid on Stock or Option Awards not Otherwise Reflected in Fair Value or Total Compensation</w:t>
            </w:r>
          </w:p>
        </w:tc>
        <w:tc>
          <w:tcPr>
            <w:tcW w:w="1036"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center"/>
              <w:rPr>
                <w:color w:val="000000"/>
              </w:rPr>
            </w:pPr>
            <w:r>
              <w:rPr>
                <w:color w:val="000000"/>
              </w:rPr>
              <w:t>—</w:t>
            </w:r>
          </w:p>
        </w:tc>
        <w:tc>
          <w:tcPr>
            <w:tcW w:w="1115"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center"/>
              <w:rPr>
                <w:color w:val="000000"/>
              </w:rPr>
            </w:pPr>
            <w:r>
              <w:rPr>
                <w:color w:val="000000"/>
              </w:rPr>
              <w:t>—</w:t>
            </w:r>
          </w:p>
        </w:tc>
        <w:tc>
          <w:tcPr>
            <w:tcW w:w="1010"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center"/>
              <w:rPr>
                <w:color w:val="000000"/>
              </w:rPr>
            </w:pPr>
            <w:r>
              <w:rPr>
                <w:color w:val="000000"/>
              </w:rPr>
              <w:t>—</w:t>
            </w:r>
          </w:p>
        </w:tc>
        <w:tc>
          <w:tcPr>
            <w:tcW w:w="1010"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center"/>
              <w:rPr>
                <w:color w:val="000000"/>
              </w:rPr>
            </w:pPr>
            <w:r>
              <w:rPr>
                <w:color w:val="000000"/>
              </w:rPr>
              <w:t>—</w:t>
            </w:r>
          </w:p>
        </w:tc>
        <w:tc>
          <w:tcPr>
            <w:tcW w:w="1172"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center"/>
              <w:rPr>
                <w:color w:val="000000"/>
              </w:rPr>
            </w:pPr>
            <w:r>
              <w:rPr>
                <w:color w:val="000000"/>
              </w:rPr>
              <w:t>—</w:t>
            </w:r>
          </w:p>
        </w:tc>
      </w:tr>
      <w:tr>
        <w:trPr/>
        <w:tc>
          <w:tcPr>
            <w:tcW w:w="4862" w:type="dxa"/>
            <w:gridSpan w:val="3"/>
            <w:tcBorders/>
            <w:shd w:fill="DBDBDB" w:val="clear"/>
            <w:tcMar>
              <w:top w:w="0" w:type="dxa"/>
              <w:left w:w="0" w:type="dxa"/>
              <w:bottom w:w="0" w:type="dxa"/>
              <w:right w:w="0" w:type="dxa"/>
            </w:tcMar>
            <w:vAlign w:val="center"/>
          </w:tcPr>
          <w:p>
            <w:pPr>
              <w:pStyle w:val="TableContents"/>
              <w:bidi w:val="0"/>
              <w:spacing w:lineRule="auto" w:line="268" w:before="0" w:after="283"/>
              <w:jc w:val="left"/>
              <w:rPr>
                <w:rFonts w:ascii="Lato;sans-serif" w:hAnsi="Lato;sans-serif"/>
                <w:b w:val="false"/>
                <w:color w:val="000000"/>
                <w:sz w:val="16"/>
              </w:rPr>
            </w:pPr>
            <w:r>
              <w:rPr>
                <w:rFonts w:ascii="Lato;sans-serif" w:hAnsi="Lato;sans-serif"/>
                <w:b w:val="false"/>
                <w:color w:val="000000"/>
                <w:sz w:val="16"/>
              </w:rPr>
              <w:t>Total Added (or Deducted)</w:t>
            </w:r>
          </w:p>
        </w:tc>
        <w:tc>
          <w:tcPr>
            <w:tcW w:w="1036" w:type="dxa"/>
            <w:gridSpan w:val="3"/>
            <w:tcBorders/>
            <w:shd w:fill="DBDBDB" w:val="clear"/>
            <w:tcMar>
              <w:top w:w="0" w:type="dxa"/>
              <w:left w:w="0" w:type="dxa"/>
              <w:bottom w:w="0" w:type="dxa"/>
              <w:right w:w="0" w:type="dxa"/>
            </w:tcMar>
            <w:vAlign w:val="center"/>
          </w:tcPr>
          <w:p>
            <w:pPr>
              <w:pStyle w:val="TableContents"/>
              <w:bidi w:val="0"/>
              <w:spacing w:lineRule="auto" w:line="268" w:before="0" w:after="283"/>
              <w:jc w:val="center"/>
              <w:rPr>
                <w:rFonts w:ascii="Lato;sans-serif" w:hAnsi="Lato;sans-serif"/>
                <w:b w:val="false"/>
                <w:color w:val="000000"/>
                <w:sz w:val="16"/>
              </w:rPr>
            </w:pPr>
            <w:r>
              <w:rPr>
                <w:rFonts w:ascii="Lato;sans-serif" w:hAnsi="Lato;sans-serif"/>
                <w:b w:val="false"/>
                <w:color w:val="000000"/>
                <w:sz w:val="16"/>
              </w:rPr>
              <w:t>10,864,347</w:t>
            </w:r>
          </w:p>
        </w:tc>
        <w:tc>
          <w:tcPr>
            <w:tcW w:w="1115" w:type="dxa"/>
            <w:gridSpan w:val="3"/>
            <w:tcBorders/>
            <w:shd w:fill="DBDBDB" w:val="clear"/>
            <w:tcMar>
              <w:top w:w="0" w:type="dxa"/>
              <w:left w:w="0" w:type="dxa"/>
              <w:bottom w:w="0" w:type="dxa"/>
              <w:right w:w="0" w:type="dxa"/>
            </w:tcMar>
            <w:vAlign w:val="center"/>
          </w:tcPr>
          <w:p>
            <w:pPr>
              <w:pStyle w:val="TableContents"/>
              <w:bidi w:val="0"/>
              <w:spacing w:lineRule="auto" w:line="268" w:before="0" w:after="283"/>
              <w:jc w:val="center"/>
              <w:rPr>
                <w:rFonts w:ascii="Lato;sans-serif" w:hAnsi="Lato;sans-serif"/>
                <w:b w:val="false"/>
                <w:color w:val="000000"/>
                <w:sz w:val="16"/>
              </w:rPr>
            </w:pPr>
            <w:r>
              <w:rPr>
                <w:rFonts w:ascii="Lato;sans-serif" w:hAnsi="Lato;sans-serif"/>
                <w:b w:val="false"/>
                <w:color w:val="000000"/>
                <w:sz w:val="16"/>
              </w:rPr>
              <w:t>(10,142,736)</w:t>
            </w:r>
          </w:p>
        </w:tc>
        <w:tc>
          <w:tcPr>
            <w:tcW w:w="1010" w:type="dxa"/>
            <w:gridSpan w:val="3"/>
            <w:tcBorders/>
            <w:shd w:fill="DBDBDB" w:val="clear"/>
            <w:tcMar>
              <w:top w:w="0" w:type="dxa"/>
              <w:left w:w="0" w:type="dxa"/>
              <w:bottom w:w="0" w:type="dxa"/>
              <w:right w:w="0" w:type="dxa"/>
            </w:tcMar>
            <w:vAlign w:val="center"/>
          </w:tcPr>
          <w:p>
            <w:pPr>
              <w:pStyle w:val="TableContents"/>
              <w:bidi w:val="0"/>
              <w:spacing w:lineRule="auto" w:line="268" w:before="0" w:after="283"/>
              <w:jc w:val="center"/>
              <w:rPr>
                <w:rFonts w:ascii="Lato;sans-serif" w:hAnsi="Lato;sans-serif"/>
                <w:b w:val="false"/>
                <w:color w:val="000000"/>
                <w:sz w:val="16"/>
              </w:rPr>
            </w:pPr>
            <w:r>
              <w:rPr>
                <w:rFonts w:ascii="Lato;sans-serif" w:hAnsi="Lato;sans-serif"/>
                <w:b w:val="false"/>
                <w:color w:val="000000"/>
                <w:sz w:val="16"/>
              </w:rPr>
              <w:t>(2,669,335)</w:t>
            </w:r>
          </w:p>
        </w:tc>
        <w:tc>
          <w:tcPr>
            <w:tcW w:w="1010" w:type="dxa"/>
            <w:gridSpan w:val="3"/>
            <w:tcBorders/>
            <w:shd w:fill="DBDBDB" w:val="clear"/>
            <w:tcMar>
              <w:top w:w="0" w:type="dxa"/>
              <w:left w:w="0" w:type="dxa"/>
              <w:bottom w:w="0" w:type="dxa"/>
              <w:right w:w="0" w:type="dxa"/>
            </w:tcMar>
            <w:vAlign w:val="center"/>
          </w:tcPr>
          <w:p>
            <w:pPr>
              <w:pStyle w:val="TableContents"/>
              <w:bidi w:val="0"/>
              <w:spacing w:lineRule="auto" w:line="268" w:before="0" w:after="283"/>
              <w:jc w:val="center"/>
              <w:rPr>
                <w:rFonts w:ascii="Lato;sans-serif" w:hAnsi="Lato;sans-serif"/>
                <w:b w:val="false"/>
                <w:color w:val="000000"/>
                <w:sz w:val="16"/>
              </w:rPr>
            </w:pPr>
            <w:r>
              <w:rPr>
                <w:rFonts w:ascii="Lato;sans-serif" w:hAnsi="Lato;sans-serif"/>
                <w:b w:val="false"/>
                <w:color w:val="000000"/>
                <w:sz w:val="16"/>
              </w:rPr>
              <w:t>(5,228,905)</w:t>
            </w:r>
          </w:p>
        </w:tc>
        <w:tc>
          <w:tcPr>
            <w:tcW w:w="1172" w:type="dxa"/>
            <w:gridSpan w:val="3"/>
            <w:tcBorders/>
            <w:shd w:fill="DBDBDB" w:val="clear"/>
            <w:tcMar>
              <w:top w:w="0" w:type="dxa"/>
              <w:left w:w="0" w:type="dxa"/>
              <w:bottom w:w="0" w:type="dxa"/>
              <w:right w:w="0" w:type="dxa"/>
            </w:tcMar>
            <w:vAlign w:val="center"/>
          </w:tcPr>
          <w:p>
            <w:pPr>
              <w:pStyle w:val="TableContents"/>
              <w:bidi w:val="0"/>
              <w:spacing w:lineRule="auto" w:line="268" w:before="0" w:after="283"/>
              <w:jc w:val="center"/>
              <w:rPr>
                <w:rFonts w:ascii="Lato;sans-serif" w:hAnsi="Lato;sans-serif"/>
                <w:b w:val="false"/>
                <w:color w:val="000000"/>
                <w:sz w:val="16"/>
              </w:rPr>
            </w:pPr>
            <w:r>
              <w:rPr>
                <w:rFonts w:ascii="Lato;sans-serif" w:hAnsi="Lato;sans-serif"/>
                <w:b w:val="false"/>
                <w:color w:val="000000"/>
                <w:sz w:val="16"/>
              </w:rPr>
              <w:t>1,972,710</w:t>
            </w:r>
          </w:p>
        </w:tc>
      </w:tr>
    </w:tbl>
    <w:p>
      <w:pPr>
        <w:pStyle w:val="TextBody"/>
        <w:bidi w:val="0"/>
        <w:spacing w:lineRule="auto" w:line="288" w:before="0" w:after="0"/>
        <w:ind w:left="0" w:right="0" w:hanging="360"/>
        <w:jc w:val="both"/>
        <w:rPr>
          <w:rFonts w:ascii="Lato;sans-serif" w:hAnsi="Lato;sans-serif"/>
          <w:b w:val="false"/>
          <w:color w:val="000000"/>
          <w:sz w:val="16"/>
        </w:rPr>
      </w:pPr>
      <w:r>
        <w:rPr>
          <w:rFonts w:ascii="Lato;sans-serif" w:hAnsi="Lato;sans-serif"/>
          <w:b w:val="false"/>
          <w:color w:val="000000"/>
          <w:sz w:val="16"/>
        </w:rPr>
        <w:t>(3)The dollar amounts reported in this column represent the average of the total amounts reported for our other named executive officers, for each corresponding year in the “Total” column of the “Summary Compensation Table” in of the Proxy Statement. The individuals comprising the Non-PEO NEOs for each presented year are listed below:</w:t>
      </w:r>
    </w:p>
    <w:p>
      <w:pPr>
        <w:pStyle w:val="TextBody"/>
        <w:bidi w:val="0"/>
        <w:spacing w:lineRule="auto" w:line="288" w:before="0" w:after="0"/>
        <w:ind w:left="0" w:right="0" w:firstLine="720"/>
        <w:jc w:val="both"/>
        <w:rPr>
          <w:rFonts w:ascii="Lato;sans-serif" w:hAnsi="Lato;sans-serif"/>
          <w:b w:val="false"/>
          <w:color w:val="000000"/>
          <w:sz w:val="16"/>
        </w:rPr>
      </w:pPr>
      <w:r>
        <w:rPr>
          <w:rFonts w:ascii="Lato;sans-serif" w:hAnsi="Lato;sans-serif"/>
          <w:b w:val="false"/>
          <w:color w:val="000000"/>
          <w:sz w:val="16"/>
        </w:rPr>
        <w:t>2025 - Messrs. O’Brien, Roth, and Ms. McGrane</w:t>
      </w:r>
    </w:p>
    <w:p>
      <w:pPr>
        <w:pStyle w:val="TextBody"/>
        <w:bidi w:val="0"/>
        <w:spacing w:lineRule="auto" w:line="288" w:before="0" w:after="0"/>
        <w:jc w:val="left"/>
        <w:rPr>
          <w:rFonts w:ascii="Lato;sans-serif" w:hAnsi="Lato;sans-serif"/>
          <w:b w:val="false"/>
          <w:color w:val="000000"/>
          <w:sz w:val="16"/>
        </w:rPr>
      </w:pPr>
      <w:r>
        <w:rPr>
          <w:rFonts w:ascii="Lato;sans-serif" w:hAnsi="Lato;sans-serif"/>
          <w:b w:val="false"/>
          <w:color w:val="000000"/>
          <w:sz w:val="16"/>
        </w:rPr>
        <w:t>2024 - Messrs. O’Brien, our former Chief Financial Officer, Hyzer, and our former Chief Technology Officer, Dasdan</w:t>
      </w:r>
    </w:p>
    <w:p>
      <w:pPr>
        <w:pStyle w:val="TextBody"/>
        <w:bidi w:val="0"/>
        <w:spacing w:lineRule="auto" w:line="268" w:before="0" w:after="0"/>
        <w:ind w:left="0" w:right="0" w:firstLine="720"/>
        <w:jc w:val="left"/>
        <w:rPr>
          <w:rFonts w:ascii="Lato;sans-serif" w:hAnsi="Lato;sans-serif"/>
          <w:b w:val="false"/>
          <w:color w:val="000000"/>
          <w:sz w:val="16"/>
        </w:rPr>
      </w:pPr>
      <w:r>
        <w:rPr>
          <w:rFonts w:ascii="Lato;sans-serif" w:hAnsi="Lato;sans-serif"/>
          <w:b w:val="false"/>
          <w:color w:val="000000"/>
          <w:sz w:val="16"/>
        </w:rPr>
        <w:t>2023 - Messrs. Hyzer, Dasdan and our former President and Chief Operating Officer Chris Hays</w:t>
      </w:r>
    </w:p>
    <w:p>
      <w:pPr>
        <w:pStyle w:val="TextBody"/>
        <w:bidi w:val="0"/>
        <w:spacing w:lineRule="auto" w:line="288" w:before="0" w:after="0"/>
        <w:ind w:left="0" w:right="0" w:firstLine="720"/>
        <w:jc w:val="left"/>
        <w:rPr>
          <w:rFonts w:ascii="Lato;sans-serif" w:hAnsi="Lato;sans-serif"/>
          <w:b w:val="false"/>
          <w:color w:val="000000"/>
          <w:sz w:val="16"/>
        </w:rPr>
      </w:pPr>
      <w:r>
        <w:rPr>
          <w:rFonts w:ascii="Lato;sans-serif" w:hAnsi="Lato;sans-serif"/>
          <w:b w:val="false"/>
          <w:color w:val="000000"/>
          <w:sz w:val="16"/>
        </w:rPr>
        <w:t>2022 and 2021 – Messrs. Hyzer and Hays and our former Chief Technology Officer, Nir Keren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3">
                <wp:simplePos x="0" y="0"/>
                <wp:positionH relativeFrom="character">
                  <wp:align>left</wp:align>
                </wp:positionH>
                <wp:positionV relativeFrom="line">
                  <wp:posOffset>635</wp:posOffset>
                </wp:positionV>
                <wp:extent cx="6480175" cy="352425"/>
                <wp:effectExtent l="0" t="0" r="0" b="0"/>
                <wp:wrapNone/>
                <wp:docPr id="99" name="Frame83"/>
                <a:graphic xmlns:a="http://schemas.openxmlformats.org/drawingml/2006/main">
                  <a:graphicData uri="http://schemas.microsoft.com/office/word/2010/wordprocessingShape">
                    <wps:wsp>
                      <wps:cNvSpPr txBox="1"/>
                      <wps:spPr>
                        <a:xfrm>
                          <a:off x="0" y="0"/>
                          <a:ext cx="6480175" cy="352425"/>
                        </a:xfrm>
                        <a:prstGeom prst="rect"/>
                        <a:solidFill>
                          <a:srgbClr val="FFFFFF"/>
                        </a:solidFill>
                      </wps:spPr>
                      <wps:txbx>
                        <w:txbxContent>
                          <w:p>
                            <w:pPr>
                              <w:pStyle w:val="TextBody"/>
                              <w:bidi w:val="0"/>
                              <w:spacing w:lineRule="auto" w:line="288" w:before="0" w:after="0"/>
                              <w:jc w:val="center"/>
                              <w:rPr>
                                <w:rFonts w:ascii="Lato;sans-serif" w:hAnsi="Lato;sans-serif"/>
                                <w:b w:val="false"/>
                                <w:color w:val="000000"/>
                                <w:sz w:val="20"/>
                              </w:rPr>
                            </w:pPr>
                            <w:r>
                              <w:rPr>
                                <w:rFonts w:ascii="Lato;sans-serif" w:hAnsi="Lato;sans-serif"/>
                                <w:b w:val="false"/>
                                <w:color w:val="000000"/>
                                <w:sz w:val="20"/>
                              </w:rPr>
                              <w:t>77</w:t>
                            </w:r>
                          </w:p>
                          <w:p>
                            <w:pPr>
                              <w:pStyle w:val="TextBody"/>
                              <w:bidi w:val="0"/>
                              <w:spacing w:lineRule="auto" w:line="288" w:before="0" w:after="0"/>
                              <w:jc w:val="left"/>
                              <w:rPr>
                                <w:color w:val="000000"/>
                              </w:rPr>
                            </w:pPr>
                            <w:r>
                              <w:rPr>
                                <w:color w:val="000000"/>
                              </w:rPr>
                              <w:t>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Lato;sans-serif" w:hAnsi="Lato;sans-serif"/>
                          <w:b w:val="false"/>
                          <w:color w:val="000000"/>
                          <w:sz w:val="20"/>
                        </w:rPr>
                      </w:pPr>
                      <w:r>
                        <w:rPr>
                          <w:rFonts w:ascii="Lato;sans-serif" w:hAnsi="Lato;sans-serif"/>
                          <w:b w:val="false"/>
                          <w:color w:val="000000"/>
                          <w:sz w:val="20"/>
                        </w:rPr>
                        <w:t>77</w:t>
                      </w:r>
                    </w:p>
                    <w:p>
                      <w:pPr>
                        <w:pStyle w:val="TextBody"/>
                        <w:bidi w:val="0"/>
                        <w:spacing w:lineRule="auto" w:line="288" w:before="0" w:after="0"/>
                        <w:jc w:val="left"/>
                        <w:rPr>
                          <w:color w:val="000000"/>
                        </w:rPr>
                      </w:pPr>
                      <w:r>
                        <w:rPr>
                          <w:color w:val="000000"/>
                        </w:rPr>
                        <w:t>        </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ind w:left="0" w:right="0" w:hanging="360"/>
        <w:jc w:val="both"/>
        <w:rPr>
          <w:rFonts w:ascii="Lato;sans-serif" w:hAnsi="Lato;sans-serif"/>
          <w:b w:val="false"/>
          <w:color w:val="000000"/>
          <w:sz w:val="16"/>
        </w:rPr>
      </w:pPr>
      <w:r>
        <w:rPr>
          <w:rFonts w:ascii="Lato;sans-serif" w:hAnsi="Lato;sans-serif"/>
          <w:b w:val="false"/>
          <w:color w:val="000000"/>
          <w:sz w:val="16"/>
        </w:rPr>
        <w:t>(4)In accordance with the requirements of Item 402(v)(2)(iii) of Regulation S-K, when calculating the “average compensation actually paid” for the Non-PEO NEOs the following adjustments were made to the amounts reported in the Summary Compensation Table. Importantly, the dollar amounts do not reflect the actual average amount of compensation earned by, or paid to, our other named executive officers as a group during the applicable year. Note the “Year over Year change in Fair Value of Outstanding and Unvested Equity Awards” for 2020, 2021 and 2022 and “Year over Year Change in Fair Value of Equity Awards Granted in the Prior Years that Vested in the Year” for 2021 and 2022 was incorrectly calculated in the corresponding table of adjustments in Company’s proxy statement for the fiscal year ended December 31, 2022 and has been corrected in the table below.</w:t>
      </w:r>
    </w:p>
    <w:tbl>
      <w:tblPr>
        <w:tblW w:w="10205" w:type="dxa"/>
        <w:jc w:val="left"/>
        <w:tblInd w:w="0" w:type="dxa"/>
        <w:tblLayout w:type="fixed"/>
        <w:tblCellMar>
          <w:top w:w="28" w:type="dxa"/>
          <w:left w:w="28" w:type="dxa"/>
          <w:bottom w:w="28" w:type="dxa"/>
          <w:right w:w="28" w:type="dxa"/>
        </w:tblCellMar>
      </w:tblPr>
      <w:tblGrid>
        <w:gridCol w:w="1851"/>
        <w:gridCol w:w="1551"/>
        <w:gridCol w:w="1559"/>
        <w:gridCol w:w="348"/>
        <w:gridCol w:w="348"/>
        <w:gridCol w:w="344"/>
        <w:gridCol w:w="371"/>
        <w:gridCol w:w="371"/>
        <w:gridCol w:w="375"/>
        <w:gridCol w:w="336"/>
        <w:gridCol w:w="336"/>
        <w:gridCol w:w="340"/>
        <w:gridCol w:w="336"/>
        <w:gridCol w:w="336"/>
        <w:gridCol w:w="340"/>
        <w:gridCol w:w="308"/>
        <w:gridCol w:w="308"/>
        <w:gridCol w:w="447"/>
      </w:tblGrid>
      <w:tr>
        <w:trPr/>
        <w:tc>
          <w:tcPr>
            <w:tcW w:w="1851" w:type="dxa"/>
            <w:tcBorders/>
            <w:vAlign w:val="center"/>
          </w:tcPr>
          <w:p>
            <w:pPr>
              <w:pStyle w:val="TableContents"/>
              <w:bidi w:val="0"/>
              <w:spacing w:before="0" w:after="283"/>
              <w:jc w:val="left"/>
              <w:rPr>
                <w:sz w:val="4"/>
                <w:szCs w:val="4"/>
              </w:rPr>
            </w:pPr>
            <w:r>
              <w:rPr>
                <w:sz w:val="4"/>
                <w:szCs w:val="4"/>
              </w:rPr>
            </w:r>
          </w:p>
        </w:tc>
        <w:tc>
          <w:tcPr>
            <w:tcW w:w="1551" w:type="dxa"/>
            <w:tcBorders/>
            <w:vAlign w:val="center"/>
          </w:tcPr>
          <w:p>
            <w:pPr>
              <w:pStyle w:val="TableContents"/>
              <w:bidi w:val="0"/>
              <w:spacing w:before="0" w:after="283"/>
              <w:jc w:val="left"/>
              <w:rPr>
                <w:sz w:val="4"/>
                <w:szCs w:val="4"/>
              </w:rPr>
            </w:pPr>
            <w:r>
              <w:rPr>
                <w:sz w:val="4"/>
                <w:szCs w:val="4"/>
              </w:rPr>
            </w:r>
          </w:p>
        </w:tc>
        <w:tc>
          <w:tcPr>
            <w:tcW w:w="1559"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447" w:type="dxa"/>
            <w:tcBorders/>
            <w:vAlign w:val="center"/>
          </w:tcPr>
          <w:p>
            <w:pPr>
              <w:pStyle w:val="TableContents"/>
              <w:bidi w:val="0"/>
              <w:spacing w:before="0" w:after="283"/>
              <w:jc w:val="left"/>
              <w:rPr>
                <w:sz w:val="4"/>
                <w:szCs w:val="4"/>
              </w:rPr>
            </w:pPr>
            <w:r>
              <w:rPr>
                <w:sz w:val="4"/>
                <w:szCs w:val="4"/>
              </w:rPr>
            </w:r>
          </w:p>
        </w:tc>
      </w:tr>
      <w:tr>
        <w:trPr/>
        <w:tc>
          <w:tcPr>
            <w:tcW w:w="4961" w:type="dxa"/>
            <w:gridSpan w:val="3"/>
            <w:tcBorders/>
            <w:shd w:fill="F44238" w:val="clear"/>
            <w:tcMar>
              <w:top w:w="0" w:type="dxa"/>
              <w:left w:w="0" w:type="dxa"/>
              <w:bottom w:w="0" w:type="dxa"/>
              <w:right w:w="0" w:type="dxa"/>
            </w:tcMar>
            <w:vAlign w:val="center"/>
          </w:tcPr>
          <w:p>
            <w:pPr>
              <w:pStyle w:val="TableContents"/>
              <w:bidi w:val="0"/>
              <w:spacing w:lineRule="auto" w:line="268" w:before="0" w:after="283"/>
              <w:jc w:val="center"/>
              <w:rPr>
                <w:rFonts w:ascii="Lato;sans-serif" w:hAnsi="Lato;sans-serif"/>
                <w:b/>
                <w:color w:val="FFFFFF"/>
                <w:sz w:val="16"/>
              </w:rPr>
            </w:pPr>
            <w:r>
              <w:rPr>
                <w:rFonts w:ascii="Lato;sans-serif" w:hAnsi="Lato;sans-serif"/>
                <w:b/>
                <w:color w:val="FFFFFF"/>
                <w:sz w:val="16"/>
              </w:rPr>
              <w:t>Description</w:t>
            </w:r>
          </w:p>
        </w:tc>
        <w:tc>
          <w:tcPr>
            <w:tcW w:w="1040" w:type="dxa"/>
            <w:gridSpan w:val="3"/>
            <w:tcBorders/>
            <w:shd w:fill="F44238" w:val="clear"/>
            <w:tcMar>
              <w:top w:w="0" w:type="dxa"/>
              <w:left w:w="0" w:type="dxa"/>
              <w:bottom w:w="0" w:type="dxa"/>
              <w:right w:w="0" w:type="dxa"/>
            </w:tcMar>
            <w:vAlign w:val="center"/>
          </w:tcPr>
          <w:p>
            <w:pPr>
              <w:pStyle w:val="TableContents"/>
              <w:bidi w:val="0"/>
              <w:spacing w:lineRule="auto" w:line="268" w:before="0" w:after="0"/>
              <w:jc w:val="center"/>
              <w:rPr>
                <w:rFonts w:ascii="Lato;sans-serif" w:hAnsi="Lato;sans-serif"/>
                <w:b/>
                <w:color w:val="FFFFFF"/>
                <w:sz w:val="16"/>
              </w:rPr>
            </w:pPr>
            <w:r>
              <w:rPr>
                <w:rFonts w:ascii="Lato;sans-serif" w:hAnsi="Lato;sans-serif"/>
                <w:b/>
                <w:color w:val="FFFFFF"/>
                <w:sz w:val="16"/>
              </w:rPr>
              <w:t>2021</w:t>
            </w:r>
          </w:p>
          <w:p>
            <w:pPr>
              <w:pStyle w:val="TableContents"/>
              <w:bidi w:val="0"/>
              <w:spacing w:lineRule="auto" w:line="268" w:before="0" w:after="0"/>
              <w:jc w:val="center"/>
              <w:rPr>
                <w:rFonts w:ascii="Lato;sans-serif" w:hAnsi="Lato;sans-serif"/>
                <w:b/>
                <w:color w:val="FFFFFF"/>
                <w:sz w:val="16"/>
              </w:rPr>
            </w:pPr>
            <w:r>
              <w:rPr>
                <w:rFonts w:ascii="Lato;sans-serif" w:hAnsi="Lato;sans-serif"/>
                <w:b/>
                <w:color w:val="FFFFFF"/>
                <w:sz w:val="16"/>
              </w:rPr>
              <w:t>($)</w:t>
            </w:r>
          </w:p>
        </w:tc>
        <w:tc>
          <w:tcPr>
            <w:tcW w:w="1117" w:type="dxa"/>
            <w:gridSpan w:val="3"/>
            <w:tcBorders/>
            <w:shd w:fill="F44238" w:val="clear"/>
            <w:tcMar>
              <w:top w:w="0" w:type="dxa"/>
              <w:left w:w="0" w:type="dxa"/>
              <w:bottom w:w="0" w:type="dxa"/>
              <w:right w:w="0" w:type="dxa"/>
            </w:tcMar>
            <w:vAlign w:val="center"/>
          </w:tcPr>
          <w:p>
            <w:pPr>
              <w:pStyle w:val="TableContents"/>
              <w:bidi w:val="0"/>
              <w:spacing w:lineRule="auto" w:line="268" w:before="0" w:after="0"/>
              <w:jc w:val="center"/>
              <w:rPr>
                <w:rFonts w:ascii="Lato;sans-serif" w:hAnsi="Lato;sans-serif"/>
                <w:b/>
                <w:color w:val="FFFFFF"/>
                <w:sz w:val="16"/>
              </w:rPr>
            </w:pPr>
            <w:r>
              <w:rPr>
                <w:rFonts w:ascii="Lato;sans-serif" w:hAnsi="Lato;sans-serif"/>
                <w:b/>
                <w:color w:val="FFFFFF"/>
                <w:sz w:val="16"/>
              </w:rPr>
              <w:t>2022</w:t>
            </w:r>
          </w:p>
          <w:p>
            <w:pPr>
              <w:pStyle w:val="TableContents"/>
              <w:bidi w:val="0"/>
              <w:spacing w:lineRule="auto" w:line="268" w:before="0" w:after="0"/>
              <w:jc w:val="center"/>
              <w:rPr>
                <w:rFonts w:ascii="Lato;sans-serif" w:hAnsi="Lato;sans-serif"/>
                <w:b/>
                <w:color w:val="FFFFFF"/>
                <w:sz w:val="16"/>
              </w:rPr>
            </w:pPr>
            <w:r>
              <w:rPr>
                <w:rFonts w:ascii="Lato;sans-serif" w:hAnsi="Lato;sans-serif"/>
                <w:b/>
                <w:color w:val="FFFFFF"/>
                <w:sz w:val="16"/>
              </w:rPr>
              <w:t>($)</w:t>
            </w:r>
          </w:p>
        </w:tc>
        <w:tc>
          <w:tcPr>
            <w:tcW w:w="1012" w:type="dxa"/>
            <w:gridSpan w:val="3"/>
            <w:tcBorders/>
            <w:shd w:fill="F44238" w:val="clear"/>
            <w:tcMar>
              <w:top w:w="0" w:type="dxa"/>
              <w:left w:w="0" w:type="dxa"/>
              <w:bottom w:w="0" w:type="dxa"/>
              <w:right w:w="0" w:type="dxa"/>
            </w:tcMar>
            <w:vAlign w:val="center"/>
          </w:tcPr>
          <w:p>
            <w:pPr>
              <w:pStyle w:val="TableContents"/>
              <w:bidi w:val="0"/>
              <w:spacing w:lineRule="auto" w:line="268" w:before="0" w:after="0"/>
              <w:jc w:val="center"/>
              <w:rPr>
                <w:rFonts w:ascii="Lato;sans-serif" w:hAnsi="Lato;sans-serif"/>
                <w:b/>
                <w:color w:val="FFFFFF"/>
                <w:sz w:val="16"/>
              </w:rPr>
            </w:pPr>
            <w:r>
              <w:rPr>
                <w:rFonts w:ascii="Lato;sans-serif" w:hAnsi="Lato;sans-serif"/>
                <w:b/>
                <w:color w:val="FFFFFF"/>
                <w:sz w:val="16"/>
              </w:rPr>
              <w:t>2023</w:t>
            </w:r>
          </w:p>
          <w:p>
            <w:pPr>
              <w:pStyle w:val="TableContents"/>
              <w:bidi w:val="0"/>
              <w:spacing w:lineRule="auto" w:line="268" w:before="0" w:after="0"/>
              <w:jc w:val="center"/>
              <w:rPr>
                <w:rFonts w:ascii="Lato;sans-serif" w:hAnsi="Lato;sans-serif"/>
                <w:b/>
                <w:color w:val="FFFFFF"/>
                <w:sz w:val="16"/>
              </w:rPr>
            </w:pPr>
            <w:r>
              <w:rPr>
                <w:rFonts w:ascii="Lato;sans-serif" w:hAnsi="Lato;sans-serif"/>
                <w:b/>
                <w:color w:val="FFFFFF"/>
                <w:sz w:val="16"/>
              </w:rPr>
              <w:t>($)</w:t>
            </w:r>
          </w:p>
        </w:tc>
        <w:tc>
          <w:tcPr>
            <w:tcW w:w="1012" w:type="dxa"/>
            <w:gridSpan w:val="3"/>
            <w:tcBorders/>
            <w:shd w:fill="F44238" w:val="clear"/>
            <w:tcMar>
              <w:top w:w="0" w:type="dxa"/>
              <w:left w:w="0" w:type="dxa"/>
              <w:bottom w:w="0" w:type="dxa"/>
              <w:right w:w="0" w:type="dxa"/>
            </w:tcMar>
            <w:vAlign w:val="center"/>
          </w:tcPr>
          <w:p>
            <w:pPr>
              <w:pStyle w:val="TableContents"/>
              <w:bidi w:val="0"/>
              <w:spacing w:lineRule="auto" w:line="268" w:before="0" w:after="0"/>
              <w:jc w:val="center"/>
              <w:rPr>
                <w:rFonts w:ascii="Lato;sans-serif" w:hAnsi="Lato;sans-serif"/>
                <w:b/>
                <w:color w:val="FFFFFF"/>
                <w:sz w:val="16"/>
              </w:rPr>
            </w:pPr>
            <w:r>
              <w:rPr>
                <w:rFonts w:ascii="Lato;sans-serif" w:hAnsi="Lato;sans-serif"/>
                <w:b/>
                <w:color w:val="FFFFFF"/>
                <w:sz w:val="16"/>
              </w:rPr>
              <w:t>2024</w:t>
            </w:r>
          </w:p>
          <w:p>
            <w:pPr>
              <w:pStyle w:val="TableContents"/>
              <w:bidi w:val="0"/>
              <w:spacing w:lineRule="auto" w:line="268" w:before="0" w:after="0"/>
              <w:jc w:val="center"/>
              <w:rPr>
                <w:rFonts w:ascii="Lato;sans-serif" w:hAnsi="Lato;sans-serif"/>
                <w:b/>
                <w:color w:val="FFFFFF"/>
                <w:sz w:val="16"/>
              </w:rPr>
            </w:pPr>
            <w:r>
              <w:rPr>
                <w:rFonts w:ascii="Lato;sans-serif" w:hAnsi="Lato;sans-serif"/>
                <w:b/>
                <w:color w:val="FFFFFF"/>
                <w:sz w:val="16"/>
              </w:rPr>
              <w:t>($)</w:t>
            </w:r>
          </w:p>
        </w:tc>
        <w:tc>
          <w:tcPr>
            <w:tcW w:w="1063" w:type="dxa"/>
            <w:gridSpan w:val="3"/>
            <w:tcBorders/>
            <w:shd w:fill="F44238" w:val="clear"/>
            <w:tcMar>
              <w:top w:w="0" w:type="dxa"/>
              <w:left w:w="0" w:type="dxa"/>
              <w:bottom w:w="0" w:type="dxa"/>
              <w:right w:w="0" w:type="dxa"/>
            </w:tcMar>
            <w:vAlign w:val="center"/>
          </w:tcPr>
          <w:p>
            <w:pPr>
              <w:pStyle w:val="TableContents"/>
              <w:bidi w:val="0"/>
              <w:spacing w:lineRule="auto" w:line="268" w:before="0" w:after="0"/>
              <w:jc w:val="center"/>
              <w:rPr>
                <w:rFonts w:ascii="Lato;sans-serif" w:hAnsi="Lato;sans-serif"/>
                <w:b/>
                <w:color w:val="FFFFFF"/>
                <w:sz w:val="16"/>
              </w:rPr>
            </w:pPr>
            <w:r>
              <w:rPr>
                <w:rFonts w:ascii="Lato;sans-serif" w:hAnsi="Lato;sans-serif"/>
                <w:b/>
                <w:color w:val="FFFFFF"/>
                <w:sz w:val="16"/>
              </w:rPr>
              <w:t>2025</w:t>
            </w:r>
          </w:p>
          <w:p>
            <w:pPr>
              <w:pStyle w:val="TableContents"/>
              <w:bidi w:val="0"/>
              <w:spacing w:lineRule="auto" w:line="268" w:before="0" w:after="0"/>
              <w:jc w:val="center"/>
              <w:rPr>
                <w:rFonts w:ascii="Lato;sans-serif" w:hAnsi="Lato;sans-serif"/>
                <w:b/>
                <w:color w:val="FFFFFF"/>
                <w:sz w:val="16"/>
              </w:rPr>
            </w:pPr>
            <w:r>
              <w:rPr>
                <w:rFonts w:ascii="Lato;sans-serif" w:hAnsi="Lato;sans-serif"/>
                <w:b/>
                <w:color w:val="FFFFFF"/>
                <w:sz w:val="16"/>
              </w:rPr>
              <w:t>($)</w:t>
            </w:r>
          </w:p>
        </w:tc>
      </w:tr>
      <w:tr>
        <w:trPr/>
        <w:tc>
          <w:tcPr>
            <w:tcW w:w="496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68" w:before="0" w:after="283"/>
              <w:jc w:val="left"/>
              <w:rPr>
                <w:rFonts w:ascii="Lato;sans-serif" w:hAnsi="Lato;sans-serif"/>
                <w:b w:val="false"/>
                <w:color w:val="000000"/>
                <w:sz w:val="16"/>
              </w:rPr>
            </w:pPr>
            <w:r>
              <w:rPr>
                <w:rFonts w:ascii="Lato;sans-serif" w:hAnsi="Lato;sans-serif"/>
                <w:b w:val="false"/>
                <w:color w:val="000000"/>
                <w:sz w:val="16"/>
              </w:rPr>
              <w:t>Change in Pension Value Deduction</w:t>
            </w:r>
          </w:p>
        </w:tc>
        <w:tc>
          <w:tcPr>
            <w:tcW w:w="104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68" w:before="0" w:after="283"/>
              <w:jc w:val="center"/>
              <w:rPr>
                <w:color w:val="000000"/>
              </w:rPr>
            </w:pPr>
            <w:r>
              <w:rPr>
                <w:color w:val="000000"/>
              </w:rPr>
              <w:t>—</w:t>
            </w:r>
          </w:p>
        </w:tc>
        <w:tc>
          <w:tcPr>
            <w:tcW w:w="1117"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68" w:before="0" w:after="283"/>
              <w:jc w:val="center"/>
              <w:rPr>
                <w:color w:val="000000"/>
              </w:rPr>
            </w:pPr>
            <w:r>
              <w:rPr>
                <w:color w:val="000000"/>
              </w:rPr>
              <w:t>—</w:t>
            </w:r>
          </w:p>
        </w:tc>
        <w:tc>
          <w:tcPr>
            <w:tcW w:w="1012"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68" w:before="0" w:after="283"/>
              <w:jc w:val="center"/>
              <w:rPr>
                <w:color w:val="000000"/>
              </w:rPr>
            </w:pPr>
            <w:r>
              <w:rPr>
                <w:color w:val="000000"/>
              </w:rPr>
              <w:t>—</w:t>
            </w:r>
          </w:p>
        </w:tc>
        <w:tc>
          <w:tcPr>
            <w:tcW w:w="1012"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68" w:before="0" w:after="283"/>
              <w:jc w:val="center"/>
              <w:rPr>
                <w:color w:val="000000"/>
              </w:rPr>
            </w:pPr>
            <w:r>
              <w:rPr>
                <w:color w:val="000000"/>
              </w:rPr>
              <w:t>—</w:t>
            </w:r>
          </w:p>
        </w:tc>
        <w:tc>
          <w:tcPr>
            <w:tcW w:w="1063"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68" w:before="0" w:after="283"/>
              <w:jc w:val="center"/>
              <w:rPr>
                <w:color w:val="000000"/>
              </w:rPr>
            </w:pPr>
            <w:r>
              <w:rPr>
                <w:color w:val="000000"/>
              </w:rPr>
              <w:t>—</w:t>
            </w:r>
          </w:p>
        </w:tc>
      </w:tr>
      <w:tr>
        <w:trPr/>
        <w:tc>
          <w:tcPr>
            <w:tcW w:w="4961" w:type="dxa"/>
            <w:gridSpan w:val="3"/>
            <w:tcBorders/>
            <w:shd w:fill="DBDBDB" w:val="clear"/>
            <w:tcMar>
              <w:top w:w="0" w:type="dxa"/>
              <w:left w:w="0" w:type="dxa"/>
              <w:bottom w:w="0" w:type="dxa"/>
              <w:right w:w="0" w:type="dxa"/>
            </w:tcMar>
            <w:vAlign w:val="center"/>
          </w:tcPr>
          <w:p>
            <w:pPr>
              <w:pStyle w:val="TableContents"/>
              <w:bidi w:val="0"/>
              <w:spacing w:lineRule="auto" w:line="268" w:before="0" w:after="283"/>
              <w:jc w:val="left"/>
              <w:rPr>
                <w:rFonts w:ascii="Lato;sans-serif" w:hAnsi="Lato;sans-serif"/>
                <w:b w:val="false"/>
                <w:color w:val="000000"/>
                <w:sz w:val="16"/>
              </w:rPr>
            </w:pPr>
            <w:r>
              <w:rPr>
                <w:rFonts w:ascii="Lato;sans-serif" w:hAnsi="Lato;sans-serif"/>
                <w:b w:val="false"/>
                <w:color w:val="000000"/>
                <w:sz w:val="16"/>
              </w:rPr>
              <w:t>Pension Service Cost Addition</w:t>
            </w:r>
          </w:p>
        </w:tc>
        <w:tc>
          <w:tcPr>
            <w:tcW w:w="1040" w:type="dxa"/>
            <w:gridSpan w:val="3"/>
            <w:tcBorders/>
            <w:shd w:fill="DBDBDB" w:val="clear"/>
            <w:tcMar>
              <w:top w:w="0" w:type="dxa"/>
              <w:left w:w="0" w:type="dxa"/>
              <w:bottom w:w="0" w:type="dxa"/>
              <w:right w:w="0" w:type="dxa"/>
            </w:tcMar>
            <w:vAlign w:val="center"/>
          </w:tcPr>
          <w:p>
            <w:pPr>
              <w:pStyle w:val="TableContents"/>
              <w:bidi w:val="0"/>
              <w:spacing w:lineRule="auto" w:line="268" w:before="0" w:after="283"/>
              <w:jc w:val="center"/>
              <w:rPr>
                <w:color w:val="000000"/>
              </w:rPr>
            </w:pPr>
            <w:r>
              <w:rPr>
                <w:color w:val="000000"/>
              </w:rPr>
              <w:t>—</w:t>
            </w:r>
          </w:p>
        </w:tc>
        <w:tc>
          <w:tcPr>
            <w:tcW w:w="1117" w:type="dxa"/>
            <w:gridSpan w:val="3"/>
            <w:tcBorders/>
            <w:shd w:fill="DBDBDB" w:val="clear"/>
            <w:tcMar>
              <w:top w:w="0" w:type="dxa"/>
              <w:left w:w="0" w:type="dxa"/>
              <w:bottom w:w="0" w:type="dxa"/>
              <w:right w:w="0" w:type="dxa"/>
            </w:tcMar>
            <w:vAlign w:val="center"/>
          </w:tcPr>
          <w:p>
            <w:pPr>
              <w:pStyle w:val="TableContents"/>
              <w:bidi w:val="0"/>
              <w:spacing w:lineRule="auto" w:line="268" w:before="0" w:after="283"/>
              <w:jc w:val="center"/>
              <w:rPr>
                <w:color w:val="000000"/>
              </w:rPr>
            </w:pPr>
            <w:r>
              <w:rPr>
                <w:color w:val="000000"/>
              </w:rPr>
              <w:t>—</w:t>
            </w:r>
          </w:p>
        </w:tc>
        <w:tc>
          <w:tcPr>
            <w:tcW w:w="1012" w:type="dxa"/>
            <w:gridSpan w:val="3"/>
            <w:tcBorders/>
            <w:shd w:fill="DBDBDB" w:val="clear"/>
            <w:tcMar>
              <w:top w:w="0" w:type="dxa"/>
              <w:left w:w="0" w:type="dxa"/>
              <w:bottom w:w="0" w:type="dxa"/>
              <w:right w:w="0" w:type="dxa"/>
            </w:tcMar>
            <w:vAlign w:val="center"/>
          </w:tcPr>
          <w:p>
            <w:pPr>
              <w:pStyle w:val="TableContents"/>
              <w:bidi w:val="0"/>
              <w:spacing w:lineRule="auto" w:line="268" w:before="0" w:after="283"/>
              <w:jc w:val="center"/>
              <w:rPr>
                <w:color w:val="000000"/>
              </w:rPr>
            </w:pPr>
            <w:r>
              <w:rPr>
                <w:color w:val="000000"/>
              </w:rPr>
              <w:t>—</w:t>
            </w:r>
          </w:p>
        </w:tc>
        <w:tc>
          <w:tcPr>
            <w:tcW w:w="1012" w:type="dxa"/>
            <w:gridSpan w:val="3"/>
            <w:tcBorders/>
            <w:shd w:fill="DBDBDB" w:val="clear"/>
            <w:tcMar>
              <w:top w:w="0" w:type="dxa"/>
              <w:left w:w="0" w:type="dxa"/>
              <w:bottom w:w="0" w:type="dxa"/>
              <w:right w:w="0" w:type="dxa"/>
            </w:tcMar>
            <w:vAlign w:val="center"/>
          </w:tcPr>
          <w:p>
            <w:pPr>
              <w:pStyle w:val="TableContents"/>
              <w:bidi w:val="0"/>
              <w:spacing w:lineRule="auto" w:line="268" w:before="0" w:after="283"/>
              <w:jc w:val="center"/>
              <w:rPr>
                <w:color w:val="000000"/>
              </w:rPr>
            </w:pPr>
            <w:r>
              <w:rPr>
                <w:color w:val="000000"/>
              </w:rPr>
              <w:t>—</w:t>
            </w:r>
          </w:p>
        </w:tc>
        <w:tc>
          <w:tcPr>
            <w:tcW w:w="1063" w:type="dxa"/>
            <w:gridSpan w:val="3"/>
            <w:tcBorders/>
            <w:shd w:fill="DBDBDB" w:val="clear"/>
            <w:tcMar>
              <w:top w:w="0" w:type="dxa"/>
              <w:left w:w="0" w:type="dxa"/>
              <w:bottom w:w="0" w:type="dxa"/>
              <w:right w:w="0" w:type="dxa"/>
            </w:tcMar>
            <w:vAlign w:val="center"/>
          </w:tcPr>
          <w:p>
            <w:pPr>
              <w:pStyle w:val="TableContents"/>
              <w:bidi w:val="0"/>
              <w:spacing w:lineRule="auto" w:line="268" w:before="0" w:after="283"/>
              <w:jc w:val="center"/>
              <w:rPr>
                <w:color w:val="000000"/>
              </w:rPr>
            </w:pPr>
            <w:r>
              <w:rPr>
                <w:color w:val="000000"/>
              </w:rPr>
              <w:t>—</w:t>
            </w:r>
          </w:p>
        </w:tc>
      </w:tr>
      <w:tr>
        <w:trPr/>
        <w:tc>
          <w:tcPr>
            <w:tcW w:w="4961"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Lato;sans-serif" w:hAnsi="Lato;sans-serif"/>
                <w:b w:val="false"/>
                <w:color w:val="000000"/>
                <w:sz w:val="16"/>
              </w:rPr>
            </w:pPr>
            <w:r>
              <w:rPr>
                <w:rFonts w:ascii="Lato;sans-serif" w:hAnsi="Lato;sans-serif"/>
                <w:b w:val="false"/>
                <w:color w:val="000000"/>
                <w:sz w:val="16"/>
              </w:rPr>
              <w:t>Prior Pension Service Cost Addition</w:t>
            </w:r>
          </w:p>
        </w:tc>
        <w:tc>
          <w:tcPr>
            <w:tcW w:w="1040"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center"/>
              <w:rPr>
                <w:color w:val="000000"/>
              </w:rPr>
            </w:pPr>
            <w:r>
              <w:rPr>
                <w:color w:val="000000"/>
              </w:rPr>
              <w:t>—</w:t>
            </w:r>
          </w:p>
        </w:tc>
        <w:tc>
          <w:tcPr>
            <w:tcW w:w="1117"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center"/>
              <w:rPr>
                <w:color w:val="000000"/>
              </w:rPr>
            </w:pPr>
            <w:r>
              <w:rPr>
                <w:color w:val="000000"/>
              </w:rPr>
              <w:t>—</w:t>
            </w:r>
          </w:p>
        </w:tc>
        <w:tc>
          <w:tcPr>
            <w:tcW w:w="1012"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center"/>
              <w:rPr>
                <w:color w:val="000000"/>
              </w:rPr>
            </w:pPr>
            <w:r>
              <w:rPr>
                <w:color w:val="000000"/>
              </w:rPr>
              <w:t>—</w:t>
            </w:r>
          </w:p>
        </w:tc>
        <w:tc>
          <w:tcPr>
            <w:tcW w:w="1012"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center"/>
              <w:rPr>
                <w:color w:val="000000"/>
              </w:rPr>
            </w:pPr>
            <w:r>
              <w:rPr>
                <w:color w:val="000000"/>
              </w:rPr>
              <w:t>—</w:t>
            </w:r>
          </w:p>
        </w:tc>
        <w:tc>
          <w:tcPr>
            <w:tcW w:w="1063"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center"/>
              <w:rPr>
                <w:color w:val="000000"/>
              </w:rPr>
            </w:pPr>
            <w:r>
              <w:rPr>
                <w:color w:val="000000"/>
              </w:rPr>
              <w:t>—</w:t>
            </w:r>
          </w:p>
        </w:tc>
      </w:tr>
      <w:tr>
        <w:trPr/>
        <w:tc>
          <w:tcPr>
            <w:tcW w:w="4961" w:type="dxa"/>
            <w:gridSpan w:val="3"/>
            <w:tcBorders/>
            <w:shd w:fill="DBDBDB" w:val="clear"/>
            <w:tcMar>
              <w:top w:w="0" w:type="dxa"/>
              <w:left w:w="0" w:type="dxa"/>
              <w:bottom w:w="0" w:type="dxa"/>
              <w:right w:w="0" w:type="dxa"/>
            </w:tcMar>
            <w:vAlign w:val="center"/>
          </w:tcPr>
          <w:p>
            <w:pPr>
              <w:pStyle w:val="TableContents"/>
              <w:bidi w:val="0"/>
              <w:spacing w:lineRule="auto" w:line="268" w:before="0" w:after="283"/>
              <w:jc w:val="left"/>
              <w:rPr>
                <w:rFonts w:ascii="Lato;sans-serif" w:hAnsi="Lato;sans-serif"/>
                <w:b w:val="false"/>
                <w:color w:val="000000"/>
                <w:sz w:val="16"/>
              </w:rPr>
            </w:pPr>
            <w:r>
              <w:rPr>
                <w:rFonts w:ascii="Lato;sans-serif" w:hAnsi="Lato;sans-serif"/>
                <w:b w:val="false"/>
                <w:color w:val="000000"/>
                <w:sz w:val="16"/>
              </w:rPr>
              <w:t>Deductions from SCT “Stock Awards” Column Value</w:t>
            </w:r>
          </w:p>
        </w:tc>
        <w:tc>
          <w:tcPr>
            <w:tcW w:w="1040" w:type="dxa"/>
            <w:gridSpan w:val="3"/>
            <w:tcBorders/>
            <w:shd w:fill="DBDBDB" w:val="clear"/>
            <w:tcMar>
              <w:top w:w="0" w:type="dxa"/>
              <w:left w:w="0" w:type="dxa"/>
              <w:bottom w:w="0" w:type="dxa"/>
              <w:right w:w="0" w:type="dxa"/>
            </w:tcMar>
            <w:vAlign w:val="center"/>
          </w:tcPr>
          <w:p>
            <w:pPr>
              <w:pStyle w:val="TableContents"/>
              <w:bidi w:val="0"/>
              <w:spacing w:lineRule="auto" w:line="268" w:before="0" w:after="283"/>
              <w:jc w:val="center"/>
              <w:rPr>
                <w:rFonts w:ascii="Lato;sans-serif" w:hAnsi="Lato;sans-serif"/>
                <w:b w:val="false"/>
                <w:color w:val="000000"/>
                <w:sz w:val="16"/>
              </w:rPr>
            </w:pPr>
            <w:r>
              <w:rPr>
                <w:rFonts w:ascii="Lato;sans-serif" w:hAnsi="Lato;sans-serif"/>
                <w:b w:val="false"/>
                <w:color w:val="000000"/>
                <w:sz w:val="16"/>
              </w:rPr>
              <w:t>(8,233,367)</w:t>
            </w:r>
          </w:p>
        </w:tc>
        <w:tc>
          <w:tcPr>
            <w:tcW w:w="1117" w:type="dxa"/>
            <w:gridSpan w:val="3"/>
            <w:tcBorders/>
            <w:shd w:fill="DBDBDB" w:val="clear"/>
            <w:tcMar>
              <w:top w:w="0" w:type="dxa"/>
              <w:left w:w="0" w:type="dxa"/>
              <w:bottom w:w="0" w:type="dxa"/>
              <w:right w:w="0" w:type="dxa"/>
            </w:tcMar>
            <w:vAlign w:val="center"/>
          </w:tcPr>
          <w:p>
            <w:pPr>
              <w:pStyle w:val="TableContents"/>
              <w:bidi w:val="0"/>
              <w:spacing w:lineRule="auto" w:line="268" w:before="0" w:after="283"/>
              <w:jc w:val="center"/>
              <w:rPr>
                <w:rFonts w:ascii="Lato;sans-serif" w:hAnsi="Lato;sans-serif"/>
                <w:b w:val="false"/>
                <w:color w:val="000000"/>
                <w:sz w:val="16"/>
              </w:rPr>
            </w:pPr>
            <w:r>
              <w:rPr>
                <w:rFonts w:ascii="Lato;sans-serif" w:hAnsi="Lato;sans-serif"/>
                <w:b w:val="false"/>
                <w:color w:val="000000"/>
                <w:sz w:val="16"/>
              </w:rPr>
              <w:t>(13,316,703)</w:t>
            </w:r>
          </w:p>
        </w:tc>
        <w:tc>
          <w:tcPr>
            <w:tcW w:w="1012" w:type="dxa"/>
            <w:gridSpan w:val="3"/>
            <w:tcBorders/>
            <w:shd w:fill="DBDBDB" w:val="clear"/>
            <w:tcMar>
              <w:top w:w="0" w:type="dxa"/>
              <w:left w:w="0" w:type="dxa"/>
              <w:bottom w:w="0" w:type="dxa"/>
              <w:right w:w="0" w:type="dxa"/>
            </w:tcMar>
            <w:vAlign w:val="center"/>
          </w:tcPr>
          <w:p>
            <w:pPr>
              <w:pStyle w:val="TableContents"/>
              <w:bidi w:val="0"/>
              <w:spacing w:lineRule="auto" w:line="268" w:before="0" w:after="283"/>
              <w:jc w:val="center"/>
              <w:rPr>
                <w:rFonts w:ascii="Lato;sans-serif" w:hAnsi="Lato;sans-serif"/>
                <w:b w:val="false"/>
                <w:color w:val="000000"/>
                <w:sz w:val="16"/>
              </w:rPr>
            </w:pPr>
            <w:r>
              <w:rPr>
                <w:rFonts w:ascii="Lato;sans-serif" w:hAnsi="Lato;sans-serif"/>
                <w:b w:val="false"/>
                <w:color w:val="000000"/>
                <w:sz w:val="16"/>
              </w:rPr>
              <w:t>(7,051,863)</w:t>
            </w:r>
          </w:p>
        </w:tc>
        <w:tc>
          <w:tcPr>
            <w:tcW w:w="1012" w:type="dxa"/>
            <w:gridSpan w:val="3"/>
            <w:tcBorders/>
            <w:shd w:fill="DBDBDB" w:val="clear"/>
            <w:tcMar>
              <w:top w:w="0" w:type="dxa"/>
              <w:left w:w="0" w:type="dxa"/>
              <w:bottom w:w="0" w:type="dxa"/>
              <w:right w:w="0" w:type="dxa"/>
            </w:tcMar>
            <w:vAlign w:val="center"/>
          </w:tcPr>
          <w:p>
            <w:pPr>
              <w:pStyle w:val="TableContents"/>
              <w:bidi w:val="0"/>
              <w:spacing w:lineRule="auto" w:line="268" w:before="0" w:after="283"/>
              <w:jc w:val="center"/>
              <w:rPr>
                <w:rFonts w:ascii="Lato;sans-serif" w:hAnsi="Lato;sans-serif"/>
                <w:b w:val="false"/>
                <w:color w:val="000000"/>
                <w:sz w:val="16"/>
              </w:rPr>
            </w:pPr>
            <w:r>
              <w:rPr>
                <w:rFonts w:ascii="Lato;sans-serif" w:hAnsi="Lato;sans-serif"/>
                <w:b w:val="false"/>
                <w:color w:val="000000"/>
                <w:sz w:val="16"/>
              </w:rPr>
              <w:t>(2,963,240)</w:t>
            </w:r>
          </w:p>
        </w:tc>
        <w:tc>
          <w:tcPr>
            <w:tcW w:w="1063" w:type="dxa"/>
            <w:gridSpan w:val="3"/>
            <w:tcBorders/>
            <w:shd w:fill="DBDBDB" w:val="clear"/>
            <w:tcMar>
              <w:top w:w="0" w:type="dxa"/>
              <w:left w:w="0" w:type="dxa"/>
              <w:bottom w:w="0" w:type="dxa"/>
              <w:right w:w="0" w:type="dxa"/>
            </w:tcMar>
            <w:vAlign w:val="center"/>
          </w:tcPr>
          <w:p>
            <w:pPr>
              <w:pStyle w:val="TableContents"/>
              <w:bidi w:val="0"/>
              <w:spacing w:lineRule="auto" w:line="268" w:before="0" w:after="283"/>
              <w:jc w:val="center"/>
              <w:rPr>
                <w:rFonts w:ascii="Lato;sans-serif" w:hAnsi="Lato;sans-serif"/>
                <w:b w:val="false"/>
                <w:color w:val="000000"/>
                <w:sz w:val="16"/>
              </w:rPr>
            </w:pPr>
            <w:r>
              <w:rPr>
                <w:rFonts w:ascii="Lato;sans-serif" w:hAnsi="Lato;sans-serif"/>
                <w:b w:val="false"/>
                <w:color w:val="000000"/>
                <w:sz w:val="16"/>
              </w:rPr>
              <w:t>(3,992,536)</w:t>
            </w:r>
          </w:p>
        </w:tc>
      </w:tr>
      <w:tr>
        <w:trPr/>
        <w:tc>
          <w:tcPr>
            <w:tcW w:w="4961"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Lato;sans-serif" w:hAnsi="Lato;sans-serif"/>
                <w:b w:val="false"/>
                <w:color w:val="000000"/>
                <w:sz w:val="16"/>
              </w:rPr>
            </w:pPr>
            <w:r>
              <w:rPr>
                <w:rFonts w:ascii="Lato;sans-serif" w:hAnsi="Lato;sans-serif"/>
                <w:b w:val="false"/>
                <w:color w:val="000000"/>
                <w:sz w:val="16"/>
              </w:rPr>
              <w:t>Stock and Option Awards Adjustment</w:t>
            </w:r>
          </w:p>
        </w:tc>
        <w:tc>
          <w:tcPr>
            <w:tcW w:w="1040"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center"/>
              <w:rPr>
                <w:rFonts w:ascii="Lato;sans-serif" w:hAnsi="Lato;sans-serif"/>
                <w:b w:val="false"/>
                <w:color w:val="000000"/>
                <w:sz w:val="16"/>
              </w:rPr>
            </w:pPr>
            <w:r>
              <w:rPr>
                <w:rFonts w:ascii="Lato;sans-serif" w:hAnsi="Lato;sans-serif"/>
                <w:b w:val="false"/>
                <w:color w:val="000000"/>
                <w:sz w:val="16"/>
              </w:rPr>
              <w:t>17,477,374</w:t>
            </w:r>
          </w:p>
        </w:tc>
        <w:tc>
          <w:tcPr>
            <w:tcW w:w="1117"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center"/>
              <w:rPr>
                <w:rFonts w:ascii="Lato;sans-serif" w:hAnsi="Lato;sans-serif"/>
                <w:b w:val="false"/>
                <w:color w:val="000000"/>
                <w:sz w:val="16"/>
              </w:rPr>
            </w:pPr>
            <w:r>
              <w:rPr>
                <w:rFonts w:ascii="Lato;sans-serif" w:hAnsi="Lato;sans-serif"/>
                <w:b w:val="false"/>
                <w:color w:val="000000"/>
                <w:sz w:val="16"/>
              </w:rPr>
              <w:t>(4,040,474)</w:t>
            </w:r>
          </w:p>
        </w:tc>
        <w:tc>
          <w:tcPr>
            <w:tcW w:w="1012"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center"/>
              <w:rPr>
                <w:rFonts w:ascii="Lato;sans-serif" w:hAnsi="Lato;sans-serif"/>
                <w:b w:val="false"/>
                <w:color w:val="000000"/>
                <w:sz w:val="16"/>
              </w:rPr>
            </w:pPr>
            <w:r>
              <w:rPr>
                <w:rFonts w:ascii="Lato;sans-serif" w:hAnsi="Lato;sans-serif"/>
                <w:b w:val="false"/>
                <w:color w:val="000000"/>
                <w:sz w:val="16"/>
              </w:rPr>
              <w:t>1,778,565</w:t>
            </w:r>
          </w:p>
        </w:tc>
        <w:tc>
          <w:tcPr>
            <w:tcW w:w="1012"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center"/>
              <w:rPr>
                <w:rFonts w:ascii="Lato;sans-serif" w:hAnsi="Lato;sans-serif"/>
                <w:b w:val="false"/>
                <w:color w:val="000000"/>
                <w:sz w:val="16"/>
              </w:rPr>
            </w:pPr>
            <w:r>
              <w:rPr>
                <w:rFonts w:ascii="Lato;sans-serif" w:hAnsi="Lato;sans-serif"/>
                <w:b w:val="false"/>
                <w:color w:val="000000"/>
                <w:sz w:val="16"/>
              </w:rPr>
              <w:t>192,927</w:t>
            </w:r>
          </w:p>
        </w:tc>
        <w:tc>
          <w:tcPr>
            <w:tcW w:w="1063"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center"/>
              <w:rPr>
                <w:rFonts w:ascii="Lato;sans-serif" w:hAnsi="Lato;sans-serif"/>
                <w:b w:val="false"/>
                <w:color w:val="000000"/>
                <w:sz w:val="16"/>
              </w:rPr>
            </w:pPr>
            <w:r>
              <w:rPr>
                <w:rFonts w:ascii="Lato;sans-serif" w:hAnsi="Lato;sans-serif"/>
                <w:b w:val="false"/>
                <w:color w:val="000000"/>
                <w:sz w:val="16"/>
              </w:rPr>
              <w:t>3,894,985</w:t>
            </w:r>
          </w:p>
        </w:tc>
      </w:tr>
      <w:tr>
        <w:trPr/>
        <w:tc>
          <w:tcPr>
            <w:tcW w:w="4961" w:type="dxa"/>
            <w:gridSpan w:val="3"/>
            <w:tcBorders/>
            <w:shd w:fill="DBDBDB" w:val="clear"/>
            <w:tcMar>
              <w:top w:w="0" w:type="dxa"/>
              <w:left w:w="0" w:type="dxa"/>
              <w:bottom w:w="0" w:type="dxa"/>
              <w:right w:w="0" w:type="dxa"/>
            </w:tcMar>
            <w:vAlign w:val="center"/>
          </w:tcPr>
          <w:p>
            <w:pPr>
              <w:pStyle w:val="TableContents"/>
              <w:bidi w:val="0"/>
              <w:spacing w:lineRule="auto" w:line="268" w:before="0" w:after="0"/>
              <w:jc w:val="left"/>
              <w:rPr>
                <w:rFonts w:ascii="Lato;sans-serif" w:hAnsi="Lato;sans-serif"/>
                <w:b w:val="false"/>
                <w:i/>
                <w:color w:val="000000"/>
                <w:sz w:val="16"/>
              </w:rPr>
            </w:pPr>
            <w:r>
              <w:rPr>
                <w:rFonts w:ascii="Lato;sans-serif" w:hAnsi="Lato;sans-serif"/>
                <w:b w:val="false"/>
                <w:i/>
                <w:color w:val="000000"/>
                <w:sz w:val="16"/>
              </w:rPr>
              <w:t>Year End Fair Value of Unvested Equity Awards Granted in the Year</w:t>
            </w:r>
          </w:p>
        </w:tc>
        <w:tc>
          <w:tcPr>
            <w:tcW w:w="1040" w:type="dxa"/>
            <w:gridSpan w:val="3"/>
            <w:tcBorders/>
            <w:shd w:fill="DBDBDB" w:val="clear"/>
            <w:tcMar>
              <w:top w:w="0" w:type="dxa"/>
              <w:left w:w="0" w:type="dxa"/>
              <w:bottom w:w="0" w:type="dxa"/>
              <w:right w:w="0" w:type="dxa"/>
            </w:tcMar>
            <w:vAlign w:val="center"/>
          </w:tcPr>
          <w:p>
            <w:pPr>
              <w:pStyle w:val="TableContents"/>
              <w:bidi w:val="0"/>
              <w:spacing w:lineRule="auto" w:line="268" w:before="0" w:after="283"/>
              <w:jc w:val="center"/>
              <w:rPr>
                <w:rFonts w:ascii="Lato;sans-serif" w:hAnsi="Lato;sans-serif"/>
                <w:b w:val="false"/>
                <w:color w:val="000000"/>
                <w:sz w:val="16"/>
              </w:rPr>
            </w:pPr>
            <w:r>
              <w:rPr>
                <w:rFonts w:ascii="Lato;sans-serif" w:hAnsi="Lato;sans-serif"/>
                <w:b w:val="false"/>
                <w:color w:val="000000"/>
                <w:sz w:val="16"/>
              </w:rPr>
              <w:t>10,006,426</w:t>
            </w:r>
          </w:p>
        </w:tc>
        <w:tc>
          <w:tcPr>
            <w:tcW w:w="1117" w:type="dxa"/>
            <w:gridSpan w:val="3"/>
            <w:tcBorders/>
            <w:shd w:fill="DBDBDB" w:val="clear"/>
            <w:tcMar>
              <w:top w:w="0" w:type="dxa"/>
              <w:left w:w="0" w:type="dxa"/>
              <w:bottom w:w="0" w:type="dxa"/>
              <w:right w:w="0" w:type="dxa"/>
            </w:tcMar>
            <w:vAlign w:val="center"/>
          </w:tcPr>
          <w:p>
            <w:pPr>
              <w:pStyle w:val="TableContents"/>
              <w:bidi w:val="0"/>
              <w:spacing w:lineRule="auto" w:line="268" w:before="0" w:after="283"/>
              <w:jc w:val="center"/>
              <w:rPr>
                <w:rFonts w:ascii="Lato;sans-serif" w:hAnsi="Lato;sans-serif"/>
                <w:b w:val="false"/>
                <w:color w:val="000000"/>
                <w:sz w:val="16"/>
              </w:rPr>
            </w:pPr>
            <w:r>
              <w:rPr>
                <w:rFonts w:ascii="Lato;sans-serif" w:hAnsi="Lato;sans-serif"/>
                <w:b w:val="false"/>
                <w:color w:val="000000"/>
                <w:sz w:val="16"/>
              </w:rPr>
              <w:t>8,586,920</w:t>
            </w:r>
          </w:p>
        </w:tc>
        <w:tc>
          <w:tcPr>
            <w:tcW w:w="1012" w:type="dxa"/>
            <w:gridSpan w:val="3"/>
            <w:tcBorders/>
            <w:shd w:fill="DBDBDB" w:val="clear"/>
            <w:tcMar>
              <w:top w:w="0" w:type="dxa"/>
              <w:left w:w="0" w:type="dxa"/>
              <w:bottom w:w="0" w:type="dxa"/>
              <w:right w:w="0" w:type="dxa"/>
            </w:tcMar>
            <w:vAlign w:val="center"/>
          </w:tcPr>
          <w:p>
            <w:pPr>
              <w:pStyle w:val="TableContents"/>
              <w:bidi w:val="0"/>
              <w:spacing w:lineRule="auto" w:line="268" w:before="0" w:after="283"/>
              <w:jc w:val="center"/>
              <w:rPr>
                <w:rFonts w:ascii="Lato;sans-serif" w:hAnsi="Lato;sans-serif"/>
                <w:b w:val="false"/>
                <w:color w:val="000000"/>
                <w:sz w:val="16"/>
              </w:rPr>
            </w:pPr>
            <w:r>
              <w:rPr>
                <w:rFonts w:ascii="Lato;sans-serif" w:hAnsi="Lato;sans-serif"/>
                <w:b w:val="false"/>
                <w:color w:val="000000"/>
                <w:sz w:val="16"/>
              </w:rPr>
              <w:t>4,300,410</w:t>
            </w:r>
          </w:p>
        </w:tc>
        <w:tc>
          <w:tcPr>
            <w:tcW w:w="1012" w:type="dxa"/>
            <w:gridSpan w:val="3"/>
            <w:tcBorders/>
            <w:shd w:fill="DBDBDB" w:val="clear"/>
            <w:tcMar>
              <w:top w:w="0" w:type="dxa"/>
              <w:left w:w="0" w:type="dxa"/>
              <w:bottom w:w="0" w:type="dxa"/>
              <w:right w:w="0" w:type="dxa"/>
            </w:tcMar>
            <w:vAlign w:val="center"/>
          </w:tcPr>
          <w:p>
            <w:pPr>
              <w:pStyle w:val="TableContents"/>
              <w:bidi w:val="0"/>
              <w:spacing w:lineRule="auto" w:line="268" w:before="0" w:after="283"/>
              <w:jc w:val="center"/>
              <w:rPr>
                <w:rFonts w:ascii="Lato;sans-serif" w:hAnsi="Lato;sans-serif"/>
                <w:b w:val="false"/>
                <w:color w:val="000000"/>
                <w:sz w:val="16"/>
              </w:rPr>
            </w:pPr>
            <w:r>
              <w:rPr>
                <w:rFonts w:ascii="Lato;sans-serif" w:hAnsi="Lato;sans-serif"/>
                <w:b w:val="false"/>
                <w:color w:val="000000"/>
                <w:sz w:val="16"/>
              </w:rPr>
              <w:t>1,262,233</w:t>
            </w:r>
          </w:p>
        </w:tc>
        <w:tc>
          <w:tcPr>
            <w:tcW w:w="1063" w:type="dxa"/>
            <w:gridSpan w:val="3"/>
            <w:tcBorders/>
            <w:shd w:fill="DBDBDB" w:val="clear"/>
            <w:tcMar>
              <w:top w:w="0" w:type="dxa"/>
              <w:left w:w="0" w:type="dxa"/>
              <w:bottom w:w="0" w:type="dxa"/>
              <w:right w:w="0" w:type="dxa"/>
            </w:tcMar>
            <w:vAlign w:val="center"/>
          </w:tcPr>
          <w:p>
            <w:pPr>
              <w:pStyle w:val="TableContents"/>
              <w:bidi w:val="0"/>
              <w:spacing w:lineRule="auto" w:line="268" w:before="0" w:after="283"/>
              <w:jc w:val="center"/>
              <w:rPr>
                <w:rFonts w:ascii="Lato;sans-serif" w:hAnsi="Lato;sans-serif"/>
                <w:b w:val="false"/>
                <w:color w:val="000000"/>
                <w:sz w:val="16"/>
              </w:rPr>
            </w:pPr>
            <w:r>
              <w:rPr>
                <w:rFonts w:ascii="Lato;sans-serif" w:hAnsi="Lato;sans-serif"/>
                <w:b w:val="false"/>
                <w:color w:val="000000"/>
                <w:sz w:val="16"/>
              </w:rPr>
              <w:t>3,987,938</w:t>
            </w:r>
          </w:p>
        </w:tc>
      </w:tr>
      <w:tr>
        <w:trPr/>
        <w:tc>
          <w:tcPr>
            <w:tcW w:w="4961"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Lato;sans-serif" w:hAnsi="Lato;sans-serif"/>
                <w:b w:val="false"/>
                <w:i/>
                <w:color w:val="000000"/>
                <w:sz w:val="16"/>
              </w:rPr>
            </w:pPr>
            <w:r>
              <w:rPr>
                <w:rFonts w:ascii="Lato;sans-serif" w:hAnsi="Lato;sans-serif"/>
                <w:b w:val="false"/>
                <w:i/>
                <w:color w:val="000000"/>
                <w:sz w:val="16"/>
              </w:rPr>
              <w:t>Year over Year Change in Fair Value of Outstanding and Unvested Equity Awards</w:t>
            </w:r>
          </w:p>
        </w:tc>
        <w:tc>
          <w:tcPr>
            <w:tcW w:w="1040"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center"/>
              <w:rPr>
                <w:rFonts w:ascii="Lato;sans-serif" w:hAnsi="Lato;sans-serif"/>
                <w:b w:val="false"/>
                <w:color w:val="000000"/>
                <w:sz w:val="16"/>
              </w:rPr>
            </w:pPr>
            <w:r>
              <w:rPr>
                <w:rFonts w:ascii="Lato;sans-serif" w:hAnsi="Lato;sans-serif"/>
                <w:b w:val="false"/>
                <w:color w:val="000000"/>
                <w:sz w:val="16"/>
              </w:rPr>
              <w:t>5,498,770</w:t>
            </w:r>
          </w:p>
        </w:tc>
        <w:tc>
          <w:tcPr>
            <w:tcW w:w="1117"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center"/>
              <w:rPr>
                <w:rFonts w:ascii="Lato;sans-serif" w:hAnsi="Lato;sans-serif"/>
                <w:b w:val="false"/>
                <w:color w:val="000000"/>
                <w:sz w:val="16"/>
              </w:rPr>
            </w:pPr>
            <w:r>
              <w:rPr>
                <w:rFonts w:ascii="Lato;sans-serif" w:hAnsi="Lato;sans-serif"/>
                <w:b w:val="false"/>
                <w:color w:val="000000"/>
                <w:sz w:val="16"/>
              </w:rPr>
              <w:t>(7,522,254)</w:t>
            </w:r>
          </w:p>
        </w:tc>
        <w:tc>
          <w:tcPr>
            <w:tcW w:w="1012"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center"/>
              <w:rPr>
                <w:rFonts w:ascii="Lato;sans-serif" w:hAnsi="Lato;sans-serif"/>
                <w:b w:val="false"/>
                <w:color w:val="000000"/>
                <w:sz w:val="16"/>
              </w:rPr>
            </w:pPr>
            <w:r>
              <w:rPr>
                <w:rFonts w:ascii="Lato;sans-serif" w:hAnsi="Lato;sans-serif"/>
                <w:b w:val="false"/>
                <w:color w:val="000000"/>
                <w:sz w:val="16"/>
              </w:rPr>
              <w:t>(2,621,274)</w:t>
            </w:r>
          </w:p>
        </w:tc>
        <w:tc>
          <w:tcPr>
            <w:tcW w:w="1012"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center"/>
              <w:rPr>
                <w:rFonts w:ascii="Lato;sans-serif" w:hAnsi="Lato;sans-serif"/>
                <w:b w:val="false"/>
                <w:color w:val="000000"/>
                <w:sz w:val="16"/>
              </w:rPr>
            </w:pPr>
            <w:r>
              <w:rPr>
                <w:rFonts w:ascii="Lato;sans-serif" w:hAnsi="Lato;sans-serif"/>
                <w:b w:val="false"/>
                <w:color w:val="000000"/>
                <w:sz w:val="16"/>
              </w:rPr>
              <w:t>(757,752)</w:t>
            </w:r>
          </w:p>
        </w:tc>
        <w:tc>
          <w:tcPr>
            <w:tcW w:w="1063"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center"/>
              <w:rPr>
                <w:rFonts w:ascii="Lato;sans-serif" w:hAnsi="Lato;sans-serif"/>
                <w:b w:val="false"/>
                <w:color w:val="000000"/>
                <w:sz w:val="16"/>
              </w:rPr>
            </w:pPr>
            <w:r>
              <w:rPr>
                <w:rFonts w:ascii="Lato;sans-serif" w:hAnsi="Lato;sans-serif"/>
                <w:b w:val="false"/>
                <w:color w:val="000000"/>
                <w:sz w:val="16"/>
              </w:rPr>
              <w:t>(66,156)</w:t>
            </w:r>
          </w:p>
        </w:tc>
      </w:tr>
      <w:tr>
        <w:trPr/>
        <w:tc>
          <w:tcPr>
            <w:tcW w:w="4961" w:type="dxa"/>
            <w:gridSpan w:val="3"/>
            <w:tcBorders/>
            <w:shd w:fill="DBDBDB" w:val="clear"/>
            <w:tcMar>
              <w:top w:w="0" w:type="dxa"/>
              <w:left w:w="0" w:type="dxa"/>
              <w:bottom w:w="0" w:type="dxa"/>
              <w:right w:w="0" w:type="dxa"/>
            </w:tcMar>
            <w:vAlign w:val="center"/>
          </w:tcPr>
          <w:p>
            <w:pPr>
              <w:pStyle w:val="TableContents"/>
              <w:bidi w:val="0"/>
              <w:spacing w:lineRule="auto" w:line="268" w:before="0" w:after="0"/>
              <w:jc w:val="left"/>
              <w:rPr/>
            </w:pPr>
            <w:r>
              <w:rPr>
                <w:rFonts w:ascii="Lato;sans-serif" w:hAnsi="Lato;sans-serif"/>
                <w:b w:val="false"/>
                <w:i/>
                <w:color w:val="000000"/>
                <w:sz w:val="16"/>
              </w:rPr>
              <w:t>Fair Value as of Vesting Date of Equity Awards Granted and Vested in the Year</w:t>
            </w:r>
            <w:r>
              <w:rPr>
                <w:rFonts w:ascii="Lato;sans-serif" w:hAnsi="Lato;sans-serif"/>
                <w:b w:val="false"/>
                <w:i/>
                <w:color w:val="000000"/>
                <w:sz w:val="10"/>
              </w:rPr>
              <w:t>(9)</w:t>
            </w:r>
          </w:p>
        </w:tc>
        <w:tc>
          <w:tcPr>
            <w:tcW w:w="1040" w:type="dxa"/>
            <w:gridSpan w:val="3"/>
            <w:tcBorders/>
            <w:shd w:fill="DBDBDB" w:val="clear"/>
            <w:tcMar>
              <w:top w:w="0" w:type="dxa"/>
              <w:left w:w="0" w:type="dxa"/>
              <w:bottom w:w="0" w:type="dxa"/>
              <w:right w:w="0" w:type="dxa"/>
            </w:tcMar>
            <w:vAlign w:val="center"/>
          </w:tcPr>
          <w:p>
            <w:pPr>
              <w:pStyle w:val="TableContents"/>
              <w:bidi w:val="0"/>
              <w:spacing w:lineRule="auto" w:line="268" w:before="0" w:after="283"/>
              <w:jc w:val="center"/>
              <w:rPr>
                <w:color w:val="000000"/>
              </w:rPr>
            </w:pPr>
            <w:r>
              <w:rPr>
                <w:color w:val="000000"/>
              </w:rPr>
              <w:t>—</w:t>
            </w:r>
          </w:p>
        </w:tc>
        <w:tc>
          <w:tcPr>
            <w:tcW w:w="1117" w:type="dxa"/>
            <w:gridSpan w:val="3"/>
            <w:tcBorders/>
            <w:shd w:fill="DBDBDB" w:val="clear"/>
            <w:tcMar>
              <w:top w:w="0" w:type="dxa"/>
              <w:left w:w="0" w:type="dxa"/>
              <w:bottom w:w="0" w:type="dxa"/>
              <w:right w:w="0" w:type="dxa"/>
            </w:tcMar>
            <w:vAlign w:val="center"/>
          </w:tcPr>
          <w:p>
            <w:pPr>
              <w:pStyle w:val="TableContents"/>
              <w:bidi w:val="0"/>
              <w:spacing w:lineRule="auto" w:line="268" w:before="0" w:after="283"/>
              <w:jc w:val="center"/>
              <w:rPr>
                <w:rFonts w:ascii="Lato;sans-serif" w:hAnsi="Lato;sans-serif"/>
                <w:b w:val="false"/>
                <w:color w:val="000000"/>
                <w:sz w:val="16"/>
              </w:rPr>
            </w:pPr>
            <w:r>
              <w:rPr>
                <w:rFonts w:ascii="Lato;sans-serif" w:hAnsi="Lato;sans-serif"/>
                <w:b w:val="false"/>
                <w:color w:val="000000"/>
                <w:sz w:val="16"/>
              </w:rPr>
              <w:t>184,636</w:t>
            </w:r>
          </w:p>
        </w:tc>
        <w:tc>
          <w:tcPr>
            <w:tcW w:w="1012" w:type="dxa"/>
            <w:gridSpan w:val="3"/>
            <w:tcBorders/>
            <w:shd w:fill="DBDBDB" w:val="clear"/>
            <w:tcMar>
              <w:top w:w="0" w:type="dxa"/>
              <w:left w:w="0" w:type="dxa"/>
              <w:bottom w:w="0" w:type="dxa"/>
              <w:right w:w="0" w:type="dxa"/>
            </w:tcMar>
            <w:vAlign w:val="center"/>
          </w:tcPr>
          <w:p>
            <w:pPr>
              <w:pStyle w:val="TableContents"/>
              <w:bidi w:val="0"/>
              <w:spacing w:lineRule="auto" w:line="268" w:before="0" w:after="283"/>
              <w:jc w:val="center"/>
              <w:rPr>
                <w:rFonts w:ascii="Lato;sans-serif" w:hAnsi="Lato;sans-serif"/>
                <w:b w:val="false"/>
                <w:color w:val="000000"/>
                <w:sz w:val="16"/>
              </w:rPr>
            </w:pPr>
            <w:r>
              <w:rPr>
                <w:rFonts w:ascii="Lato;sans-serif" w:hAnsi="Lato;sans-serif"/>
                <w:b w:val="false"/>
                <w:color w:val="000000"/>
                <w:sz w:val="16"/>
              </w:rPr>
              <w:t>1,012,114</w:t>
            </w:r>
          </w:p>
        </w:tc>
        <w:tc>
          <w:tcPr>
            <w:tcW w:w="1012" w:type="dxa"/>
            <w:gridSpan w:val="3"/>
            <w:tcBorders/>
            <w:shd w:fill="DBDBDB" w:val="clear"/>
            <w:tcMar>
              <w:top w:w="0" w:type="dxa"/>
              <w:left w:w="0" w:type="dxa"/>
              <w:bottom w:w="0" w:type="dxa"/>
              <w:right w:w="0" w:type="dxa"/>
            </w:tcMar>
            <w:vAlign w:val="center"/>
          </w:tcPr>
          <w:p>
            <w:pPr>
              <w:pStyle w:val="TableContents"/>
              <w:bidi w:val="0"/>
              <w:spacing w:lineRule="auto" w:line="268" w:before="0" w:after="283"/>
              <w:jc w:val="center"/>
              <w:rPr>
                <w:rFonts w:ascii="Lato;sans-serif" w:hAnsi="Lato;sans-serif"/>
                <w:b w:val="false"/>
                <w:color w:val="000000"/>
                <w:sz w:val="16"/>
              </w:rPr>
            </w:pPr>
            <w:r>
              <w:rPr>
                <w:rFonts w:ascii="Lato;sans-serif" w:hAnsi="Lato;sans-serif"/>
                <w:b w:val="false"/>
                <w:color w:val="000000"/>
                <w:sz w:val="16"/>
              </w:rPr>
              <w:t>1,084,027</w:t>
            </w:r>
          </w:p>
        </w:tc>
        <w:tc>
          <w:tcPr>
            <w:tcW w:w="1063" w:type="dxa"/>
            <w:gridSpan w:val="3"/>
            <w:tcBorders/>
            <w:shd w:fill="DBDBDB" w:val="clear"/>
            <w:tcMar>
              <w:top w:w="0" w:type="dxa"/>
              <w:left w:w="0" w:type="dxa"/>
              <w:bottom w:w="0" w:type="dxa"/>
              <w:right w:w="0" w:type="dxa"/>
            </w:tcMar>
            <w:vAlign w:val="center"/>
          </w:tcPr>
          <w:p>
            <w:pPr>
              <w:pStyle w:val="TableContents"/>
              <w:bidi w:val="0"/>
              <w:spacing w:lineRule="auto" w:line="268" w:before="0" w:after="283"/>
              <w:jc w:val="center"/>
              <w:rPr>
                <w:color w:val="000000"/>
              </w:rPr>
            </w:pPr>
            <w:r>
              <w:rPr>
                <w:color w:val="000000"/>
              </w:rPr>
              <w:t>—</w:t>
            </w:r>
          </w:p>
        </w:tc>
      </w:tr>
      <w:tr>
        <w:trPr/>
        <w:tc>
          <w:tcPr>
            <w:tcW w:w="4961"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Lato;sans-serif" w:hAnsi="Lato;sans-serif"/>
                <w:b w:val="false"/>
                <w:i/>
                <w:color w:val="000000"/>
                <w:sz w:val="16"/>
              </w:rPr>
            </w:pPr>
            <w:r>
              <w:rPr>
                <w:rFonts w:ascii="Lato;sans-serif" w:hAnsi="Lato;sans-serif"/>
                <w:b w:val="false"/>
                <w:i/>
                <w:color w:val="000000"/>
                <w:sz w:val="16"/>
              </w:rPr>
              <w:t>Year over Year Change in Fair Value of Equity Awards Granted in Prior Years that Vested in the Year</w:t>
            </w:r>
          </w:p>
        </w:tc>
        <w:tc>
          <w:tcPr>
            <w:tcW w:w="1040"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center"/>
              <w:rPr>
                <w:rFonts w:ascii="Lato;sans-serif" w:hAnsi="Lato;sans-serif"/>
                <w:b w:val="false"/>
                <w:color w:val="000000"/>
                <w:sz w:val="16"/>
              </w:rPr>
            </w:pPr>
            <w:r>
              <w:rPr>
                <w:rFonts w:ascii="Lato;sans-serif" w:hAnsi="Lato;sans-serif"/>
                <w:b w:val="false"/>
                <w:color w:val="000000"/>
                <w:sz w:val="16"/>
              </w:rPr>
              <w:t>1,972,178</w:t>
            </w:r>
          </w:p>
        </w:tc>
        <w:tc>
          <w:tcPr>
            <w:tcW w:w="1117"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center"/>
              <w:rPr>
                <w:rFonts w:ascii="Lato;sans-serif" w:hAnsi="Lato;sans-serif"/>
                <w:b w:val="false"/>
                <w:color w:val="000000"/>
                <w:sz w:val="16"/>
              </w:rPr>
            </w:pPr>
            <w:r>
              <w:rPr>
                <w:rFonts w:ascii="Lato;sans-serif" w:hAnsi="Lato;sans-serif"/>
                <w:b w:val="false"/>
                <w:color w:val="000000"/>
                <w:sz w:val="16"/>
              </w:rPr>
              <w:t>(5,289,776)</w:t>
            </w:r>
          </w:p>
        </w:tc>
        <w:tc>
          <w:tcPr>
            <w:tcW w:w="1012"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center"/>
              <w:rPr>
                <w:rFonts w:ascii="Lato;sans-serif" w:hAnsi="Lato;sans-serif"/>
                <w:b w:val="false"/>
                <w:color w:val="000000"/>
                <w:sz w:val="16"/>
              </w:rPr>
            </w:pPr>
            <w:r>
              <w:rPr>
                <w:rFonts w:ascii="Lato;sans-serif" w:hAnsi="Lato;sans-serif"/>
                <w:b w:val="false"/>
                <w:color w:val="000000"/>
                <w:sz w:val="16"/>
              </w:rPr>
              <w:t>(912,685)</w:t>
            </w:r>
          </w:p>
        </w:tc>
        <w:tc>
          <w:tcPr>
            <w:tcW w:w="1012"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center"/>
              <w:rPr>
                <w:rFonts w:ascii="Lato;sans-serif" w:hAnsi="Lato;sans-serif"/>
                <w:b w:val="false"/>
                <w:color w:val="000000"/>
                <w:sz w:val="16"/>
              </w:rPr>
            </w:pPr>
            <w:r>
              <w:rPr>
                <w:rFonts w:ascii="Lato;sans-serif" w:hAnsi="Lato;sans-serif"/>
                <w:b w:val="false"/>
                <w:color w:val="000000"/>
                <w:sz w:val="16"/>
              </w:rPr>
              <w:t>(683,796)</w:t>
            </w:r>
          </w:p>
        </w:tc>
        <w:tc>
          <w:tcPr>
            <w:tcW w:w="1063"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center"/>
              <w:rPr>
                <w:rFonts w:ascii="Lato;sans-serif" w:hAnsi="Lato;sans-serif"/>
                <w:b w:val="false"/>
                <w:color w:val="000000"/>
                <w:sz w:val="16"/>
              </w:rPr>
            </w:pPr>
            <w:r>
              <w:rPr>
                <w:rFonts w:ascii="Lato;sans-serif" w:hAnsi="Lato;sans-serif"/>
                <w:b w:val="false"/>
                <w:color w:val="000000"/>
                <w:sz w:val="16"/>
              </w:rPr>
              <w:t>(26,797)</w:t>
            </w:r>
          </w:p>
        </w:tc>
      </w:tr>
      <w:tr>
        <w:trPr/>
        <w:tc>
          <w:tcPr>
            <w:tcW w:w="4961" w:type="dxa"/>
            <w:gridSpan w:val="3"/>
            <w:tcBorders/>
            <w:shd w:fill="DBDBDB" w:val="clear"/>
            <w:tcMar>
              <w:top w:w="0" w:type="dxa"/>
              <w:left w:w="0" w:type="dxa"/>
              <w:bottom w:w="0" w:type="dxa"/>
              <w:right w:w="0" w:type="dxa"/>
            </w:tcMar>
            <w:vAlign w:val="center"/>
          </w:tcPr>
          <w:p>
            <w:pPr>
              <w:pStyle w:val="TableContents"/>
              <w:bidi w:val="0"/>
              <w:spacing w:lineRule="auto" w:line="268" w:before="0" w:after="0"/>
              <w:jc w:val="left"/>
              <w:rPr>
                <w:rFonts w:ascii="Lato;sans-serif" w:hAnsi="Lato;sans-serif"/>
                <w:b w:val="false"/>
                <w:i/>
                <w:color w:val="000000"/>
                <w:sz w:val="16"/>
              </w:rPr>
            </w:pPr>
            <w:r>
              <w:rPr>
                <w:rFonts w:ascii="Lato;sans-serif" w:hAnsi="Lato;sans-serif"/>
                <w:b w:val="false"/>
                <w:i/>
                <w:color w:val="000000"/>
                <w:sz w:val="16"/>
              </w:rPr>
              <w:t>Fair Value at the End of the Prior Year of Equity Awards that Failed to Meet Vesting Conditions in the Year</w:t>
            </w:r>
          </w:p>
        </w:tc>
        <w:tc>
          <w:tcPr>
            <w:tcW w:w="1040" w:type="dxa"/>
            <w:gridSpan w:val="3"/>
            <w:tcBorders/>
            <w:shd w:fill="DBDBDB" w:val="clear"/>
            <w:tcMar>
              <w:top w:w="0" w:type="dxa"/>
              <w:left w:w="0" w:type="dxa"/>
              <w:bottom w:w="0" w:type="dxa"/>
              <w:right w:w="0" w:type="dxa"/>
            </w:tcMar>
            <w:vAlign w:val="center"/>
          </w:tcPr>
          <w:p>
            <w:pPr>
              <w:pStyle w:val="TableContents"/>
              <w:bidi w:val="0"/>
              <w:spacing w:lineRule="auto" w:line="268" w:before="0" w:after="283"/>
              <w:jc w:val="center"/>
              <w:rPr>
                <w:color w:val="000000"/>
              </w:rPr>
            </w:pPr>
            <w:r>
              <w:rPr>
                <w:color w:val="000000"/>
              </w:rPr>
              <w:t>—</w:t>
            </w:r>
          </w:p>
        </w:tc>
        <w:tc>
          <w:tcPr>
            <w:tcW w:w="1117" w:type="dxa"/>
            <w:gridSpan w:val="3"/>
            <w:tcBorders/>
            <w:shd w:fill="DBDBDB" w:val="clear"/>
            <w:tcMar>
              <w:top w:w="0" w:type="dxa"/>
              <w:left w:w="0" w:type="dxa"/>
              <w:bottom w:w="0" w:type="dxa"/>
              <w:right w:w="0" w:type="dxa"/>
            </w:tcMar>
            <w:vAlign w:val="center"/>
          </w:tcPr>
          <w:p>
            <w:pPr>
              <w:pStyle w:val="TableContents"/>
              <w:bidi w:val="0"/>
              <w:spacing w:lineRule="auto" w:line="268" w:before="0" w:after="283"/>
              <w:jc w:val="center"/>
              <w:rPr>
                <w:color w:val="000000"/>
              </w:rPr>
            </w:pPr>
            <w:r>
              <w:rPr>
                <w:color w:val="000000"/>
              </w:rPr>
              <w:t>—</w:t>
            </w:r>
          </w:p>
        </w:tc>
        <w:tc>
          <w:tcPr>
            <w:tcW w:w="1012" w:type="dxa"/>
            <w:gridSpan w:val="3"/>
            <w:tcBorders/>
            <w:shd w:fill="DBDBDB" w:val="clear"/>
            <w:tcMar>
              <w:top w:w="0" w:type="dxa"/>
              <w:left w:w="0" w:type="dxa"/>
              <w:bottom w:w="0" w:type="dxa"/>
              <w:right w:w="0" w:type="dxa"/>
            </w:tcMar>
            <w:vAlign w:val="center"/>
          </w:tcPr>
          <w:p>
            <w:pPr>
              <w:pStyle w:val="TableContents"/>
              <w:bidi w:val="0"/>
              <w:spacing w:lineRule="auto" w:line="268" w:before="0" w:after="283"/>
              <w:jc w:val="center"/>
              <w:rPr>
                <w:color w:val="000000"/>
              </w:rPr>
            </w:pPr>
            <w:r>
              <w:rPr>
                <w:color w:val="000000"/>
              </w:rPr>
              <w:t>—</w:t>
            </w:r>
          </w:p>
        </w:tc>
        <w:tc>
          <w:tcPr>
            <w:tcW w:w="1012" w:type="dxa"/>
            <w:gridSpan w:val="3"/>
            <w:tcBorders/>
            <w:shd w:fill="DBDBDB" w:val="clear"/>
            <w:tcMar>
              <w:top w:w="0" w:type="dxa"/>
              <w:left w:w="0" w:type="dxa"/>
              <w:bottom w:w="0" w:type="dxa"/>
              <w:right w:w="0" w:type="dxa"/>
            </w:tcMar>
            <w:vAlign w:val="center"/>
          </w:tcPr>
          <w:p>
            <w:pPr>
              <w:pStyle w:val="TableContents"/>
              <w:bidi w:val="0"/>
              <w:spacing w:lineRule="auto" w:line="268" w:before="0" w:after="283"/>
              <w:jc w:val="center"/>
              <w:rPr>
                <w:rFonts w:ascii="Lato;sans-serif" w:hAnsi="Lato;sans-serif"/>
                <w:b w:val="false"/>
                <w:color w:val="000000"/>
                <w:sz w:val="16"/>
              </w:rPr>
            </w:pPr>
            <w:r>
              <w:rPr>
                <w:rFonts w:ascii="Lato;sans-serif" w:hAnsi="Lato;sans-serif"/>
                <w:b w:val="false"/>
                <w:color w:val="000000"/>
                <w:sz w:val="16"/>
              </w:rPr>
              <w:t>(711,785)</w:t>
            </w:r>
          </w:p>
        </w:tc>
        <w:tc>
          <w:tcPr>
            <w:tcW w:w="1063" w:type="dxa"/>
            <w:gridSpan w:val="3"/>
            <w:tcBorders/>
            <w:shd w:fill="DBDBDB" w:val="clear"/>
            <w:tcMar>
              <w:top w:w="0" w:type="dxa"/>
              <w:left w:w="0" w:type="dxa"/>
              <w:bottom w:w="0" w:type="dxa"/>
              <w:right w:w="0" w:type="dxa"/>
            </w:tcMar>
            <w:vAlign w:val="center"/>
          </w:tcPr>
          <w:p>
            <w:pPr>
              <w:pStyle w:val="TableContents"/>
              <w:bidi w:val="0"/>
              <w:spacing w:lineRule="auto" w:line="268" w:before="0" w:after="283"/>
              <w:jc w:val="center"/>
              <w:rPr>
                <w:color w:val="000000"/>
              </w:rPr>
            </w:pPr>
            <w:r>
              <w:rPr>
                <w:color w:val="000000"/>
              </w:rPr>
              <w:t>—</w:t>
            </w:r>
          </w:p>
        </w:tc>
      </w:tr>
      <w:tr>
        <w:trPr/>
        <w:tc>
          <w:tcPr>
            <w:tcW w:w="4961"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Lato;sans-serif" w:hAnsi="Lato;sans-serif"/>
                <w:b w:val="false"/>
                <w:i/>
                <w:color w:val="000000"/>
                <w:sz w:val="16"/>
              </w:rPr>
            </w:pPr>
            <w:r>
              <w:rPr>
                <w:rFonts w:ascii="Lato;sans-serif" w:hAnsi="Lato;sans-serif"/>
                <w:b w:val="false"/>
                <w:i/>
                <w:color w:val="000000"/>
                <w:sz w:val="16"/>
              </w:rPr>
              <w:t>Value of Dividends or other Earnings Paid on Stock or Option Awards not Otherwise Reflected in Fair Value or Total Compensation</w:t>
            </w:r>
          </w:p>
        </w:tc>
        <w:tc>
          <w:tcPr>
            <w:tcW w:w="1040"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center"/>
              <w:rPr>
                <w:color w:val="000000"/>
              </w:rPr>
            </w:pPr>
            <w:r>
              <w:rPr>
                <w:color w:val="000000"/>
              </w:rPr>
              <w:t>—</w:t>
            </w:r>
          </w:p>
        </w:tc>
        <w:tc>
          <w:tcPr>
            <w:tcW w:w="1117"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center"/>
              <w:rPr>
                <w:color w:val="000000"/>
              </w:rPr>
            </w:pPr>
            <w:r>
              <w:rPr>
                <w:color w:val="000000"/>
              </w:rPr>
              <w:t>—</w:t>
            </w:r>
          </w:p>
        </w:tc>
        <w:tc>
          <w:tcPr>
            <w:tcW w:w="1012"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center"/>
              <w:rPr>
                <w:color w:val="000000"/>
              </w:rPr>
            </w:pPr>
            <w:r>
              <w:rPr>
                <w:color w:val="000000"/>
              </w:rPr>
              <w:t>—</w:t>
            </w:r>
          </w:p>
        </w:tc>
        <w:tc>
          <w:tcPr>
            <w:tcW w:w="1012"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center"/>
              <w:rPr>
                <w:color w:val="000000"/>
              </w:rPr>
            </w:pPr>
            <w:r>
              <w:rPr>
                <w:color w:val="000000"/>
              </w:rPr>
              <w:t>—</w:t>
            </w:r>
          </w:p>
        </w:tc>
        <w:tc>
          <w:tcPr>
            <w:tcW w:w="1063"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center"/>
              <w:rPr>
                <w:color w:val="000000"/>
              </w:rPr>
            </w:pPr>
            <w:r>
              <w:rPr>
                <w:color w:val="000000"/>
              </w:rPr>
              <w:t>—</w:t>
            </w:r>
          </w:p>
        </w:tc>
      </w:tr>
      <w:tr>
        <w:trPr/>
        <w:tc>
          <w:tcPr>
            <w:tcW w:w="4961" w:type="dxa"/>
            <w:gridSpan w:val="3"/>
            <w:tcBorders/>
            <w:shd w:fill="DBDBDB" w:val="clear"/>
            <w:tcMar>
              <w:top w:w="0" w:type="dxa"/>
              <w:left w:w="0" w:type="dxa"/>
              <w:bottom w:w="0" w:type="dxa"/>
              <w:right w:w="0" w:type="dxa"/>
            </w:tcMar>
            <w:vAlign w:val="center"/>
          </w:tcPr>
          <w:p>
            <w:pPr>
              <w:pStyle w:val="TableContents"/>
              <w:bidi w:val="0"/>
              <w:spacing w:lineRule="auto" w:line="268" w:before="0" w:after="283"/>
              <w:jc w:val="left"/>
              <w:rPr>
                <w:rFonts w:ascii="Lato;sans-serif" w:hAnsi="Lato;sans-serif"/>
                <w:b w:val="false"/>
                <w:color w:val="000000"/>
                <w:sz w:val="16"/>
              </w:rPr>
            </w:pPr>
            <w:r>
              <w:rPr>
                <w:rFonts w:ascii="Lato;sans-serif" w:hAnsi="Lato;sans-serif"/>
                <w:b w:val="false"/>
                <w:color w:val="000000"/>
                <w:sz w:val="16"/>
              </w:rPr>
              <w:t>Total Added (or Deducted)</w:t>
            </w:r>
          </w:p>
        </w:tc>
        <w:tc>
          <w:tcPr>
            <w:tcW w:w="1040" w:type="dxa"/>
            <w:gridSpan w:val="3"/>
            <w:tcBorders/>
            <w:shd w:fill="DBDBDB" w:val="clear"/>
            <w:tcMar>
              <w:top w:w="0" w:type="dxa"/>
              <w:left w:w="0" w:type="dxa"/>
              <w:bottom w:w="0" w:type="dxa"/>
              <w:right w:w="0" w:type="dxa"/>
            </w:tcMar>
            <w:vAlign w:val="center"/>
          </w:tcPr>
          <w:p>
            <w:pPr>
              <w:pStyle w:val="TableContents"/>
              <w:bidi w:val="0"/>
              <w:spacing w:lineRule="auto" w:line="268" w:before="0" w:after="283"/>
              <w:jc w:val="center"/>
              <w:rPr>
                <w:rFonts w:ascii="Lato;sans-serif" w:hAnsi="Lato;sans-serif"/>
                <w:b w:val="false"/>
                <w:color w:val="000000"/>
                <w:sz w:val="16"/>
              </w:rPr>
            </w:pPr>
            <w:r>
              <w:rPr>
                <w:rFonts w:ascii="Lato;sans-serif" w:hAnsi="Lato;sans-serif"/>
                <w:b w:val="false"/>
                <w:color w:val="000000"/>
                <w:sz w:val="16"/>
              </w:rPr>
              <w:t>9,244,007</w:t>
            </w:r>
          </w:p>
        </w:tc>
        <w:tc>
          <w:tcPr>
            <w:tcW w:w="1117" w:type="dxa"/>
            <w:gridSpan w:val="3"/>
            <w:tcBorders/>
            <w:shd w:fill="DBDBDB" w:val="clear"/>
            <w:tcMar>
              <w:top w:w="0" w:type="dxa"/>
              <w:left w:w="0" w:type="dxa"/>
              <w:bottom w:w="0" w:type="dxa"/>
              <w:right w:w="0" w:type="dxa"/>
            </w:tcMar>
            <w:vAlign w:val="center"/>
          </w:tcPr>
          <w:p>
            <w:pPr>
              <w:pStyle w:val="TableContents"/>
              <w:bidi w:val="0"/>
              <w:spacing w:lineRule="auto" w:line="268" w:before="0" w:after="283"/>
              <w:jc w:val="center"/>
              <w:rPr>
                <w:rFonts w:ascii="Lato;sans-serif" w:hAnsi="Lato;sans-serif"/>
                <w:b w:val="false"/>
                <w:color w:val="000000"/>
                <w:sz w:val="16"/>
              </w:rPr>
            </w:pPr>
            <w:r>
              <w:rPr>
                <w:rFonts w:ascii="Lato;sans-serif" w:hAnsi="Lato;sans-serif"/>
                <w:b w:val="false"/>
                <w:color w:val="000000"/>
                <w:sz w:val="16"/>
              </w:rPr>
              <w:t>(17,357,177)</w:t>
            </w:r>
          </w:p>
        </w:tc>
        <w:tc>
          <w:tcPr>
            <w:tcW w:w="1012" w:type="dxa"/>
            <w:gridSpan w:val="3"/>
            <w:tcBorders/>
            <w:shd w:fill="DBDBDB" w:val="clear"/>
            <w:tcMar>
              <w:top w:w="0" w:type="dxa"/>
              <w:left w:w="0" w:type="dxa"/>
              <w:bottom w:w="0" w:type="dxa"/>
              <w:right w:w="0" w:type="dxa"/>
            </w:tcMar>
            <w:vAlign w:val="center"/>
          </w:tcPr>
          <w:p>
            <w:pPr>
              <w:pStyle w:val="TableContents"/>
              <w:bidi w:val="0"/>
              <w:spacing w:lineRule="auto" w:line="268" w:before="0" w:after="283"/>
              <w:jc w:val="center"/>
              <w:rPr>
                <w:rFonts w:ascii="Lato;sans-serif" w:hAnsi="Lato;sans-serif"/>
                <w:b w:val="false"/>
                <w:color w:val="000000"/>
                <w:sz w:val="16"/>
              </w:rPr>
            </w:pPr>
            <w:r>
              <w:rPr>
                <w:rFonts w:ascii="Lato;sans-serif" w:hAnsi="Lato;sans-serif"/>
                <w:b w:val="false"/>
                <w:color w:val="000000"/>
                <w:sz w:val="16"/>
              </w:rPr>
              <w:t>(5,273,298)</w:t>
            </w:r>
          </w:p>
        </w:tc>
        <w:tc>
          <w:tcPr>
            <w:tcW w:w="1012" w:type="dxa"/>
            <w:gridSpan w:val="3"/>
            <w:tcBorders/>
            <w:shd w:fill="DBDBDB" w:val="clear"/>
            <w:tcMar>
              <w:top w:w="0" w:type="dxa"/>
              <w:left w:w="0" w:type="dxa"/>
              <w:bottom w:w="0" w:type="dxa"/>
              <w:right w:w="0" w:type="dxa"/>
            </w:tcMar>
            <w:vAlign w:val="center"/>
          </w:tcPr>
          <w:p>
            <w:pPr>
              <w:pStyle w:val="TableContents"/>
              <w:bidi w:val="0"/>
              <w:spacing w:lineRule="auto" w:line="268" w:before="0" w:after="283"/>
              <w:jc w:val="center"/>
              <w:rPr>
                <w:rFonts w:ascii="Lato;sans-serif" w:hAnsi="Lato;sans-serif"/>
                <w:b w:val="false"/>
                <w:color w:val="000000"/>
                <w:sz w:val="16"/>
              </w:rPr>
            </w:pPr>
            <w:r>
              <w:rPr>
                <w:rFonts w:ascii="Lato;sans-serif" w:hAnsi="Lato;sans-serif"/>
                <w:b w:val="false"/>
                <w:color w:val="000000"/>
                <w:sz w:val="16"/>
              </w:rPr>
              <w:t>(2,770,313)</w:t>
            </w:r>
          </w:p>
        </w:tc>
        <w:tc>
          <w:tcPr>
            <w:tcW w:w="1063" w:type="dxa"/>
            <w:gridSpan w:val="3"/>
            <w:tcBorders/>
            <w:shd w:fill="DBDBDB" w:val="clear"/>
            <w:tcMar>
              <w:top w:w="0" w:type="dxa"/>
              <w:left w:w="0" w:type="dxa"/>
              <w:bottom w:w="0" w:type="dxa"/>
              <w:right w:w="0" w:type="dxa"/>
            </w:tcMar>
            <w:vAlign w:val="center"/>
          </w:tcPr>
          <w:p>
            <w:pPr>
              <w:pStyle w:val="TableContents"/>
              <w:bidi w:val="0"/>
              <w:spacing w:lineRule="auto" w:line="268" w:before="0" w:after="283"/>
              <w:jc w:val="center"/>
              <w:rPr>
                <w:rFonts w:ascii="Lato;sans-serif" w:hAnsi="Lato;sans-serif"/>
                <w:b w:val="false"/>
                <w:color w:val="000000"/>
                <w:sz w:val="16"/>
              </w:rPr>
            </w:pPr>
            <w:r>
              <w:rPr>
                <w:rFonts w:ascii="Lato;sans-serif" w:hAnsi="Lato;sans-serif"/>
                <w:b w:val="false"/>
                <w:color w:val="000000"/>
                <w:sz w:val="16"/>
              </w:rPr>
              <w:t>(97,551)</w:t>
            </w:r>
          </w:p>
        </w:tc>
      </w:tr>
    </w:tbl>
    <w:p>
      <w:pPr>
        <w:pStyle w:val="TextBody"/>
        <w:bidi w:val="0"/>
        <w:spacing w:lineRule="auto" w:line="288" w:before="0" w:after="0"/>
        <w:ind w:left="0" w:right="0" w:hanging="360"/>
        <w:jc w:val="both"/>
        <w:rPr>
          <w:rFonts w:ascii="Lato;sans-serif" w:hAnsi="Lato;sans-serif"/>
          <w:b w:val="false"/>
          <w:color w:val="000000"/>
          <w:sz w:val="16"/>
        </w:rPr>
      </w:pPr>
      <w:r>
        <w:rPr>
          <w:rFonts w:ascii="Lato;sans-serif" w:hAnsi="Lato;sans-serif"/>
          <w:b w:val="false"/>
          <w:color w:val="000000"/>
          <w:sz w:val="16"/>
        </w:rPr>
        <w:t>(5)When calculating amounts of “compensation actually paid” for purposes of this table, the fair value of each equity award was estimated as of the relevant valuation date in accordance with FASB ASC Topic 718 as described in Note 13 to our financial statements for the fiscal year ended December 31, 2025 included in the Company’s Annual Report on Form 10-K filed with the SEC on February 12, 2026. The assumptions used were not materially changed from those described in Note 13 but were updated at each valuation date to reflect the then-current value of each variable.</w:t>
      </w:r>
    </w:p>
    <w:p>
      <w:pPr>
        <w:pStyle w:val="TextBody"/>
        <w:bidi w:val="0"/>
        <w:spacing w:lineRule="auto" w:line="288" w:before="0" w:after="0"/>
        <w:ind w:left="0" w:right="0" w:hanging="360"/>
        <w:jc w:val="both"/>
        <w:rPr>
          <w:rFonts w:ascii="Lato;sans-serif" w:hAnsi="Lato;sans-serif"/>
          <w:b w:val="false"/>
          <w:color w:val="000000"/>
          <w:sz w:val="16"/>
        </w:rPr>
      </w:pPr>
      <w:r>
        <w:rPr>
          <w:rFonts w:ascii="Lato;sans-serif" w:hAnsi="Lato;sans-serif"/>
          <w:b w:val="false"/>
          <w:color w:val="000000"/>
          <w:sz w:val="16"/>
        </w:rPr>
        <w:t>(6)Total shareholder return as calculated based on a fixed investment of one hundred dollars measured at the market close on December 31, 2020, on the Nasdaq Global Select Market through and including the end of the fiscal year for each year reported in the table as required by the Rule.</w:t>
      </w:r>
    </w:p>
    <w:p>
      <w:pPr>
        <w:pStyle w:val="TextBody"/>
        <w:bidi w:val="0"/>
        <w:spacing w:lineRule="auto" w:line="288" w:before="0" w:after="0"/>
        <w:ind w:left="0" w:right="0" w:hanging="360"/>
        <w:jc w:val="both"/>
        <w:rPr>
          <w:rFonts w:ascii="Lato;sans-serif" w:hAnsi="Lato;sans-serif"/>
          <w:b w:val="false"/>
          <w:color w:val="000000"/>
          <w:sz w:val="16"/>
        </w:rPr>
      </w:pPr>
      <w:r>
        <w:rPr>
          <w:rFonts w:ascii="Lato;sans-serif" w:hAnsi="Lato;sans-serif"/>
          <w:b w:val="false"/>
          <w:color w:val="000000"/>
          <w:sz w:val="16"/>
        </w:rPr>
        <w:t>(7)The Peer Group Total Shareholder Return set forth in this table utilizes the Nasdaq Computer Index (^IXCO).</w:t>
      </w:r>
    </w:p>
    <w:p>
      <w:pPr>
        <w:pStyle w:val="TextBody"/>
        <w:bidi w:val="0"/>
        <w:spacing w:lineRule="auto" w:line="288" w:before="0" w:after="0"/>
        <w:ind w:left="0" w:right="0" w:hanging="360"/>
        <w:jc w:val="both"/>
        <w:rPr>
          <w:rFonts w:ascii="Lato;sans-serif" w:hAnsi="Lato;sans-serif"/>
          <w:b w:val="false"/>
          <w:color w:val="000000"/>
          <w:sz w:val="16"/>
        </w:rPr>
      </w:pPr>
      <w:r>
        <w:rPr>
          <w:rFonts w:ascii="Lato;sans-serif" w:hAnsi="Lato;sans-serif"/>
          <w:b w:val="false"/>
          <w:color w:val="000000"/>
          <w:sz w:val="16"/>
        </w:rPr>
        <w:t>(8)For purposes of the Rule, we have identified AOI as our Company-Selected Measure for fiscal 2025. See Appendix A for a reconciliation of AOI to its most directly comparable GAAP financial measure.</w:t>
      </w:r>
    </w:p>
    <w:p>
      <w:pPr>
        <w:pStyle w:val="TextBody"/>
        <w:bidi w:val="0"/>
        <w:spacing w:lineRule="auto" w:line="288" w:before="300" w:after="180"/>
        <w:jc w:val="left"/>
        <w:rPr>
          <w:rFonts w:ascii="Lato;sans-serif" w:hAnsi="Lato;sans-serif"/>
          <w:b/>
          <w:i/>
          <w:color w:val="000000"/>
          <w:sz w:val="20"/>
        </w:rPr>
      </w:pPr>
      <w:r>
        <w:rPr>
          <w:rFonts w:ascii="Lato;sans-serif" w:hAnsi="Lato;sans-serif"/>
          <w:b/>
          <w:i/>
          <w:color w:val="000000"/>
          <w:sz w:val="20"/>
        </w:rPr>
        <w:t>Relationships Between Pay and Performance</w:t>
      </w:r>
    </w:p>
    <w:p>
      <w:pPr>
        <w:pStyle w:val="TextBody"/>
        <w:bidi w:val="0"/>
        <w:spacing w:lineRule="auto" w:line="288" w:before="0" w:after="180"/>
        <w:jc w:val="left"/>
        <w:rPr>
          <w:rFonts w:ascii="Lato;sans-serif" w:hAnsi="Lato;sans-serif"/>
          <w:b w:val="false"/>
          <w:i/>
          <w:color w:val="000000"/>
          <w:sz w:val="20"/>
        </w:rPr>
      </w:pPr>
      <w:r>
        <w:rPr>
          <w:rFonts w:ascii="Lato;sans-serif" w:hAnsi="Lato;sans-serif"/>
          <w:b w:val="false"/>
          <w:i/>
          <w:color w:val="000000"/>
          <w:sz w:val="20"/>
        </w:rPr>
        <w:t>Total Shareholder Return</w:t>
      </w:r>
    </w:p>
    <w:p>
      <w:pPr>
        <w:pStyle w:val="TextBody"/>
        <w:bidi w:val="0"/>
        <w:spacing w:lineRule="auto" w:line="256" w:before="0" w:after="180"/>
        <w:jc w:val="both"/>
        <w:rPr/>
      </w:pPr>
      <w:r>
        <w:rPr>
          <w:rFonts w:ascii="Lato;sans-serif" w:hAnsi="Lato;sans-serif"/>
          <w:b w:val="false"/>
          <w:color w:val="000000"/>
          <w:sz w:val="20"/>
        </w:rPr>
        <w:t>The following charts show the relationship between (1) PEO CAP and average non-PEO named executive officer CAP (each as calculated pursuant to the Rule) and (2) the cumulative total shareholder return of the Company for its last five completed fiscal (calendar) years. The charts also provide a comparison of the Company’s total shareholder return to the Compensation Comparison Group (“</w:t>
      </w:r>
      <w:r>
        <w:rPr>
          <w:rFonts w:ascii="Lato;sans-serif" w:hAnsi="Lato;sans-serif"/>
          <w:b/>
          <w:i/>
          <w:color w:val="000000"/>
          <w:sz w:val="20"/>
        </w:rPr>
        <w:t>CCG</w:t>
      </w:r>
      <w:r>
        <w:rPr>
          <w:color w:val="000000"/>
        </w:rPr>
        <w:t>”</w:t>
      </w:r>
      <w:r>
        <w:rPr>
          <w:rFonts w:ascii="Lato;sans-serif" w:hAnsi="Lato;sans-serif"/>
          <w:b w:val="false"/>
          <w:color w:val="000000"/>
          <w:sz w:val="20"/>
        </w:rPr>
        <w:t>) total shareholder return for the five-year period. The Company uses the Nasdaq Computer Index (^IXCO) as its CCG.</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4">
                <wp:simplePos x="0" y="0"/>
                <wp:positionH relativeFrom="character">
                  <wp:align>left</wp:align>
                </wp:positionH>
                <wp:positionV relativeFrom="line">
                  <wp:posOffset>635</wp:posOffset>
                </wp:positionV>
                <wp:extent cx="6480175" cy="352425"/>
                <wp:effectExtent l="0" t="0" r="0" b="0"/>
                <wp:wrapNone/>
                <wp:docPr id="100" name="Frame84"/>
                <a:graphic xmlns:a="http://schemas.openxmlformats.org/drawingml/2006/main">
                  <a:graphicData uri="http://schemas.microsoft.com/office/word/2010/wordprocessingShape">
                    <wps:wsp>
                      <wps:cNvSpPr txBox="1"/>
                      <wps:spPr>
                        <a:xfrm>
                          <a:off x="0" y="0"/>
                          <a:ext cx="6480175" cy="352425"/>
                        </a:xfrm>
                        <a:prstGeom prst="rect"/>
                        <a:solidFill>
                          <a:srgbClr val="FFFFFF"/>
                        </a:solidFill>
                      </wps:spPr>
                      <wps:txbx>
                        <w:txbxContent>
                          <w:p>
                            <w:pPr>
                              <w:pStyle w:val="TextBody"/>
                              <w:bidi w:val="0"/>
                              <w:spacing w:lineRule="auto" w:line="288" w:before="0" w:after="0"/>
                              <w:jc w:val="center"/>
                              <w:rPr>
                                <w:rFonts w:ascii="Lato;sans-serif" w:hAnsi="Lato;sans-serif"/>
                                <w:b w:val="false"/>
                                <w:color w:val="000000"/>
                                <w:sz w:val="20"/>
                              </w:rPr>
                            </w:pPr>
                            <w:r>
                              <w:rPr>
                                <w:rFonts w:ascii="Lato;sans-serif" w:hAnsi="Lato;sans-serif"/>
                                <w:b w:val="false"/>
                                <w:color w:val="000000"/>
                                <w:sz w:val="20"/>
                              </w:rPr>
                              <w:t>78</w:t>
                            </w:r>
                          </w:p>
                          <w:p>
                            <w:pPr>
                              <w:pStyle w:val="TextBody"/>
                              <w:bidi w:val="0"/>
                              <w:spacing w:lineRule="auto" w:line="288" w:before="0" w:after="0"/>
                              <w:jc w:val="left"/>
                              <w:rPr>
                                <w:color w:val="000000"/>
                              </w:rPr>
                            </w:pPr>
                            <w:r>
                              <w:rPr>
                                <w:color w:val="000000"/>
                              </w:rPr>
                              <w:t>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Lato;sans-serif" w:hAnsi="Lato;sans-serif"/>
                          <w:b w:val="false"/>
                          <w:color w:val="000000"/>
                          <w:sz w:val="20"/>
                        </w:rPr>
                      </w:pPr>
                      <w:r>
                        <w:rPr>
                          <w:rFonts w:ascii="Lato;sans-serif" w:hAnsi="Lato;sans-serif"/>
                          <w:b w:val="false"/>
                          <w:color w:val="000000"/>
                          <w:sz w:val="20"/>
                        </w:rPr>
                        <w:t>78</w:t>
                      </w:r>
                    </w:p>
                    <w:p>
                      <w:pPr>
                        <w:pStyle w:val="TextBody"/>
                        <w:bidi w:val="0"/>
                        <w:spacing w:lineRule="auto" w:line="288" w:before="0" w:after="0"/>
                        <w:jc w:val="left"/>
                        <w:rPr>
                          <w:color w:val="000000"/>
                        </w:rPr>
                      </w:pPr>
                      <w:r>
                        <w:rPr>
                          <w:color w:val="000000"/>
                        </w:rPr>
                        <w:t>        </w:t>
                      </w:r>
                    </w:p>
                  </w:txbxContent>
                </v:textbox>
                <w10:wrap type="none"/>
              </v:rect>
            </w:pict>
          </mc:Fallback>
        </mc:AlternateContent>
      </w:r>
    </w:p>
    <w:p>
      <w:pPr>
        <w:pStyle w:val="TextBody"/>
        <w:bidi w:val="0"/>
        <w:spacing w:before="0" w:after="0"/>
        <w:jc w:val="left"/>
        <w:rPr/>
      </w:pPr>
      <w:r>
        <w:rPr/>
      </w:r>
    </w:p>
    <w:tbl>
      <w:tblPr>
        <w:tblW w:w="7254" w:type="dxa"/>
        <w:jc w:val="left"/>
        <w:tblInd w:w="0" w:type="dxa"/>
        <w:tblLayout w:type="fixed"/>
        <w:tblCellMar>
          <w:top w:w="28" w:type="dxa"/>
          <w:left w:w="28" w:type="dxa"/>
          <w:bottom w:w="28" w:type="dxa"/>
          <w:right w:w="28" w:type="dxa"/>
        </w:tblCellMar>
      </w:tblPr>
      <w:tblGrid>
        <w:gridCol w:w="625"/>
        <w:gridCol w:w="549"/>
        <w:gridCol w:w="551"/>
        <w:gridCol w:w="507"/>
        <w:gridCol w:w="335"/>
        <w:gridCol w:w="287"/>
        <w:gridCol w:w="485"/>
        <w:gridCol w:w="321"/>
        <w:gridCol w:w="287"/>
        <w:gridCol w:w="455"/>
        <w:gridCol w:w="301"/>
        <w:gridCol w:w="287"/>
        <w:gridCol w:w="455"/>
        <w:gridCol w:w="301"/>
        <w:gridCol w:w="287"/>
        <w:gridCol w:w="491"/>
        <w:gridCol w:w="325"/>
        <w:gridCol w:w="405"/>
      </w:tblGrid>
      <w:tr>
        <w:trPr/>
        <w:tc>
          <w:tcPr>
            <w:tcW w:w="625" w:type="dxa"/>
            <w:tcBorders/>
            <w:vAlign w:val="center"/>
          </w:tcPr>
          <w:p>
            <w:pPr>
              <w:pStyle w:val="TableContents"/>
              <w:bidi w:val="0"/>
              <w:spacing w:before="0" w:after="283"/>
              <w:jc w:val="left"/>
              <w:rPr>
                <w:sz w:val="4"/>
                <w:szCs w:val="4"/>
              </w:rPr>
            </w:pPr>
            <w:r>
              <w:rPr>
                <w:sz w:val="4"/>
                <w:szCs w:val="4"/>
              </w:rPr>
            </w:r>
          </w:p>
        </w:tc>
        <w:tc>
          <w:tcPr>
            <w:tcW w:w="549"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c>
          <w:tcPr>
            <w:tcW w:w="507"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405" w:type="dxa"/>
            <w:tcBorders/>
            <w:vAlign w:val="center"/>
          </w:tcPr>
          <w:p>
            <w:pPr>
              <w:pStyle w:val="TableContents"/>
              <w:bidi w:val="0"/>
              <w:spacing w:before="0" w:after="283"/>
              <w:jc w:val="left"/>
              <w:rPr>
                <w:sz w:val="4"/>
                <w:szCs w:val="4"/>
              </w:rPr>
            </w:pPr>
            <w:r>
              <w:rPr>
                <w:sz w:val="4"/>
                <w:szCs w:val="4"/>
              </w:rPr>
            </w:r>
          </w:p>
        </w:tc>
      </w:tr>
      <w:tr>
        <w:trPr/>
        <w:tc>
          <w:tcPr>
            <w:tcW w:w="1725" w:type="dxa"/>
            <w:gridSpan w:val="3"/>
            <w:tcBorders/>
            <w:shd w:fill="F4423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9" w:type="dxa"/>
            <w:gridSpan w:val="15"/>
            <w:tcBorders/>
            <w:shd w:fill="F44238" w:val="clear"/>
            <w:tcMar>
              <w:top w:w="0" w:type="dxa"/>
              <w:left w:w="0" w:type="dxa"/>
              <w:bottom w:w="0" w:type="dxa"/>
              <w:right w:w="0" w:type="dxa"/>
            </w:tcMar>
            <w:vAlign w:val="center"/>
          </w:tcPr>
          <w:p>
            <w:pPr>
              <w:pStyle w:val="TableContents"/>
              <w:bidi w:val="0"/>
              <w:spacing w:lineRule="auto" w:line="268" w:before="0" w:after="283"/>
              <w:jc w:val="center"/>
              <w:rPr>
                <w:rFonts w:ascii="Lato;sans-serif" w:hAnsi="Lato;sans-serif"/>
                <w:b/>
                <w:color w:val="FFFFFF"/>
                <w:sz w:val="16"/>
              </w:rPr>
            </w:pPr>
            <w:r>
              <w:rPr>
                <w:rFonts w:ascii="Lato;sans-serif" w:hAnsi="Lato;sans-serif"/>
                <w:b/>
                <w:color w:val="FFFFFF"/>
                <w:sz w:val="16"/>
              </w:rPr>
              <w:t>PEO Compensation vs. Company and CCG TSR</w:t>
            </w:r>
          </w:p>
        </w:tc>
      </w:tr>
      <w:tr>
        <w:trPr/>
        <w:tc>
          <w:tcPr>
            <w:tcW w:w="1725" w:type="dxa"/>
            <w:gridSpan w:val="3"/>
            <w:tcBorders/>
            <w:shd w:fill="F4423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3"/>
            <w:tcBorders/>
            <w:shd w:fill="F44238" w:val="clear"/>
            <w:tcMar>
              <w:top w:w="0" w:type="dxa"/>
              <w:left w:w="0" w:type="dxa"/>
              <w:bottom w:w="0" w:type="dxa"/>
              <w:right w:w="0" w:type="dxa"/>
            </w:tcMar>
            <w:vAlign w:val="center"/>
          </w:tcPr>
          <w:p>
            <w:pPr>
              <w:pStyle w:val="TableContents"/>
              <w:bidi w:val="0"/>
              <w:spacing w:lineRule="auto" w:line="268" w:before="0" w:after="283"/>
              <w:jc w:val="center"/>
              <w:rPr>
                <w:rFonts w:ascii="Lato;sans-serif" w:hAnsi="Lato;sans-serif"/>
                <w:b/>
                <w:color w:val="FFFFFF"/>
                <w:sz w:val="16"/>
              </w:rPr>
            </w:pPr>
            <w:r>
              <w:rPr>
                <w:rFonts w:ascii="Lato;sans-serif" w:hAnsi="Lato;sans-serif"/>
                <w:b/>
                <w:color w:val="FFFFFF"/>
                <w:sz w:val="16"/>
              </w:rPr>
              <w:t>2021</w:t>
            </w:r>
          </w:p>
        </w:tc>
        <w:tc>
          <w:tcPr>
            <w:tcW w:w="1093" w:type="dxa"/>
            <w:gridSpan w:val="3"/>
            <w:tcBorders/>
            <w:shd w:fill="F44238" w:val="clear"/>
            <w:tcMar>
              <w:top w:w="0" w:type="dxa"/>
              <w:left w:w="0" w:type="dxa"/>
              <w:bottom w:w="0" w:type="dxa"/>
              <w:right w:w="0" w:type="dxa"/>
            </w:tcMar>
            <w:vAlign w:val="center"/>
          </w:tcPr>
          <w:p>
            <w:pPr>
              <w:pStyle w:val="TableContents"/>
              <w:bidi w:val="0"/>
              <w:spacing w:lineRule="auto" w:line="268" w:before="0" w:after="283"/>
              <w:jc w:val="center"/>
              <w:rPr>
                <w:rFonts w:ascii="Lato;sans-serif" w:hAnsi="Lato;sans-serif"/>
                <w:b/>
                <w:color w:val="FFFFFF"/>
                <w:sz w:val="16"/>
              </w:rPr>
            </w:pPr>
            <w:r>
              <w:rPr>
                <w:rFonts w:ascii="Lato;sans-serif" w:hAnsi="Lato;sans-serif"/>
                <w:b/>
                <w:color w:val="FFFFFF"/>
                <w:sz w:val="16"/>
              </w:rPr>
              <w:t>2022</w:t>
            </w:r>
          </w:p>
        </w:tc>
        <w:tc>
          <w:tcPr>
            <w:tcW w:w="1043" w:type="dxa"/>
            <w:gridSpan w:val="3"/>
            <w:tcBorders/>
            <w:shd w:fill="F44238" w:val="clear"/>
            <w:tcMar>
              <w:top w:w="0" w:type="dxa"/>
              <w:left w:w="0" w:type="dxa"/>
              <w:bottom w:w="0" w:type="dxa"/>
              <w:right w:w="0" w:type="dxa"/>
            </w:tcMar>
            <w:vAlign w:val="center"/>
          </w:tcPr>
          <w:p>
            <w:pPr>
              <w:pStyle w:val="TableContents"/>
              <w:bidi w:val="0"/>
              <w:spacing w:lineRule="auto" w:line="268" w:before="0" w:after="283"/>
              <w:jc w:val="center"/>
              <w:rPr>
                <w:rFonts w:ascii="Lato;sans-serif" w:hAnsi="Lato;sans-serif"/>
                <w:b/>
                <w:color w:val="FFFFFF"/>
                <w:sz w:val="16"/>
              </w:rPr>
            </w:pPr>
            <w:r>
              <w:rPr>
                <w:rFonts w:ascii="Lato;sans-serif" w:hAnsi="Lato;sans-serif"/>
                <w:b/>
                <w:color w:val="FFFFFF"/>
                <w:sz w:val="16"/>
              </w:rPr>
              <w:t>2023</w:t>
            </w:r>
          </w:p>
        </w:tc>
        <w:tc>
          <w:tcPr>
            <w:tcW w:w="1043" w:type="dxa"/>
            <w:gridSpan w:val="3"/>
            <w:tcBorders/>
            <w:shd w:fill="F44238" w:val="clear"/>
            <w:tcMar>
              <w:top w:w="0" w:type="dxa"/>
              <w:left w:w="0" w:type="dxa"/>
              <w:bottom w:w="0" w:type="dxa"/>
              <w:right w:w="0" w:type="dxa"/>
            </w:tcMar>
            <w:vAlign w:val="center"/>
          </w:tcPr>
          <w:p>
            <w:pPr>
              <w:pStyle w:val="TableContents"/>
              <w:bidi w:val="0"/>
              <w:spacing w:lineRule="auto" w:line="268" w:before="0" w:after="283"/>
              <w:jc w:val="center"/>
              <w:rPr>
                <w:rFonts w:ascii="Lato;sans-serif" w:hAnsi="Lato;sans-serif"/>
                <w:b/>
                <w:color w:val="FFFFFF"/>
                <w:sz w:val="16"/>
              </w:rPr>
            </w:pPr>
            <w:r>
              <w:rPr>
                <w:rFonts w:ascii="Lato;sans-serif" w:hAnsi="Lato;sans-serif"/>
                <w:b/>
                <w:color w:val="FFFFFF"/>
                <w:sz w:val="16"/>
              </w:rPr>
              <w:t>2024</w:t>
            </w:r>
          </w:p>
        </w:tc>
        <w:tc>
          <w:tcPr>
            <w:tcW w:w="1221" w:type="dxa"/>
            <w:gridSpan w:val="3"/>
            <w:tcBorders/>
            <w:shd w:fill="F44238" w:val="clear"/>
            <w:tcMar>
              <w:top w:w="0" w:type="dxa"/>
              <w:left w:w="0" w:type="dxa"/>
              <w:bottom w:w="0" w:type="dxa"/>
              <w:right w:w="0" w:type="dxa"/>
            </w:tcMar>
            <w:vAlign w:val="center"/>
          </w:tcPr>
          <w:p>
            <w:pPr>
              <w:pStyle w:val="TableContents"/>
              <w:bidi w:val="0"/>
              <w:spacing w:lineRule="auto" w:line="268" w:before="0" w:after="283"/>
              <w:jc w:val="center"/>
              <w:rPr>
                <w:rFonts w:ascii="Lato;sans-serif" w:hAnsi="Lato;sans-serif"/>
                <w:b/>
                <w:color w:val="FFFFFF"/>
                <w:sz w:val="16"/>
              </w:rPr>
            </w:pPr>
            <w:r>
              <w:rPr>
                <w:rFonts w:ascii="Lato;sans-serif" w:hAnsi="Lato;sans-serif"/>
                <w:b/>
                <w:color w:val="FFFFFF"/>
                <w:sz w:val="16"/>
              </w:rPr>
              <w:t>2025</w:t>
            </w:r>
          </w:p>
        </w:tc>
      </w:tr>
      <w:tr>
        <w:trPr/>
        <w:tc>
          <w:tcPr>
            <w:tcW w:w="1725"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Lato;sans-serif" w:hAnsi="Lato;sans-serif"/>
                <w:b w:val="false"/>
                <w:color w:val="000000"/>
                <w:sz w:val="16"/>
              </w:rPr>
            </w:pPr>
            <w:r>
              <w:rPr>
                <w:rFonts w:ascii="Lato;sans-serif" w:hAnsi="Lato;sans-serif"/>
                <w:b w:val="false"/>
                <w:color w:val="000000"/>
                <w:sz w:val="16"/>
              </w:rPr>
              <w:t>PEO Compensation</w:t>
            </w:r>
          </w:p>
        </w:tc>
        <w:tc>
          <w:tcPr>
            <w:tcW w:w="1129"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68" w:before="0" w:after="283"/>
              <w:jc w:val="center"/>
              <w:rPr>
                <w:rFonts w:ascii="Lato;sans-serif" w:hAnsi="Lato;sans-serif"/>
                <w:b w:val="false"/>
                <w:color w:val="000000"/>
                <w:sz w:val="16"/>
              </w:rPr>
            </w:pPr>
            <w:r>
              <w:rPr>
                <w:rFonts w:ascii="Lato;sans-serif" w:hAnsi="Lato;sans-serif"/>
                <w:b w:val="false"/>
                <w:color w:val="000000"/>
                <w:sz w:val="16"/>
              </w:rPr>
              <w:t>12,173,581</w:t>
            </w:r>
          </w:p>
        </w:tc>
        <w:tc>
          <w:tcPr>
            <w:tcW w:w="1093"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68" w:before="0" w:after="283"/>
              <w:jc w:val="center"/>
              <w:rPr>
                <w:rFonts w:ascii="Lato;sans-serif" w:hAnsi="Lato;sans-serif"/>
                <w:b w:val="false"/>
                <w:color w:val="000000"/>
                <w:sz w:val="16"/>
              </w:rPr>
            </w:pPr>
            <w:r>
              <w:rPr>
                <w:rFonts w:ascii="Lato;sans-serif" w:hAnsi="Lato;sans-serif"/>
                <w:b w:val="false"/>
                <w:color w:val="000000"/>
                <w:sz w:val="16"/>
              </w:rPr>
              <w:t>(9,307,765)</w:t>
            </w:r>
          </w:p>
        </w:tc>
        <w:tc>
          <w:tcPr>
            <w:tcW w:w="1043"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68" w:before="0" w:after="283"/>
              <w:jc w:val="center"/>
              <w:rPr>
                <w:rFonts w:ascii="Lato;sans-serif" w:hAnsi="Lato;sans-serif"/>
                <w:b w:val="false"/>
                <w:color w:val="000000"/>
                <w:sz w:val="16"/>
              </w:rPr>
            </w:pPr>
            <w:r>
              <w:rPr>
                <w:rFonts w:ascii="Lato;sans-serif" w:hAnsi="Lato;sans-serif"/>
                <w:b w:val="false"/>
                <w:color w:val="000000"/>
                <w:sz w:val="16"/>
              </w:rPr>
              <w:t>2,304,429</w:t>
            </w:r>
          </w:p>
        </w:tc>
        <w:tc>
          <w:tcPr>
            <w:tcW w:w="1043"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68" w:before="0" w:after="283"/>
              <w:jc w:val="center"/>
              <w:rPr>
                <w:rFonts w:ascii="Lato;sans-serif" w:hAnsi="Lato;sans-serif"/>
                <w:b w:val="false"/>
                <w:color w:val="000000"/>
                <w:sz w:val="16"/>
              </w:rPr>
            </w:pPr>
            <w:r>
              <w:rPr>
                <w:rFonts w:ascii="Lato;sans-serif" w:hAnsi="Lato;sans-serif"/>
                <w:b w:val="false"/>
                <w:color w:val="000000"/>
                <w:sz w:val="16"/>
              </w:rPr>
              <w:t>1,024,960</w:t>
            </w:r>
          </w:p>
        </w:tc>
        <w:tc>
          <w:tcPr>
            <w:tcW w:w="122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68" w:before="0" w:after="283"/>
              <w:jc w:val="center"/>
              <w:rPr>
                <w:rFonts w:ascii="Lato;sans-serif" w:hAnsi="Lato;sans-serif"/>
                <w:b w:val="false"/>
                <w:color w:val="000000"/>
                <w:sz w:val="16"/>
              </w:rPr>
            </w:pPr>
            <w:r>
              <w:rPr>
                <w:rFonts w:ascii="Lato;sans-serif" w:hAnsi="Lato;sans-serif"/>
                <w:b w:val="false"/>
                <w:color w:val="000000"/>
                <w:sz w:val="16"/>
              </w:rPr>
              <w:t>35,270,457</w:t>
            </w:r>
          </w:p>
        </w:tc>
      </w:tr>
      <w:tr>
        <w:trPr/>
        <w:tc>
          <w:tcPr>
            <w:tcW w:w="1725" w:type="dxa"/>
            <w:gridSpan w:val="3"/>
            <w:tcBorders/>
            <w:shd w:fill="DBDBDB" w:val="clear"/>
            <w:tcMar>
              <w:top w:w="0" w:type="dxa"/>
              <w:left w:w="0" w:type="dxa"/>
              <w:bottom w:w="0" w:type="dxa"/>
              <w:right w:w="0" w:type="dxa"/>
            </w:tcMar>
            <w:vAlign w:val="center"/>
          </w:tcPr>
          <w:p>
            <w:pPr>
              <w:pStyle w:val="TableContents"/>
              <w:bidi w:val="0"/>
              <w:spacing w:lineRule="auto" w:line="268" w:before="0" w:after="283"/>
              <w:jc w:val="left"/>
              <w:rPr>
                <w:rFonts w:ascii="Lato;sans-serif" w:hAnsi="Lato;sans-serif"/>
                <w:b w:val="false"/>
                <w:color w:val="000000"/>
                <w:sz w:val="16"/>
              </w:rPr>
            </w:pPr>
            <w:r>
              <w:rPr>
                <w:rFonts w:ascii="Lato;sans-serif" w:hAnsi="Lato;sans-serif"/>
                <w:b w:val="false"/>
                <w:color w:val="000000"/>
                <w:sz w:val="16"/>
              </w:rPr>
              <w:t>Company TSR</w:t>
            </w:r>
          </w:p>
        </w:tc>
        <w:tc>
          <w:tcPr>
            <w:tcW w:w="1129"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Lato;sans-serif" w:hAnsi="Lato;sans-serif"/>
                <w:b w:val="false"/>
                <w:color w:val="000000"/>
                <w:sz w:val="16"/>
              </w:rPr>
            </w:pPr>
            <w:r>
              <w:rPr>
                <w:rFonts w:ascii="Lato;sans-serif" w:hAnsi="Lato;sans-serif"/>
                <w:b w:val="false"/>
                <w:color w:val="000000"/>
                <w:sz w:val="16"/>
              </w:rPr>
              <w:t>188.82</w:t>
            </w:r>
          </w:p>
        </w:tc>
        <w:tc>
          <w:tcPr>
            <w:tcW w:w="1093"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Lato;sans-serif" w:hAnsi="Lato;sans-serif"/>
                <w:b w:val="false"/>
                <w:color w:val="000000"/>
                <w:sz w:val="16"/>
              </w:rPr>
            </w:pPr>
            <w:r>
              <w:rPr>
                <w:rFonts w:ascii="Lato;sans-serif" w:hAnsi="Lato;sans-serif"/>
                <w:b w:val="false"/>
                <w:color w:val="000000"/>
                <w:sz w:val="16"/>
              </w:rPr>
              <w:t>88.56</w:t>
            </w:r>
          </w:p>
        </w:tc>
        <w:tc>
          <w:tcPr>
            <w:tcW w:w="1043"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Lato;sans-serif" w:hAnsi="Lato;sans-serif"/>
                <w:b w:val="false"/>
                <w:color w:val="000000"/>
                <w:sz w:val="16"/>
              </w:rPr>
            </w:pPr>
            <w:r>
              <w:rPr>
                <w:rFonts w:ascii="Lato;sans-serif" w:hAnsi="Lato;sans-serif"/>
                <w:b w:val="false"/>
                <w:color w:val="000000"/>
                <w:sz w:val="16"/>
              </w:rPr>
              <w:t>54.38</w:t>
            </w:r>
          </w:p>
        </w:tc>
        <w:tc>
          <w:tcPr>
            <w:tcW w:w="1043"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Lato;sans-serif" w:hAnsi="Lato;sans-serif"/>
                <w:b w:val="false"/>
                <w:color w:val="000000"/>
                <w:sz w:val="16"/>
              </w:rPr>
            </w:pPr>
            <w:r>
              <w:rPr>
                <w:rFonts w:ascii="Lato;sans-serif" w:hAnsi="Lato;sans-serif"/>
                <w:b w:val="false"/>
                <w:color w:val="000000"/>
                <w:sz w:val="16"/>
              </w:rPr>
              <w:t>30.91</w:t>
            </w:r>
          </w:p>
        </w:tc>
        <w:tc>
          <w:tcPr>
            <w:tcW w:w="1221"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Lato;sans-serif" w:hAnsi="Lato;sans-serif"/>
                <w:b w:val="false"/>
                <w:color w:val="000000"/>
                <w:sz w:val="16"/>
              </w:rPr>
            </w:pPr>
            <w:r>
              <w:rPr>
                <w:rFonts w:ascii="Lato;sans-serif" w:hAnsi="Lato;sans-serif"/>
                <w:b w:val="false"/>
                <w:color w:val="000000"/>
                <w:sz w:val="16"/>
              </w:rPr>
              <w:t>21.09</w:t>
            </w:r>
          </w:p>
        </w:tc>
      </w:tr>
      <w:tr>
        <w:trPr/>
        <w:tc>
          <w:tcPr>
            <w:tcW w:w="1725"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Lato;sans-serif" w:hAnsi="Lato;sans-serif"/>
                <w:b w:val="false"/>
                <w:color w:val="000000"/>
                <w:sz w:val="16"/>
              </w:rPr>
            </w:pPr>
            <w:r>
              <w:rPr>
                <w:rFonts w:ascii="Lato;sans-serif" w:hAnsi="Lato;sans-serif"/>
                <w:b w:val="false"/>
                <w:color w:val="000000"/>
                <w:sz w:val="16"/>
              </w:rPr>
              <w:t>CCG TSR</w:t>
            </w:r>
          </w:p>
        </w:tc>
        <w:tc>
          <w:tcPr>
            <w:tcW w:w="11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Lato;sans-serif" w:hAnsi="Lato;sans-serif"/>
                <w:b w:val="false"/>
                <w:color w:val="000000"/>
                <w:sz w:val="16"/>
              </w:rPr>
            </w:pPr>
            <w:r>
              <w:rPr>
                <w:rFonts w:ascii="Lato;sans-serif" w:hAnsi="Lato;sans-serif"/>
                <w:b w:val="false"/>
                <w:color w:val="000000"/>
                <w:sz w:val="16"/>
              </w:rPr>
              <w:t>187.38</w:t>
            </w:r>
          </w:p>
        </w:tc>
        <w:tc>
          <w:tcPr>
            <w:tcW w:w="10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Lato;sans-serif" w:hAnsi="Lato;sans-serif"/>
                <w:b w:val="false"/>
                <w:color w:val="000000"/>
                <w:sz w:val="16"/>
              </w:rPr>
            </w:pPr>
            <w:r>
              <w:rPr>
                <w:rFonts w:ascii="Lato;sans-serif" w:hAnsi="Lato;sans-serif"/>
                <w:b w:val="false"/>
                <w:color w:val="000000"/>
                <w:sz w:val="16"/>
              </w:rPr>
              <w:t>120.35</w:t>
            </w:r>
          </w:p>
        </w:tc>
        <w:tc>
          <w:tcPr>
            <w:tcW w:w="10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Lato;sans-serif" w:hAnsi="Lato;sans-serif"/>
                <w:b w:val="false"/>
                <w:color w:val="000000"/>
                <w:sz w:val="16"/>
              </w:rPr>
            </w:pPr>
            <w:r>
              <w:rPr>
                <w:rFonts w:ascii="Lato;sans-serif" w:hAnsi="Lato;sans-serif"/>
                <w:b w:val="false"/>
                <w:color w:val="000000"/>
                <w:sz w:val="16"/>
              </w:rPr>
              <w:t>200.34</w:t>
            </w:r>
          </w:p>
        </w:tc>
        <w:tc>
          <w:tcPr>
            <w:tcW w:w="10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Lato;sans-serif" w:hAnsi="Lato;sans-serif"/>
                <w:b w:val="false"/>
                <w:color w:val="000000"/>
                <w:sz w:val="16"/>
              </w:rPr>
            </w:pPr>
            <w:r>
              <w:rPr>
                <w:rFonts w:ascii="Lato;sans-serif" w:hAnsi="Lato;sans-serif"/>
                <w:b w:val="false"/>
                <w:color w:val="000000"/>
                <w:sz w:val="16"/>
              </w:rPr>
              <w:t>273.18</w:t>
            </w:r>
          </w:p>
        </w:tc>
        <w:tc>
          <w:tcPr>
            <w:tcW w:w="12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Lato;sans-serif" w:hAnsi="Lato;sans-serif"/>
                <w:b w:val="false"/>
                <w:color w:val="000000"/>
                <w:sz w:val="16"/>
              </w:rPr>
            </w:pPr>
            <w:r>
              <w:rPr>
                <w:rFonts w:ascii="Lato;sans-serif" w:hAnsi="Lato;sans-serif"/>
                <w:b w:val="false"/>
                <w:color w:val="000000"/>
                <w:sz w:val="16"/>
              </w:rPr>
              <w:t>258.44</w:t>
            </w:r>
          </w:p>
        </w:tc>
      </w:tr>
    </w:tbl>
    <w:tbl>
      <w:tblPr>
        <w:tblW w:w="7621" w:type="dxa"/>
        <w:jc w:val="left"/>
        <w:tblInd w:w="0" w:type="dxa"/>
        <w:tblLayout w:type="fixed"/>
        <w:tblCellMar>
          <w:top w:w="28" w:type="dxa"/>
          <w:left w:w="28" w:type="dxa"/>
          <w:bottom w:w="28" w:type="dxa"/>
          <w:right w:w="28" w:type="dxa"/>
        </w:tblCellMar>
      </w:tblPr>
      <w:tblGrid>
        <w:gridCol w:w="907"/>
        <w:gridCol w:w="797"/>
        <w:gridCol w:w="800"/>
        <w:gridCol w:w="509"/>
        <w:gridCol w:w="334"/>
        <w:gridCol w:w="288"/>
        <w:gridCol w:w="487"/>
        <w:gridCol w:w="319"/>
        <w:gridCol w:w="288"/>
        <w:gridCol w:w="457"/>
        <w:gridCol w:w="300"/>
        <w:gridCol w:w="288"/>
        <w:gridCol w:w="288"/>
        <w:gridCol w:w="288"/>
        <w:gridCol w:w="288"/>
        <w:gridCol w:w="288"/>
        <w:gridCol w:w="288"/>
        <w:gridCol w:w="407"/>
      </w:tblGrid>
      <w:tr>
        <w:trPr/>
        <w:tc>
          <w:tcPr>
            <w:tcW w:w="907" w:type="dxa"/>
            <w:tcBorders/>
            <w:vAlign w:val="center"/>
          </w:tcPr>
          <w:p>
            <w:pPr>
              <w:pStyle w:val="TableContents"/>
              <w:bidi w:val="0"/>
              <w:spacing w:before="0" w:after="283"/>
              <w:jc w:val="left"/>
              <w:rPr>
                <w:sz w:val="4"/>
                <w:szCs w:val="4"/>
              </w:rPr>
            </w:pPr>
            <w:r>
              <w:rPr>
                <w:sz w:val="4"/>
                <w:szCs w:val="4"/>
              </w:rPr>
            </w:r>
          </w:p>
        </w:tc>
        <w:tc>
          <w:tcPr>
            <w:tcW w:w="797"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487"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457"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407" w:type="dxa"/>
            <w:tcBorders/>
            <w:vAlign w:val="center"/>
          </w:tcPr>
          <w:p>
            <w:pPr>
              <w:pStyle w:val="TableContents"/>
              <w:bidi w:val="0"/>
              <w:spacing w:before="0" w:after="283"/>
              <w:jc w:val="left"/>
              <w:rPr>
                <w:sz w:val="4"/>
                <w:szCs w:val="4"/>
              </w:rPr>
            </w:pPr>
            <w:r>
              <w:rPr>
                <w:sz w:val="4"/>
                <w:szCs w:val="4"/>
              </w:rPr>
            </w:r>
          </w:p>
        </w:tc>
      </w:tr>
      <w:tr>
        <w:trPr/>
        <w:tc>
          <w:tcPr>
            <w:tcW w:w="2504" w:type="dxa"/>
            <w:gridSpan w:val="3"/>
            <w:tcBorders/>
            <w:shd w:fill="F4423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7" w:type="dxa"/>
            <w:gridSpan w:val="15"/>
            <w:tcBorders/>
            <w:shd w:fill="F44238" w:val="clear"/>
            <w:tcMar>
              <w:top w:w="0" w:type="dxa"/>
              <w:left w:w="0" w:type="dxa"/>
              <w:bottom w:w="0" w:type="dxa"/>
              <w:right w:w="0" w:type="dxa"/>
            </w:tcMar>
            <w:vAlign w:val="center"/>
          </w:tcPr>
          <w:p>
            <w:pPr>
              <w:pStyle w:val="TableContents"/>
              <w:bidi w:val="0"/>
              <w:spacing w:lineRule="auto" w:line="268" w:before="0" w:after="283"/>
              <w:jc w:val="center"/>
              <w:rPr>
                <w:rFonts w:ascii="Lato;sans-serif" w:hAnsi="Lato;sans-serif"/>
                <w:b/>
                <w:color w:val="FFFFFF"/>
                <w:sz w:val="16"/>
              </w:rPr>
            </w:pPr>
            <w:r>
              <w:rPr>
                <w:rFonts w:ascii="Lato;sans-serif" w:hAnsi="Lato;sans-serif"/>
                <w:b/>
                <w:color w:val="FFFFFF"/>
                <w:sz w:val="16"/>
              </w:rPr>
              <w:t>NEO Compensation vs. Company and CCG TSR</w:t>
            </w:r>
          </w:p>
        </w:tc>
      </w:tr>
      <w:tr>
        <w:trPr/>
        <w:tc>
          <w:tcPr>
            <w:tcW w:w="2504" w:type="dxa"/>
            <w:gridSpan w:val="3"/>
            <w:tcBorders/>
            <w:shd w:fill="F4423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shd w:fill="F44238" w:val="clear"/>
            <w:tcMar>
              <w:top w:w="0" w:type="dxa"/>
              <w:left w:w="0" w:type="dxa"/>
              <w:bottom w:w="0" w:type="dxa"/>
              <w:right w:w="0" w:type="dxa"/>
            </w:tcMar>
            <w:vAlign w:val="center"/>
          </w:tcPr>
          <w:p>
            <w:pPr>
              <w:pStyle w:val="TableContents"/>
              <w:bidi w:val="0"/>
              <w:spacing w:lineRule="auto" w:line="268" w:before="0" w:after="283"/>
              <w:jc w:val="center"/>
              <w:rPr>
                <w:rFonts w:ascii="Lato;sans-serif" w:hAnsi="Lato;sans-serif"/>
                <w:b/>
                <w:color w:val="FFFFFF"/>
                <w:sz w:val="16"/>
              </w:rPr>
            </w:pPr>
            <w:r>
              <w:rPr>
                <w:rFonts w:ascii="Lato;sans-serif" w:hAnsi="Lato;sans-serif"/>
                <w:b/>
                <w:color w:val="FFFFFF"/>
                <w:sz w:val="16"/>
              </w:rPr>
              <w:t>2021</w:t>
            </w:r>
          </w:p>
        </w:tc>
        <w:tc>
          <w:tcPr>
            <w:tcW w:w="1094" w:type="dxa"/>
            <w:gridSpan w:val="3"/>
            <w:tcBorders/>
            <w:shd w:fill="F44238" w:val="clear"/>
            <w:tcMar>
              <w:top w:w="0" w:type="dxa"/>
              <w:left w:w="0" w:type="dxa"/>
              <w:bottom w:w="0" w:type="dxa"/>
              <w:right w:w="0" w:type="dxa"/>
            </w:tcMar>
            <w:vAlign w:val="center"/>
          </w:tcPr>
          <w:p>
            <w:pPr>
              <w:pStyle w:val="TableContents"/>
              <w:bidi w:val="0"/>
              <w:spacing w:lineRule="auto" w:line="268" w:before="0" w:after="283"/>
              <w:jc w:val="center"/>
              <w:rPr>
                <w:rFonts w:ascii="Lato;sans-serif" w:hAnsi="Lato;sans-serif"/>
                <w:b/>
                <w:color w:val="FFFFFF"/>
                <w:sz w:val="16"/>
              </w:rPr>
            </w:pPr>
            <w:r>
              <w:rPr>
                <w:rFonts w:ascii="Lato;sans-serif" w:hAnsi="Lato;sans-serif"/>
                <w:b/>
                <w:color w:val="FFFFFF"/>
                <w:sz w:val="16"/>
              </w:rPr>
              <w:t>2022</w:t>
            </w:r>
          </w:p>
        </w:tc>
        <w:tc>
          <w:tcPr>
            <w:tcW w:w="1045" w:type="dxa"/>
            <w:gridSpan w:val="3"/>
            <w:tcBorders/>
            <w:shd w:fill="F44238" w:val="clear"/>
            <w:tcMar>
              <w:top w:w="0" w:type="dxa"/>
              <w:left w:w="0" w:type="dxa"/>
              <w:bottom w:w="0" w:type="dxa"/>
              <w:right w:w="0" w:type="dxa"/>
            </w:tcMar>
            <w:vAlign w:val="center"/>
          </w:tcPr>
          <w:p>
            <w:pPr>
              <w:pStyle w:val="TableContents"/>
              <w:bidi w:val="0"/>
              <w:spacing w:lineRule="auto" w:line="268" w:before="0" w:after="283"/>
              <w:jc w:val="center"/>
              <w:rPr>
                <w:rFonts w:ascii="Lato;sans-serif" w:hAnsi="Lato;sans-serif"/>
                <w:b/>
                <w:color w:val="FFFFFF"/>
                <w:sz w:val="16"/>
              </w:rPr>
            </w:pPr>
            <w:r>
              <w:rPr>
                <w:rFonts w:ascii="Lato;sans-serif" w:hAnsi="Lato;sans-serif"/>
                <w:b/>
                <w:color w:val="FFFFFF"/>
                <w:sz w:val="16"/>
              </w:rPr>
              <w:t>2023</w:t>
            </w:r>
          </w:p>
        </w:tc>
        <w:tc>
          <w:tcPr>
            <w:tcW w:w="864" w:type="dxa"/>
            <w:gridSpan w:val="3"/>
            <w:tcBorders/>
            <w:shd w:fill="F44238" w:val="clear"/>
            <w:tcMar>
              <w:top w:w="0" w:type="dxa"/>
              <w:left w:w="0" w:type="dxa"/>
              <w:bottom w:w="0" w:type="dxa"/>
              <w:right w:w="0" w:type="dxa"/>
            </w:tcMar>
            <w:vAlign w:val="center"/>
          </w:tcPr>
          <w:p>
            <w:pPr>
              <w:pStyle w:val="TableContents"/>
              <w:bidi w:val="0"/>
              <w:spacing w:lineRule="auto" w:line="268" w:before="0" w:after="283"/>
              <w:jc w:val="center"/>
              <w:rPr>
                <w:rFonts w:ascii="Lato;sans-serif" w:hAnsi="Lato;sans-serif"/>
                <w:b/>
                <w:color w:val="FFFFFF"/>
                <w:sz w:val="16"/>
              </w:rPr>
            </w:pPr>
            <w:r>
              <w:rPr>
                <w:rFonts w:ascii="Lato;sans-serif" w:hAnsi="Lato;sans-serif"/>
                <w:b/>
                <w:color w:val="FFFFFF"/>
                <w:sz w:val="16"/>
              </w:rPr>
              <w:t>2024</w:t>
            </w:r>
          </w:p>
        </w:tc>
        <w:tc>
          <w:tcPr>
            <w:tcW w:w="983" w:type="dxa"/>
            <w:gridSpan w:val="3"/>
            <w:tcBorders/>
            <w:shd w:fill="F44238" w:val="clear"/>
            <w:tcMar>
              <w:top w:w="0" w:type="dxa"/>
              <w:left w:w="0" w:type="dxa"/>
              <w:bottom w:w="0" w:type="dxa"/>
              <w:right w:w="0" w:type="dxa"/>
            </w:tcMar>
            <w:vAlign w:val="center"/>
          </w:tcPr>
          <w:p>
            <w:pPr>
              <w:pStyle w:val="TableContents"/>
              <w:bidi w:val="0"/>
              <w:spacing w:lineRule="auto" w:line="268" w:before="0" w:after="283"/>
              <w:jc w:val="center"/>
              <w:rPr>
                <w:rFonts w:ascii="Lato;sans-serif" w:hAnsi="Lato;sans-serif"/>
                <w:b/>
                <w:color w:val="FFFFFF"/>
                <w:sz w:val="16"/>
              </w:rPr>
            </w:pPr>
            <w:r>
              <w:rPr>
                <w:rFonts w:ascii="Lato;sans-serif" w:hAnsi="Lato;sans-serif"/>
                <w:b/>
                <w:color w:val="FFFFFF"/>
                <w:sz w:val="16"/>
              </w:rPr>
              <w:t>2025</w:t>
            </w:r>
          </w:p>
        </w:tc>
      </w:tr>
      <w:tr>
        <w:trPr/>
        <w:tc>
          <w:tcPr>
            <w:tcW w:w="2504"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Lato;sans-serif" w:hAnsi="Lato;sans-serif"/>
                <w:b w:val="false"/>
                <w:color w:val="000000"/>
                <w:sz w:val="16"/>
              </w:rPr>
            </w:pPr>
            <w:r>
              <w:rPr>
                <w:rFonts w:ascii="Lato;sans-serif" w:hAnsi="Lato;sans-serif"/>
                <w:b w:val="false"/>
                <w:color w:val="000000"/>
                <w:sz w:val="16"/>
              </w:rPr>
              <w:t>NEO Average Compensation</w:t>
            </w:r>
          </w:p>
        </w:tc>
        <w:tc>
          <w:tcPr>
            <w:tcW w:w="113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Lato;sans-serif" w:hAnsi="Lato;sans-serif"/>
                <w:b w:val="false"/>
                <w:color w:val="000000"/>
                <w:sz w:val="16"/>
              </w:rPr>
            </w:pPr>
            <w:r>
              <w:rPr>
                <w:rFonts w:ascii="Lato;sans-serif" w:hAnsi="Lato;sans-serif"/>
                <w:b w:val="false"/>
                <w:color w:val="000000"/>
                <w:sz w:val="16"/>
              </w:rPr>
              <w:t>18,433,785</w:t>
            </w:r>
          </w:p>
        </w:tc>
        <w:tc>
          <w:tcPr>
            <w:tcW w:w="1094"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Lato;sans-serif" w:hAnsi="Lato;sans-serif"/>
                <w:b w:val="false"/>
                <w:color w:val="000000"/>
                <w:sz w:val="16"/>
              </w:rPr>
            </w:pPr>
            <w:r>
              <w:rPr>
                <w:rFonts w:ascii="Lato;sans-serif" w:hAnsi="Lato;sans-serif"/>
                <w:b w:val="false"/>
                <w:color w:val="000000"/>
                <w:sz w:val="16"/>
              </w:rPr>
              <w:t>(3,364,287)</w:t>
            </w:r>
          </w:p>
        </w:tc>
        <w:tc>
          <w:tcPr>
            <w:tcW w:w="1045"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Lato;sans-serif" w:hAnsi="Lato;sans-serif"/>
                <w:b w:val="false"/>
                <w:color w:val="000000"/>
                <w:sz w:val="16"/>
              </w:rPr>
            </w:pPr>
            <w:r>
              <w:rPr>
                <w:rFonts w:ascii="Lato;sans-serif" w:hAnsi="Lato;sans-serif"/>
                <w:b w:val="false"/>
                <w:color w:val="000000"/>
                <w:sz w:val="16"/>
              </w:rPr>
              <w:t>2,255,270</w:t>
            </w:r>
          </w:p>
        </w:tc>
        <w:tc>
          <w:tcPr>
            <w:tcW w:w="864"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Lato;sans-serif" w:hAnsi="Lato;sans-serif"/>
                <w:b w:val="false"/>
                <w:color w:val="000000"/>
                <w:sz w:val="16"/>
              </w:rPr>
            </w:pPr>
            <w:r>
              <w:rPr>
                <w:rFonts w:ascii="Lato;sans-serif" w:hAnsi="Lato;sans-serif"/>
                <w:b w:val="false"/>
                <w:color w:val="000000"/>
                <w:sz w:val="16"/>
              </w:rPr>
              <w:t>808,766</w:t>
            </w:r>
          </w:p>
        </w:tc>
        <w:tc>
          <w:tcPr>
            <w:tcW w:w="983"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Lato;sans-serif" w:hAnsi="Lato;sans-serif"/>
                <w:b w:val="false"/>
                <w:color w:val="000000"/>
                <w:sz w:val="16"/>
              </w:rPr>
            </w:pPr>
            <w:r>
              <w:rPr>
                <w:rFonts w:ascii="Lato;sans-serif" w:hAnsi="Lato;sans-serif"/>
                <w:b w:val="false"/>
                <w:color w:val="000000"/>
                <w:sz w:val="16"/>
              </w:rPr>
              <w:t>4,707,548</w:t>
            </w:r>
          </w:p>
        </w:tc>
      </w:tr>
      <w:tr>
        <w:trPr/>
        <w:tc>
          <w:tcPr>
            <w:tcW w:w="2504" w:type="dxa"/>
            <w:gridSpan w:val="3"/>
            <w:tcBorders/>
            <w:shd w:fill="DBDBDB" w:val="clear"/>
            <w:tcMar>
              <w:top w:w="0" w:type="dxa"/>
              <w:left w:w="0" w:type="dxa"/>
              <w:bottom w:w="0" w:type="dxa"/>
              <w:right w:w="0" w:type="dxa"/>
            </w:tcMar>
            <w:vAlign w:val="center"/>
          </w:tcPr>
          <w:p>
            <w:pPr>
              <w:pStyle w:val="TableContents"/>
              <w:bidi w:val="0"/>
              <w:spacing w:lineRule="auto" w:line="268" w:before="0" w:after="283"/>
              <w:jc w:val="left"/>
              <w:rPr>
                <w:rFonts w:ascii="Lato;sans-serif" w:hAnsi="Lato;sans-serif"/>
                <w:b w:val="false"/>
                <w:color w:val="000000"/>
                <w:sz w:val="16"/>
              </w:rPr>
            </w:pPr>
            <w:r>
              <w:rPr>
                <w:rFonts w:ascii="Lato;sans-serif" w:hAnsi="Lato;sans-serif"/>
                <w:b w:val="false"/>
                <w:color w:val="000000"/>
                <w:sz w:val="16"/>
              </w:rPr>
              <w:t>Company TSR</w:t>
            </w:r>
          </w:p>
        </w:tc>
        <w:tc>
          <w:tcPr>
            <w:tcW w:w="1131"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Lato;sans-serif" w:hAnsi="Lato;sans-serif"/>
                <w:b w:val="false"/>
                <w:color w:val="000000"/>
                <w:sz w:val="16"/>
              </w:rPr>
            </w:pPr>
            <w:r>
              <w:rPr>
                <w:rFonts w:ascii="Lato;sans-serif" w:hAnsi="Lato;sans-serif"/>
                <w:b w:val="false"/>
                <w:color w:val="000000"/>
                <w:sz w:val="16"/>
              </w:rPr>
              <w:t>188.82</w:t>
            </w:r>
          </w:p>
        </w:tc>
        <w:tc>
          <w:tcPr>
            <w:tcW w:w="109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Lato;sans-serif" w:hAnsi="Lato;sans-serif"/>
                <w:b w:val="false"/>
                <w:color w:val="000000"/>
                <w:sz w:val="16"/>
              </w:rPr>
            </w:pPr>
            <w:r>
              <w:rPr>
                <w:rFonts w:ascii="Lato;sans-serif" w:hAnsi="Lato;sans-serif"/>
                <w:b w:val="false"/>
                <w:color w:val="000000"/>
                <w:sz w:val="16"/>
              </w:rPr>
              <w:t>88.56</w:t>
            </w:r>
          </w:p>
        </w:tc>
        <w:tc>
          <w:tcPr>
            <w:tcW w:w="1045"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Lato;sans-serif" w:hAnsi="Lato;sans-serif"/>
                <w:b w:val="false"/>
                <w:color w:val="000000"/>
                <w:sz w:val="16"/>
              </w:rPr>
            </w:pPr>
            <w:r>
              <w:rPr>
                <w:rFonts w:ascii="Lato;sans-serif" w:hAnsi="Lato;sans-serif"/>
                <w:b w:val="false"/>
                <w:color w:val="000000"/>
                <w:sz w:val="16"/>
              </w:rPr>
              <w:t>54.38</w:t>
            </w:r>
          </w:p>
        </w:tc>
        <w:tc>
          <w:tcPr>
            <w:tcW w:w="86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Lato;sans-serif" w:hAnsi="Lato;sans-serif"/>
                <w:b w:val="false"/>
                <w:color w:val="000000"/>
                <w:sz w:val="16"/>
              </w:rPr>
            </w:pPr>
            <w:r>
              <w:rPr>
                <w:rFonts w:ascii="Lato;sans-serif" w:hAnsi="Lato;sans-serif"/>
                <w:b w:val="false"/>
                <w:color w:val="000000"/>
                <w:sz w:val="16"/>
              </w:rPr>
              <w:t>30.91</w:t>
            </w:r>
          </w:p>
        </w:tc>
        <w:tc>
          <w:tcPr>
            <w:tcW w:w="983"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Lato;sans-serif" w:hAnsi="Lato;sans-serif"/>
                <w:b w:val="false"/>
                <w:color w:val="000000"/>
                <w:sz w:val="16"/>
              </w:rPr>
            </w:pPr>
            <w:r>
              <w:rPr>
                <w:rFonts w:ascii="Lato;sans-serif" w:hAnsi="Lato;sans-serif"/>
                <w:b w:val="false"/>
                <w:color w:val="000000"/>
                <w:sz w:val="16"/>
              </w:rPr>
              <w:t>21.09</w:t>
            </w:r>
          </w:p>
        </w:tc>
      </w:tr>
      <w:tr>
        <w:trPr/>
        <w:tc>
          <w:tcPr>
            <w:tcW w:w="2504"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Lato;sans-serif" w:hAnsi="Lato;sans-serif"/>
                <w:b w:val="false"/>
                <w:color w:val="000000"/>
                <w:sz w:val="16"/>
              </w:rPr>
            </w:pPr>
            <w:r>
              <w:rPr>
                <w:rFonts w:ascii="Lato;sans-serif" w:hAnsi="Lato;sans-serif"/>
                <w:b w:val="false"/>
                <w:color w:val="000000"/>
                <w:sz w:val="16"/>
              </w:rPr>
              <w:t>CCG TSR</w:t>
            </w:r>
          </w:p>
        </w:tc>
        <w:tc>
          <w:tcPr>
            <w:tcW w:w="11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Lato;sans-serif" w:hAnsi="Lato;sans-serif"/>
                <w:b w:val="false"/>
                <w:color w:val="000000"/>
                <w:sz w:val="16"/>
              </w:rPr>
            </w:pPr>
            <w:r>
              <w:rPr>
                <w:rFonts w:ascii="Lato;sans-serif" w:hAnsi="Lato;sans-serif"/>
                <w:b w:val="false"/>
                <w:color w:val="000000"/>
                <w:sz w:val="16"/>
              </w:rPr>
              <w:t>187.38</w:t>
            </w:r>
          </w:p>
        </w:tc>
        <w:tc>
          <w:tcPr>
            <w:tcW w:w="10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Lato;sans-serif" w:hAnsi="Lato;sans-serif"/>
                <w:b w:val="false"/>
                <w:color w:val="000000"/>
                <w:sz w:val="16"/>
              </w:rPr>
            </w:pPr>
            <w:r>
              <w:rPr>
                <w:rFonts w:ascii="Lato;sans-serif" w:hAnsi="Lato;sans-serif"/>
                <w:b w:val="false"/>
                <w:color w:val="000000"/>
                <w:sz w:val="16"/>
              </w:rPr>
              <w:t>120.35</w:t>
            </w:r>
          </w:p>
        </w:tc>
        <w:tc>
          <w:tcPr>
            <w:tcW w:w="10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Lato;sans-serif" w:hAnsi="Lato;sans-serif"/>
                <w:b w:val="false"/>
                <w:color w:val="000000"/>
                <w:sz w:val="16"/>
              </w:rPr>
            </w:pPr>
            <w:r>
              <w:rPr>
                <w:rFonts w:ascii="Lato;sans-serif" w:hAnsi="Lato;sans-serif"/>
                <w:b w:val="false"/>
                <w:color w:val="000000"/>
                <w:sz w:val="16"/>
              </w:rPr>
              <w:t>200.34</w:t>
            </w:r>
          </w:p>
        </w:tc>
        <w:tc>
          <w:tcPr>
            <w:tcW w:w="8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Lato;sans-serif" w:hAnsi="Lato;sans-serif"/>
                <w:b w:val="false"/>
                <w:color w:val="000000"/>
                <w:sz w:val="16"/>
              </w:rPr>
            </w:pPr>
            <w:r>
              <w:rPr>
                <w:rFonts w:ascii="Lato;sans-serif" w:hAnsi="Lato;sans-serif"/>
                <w:b w:val="false"/>
                <w:color w:val="000000"/>
                <w:sz w:val="16"/>
              </w:rPr>
              <w:t>273.18</w:t>
            </w:r>
          </w:p>
        </w:tc>
        <w:tc>
          <w:tcPr>
            <w:tcW w:w="9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Lato;sans-serif" w:hAnsi="Lato;sans-serif"/>
                <w:b w:val="false"/>
                <w:color w:val="000000"/>
                <w:sz w:val="16"/>
              </w:rPr>
            </w:pPr>
            <w:r>
              <w:rPr>
                <w:rFonts w:ascii="Lato;sans-serif" w:hAnsi="Lato;sans-serif"/>
                <w:b w:val="false"/>
                <w:color w:val="000000"/>
                <w:sz w:val="16"/>
              </w:rPr>
              <w:t>258.44</w:t>
            </w:r>
          </w:p>
        </w:tc>
      </w:tr>
    </w:tbl>
    <w:p>
      <w:pPr>
        <w:pStyle w:val="TextBody"/>
        <w:bidi w:val="0"/>
        <w:spacing w:lineRule="auto" w:line="276" w:before="300" w:after="180"/>
        <w:jc w:val="left"/>
        <w:rPr>
          <w:rFonts w:ascii="Lato;sans-serif" w:hAnsi="Lato;sans-serif"/>
          <w:b w:val="false"/>
          <w:i/>
          <w:color w:val="000000"/>
          <w:sz w:val="20"/>
        </w:rPr>
      </w:pPr>
      <w:r>
        <w:rPr>
          <w:rFonts w:ascii="Lato;sans-serif" w:hAnsi="Lato;sans-serif"/>
          <w:b w:val="false"/>
          <w:i/>
          <w:color w:val="000000"/>
          <w:sz w:val="20"/>
        </w:rPr>
        <w:t>Net Income (Loss)</w:t>
      </w:r>
    </w:p>
    <w:p>
      <w:pPr>
        <w:pStyle w:val="TextBody"/>
        <w:bidi w:val="0"/>
        <w:spacing w:lineRule="auto" w:line="256" w:before="0" w:after="180"/>
        <w:jc w:val="both"/>
        <w:rPr>
          <w:rFonts w:ascii="Lato;sans-serif" w:hAnsi="Lato;sans-serif"/>
          <w:b w:val="false"/>
          <w:color w:val="000000"/>
          <w:sz w:val="20"/>
        </w:rPr>
      </w:pPr>
      <w:r>
        <w:rPr>
          <w:rFonts w:ascii="Lato;sans-serif" w:hAnsi="Lato;sans-serif"/>
          <w:b w:val="false"/>
          <w:color w:val="000000"/>
          <w:sz w:val="20"/>
        </w:rPr>
        <w:t>The following charts show the relationship between (1) PEO CAP and the average non-PEO named executive officer CAP (each as calculated pursuant to the Rule) and (2) the net income (loss) of the Company for the last five fiscal years.</w:t>
      </w:r>
    </w:p>
    <w:tbl>
      <w:tblPr>
        <w:tblW w:w="7440" w:type="dxa"/>
        <w:jc w:val="left"/>
        <w:tblInd w:w="0" w:type="dxa"/>
        <w:tblLayout w:type="fixed"/>
        <w:tblCellMar>
          <w:top w:w="28" w:type="dxa"/>
          <w:left w:w="28" w:type="dxa"/>
          <w:bottom w:w="28" w:type="dxa"/>
          <w:right w:w="28" w:type="dxa"/>
        </w:tblCellMar>
      </w:tblPr>
      <w:tblGrid>
        <w:gridCol w:w="625"/>
        <w:gridCol w:w="549"/>
        <w:gridCol w:w="551"/>
        <w:gridCol w:w="457"/>
        <w:gridCol w:w="385"/>
        <w:gridCol w:w="259"/>
        <w:gridCol w:w="438"/>
        <w:gridCol w:w="368"/>
        <w:gridCol w:w="259"/>
        <w:gridCol w:w="503"/>
        <w:gridCol w:w="424"/>
        <w:gridCol w:w="259"/>
        <w:gridCol w:w="457"/>
        <w:gridCol w:w="385"/>
        <w:gridCol w:w="259"/>
        <w:gridCol w:w="486"/>
        <w:gridCol w:w="409"/>
        <w:gridCol w:w="367"/>
      </w:tblGrid>
      <w:tr>
        <w:trPr/>
        <w:tc>
          <w:tcPr>
            <w:tcW w:w="625" w:type="dxa"/>
            <w:tcBorders/>
            <w:vAlign w:val="center"/>
          </w:tcPr>
          <w:p>
            <w:pPr>
              <w:pStyle w:val="TableContents"/>
              <w:bidi w:val="0"/>
              <w:spacing w:before="0" w:after="283"/>
              <w:jc w:val="left"/>
              <w:rPr>
                <w:sz w:val="4"/>
                <w:szCs w:val="4"/>
              </w:rPr>
            </w:pPr>
            <w:r>
              <w:rPr>
                <w:sz w:val="4"/>
                <w:szCs w:val="4"/>
              </w:rPr>
            </w:r>
          </w:p>
        </w:tc>
        <w:tc>
          <w:tcPr>
            <w:tcW w:w="549"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c>
          <w:tcPr>
            <w:tcW w:w="457"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438"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503"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457"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r>
      <w:tr>
        <w:trPr/>
        <w:tc>
          <w:tcPr>
            <w:tcW w:w="1725" w:type="dxa"/>
            <w:gridSpan w:val="3"/>
            <w:tcBorders/>
            <w:shd w:fill="F4423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5" w:type="dxa"/>
            <w:gridSpan w:val="15"/>
            <w:tcBorders/>
            <w:shd w:fill="F44238" w:val="clear"/>
            <w:tcMar>
              <w:top w:w="0" w:type="dxa"/>
              <w:left w:w="0" w:type="dxa"/>
              <w:bottom w:w="0" w:type="dxa"/>
              <w:right w:w="0" w:type="dxa"/>
            </w:tcMar>
            <w:vAlign w:val="center"/>
          </w:tcPr>
          <w:p>
            <w:pPr>
              <w:pStyle w:val="TableContents"/>
              <w:bidi w:val="0"/>
              <w:spacing w:lineRule="auto" w:line="268" w:before="0" w:after="0"/>
              <w:jc w:val="center"/>
              <w:rPr>
                <w:rFonts w:ascii="Lato;sans-serif" w:hAnsi="Lato;sans-serif"/>
                <w:b/>
                <w:color w:val="FFFFFF"/>
                <w:sz w:val="16"/>
              </w:rPr>
            </w:pPr>
            <w:r>
              <w:rPr>
                <w:rFonts w:ascii="Lato;sans-serif" w:hAnsi="Lato;sans-serif"/>
                <w:b/>
                <w:color w:val="FFFFFF"/>
                <w:sz w:val="16"/>
              </w:rPr>
              <w:t>PEO Compensation vs. Net Income (Loss)</w:t>
            </w:r>
          </w:p>
        </w:tc>
      </w:tr>
      <w:tr>
        <w:trPr/>
        <w:tc>
          <w:tcPr>
            <w:tcW w:w="1725" w:type="dxa"/>
            <w:gridSpan w:val="3"/>
            <w:tcBorders/>
            <w:shd w:fill="F4423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shd w:fill="F44238" w:val="clear"/>
            <w:tcMar>
              <w:top w:w="0" w:type="dxa"/>
              <w:left w:w="0" w:type="dxa"/>
              <w:bottom w:w="0" w:type="dxa"/>
              <w:right w:w="0" w:type="dxa"/>
            </w:tcMar>
            <w:vAlign w:val="center"/>
          </w:tcPr>
          <w:p>
            <w:pPr>
              <w:pStyle w:val="TableContents"/>
              <w:bidi w:val="0"/>
              <w:spacing w:lineRule="auto" w:line="268" w:before="0" w:after="283"/>
              <w:jc w:val="center"/>
              <w:rPr>
                <w:rFonts w:ascii="Lato;sans-serif" w:hAnsi="Lato;sans-serif"/>
                <w:b/>
                <w:color w:val="FFFFFF"/>
                <w:sz w:val="16"/>
              </w:rPr>
            </w:pPr>
            <w:r>
              <w:rPr>
                <w:rFonts w:ascii="Lato;sans-serif" w:hAnsi="Lato;sans-serif"/>
                <w:b/>
                <w:color w:val="FFFFFF"/>
                <w:sz w:val="16"/>
              </w:rPr>
              <w:t>2021</w:t>
            </w:r>
          </w:p>
        </w:tc>
        <w:tc>
          <w:tcPr>
            <w:tcW w:w="1065" w:type="dxa"/>
            <w:gridSpan w:val="3"/>
            <w:tcBorders/>
            <w:shd w:fill="F44238" w:val="clear"/>
            <w:tcMar>
              <w:top w:w="0" w:type="dxa"/>
              <w:left w:w="0" w:type="dxa"/>
              <w:bottom w:w="0" w:type="dxa"/>
              <w:right w:w="0" w:type="dxa"/>
            </w:tcMar>
            <w:vAlign w:val="center"/>
          </w:tcPr>
          <w:p>
            <w:pPr>
              <w:pStyle w:val="TableContents"/>
              <w:bidi w:val="0"/>
              <w:spacing w:lineRule="auto" w:line="268" w:before="0" w:after="283"/>
              <w:jc w:val="center"/>
              <w:rPr>
                <w:rFonts w:ascii="Lato;sans-serif" w:hAnsi="Lato;sans-serif"/>
                <w:b/>
                <w:color w:val="FFFFFF"/>
                <w:sz w:val="16"/>
              </w:rPr>
            </w:pPr>
            <w:r>
              <w:rPr>
                <w:rFonts w:ascii="Lato;sans-serif" w:hAnsi="Lato;sans-serif"/>
                <w:b/>
                <w:color w:val="FFFFFF"/>
                <w:sz w:val="16"/>
              </w:rPr>
              <w:t>2022</w:t>
            </w:r>
          </w:p>
        </w:tc>
        <w:tc>
          <w:tcPr>
            <w:tcW w:w="1186" w:type="dxa"/>
            <w:gridSpan w:val="3"/>
            <w:tcBorders/>
            <w:shd w:fill="F44238" w:val="clear"/>
            <w:tcMar>
              <w:top w:w="0" w:type="dxa"/>
              <w:left w:w="0" w:type="dxa"/>
              <w:bottom w:w="0" w:type="dxa"/>
              <w:right w:w="0" w:type="dxa"/>
            </w:tcMar>
            <w:vAlign w:val="center"/>
          </w:tcPr>
          <w:p>
            <w:pPr>
              <w:pStyle w:val="TableContents"/>
              <w:bidi w:val="0"/>
              <w:spacing w:lineRule="auto" w:line="268" w:before="0" w:after="283"/>
              <w:jc w:val="center"/>
              <w:rPr>
                <w:rFonts w:ascii="Lato;sans-serif" w:hAnsi="Lato;sans-serif"/>
                <w:b/>
                <w:color w:val="FFFFFF"/>
                <w:sz w:val="16"/>
              </w:rPr>
            </w:pPr>
            <w:r>
              <w:rPr>
                <w:rFonts w:ascii="Lato;sans-serif" w:hAnsi="Lato;sans-serif"/>
                <w:b/>
                <w:color w:val="FFFFFF"/>
                <w:sz w:val="16"/>
              </w:rPr>
              <w:t>2023</w:t>
            </w:r>
          </w:p>
        </w:tc>
        <w:tc>
          <w:tcPr>
            <w:tcW w:w="1101" w:type="dxa"/>
            <w:gridSpan w:val="3"/>
            <w:tcBorders/>
            <w:shd w:fill="F44238" w:val="clear"/>
            <w:tcMar>
              <w:top w:w="0" w:type="dxa"/>
              <w:left w:w="0" w:type="dxa"/>
              <w:bottom w:w="0" w:type="dxa"/>
              <w:right w:w="0" w:type="dxa"/>
            </w:tcMar>
            <w:vAlign w:val="center"/>
          </w:tcPr>
          <w:p>
            <w:pPr>
              <w:pStyle w:val="TableContents"/>
              <w:bidi w:val="0"/>
              <w:spacing w:lineRule="auto" w:line="268" w:before="0" w:after="283"/>
              <w:jc w:val="center"/>
              <w:rPr>
                <w:rFonts w:ascii="Lato;sans-serif" w:hAnsi="Lato;sans-serif"/>
                <w:b/>
                <w:color w:val="FFFFFF"/>
                <w:sz w:val="16"/>
              </w:rPr>
            </w:pPr>
            <w:r>
              <w:rPr>
                <w:rFonts w:ascii="Lato;sans-serif" w:hAnsi="Lato;sans-serif"/>
                <w:b/>
                <w:color w:val="FFFFFF"/>
                <w:sz w:val="16"/>
              </w:rPr>
              <w:t>2024</w:t>
            </w:r>
          </w:p>
        </w:tc>
        <w:tc>
          <w:tcPr>
            <w:tcW w:w="1262" w:type="dxa"/>
            <w:gridSpan w:val="3"/>
            <w:tcBorders/>
            <w:shd w:fill="F44238" w:val="clear"/>
            <w:tcMar>
              <w:top w:w="0" w:type="dxa"/>
              <w:left w:w="0" w:type="dxa"/>
              <w:bottom w:w="0" w:type="dxa"/>
              <w:right w:w="0" w:type="dxa"/>
            </w:tcMar>
            <w:vAlign w:val="center"/>
          </w:tcPr>
          <w:p>
            <w:pPr>
              <w:pStyle w:val="TableContents"/>
              <w:bidi w:val="0"/>
              <w:spacing w:lineRule="auto" w:line="268" w:before="0" w:after="283"/>
              <w:jc w:val="center"/>
              <w:rPr>
                <w:rFonts w:ascii="Lato;sans-serif" w:hAnsi="Lato;sans-serif"/>
                <w:b/>
                <w:color w:val="FFFFFF"/>
                <w:sz w:val="16"/>
              </w:rPr>
            </w:pPr>
            <w:r>
              <w:rPr>
                <w:rFonts w:ascii="Lato;sans-serif" w:hAnsi="Lato;sans-serif"/>
                <w:b/>
                <w:color w:val="FFFFFF"/>
                <w:sz w:val="16"/>
              </w:rPr>
              <w:t>2025</w:t>
            </w:r>
          </w:p>
        </w:tc>
      </w:tr>
      <w:tr>
        <w:trPr/>
        <w:tc>
          <w:tcPr>
            <w:tcW w:w="1725"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Lato;sans-serif" w:hAnsi="Lato;sans-serif"/>
                <w:b w:val="false"/>
                <w:color w:val="000000"/>
                <w:sz w:val="16"/>
              </w:rPr>
            </w:pPr>
            <w:r>
              <w:rPr>
                <w:rFonts w:ascii="Lato;sans-serif" w:hAnsi="Lato;sans-serif"/>
                <w:b w:val="false"/>
                <w:color w:val="000000"/>
                <w:sz w:val="16"/>
              </w:rPr>
              <w:t>PEO Compensation</w:t>
            </w:r>
          </w:p>
        </w:tc>
        <w:tc>
          <w:tcPr>
            <w:tcW w:w="110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Lato;sans-serif" w:hAnsi="Lato;sans-serif"/>
                <w:b w:val="false"/>
                <w:color w:val="000000"/>
                <w:sz w:val="16"/>
              </w:rPr>
            </w:pPr>
            <w:r>
              <w:rPr>
                <w:rFonts w:ascii="Lato;sans-serif" w:hAnsi="Lato;sans-serif"/>
                <w:b w:val="false"/>
                <w:color w:val="000000"/>
                <w:sz w:val="16"/>
              </w:rPr>
              <w:t>12,173,581</w:t>
            </w:r>
          </w:p>
        </w:tc>
        <w:tc>
          <w:tcPr>
            <w:tcW w:w="1065"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Lato;sans-serif" w:hAnsi="Lato;sans-serif"/>
                <w:b w:val="false"/>
                <w:color w:val="000000"/>
                <w:sz w:val="16"/>
              </w:rPr>
            </w:pPr>
            <w:r>
              <w:rPr>
                <w:rFonts w:ascii="Lato;sans-serif" w:hAnsi="Lato;sans-serif"/>
                <w:b w:val="false"/>
                <w:color w:val="000000"/>
                <w:sz w:val="16"/>
              </w:rPr>
              <w:t>(9,307,765)</w:t>
            </w:r>
          </w:p>
        </w:tc>
        <w:tc>
          <w:tcPr>
            <w:tcW w:w="1186"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Lato;sans-serif" w:hAnsi="Lato;sans-serif"/>
                <w:b w:val="false"/>
                <w:color w:val="000000"/>
                <w:sz w:val="16"/>
              </w:rPr>
            </w:pPr>
            <w:r>
              <w:rPr>
                <w:rFonts w:ascii="Lato;sans-serif" w:hAnsi="Lato;sans-serif"/>
                <w:b w:val="false"/>
                <w:color w:val="000000"/>
                <w:sz w:val="16"/>
              </w:rPr>
              <w:t>2,304,429</w:t>
            </w:r>
          </w:p>
        </w:tc>
        <w:tc>
          <w:tcPr>
            <w:tcW w:w="110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Lato;sans-serif" w:hAnsi="Lato;sans-serif"/>
                <w:b w:val="false"/>
                <w:color w:val="000000"/>
                <w:sz w:val="16"/>
              </w:rPr>
            </w:pPr>
            <w:r>
              <w:rPr>
                <w:rFonts w:ascii="Lato;sans-serif" w:hAnsi="Lato;sans-serif"/>
                <w:b w:val="false"/>
                <w:color w:val="000000"/>
                <w:sz w:val="16"/>
              </w:rPr>
              <w:t>1,024,960</w:t>
            </w:r>
          </w:p>
        </w:tc>
        <w:tc>
          <w:tcPr>
            <w:tcW w:w="1262"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Lato;sans-serif" w:hAnsi="Lato;sans-serif"/>
                <w:b w:val="false"/>
                <w:color w:val="000000"/>
                <w:sz w:val="16"/>
              </w:rPr>
            </w:pPr>
            <w:r>
              <w:rPr>
                <w:rFonts w:ascii="Lato;sans-serif" w:hAnsi="Lato;sans-serif"/>
                <w:b w:val="false"/>
                <w:color w:val="000000"/>
                <w:sz w:val="16"/>
              </w:rPr>
              <w:t>35,270,457</w:t>
            </w:r>
          </w:p>
        </w:tc>
      </w:tr>
      <w:tr>
        <w:trPr/>
        <w:tc>
          <w:tcPr>
            <w:tcW w:w="1725" w:type="dxa"/>
            <w:gridSpan w:val="3"/>
            <w:tcBorders/>
            <w:shd w:fill="DBDBDB" w:val="clear"/>
            <w:tcMar>
              <w:top w:w="0" w:type="dxa"/>
              <w:left w:w="0" w:type="dxa"/>
              <w:bottom w:w="0" w:type="dxa"/>
              <w:right w:w="0" w:type="dxa"/>
            </w:tcMar>
            <w:vAlign w:val="center"/>
          </w:tcPr>
          <w:p>
            <w:pPr>
              <w:pStyle w:val="TableContents"/>
              <w:bidi w:val="0"/>
              <w:spacing w:lineRule="auto" w:line="268" w:before="0" w:after="283"/>
              <w:jc w:val="left"/>
              <w:rPr>
                <w:rFonts w:ascii="Lato;sans-serif" w:hAnsi="Lato;sans-serif"/>
                <w:b w:val="false"/>
                <w:color w:val="000000"/>
                <w:sz w:val="16"/>
              </w:rPr>
            </w:pPr>
            <w:r>
              <w:rPr>
                <w:rFonts w:ascii="Lato;sans-serif" w:hAnsi="Lato;sans-serif"/>
                <w:b w:val="false"/>
                <w:color w:val="000000"/>
                <w:sz w:val="16"/>
              </w:rPr>
              <w:t>Net Income (Loss)</w:t>
            </w:r>
          </w:p>
        </w:tc>
        <w:tc>
          <w:tcPr>
            <w:tcW w:w="1101"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Lato;sans-serif" w:hAnsi="Lato;sans-serif"/>
                <w:b w:val="false"/>
                <w:color w:val="000000"/>
                <w:sz w:val="16"/>
              </w:rPr>
            </w:pPr>
            <w:r>
              <w:rPr>
                <w:rFonts w:ascii="Lato;sans-serif" w:hAnsi="Lato;sans-serif"/>
                <w:b w:val="false"/>
                <w:color w:val="000000"/>
                <w:sz w:val="16"/>
              </w:rPr>
              <w:t>94,900,000</w:t>
            </w:r>
          </w:p>
        </w:tc>
        <w:tc>
          <w:tcPr>
            <w:tcW w:w="1065"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Lato;sans-serif" w:hAnsi="Lato;sans-serif"/>
                <w:b w:val="false"/>
                <w:color w:val="000000"/>
                <w:sz w:val="16"/>
              </w:rPr>
            </w:pPr>
            <w:r>
              <w:rPr>
                <w:rFonts w:ascii="Lato;sans-serif" w:hAnsi="Lato;sans-serif"/>
                <w:b w:val="false"/>
                <w:color w:val="000000"/>
                <w:sz w:val="16"/>
              </w:rPr>
              <w:t>63,200,000</w:t>
            </w:r>
          </w:p>
        </w:tc>
        <w:tc>
          <w:tcPr>
            <w:tcW w:w="1186"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Lato;sans-serif" w:hAnsi="Lato;sans-serif"/>
                <w:b w:val="false"/>
                <w:color w:val="000000"/>
                <w:sz w:val="16"/>
              </w:rPr>
            </w:pPr>
            <w:r>
              <w:rPr>
                <w:rFonts w:ascii="Lato;sans-serif" w:hAnsi="Lato;sans-serif"/>
                <w:b w:val="false"/>
                <w:color w:val="000000"/>
                <w:sz w:val="16"/>
              </w:rPr>
              <w:t>107,300,000</w:t>
            </w:r>
          </w:p>
        </w:tc>
        <w:tc>
          <w:tcPr>
            <w:tcW w:w="1101"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Lato;sans-serif" w:hAnsi="Lato;sans-serif"/>
                <w:b w:val="false"/>
                <w:color w:val="000000"/>
                <w:sz w:val="16"/>
              </w:rPr>
            </w:pPr>
            <w:r>
              <w:rPr>
                <w:rFonts w:ascii="Lato;sans-serif" w:hAnsi="Lato;sans-serif"/>
                <w:b w:val="false"/>
                <w:color w:val="000000"/>
                <w:sz w:val="16"/>
              </w:rPr>
              <w:t>29,100,000</w:t>
            </w:r>
          </w:p>
        </w:tc>
        <w:tc>
          <w:tcPr>
            <w:tcW w:w="1262"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Lato;sans-serif" w:hAnsi="Lato;sans-serif"/>
                <w:b w:val="false"/>
                <w:color w:val="000000"/>
                <w:sz w:val="16"/>
              </w:rPr>
            </w:pPr>
            <w:r>
              <w:rPr>
                <w:rFonts w:ascii="Lato;sans-serif" w:hAnsi="Lato;sans-serif"/>
                <w:b w:val="false"/>
                <w:color w:val="000000"/>
                <w:sz w:val="16"/>
              </w:rPr>
              <w:t>124,200,000</w:t>
            </w:r>
          </w:p>
        </w:tc>
      </w:tr>
    </w:tbl>
    <w:tbl>
      <w:tblPr>
        <w:tblW w:w="8222" w:type="dxa"/>
        <w:jc w:val="left"/>
        <w:tblInd w:w="0" w:type="dxa"/>
        <w:tblLayout w:type="fixed"/>
        <w:tblCellMar>
          <w:top w:w="28" w:type="dxa"/>
          <w:left w:w="28" w:type="dxa"/>
          <w:bottom w:w="28" w:type="dxa"/>
          <w:right w:w="28" w:type="dxa"/>
        </w:tblCellMar>
      </w:tblPr>
      <w:tblGrid>
        <w:gridCol w:w="907"/>
        <w:gridCol w:w="797"/>
        <w:gridCol w:w="800"/>
        <w:gridCol w:w="459"/>
        <w:gridCol w:w="383"/>
        <w:gridCol w:w="260"/>
        <w:gridCol w:w="439"/>
        <w:gridCol w:w="366"/>
        <w:gridCol w:w="260"/>
        <w:gridCol w:w="506"/>
        <w:gridCol w:w="421"/>
        <w:gridCol w:w="260"/>
        <w:gridCol w:w="458"/>
        <w:gridCol w:w="383"/>
        <w:gridCol w:w="260"/>
        <w:gridCol w:w="488"/>
        <w:gridCol w:w="407"/>
        <w:gridCol w:w="368"/>
      </w:tblGrid>
      <w:tr>
        <w:trPr/>
        <w:tc>
          <w:tcPr>
            <w:tcW w:w="907" w:type="dxa"/>
            <w:tcBorders/>
            <w:vAlign w:val="center"/>
          </w:tcPr>
          <w:p>
            <w:pPr>
              <w:pStyle w:val="TableContents"/>
              <w:bidi w:val="0"/>
              <w:spacing w:before="0" w:after="283"/>
              <w:jc w:val="left"/>
              <w:rPr>
                <w:sz w:val="4"/>
                <w:szCs w:val="4"/>
              </w:rPr>
            </w:pPr>
            <w:r>
              <w:rPr>
                <w:sz w:val="4"/>
                <w:szCs w:val="4"/>
              </w:rPr>
            </w:r>
          </w:p>
        </w:tc>
        <w:tc>
          <w:tcPr>
            <w:tcW w:w="797"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459"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50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458"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407"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r>
      <w:tr>
        <w:trPr/>
        <w:tc>
          <w:tcPr>
            <w:tcW w:w="2504" w:type="dxa"/>
            <w:gridSpan w:val="3"/>
            <w:tcBorders/>
            <w:shd w:fill="F4423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8" w:type="dxa"/>
            <w:gridSpan w:val="15"/>
            <w:tcBorders/>
            <w:shd w:fill="F44238" w:val="clear"/>
            <w:tcMar>
              <w:top w:w="0" w:type="dxa"/>
              <w:left w:w="0" w:type="dxa"/>
              <w:bottom w:w="0" w:type="dxa"/>
              <w:right w:w="0" w:type="dxa"/>
            </w:tcMar>
            <w:vAlign w:val="center"/>
          </w:tcPr>
          <w:p>
            <w:pPr>
              <w:pStyle w:val="TableContents"/>
              <w:bidi w:val="0"/>
              <w:spacing w:lineRule="auto" w:line="268" w:before="0" w:after="0"/>
              <w:jc w:val="center"/>
              <w:rPr>
                <w:rFonts w:ascii="Lato;sans-serif" w:hAnsi="Lato;sans-serif"/>
                <w:b/>
                <w:color w:val="FFFFFF"/>
                <w:sz w:val="16"/>
              </w:rPr>
            </w:pPr>
            <w:r>
              <w:rPr>
                <w:rFonts w:ascii="Lato;sans-serif" w:hAnsi="Lato;sans-serif"/>
                <w:b/>
                <w:color w:val="FFFFFF"/>
                <w:sz w:val="16"/>
              </w:rPr>
              <w:t>NEO Compensation vs. Net Income (Loss)</w:t>
            </w:r>
          </w:p>
        </w:tc>
      </w:tr>
      <w:tr>
        <w:trPr/>
        <w:tc>
          <w:tcPr>
            <w:tcW w:w="2504" w:type="dxa"/>
            <w:gridSpan w:val="3"/>
            <w:tcBorders/>
            <w:shd w:fill="F4423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3"/>
            <w:tcBorders/>
            <w:shd w:fill="F44238" w:val="clear"/>
            <w:tcMar>
              <w:top w:w="0" w:type="dxa"/>
              <w:left w:w="0" w:type="dxa"/>
              <w:bottom w:w="0" w:type="dxa"/>
              <w:right w:w="0" w:type="dxa"/>
            </w:tcMar>
            <w:vAlign w:val="center"/>
          </w:tcPr>
          <w:p>
            <w:pPr>
              <w:pStyle w:val="TableContents"/>
              <w:bidi w:val="0"/>
              <w:spacing w:lineRule="auto" w:line="268" w:before="0" w:after="283"/>
              <w:jc w:val="center"/>
              <w:rPr>
                <w:rFonts w:ascii="Lato;sans-serif" w:hAnsi="Lato;sans-serif"/>
                <w:b/>
                <w:color w:val="FFFFFF"/>
                <w:sz w:val="16"/>
              </w:rPr>
            </w:pPr>
            <w:r>
              <w:rPr>
                <w:rFonts w:ascii="Lato;sans-serif" w:hAnsi="Lato;sans-serif"/>
                <w:b/>
                <w:color w:val="FFFFFF"/>
                <w:sz w:val="16"/>
              </w:rPr>
              <w:t>2021</w:t>
            </w:r>
          </w:p>
        </w:tc>
        <w:tc>
          <w:tcPr>
            <w:tcW w:w="1065" w:type="dxa"/>
            <w:gridSpan w:val="3"/>
            <w:tcBorders/>
            <w:shd w:fill="F44238" w:val="clear"/>
            <w:tcMar>
              <w:top w:w="0" w:type="dxa"/>
              <w:left w:w="0" w:type="dxa"/>
              <w:bottom w:w="0" w:type="dxa"/>
              <w:right w:w="0" w:type="dxa"/>
            </w:tcMar>
            <w:vAlign w:val="center"/>
          </w:tcPr>
          <w:p>
            <w:pPr>
              <w:pStyle w:val="TableContents"/>
              <w:bidi w:val="0"/>
              <w:spacing w:lineRule="auto" w:line="268" w:before="0" w:after="283"/>
              <w:jc w:val="center"/>
              <w:rPr>
                <w:rFonts w:ascii="Lato;sans-serif" w:hAnsi="Lato;sans-serif"/>
                <w:b/>
                <w:color w:val="FFFFFF"/>
                <w:sz w:val="16"/>
              </w:rPr>
            </w:pPr>
            <w:r>
              <w:rPr>
                <w:rFonts w:ascii="Lato;sans-serif" w:hAnsi="Lato;sans-serif"/>
                <w:b/>
                <w:color w:val="FFFFFF"/>
                <w:sz w:val="16"/>
              </w:rPr>
              <w:t>2022</w:t>
            </w:r>
          </w:p>
        </w:tc>
        <w:tc>
          <w:tcPr>
            <w:tcW w:w="1187" w:type="dxa"/>
            <w:gridSpan w:val="3"/>
            <w:tcBorders/>
            <w:shd w:fill="F44238" w:val="clear"/>
            <w:tcMar>
              <w:top w:w="0" w:type="dxa"/>
              <w:left w:w="0" w:type="dxa"/>
              <w:bottom w:w="0" w:type="dxa"/>
              <w:right w:w="0" w:type="dxa"/>
            </w:tcMar>
            <w:vAlign w:val="center"/>
          </w:tcPr>
          <w:p>
            <w:pPr>
              <w:pStyle w:val="TableContents"/>
              <w:bidi w:val="0"/>
              <w:spacing w:lineRule="auto" w:line="268" w:before="0" w:after="283"/>
              <w:jc w:val="center"/>
              <w:rPr>
                <w:rFonts w:ascii="Lato;sans-serif" w:hAnsi="Lato;sans-serif"/>
                <w:b/>
                <w:color w:val="FFFFFF"/>
                <w:sz w:val="16"/>
              </w:rPr>
            </w:pPr>
            <w:r>
              <w:rPr>
                <w:rFonts w:ascii="Lato;sans-serif" w:hAnsi="Lato;sans-serif"/>
                <w:b/>
                <w:color w:val="FFFFFF"/>
                <w:sz w:val="16"/>
              </w:rPr>
              <w:t>2023</w:t>
            </w:r>
          </w:p>
        </w:tc>
        <w:tc>
          <w:tcPr>
            <w:tcW w:w="1101" w:type="dxa"/>
            <w:gridSpan w:val="3"/>
            <w:tcBorders/>
            <w:shd w:fill="F44238" w:val="clear"/>
            <w:tcMar>
              <w:top w:w="0" w:type="dxa"/>
              <w:left w:w="0" w:type="dxa"/>
              <w:bottom w:w="0" w:type="dxa"/>
              <w:right w:w="0" w:type="dxa"/>
            </w:tcMar>
            <w:vAlign w:val="center"/>
          </w:tcPr>
          <w:p>
            <w:pPr>
              <w:pStyle w:val="TableContents"/>
              <w:bidi w:val="0"/>
              <w:spacing w:lineRule="auto" w:line="268" w:before="0" w:after="283"/>
              <w:jc w:val="center"/>
              <w:rPr>
                <w:rFonts w:ascii="Lato;sans-serif" w:hAnsi="Lato;sans-serif"/>
                <w:b/>
                <w:color w:val="FFFFFF"/>
                <w:sz w:val="16"/>
              </w:rPr>
            </w:pPr>
            <w:r>
              <w:rPr>
                <w:rFonts w:ascii="Lato;sans-serif" w:hAnsi="Lato;sans-serif"/>
                <w:b/>
                <w:color w:val="FFFFFF"/>
                <w:sz w:val="16"/>
              </w:rPr>
              <w:t>2024</w:t>
            </w:r>
          </w:p>
        </w:tc>
        <w:tc>
          <w:tcPr>
            <w:tcW w:w="1263" w:type="dxa"/>
            <w:gridSpan w:val="3"/>
            <w:tcBorders/>
            <w:shd w:fill="F44238" w:val="clear"/>
            <w:tcMar>
              <w:top w:w="0" w:type="dxa"/>
              <w:left w:w="0" w:type="dxa"/>
              <w:bottom w:w="0" w:type="dxa"/>
              <w:right w:w="0" w:type="dxa"/>
            </w:tcMar>
            <w:vAlign w:val="center"/>
          </w:tcPr>
          <w:p>
            <w:pPr>
              <w:pStyle w:val="TableContents"/>
              <w:bidi w:val="0"/>
              <w:spacing w:lineRule="auto" w:line="268" w:before="0" w:after="283"/>
              <w:jc w:val="center"/>
              <w:rPr>
                <w:rFonts w:ascii="Lato;sans-serif" w:hAnsi="Lato;sans-serif"/>
                <w:b/>
                <w:color w:val="FFFFFF"/>
                <w:sz w:val="16"/>
              </w:rPr>
            </w:pPr>
            <w:r>
              <w:rPr>
                <w:rFonts w:ascii="Lato;sans-serif" w:hAnsi="Lato;sans-serif"/>
                <w:b/>
                <w:color w:val="FFFFFF"/>
                <w:sz w:val="16"/>
              </w:rPr>
              <w:t>2025</w:t>
            </w:r>
          </w:p>
        </w:tc>
      </w:tr>
      <w:tr>
        <w:trPr/>
        <w:tc>
          <w:tcPr>
            <w:tcW w:w="2504"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Lato;sans-serif" w:hAnsi="Lato;sans-serif"/>
                <w:b w:val="false"/>
                <w:color w:val="000000"/>
                <w:sz w:val="16"/>
              </w:rPr>
            </w:pPr>
            <w:r>
              <w:rPr>
                <w:rFonts w:ascii="Lato;sans-serif" w:hAnsi="Lato;sans-serif"/>
                <w:b w:val="false"/>
                <w:color w:val="000000"/>
                <w:sz w:val="16"/>
              </w:rPr>
              <w:t>NEO Average Compensation</w:t>
            </w:r>
          </w:p>
        </w:tc>
        <w:tc>
          <w:tcPr>
            <w:tcW w:w="1102"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Lato;sans-serif" w:hAnsi="Lato;sans-serif"/>
                <w:b w:val="false"/>
                <w:color w:val="000000"/>
                <w:sz w:val="16"/>
              </w:rPr>
            </w:pPr>
            <w:r>
              <w:rPr>
                <w:rFonts w:ascii="Lato;sans-serif" w:hAnsi="Lato;sans-serif"/>
                <w:b w:val="false"/>
                <w:color w:val="000000"/>
                <w:sz w:val="16"/>
              </w:rPr>
              <w:t>18,433,785</w:t>
            </w:r>
          </w:p>
        </w:tc>
        <w:tc>
          <w:tcPr>
            <w:tcW w:w="1065"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Lato;sans-serif" w:hAnsi="Lato;sans-serif"/>
                <w:b w:val="false"/>
                <w:color w:val="000000"/>
                <w:sz w:val="16"/>
              </w:rPr>
            </w:pPr>
            <w:r>
              <w:rPr>
                <w:rFonts w:ascii="Lato;sans-serif" w:hAnsi="Lato;sans-serif"/>
                <w:b w:val="false"/>
                <w:color w:val="000000"/>
                <w:sz w:val="16"/>
              </w:rPr>
              <w:t>(3,364,287)</w:t>
            </w:r>
          </w:p>
        </w:tc>
        <w:tc>
          <w:tcPr>
            <w:tcW w:w="1187"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Lato;sans-serif" w:hAnsi="Lato;sans-serif"/>
                <w:b w:val="false"/>
                <w:color w:val="000000"/>
                <w:sz w:val="16"/>
              </w:rPr>
            </w:pPr>
            <w:r>
              <w:rPr>
                <w:rFonts w:ascii="Lato;sans-serif" w:hAnsi="Lato;sans-serif"/>
                <w:b w:val="false"/>
                <w:color w:val="000000"/>
                <w:sz w:val="16"/>
              </w:rPr>
              <w:t>2,255,270</w:t>
            </w:r>
          </w:p>
        </w:tc>
        <w:tc>
          <w:tcPr>
            <w:tcW w:w="110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Lato;sans-serif" w:hAnsi="Lato;sans-serif"/>
                <w:b w:val="false"/>
                <w:color w:val="000000"/>
                <w:sz w:val="16"/>
              </w:rPr>
            </w:pPr>
            <w:r>
              <w:rPr>
                <w:rFonts w:ascii="Lato;sans-serif" w:hAnsi="Lato;sans-serif"/>
                <w:b w:val="false"/>
                <w:color w:val="000000"/>
                <w:sz w:val="16"/>
              </w:rPr>
              <w:t>808,766</w:t>
            </w:r>
          </w:p>
        </w:tc>
        <w:tc>
          <w:tcPr>
            <w:tcW w:w="1263"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Lato;sans-serif" w:hAnsi="Lato;sans-serif"/>
                <w:b w:val="false"/>
                <w:color w:val="000000"/>
                <w:sz w:val="16"/>
              </w:rPr>
            </w:pPr>
            <w:r>
              <w:rPr>
                <w:rFonts w:ascii="Lato;sans-serif" w:hAnsi="Lato;sans-serif"/>
                <w:b w:val="false"/>
                <w:color w:val="000000"/>
                <w:sz w:val="16"/>
              </w:rPr>
              <w:t>4,707,548</w:t>
            </w:r>
          </w:p>
        </w:tc>
      </w:tr>
      <w:tr>
        <w:trPr/>
        <w:tc>
          <w:tcPr>
            <w:tcW w:w="2504" w:type="dxa"/>
            <w:gridSpan w:val="3"/>
            <w:tcBorders/>
            <w:shd w:fill="DBDBDB" w:val="clear"/>
            <w:tcMar>
              <w:top w:w="0" w:type="dxa"/>
              <w:left w:w="0" w:type="dxa"/>
              <w:bottom w:w="0" w:type="dxa"/>
              <w:right w:w="0" w:type="dxa"/>
            </w:tcMar>
            <w:vAlign w:val="center"/>
          </w:tcPr>
          <w:p>
            <w:pPr>
              <w:pStyle w:val="TableContents"/>
              <w:bidi w:val="0"/>
              <w:spacing w:lineRule="auto" w:line="268" w:before="0" w:after="283"/>
              <w:jc w:val="left"/>
              <w:rPr>
                <w:rFonts w:ascii="Lato;sans-serif" w:hAnsi="Lato;sans-serif"/>
                <w:b w:val="false"/>
                <w:color w:val="000000"/>
                <w:sz w:val="16"/>
              </w:rPr>
            </w:pPr>
            <w:r>
              <w:rPr>
                <w:rFonts w:ascii="Lato;sans-serif" w:hAnsi="Lato;sans-serif"/>
                <w:b w:val="false"/>
                <w:color w:val="000000"/>
                <w:sz w:val="16"/>
              </w:rPr>
              <w:t>Net Income (Loss)</w:t>
            </w:r>
          </w:p>
        </w:tc>
        <w:tc>
          <w:tcPr>
            <w:tcW w:w="1102"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Lato;sans-serif" w:hAnsi="Lato;sans-serif"/>
                <w:b w:val="false"/>
                <w:color w:val="000000"/>
                <w:sz w:val="16"/>
              </w:rPr>
            </w:pPr>
            <w:r>
              <w:rPr>
                <w:rFonts w:ascii="Lato;sans-serif" w:hAnsi="Lato;sans-serif"/>
                <w:b w:val="false"/>
                <w:color w:val="000000"/>
                <w:sz w:val="16"/>
              </w:rPr>
              <w:t>94,900,000</w:t>
            </w:r>
          </w:p>
        </w:tc>
        <w:tc>
          <w:tcPr>
            <w:tcW w:w="1065"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Lato;sans-serif" w:hAnsi="Lato;sans-serif"/>
                <w:b w:val="false"/>
                <w:color w:val="000000"/>
                <w:sz w:val="16"/>
              </w:rPr>
            </w:pPr>
            <w:r>
              <w:rPr>
                <w:rFonts w:ascii="Lato;sans-serif" w:hAnsi="Lato;sans-serif"/>
                <w:b w:val="false"/>
                <w:color w:val="000000"/>
                <w:sz w:val="16"/>
              </w:rPr>
              <w:t>63,200,000</w:t>
            </w:r>
          </w:p>
        </w:tc>
        <w:tc>
          <w:tcPr>
            <w:tcW w:w="1187"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Lato;sans-serif" w:hAnsi="Lato;sans-serif"/>
                <w:b w:val="false"/>
                <w:color w:val="000000"/>
                <w:sz w:val="16"/>
              </w:rPr>
            </w:pPr>
            <w:r>
              <w:rPr>
                <w:rFonts w:ascii="Lato;sans-serif" w:hAnsi="Lato;sans-serif"/>
                <w:b w:val="false"/>
                <w:color w:val="000000"/>
                <w:sz w:val="16"/>
              </w:rPr>
              <w:t>107,300,000</w:t>
            </w:r>
          </w:p>
        </w:tc>
        <w:tc>
          <w:tcPr>
            <w:tcW w:w="1101"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Lato;sans-serif" w:hAnsi="Lato;sans-serif"/>
                <w:b w:val="false"/>
                <w:color w:val="000000"/>
                <w:sz w:val="16"/>
              </w:rPr>
            </w:pPr>
            <w:r>
              <w:rPr>
                <w:rFonts w:ascii="Lato;sans-serif" w:hAnsi="Lato;sans-serif"/>
                <w:b w:val="false"/>
                <w:color w:val="000000"/>
                <w:sz w:val="16"/>
              </w:rPr>
              <w:t>29,100,000</w:t>
            </w:r>
          </w:p>
        </w:tc>
        <w:tc>
          <w:tcPr>
            <w:tcW w:w="1263"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Lato;sans-serif" w:hAnsi="Lato;sans-serif"/>
                <w:b w:val="false"/>
                <w:color w:val="000000"/>
                <w:sz w:val="16"/>
              </w:rPr>
            </w:pPr>
            <w:r>
              <w:rPr>
                <w:rFonts w:ascii="Lato;sans-serif" w:hAnsi="Lato;sans-serif"/>
                <w:b w:val="false"/>
                <w:color w:val="000000"/>
                <w:sz w:val="16"/>
              </w:rPr>
              <w:t>124,200,000</w:t>
            </w:r>
          </w:p>
        </w:tc>
      </w:tr>
    </w:tbl>
    <w:p>
      <w:pPr>
        <w:pStyle w:val="TextBody"/>
        <w:bidi w:val="0"/>
        <w:spacing w:before="0" w:after="0"/>
        <w:jc w:val="both"/>
        <w:rPr/>
      </w:pPr>
      <w:r>
        <w:rPr/>
      </w:r>
    </w:p>
    <w:p>
      <w:pPr>
        <w:pStyle w:val="TextBody"/>
        <w:bidi w:val="0"/>
        <w:spacing w:lineRule="auto" w:line="288" w:before="0" w:after="180"/>
        <w:jc w:val="left"/>
        <w:rPr>
          <w:rFonts w:ascii="Lato;sans-serif" w:hAnsi="Lato;sans-serif"/>
          <w:b w:val="false"/>
          <w:i/>
          <w:color w:val="000000"/>
          <w:sz w:val="20"/>
        </w:rPr>
      </w:pPr>
      <w:r>
        <w:rPr>
          <w:rFonts w:ascii="Lato;sans-serif" w:hAnsi="Lato;sans-serif"/>
          <w:b w:val="false"/>
          <w:i/>
          <w:color w:val="000000"/>
          <w:sz w:val="20"/>
        </w:rPr>
        <w:t>AOI</w:t>
      </w:r>
    </w:p>
    <w:p>
      <w:pPr>
        <w:pStyle w:val="TextBody"/>
        <w:bidi w:val="0"/>
        <w:spacing w:lineRule="auto" w:line="256" w:before="180" w:after="180"/>
        <w:jc w:val="both"/>
        <w:rPr>
          <w:rFonts w:ascii="Lato;sans-serif" w:hAnsi="Lato;sans-serif"/>
          <w:b w:val="false"/>
          <w:color w:val="000000"/>
          <w:sz w:val="20"/>
        </w:rPr>
      </w:pPr>
      <w:r>
        <w:rPr>
          <w:rFonts w:ascii="Lato;sans-serif" w:hAnsi="Lato;sans-serif"/>
          <w:b w:val="false"/>
          <w:color w:val="000000"/>
          <w:sz w:val="20"/>
        </w:rPr>
        <w:t>The following charts show the relationship between (1) PEO CAP and the average non-PEO named executive officer CAP (each as calculated pursuant to the Rule) and (2) AOI for the last four fiscal years.</w:t>
      </w:r>
    </w:p>
    <w:tbl>
      <w:tblPr>
        <w:tblW w:w="7475" w:type="dxa"/>
        <w:jc w:val="left"/>
        <w:tblInd w:w="0" w:type="dxa"/>
        <w:tblLayout w:type="fixed"/>
        <w:tblCellMar>
          <w:top w:w="28" w:type="dxa"/>
          <w:left w:w="28" w:type="dxa"/>
          <w:bottom w:w="28" w:type="dxa"/>
          <w:right w:w="28" w:type="dxa"/>
        </w:tblCellMar>
      </w:tblPr>
      <w:tblGrid>
        <w:gridCol w:w="625"/>
        <w:gridCol w:w="549"/>
        <w:gridCol w:w="551"/>
        <w:gridCol w:w="378"/>
        <w:gridCol w:w="378"/>
        <w:gridCol w:w="385"/>
        <w:gridCol w:w="378"/>
        <w:gridCol w:w="378"/>
        <w:gridCol w:w="385"/>
        <w:gridCol w:w="378"/>
        <w:gridCol w:w="378"/>
        <w:gridCol w:w="385"/>
        <w:gridCol w:w="378"/>
        <w:gridCol w:w="378"/>
        <w:gridCol w:w="385"/>
        <w:gridCol w:w="345"/>
        <w:gridCol w:w="345"/>
        <w:gridCol w:w="496"/>
      </w:tblGrid>
      <w:tr>
        <w:trPr/>
        <w:tc>
          <w:tcPr>
            <w:tcW w:w="625" w:type="dxa"/>
            <w:tcBorders/>
            <w:vAlign w:val="center"/>
          </w:tcPr>
          <w:p>
            <w:pPr>
              <w:pStyle w:val="TableContents"/>
              <w:bidi w:val="0"/>
              <w:spacing w:before="0" w:after="283"/>
              <w:jc w:val="left"/>
              <w:rPr>
                <w:sz w:val="4"/>
                <w:szCs w:val="4"/>
              </w:rPr>
            </w:pPr>
            <w:r>
              <w:rPr>
                <w:sz w:val="4"/>
                <w:szCs w:val="4"/>
              </w:rPr>
            </w:r>
          </w:p>
        </w:tc>
        <w:tc>
          <w:tcPr>
            <w:tcW w:w="549"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c>
          <w:tcPr>
            <w:tcW w:w="378" w:type="dxa"/>
            <w:tcBorders/>
            <w:vAlign w:val="center"/>
          </w:tcPr>
          <w:p>
            <w:pPr>
              <w:pStyle w:val="TableContents"/>
              <w:bidi w:val="0"/>
              <w:spacing w:before="0" w:after="283"/>
              <w:jc w:val="left"/>
              <w:rPr>
                <w:sz w:val="4"/>
                <w:szCs w:val="4"/>
              </w:rPr>
            </w:pPr>
            <w:r>
              <w:rPr>
                <w:sz w:val="4"/>
                <w:szCs w:val="4"/>
              </w:rPr>
            </w:r>
          </w:p>
        </w:tc>
        <w:tc>
          <w:tcPr>
            <w:tcW w:w="378"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378" w:type="dxa"/>
            <w:tcBorders/>
            <w:vAlign w:val="center"/>
          </w:tcPr>
          <w:p>
            <w:pPr>
              <w:pStyle w:val="TableContents"/>
              <w:bidi w:val="0"/>
              <w:spacing w:before="0" w:after="283"/>
              <w:jc w:val="left"/>
              <w:rPr>
                <w:sz w:val="4"/>
                <w:szCs w:val="4"/>
              </w:rPr>
            </w:pPr>
            <w:r>
              <w:rPr>
                <w:sz w:val="4"/>
                <w:szCs w:val="4"/>
              </w:rPr>
            </w:r>
          </w:p>
        </w:tc>
        <w:tc>
          <w:tcPr>
            <w:tcW w:w="378"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378" w:type="dxa"/>
            <w:tcBorders/>
            <w:vAlign w:val="center"/>
          </w:tcPr>
          <w:p>
            <w:pPr>
              <w:pStyle w:val="TableContents"/>
              <w:bidi w:val="0"/>
              <w:spacing w:before="0" w:after="283"/>
              <w:jc w:val="left"/>
              <w:rPr>
                <w:sz w:val="4"/>
                <w:szCs w:val="4"/>
              </w:rPr>
            </w:pPr>
            <w:r>
              <w:rPr>
                <w:sz w:val="4"/>
                <w:szCs w:val="4"/>
              </w:rPr>
            </w:r>
          </w:p>
        </w:tc>
        <w:tc>
          <w:tcPr>
            <w:tcW w:w="378"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378" w:type="dxa"/>
            <w:tcBorders/>
            <w:vAlign w:val="center"/>
          </w:tcPr>
          <w:p>
            <w:pPr>
              <w:pStyle w:val="TableContents"/>
              <w:bidi w:val="0"/>
              <w:spacing w:before="0" w:after="283"/>
              <w:jc w:val="left"/>
              <w:rPr>
                <w:sz w:val="4"/>
                <w:szCs w:val="4"/>
              </w:rPr>
            </w:pPr>
            <w:r>
              <w:rPr>
                <w:sz w:val="4"/>
                <w:szCs w:val="4"/>
              </w:rPr>
            </w:r>
          </w:p>
        </w:tc>
        <w:tc>
          <w:tcPr>
            <w:tcW w:w="378"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r>
      <w:tr>
        <w:trPr/>
        <w:tc>
          <w:tcPr>
            <w:tcW w:w="1725" w:type="dxa"/>
            <w:gridSpan w:val="3"/>
            <w:tcBorders/>
            <w:shd w:fill="F4423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0" w:type="dxa"/>
            <w:gridSpan w:val="15"/>
            <w:tcBorders/>
            <w:shd w:fill="F44238" w:val="clear"/>
            <w:tcMar>
              <w:top w:w="0" w:type="dxa"/>
              <w:left w:w="0" w:type="dxa"/>
              <w:bottom w:w="0" w:type="dxa"/>
              <w:right w:w="0" w:type="dxa"/>
            </w:tcMar>
            <w:vAlign w:val="center"/>
          </w:tcPr>
          <w:p>
            <w:pPr>
              <w:pStyle w:val="TableContents"/>
              <w:bidi w:val="0"/>
              <w:spacing w:lineRule="auto" w:line="268" w:before="0" w:after="283"/>
              <w:jc w:val="center"/>
              <w:rPr>
                <w:rFonts w:ascii="Lato;sans-serif" w:hAnsi="Lato;sans-serif"/>
                <w:b/>
                <w:color w:val="FFFFFF"/>
                <w:sz w:val="16"/>
              </w:rPr>
            </w:pPr>
            <w:r>
              <w:rPr>
                <w:rFonts w:ascii="Lato;sans-serif" w:hAnsi="Lato;sans-serif"/>
                <w:b/>
                <w:color w:val="FFFFFF"/>
                <w:sz w:val="16"/>
              </w:rPr>
              <w:t>PEO Compensation vs. AOI</w:t>
            </w:r>
          </w:p>
        </w:tc>
      </w:tr>
      <w:tr>
        <w:trPr/>
        <w:tc>
          <w:tcPr>
            <w:tcW w:w="1725" w:type="dxa"/>
            <w:gridSpan w:val="3"/>
            <w:tcBorders/>
            <w:shd w:fill="F4423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F44238" w:val="clear"/>
            <w:tcMar>
              <w:top w:w="0" w:type="dxa"/>
              <w:left w:w="0" w:type="dxa"/>
              <w:bottom w:w="0" w:type="dxa"/>
              <w:right w:w="0" w:type="dxa"/>
            </w:tcMar>
            <w:vAlign w:val="center"/>
          </w:tcPr>
          <w:p>
            <w:pPr>
              <w:pStyle w:val="TableContents"/>
              <w:bidi w:val="0"/>
              <w:spacing w:lineRule="auto" w:line="268" w:before="0" w:after="283"/>
              <w:jc w:val="center"/>
              <w:rPr>
                <w:rFonts w:ascii="Lato;sans-serif" w:hAnsi="Lato;sans-serif"/>
                <w:b/>
                <w:color w:val="FFFFFF"/>
                <w:sz w:val="16"/>
              </w:rPr>
            </w:pPr>
            <w:r>
              <w:rPr>
                <w:rFonts w:ascii="Lato;sans-serif" w:hAnsi="Lato;sans-serif"/>
                <w:b/>
                <w:color w:val="FFFFFF"/>
                <w:sz w:val="16"/>
              </w:rPr>
              <w:t>2021</w:t>
            </w:r>
          </w:p>
        </w:tc>
        <w:tc>
          <w:tcPr>
            <w:tcW w:w="1141" w:type="dxa"/>
            <w:gridSpan w:val="3"/>
            <w:tcBorders/>
            <w:shd w:fill="F44238" w:val="clear"/>
            <w:tcMar>
              <w:top w:w="0" w:type="dxa"/>
              <w:left w:w="0" w:type="dxa"/>
              <w:bottom w:w="0" w:type="dxa"/>
              <w:right w:w="0" w:type="dxa"/>
            </w:tcMar>
            <w:vAlign w:val="center"/>
          </w:tcPr>
          <w:p>
            <w:pPr>
              <w:pStyle w:val="TableContents"/>
              <w:bidi w:val="0"/>
              <w:spacing w:lineRule="auto" w:line="268" w:before="0" w:after="283"/>
              <w:jc w:val="center"/>
              <w:rPr>
                <w:rFonts w:ascii="Lato;sans-serif" w:hAnsi="Lato;sans-serif"/>
                <w:b/>
                <w:color w:val="FFFFFF"/>
                <w:sz w:val="16"/>
              </w:rPr>
            </w:pPr>
            <w:r>
              <w:rPr>
                <w:rFonts w:ascii="Lato;sans-serif" w:hAnsi="Lato;sans-serif"/>
                <w:b/>
                <w:color w:val="FFFFFF"/>
                <w:sz w:val="16"/>
              </w:rPr>
              <w:t>2022</w:t>
            </w:r>
          </w:p>
        </w:tc>
        <w:tc>
          <w:tcPr>
            <w:tcW w:w="1141" w:type="dxa"/>
            <w:gridSpan w:val="3"/>
            <w:tcBorders/>
            <w:shd w:fill="F44238" w:val="clear"/>
            <w:tcMar>
              <w:top w:w="0" w:type="dxa"/>
              <w:left w:w="0" w:type="dxa"/>
              <w:bottom w:w="0" w:type="dxa"/>
              <w:right w:w="0" w:type="dxa"/>
            </w:tcMar>
            <w:vAlign w:val="center"/>
          </w:tcPr>
          <w:p>
            <w:pPr>
              <w:pStyle w:val="TableContents"/>
              <w:bidi w:val="0"/>
              <w:spacing w:lineRule="auto" w:line="268" w:before="0" w:after="283"/>
              <w:jc w:val="center"/>
              <w:rPr>
                <w:rFonts w:ascii="Lato;sans-serif" w:hAnsi="Lato;sans-serif"/>
                <w:b/>
                <w:color w:val="FFFFFF"/>
                <w:sz w:val="16"/>
              </w:rPr>
            </w:pPr>
            <w:r>
              <w:rPr>
                <w:rFonts w:ascii="Lato;sans-serif" w:hAnsi="Lato;sans-serif"/>
                <w:b/>
                <w:color w:val="FFFFFF"/>
                <w:sz w:val="16"/>
              </w:rPr>
              <w:t>2023</w:t>
            </w:r>
          </w:p>
        </w:tc>
        <w:tc>
          <w:tcPr>
            <w:tcW w:w="1141" w:type="dxa"/>
            <w:gridSpan w:val="3"/>
            <w:tcBorders/>
            <w:shd w:fill="F44238" w:val="clear"/>
            <w:tcMar>
              <w:top w:w="0" w:type="dxa"/>
              <w:left w:w="0" w:type="dxa"/>
              <w:bottom w:w="0" w:type="dxa"/>
              <w:right w:w="0" w:type="dxa"/>
            </w:tcMar>
            <w:vAlign w:val="center"/>
          </w:tcPr>
          <w:p>
            <w:pPr>
              <w:pStyle w:val="TableContents"/>
              <w:bidi w:val="0"/>
              <w:spacing w:lineRule="auto" w:line="268" w:before="0" w:after="283"/>
              <w:jc w:val="center"/>
              <w:rPr>
                <w:rFonts w:ascii="Lato;sans-serif" w:hAnsi="Lato;sans-serif"/>
                <w:b/>
                <w:color w:val="FFFFFF"/>
                <w:sz w:val="16"/>
              </w:rPr>
            </w:pPr>
            <w:r>
              <w:rPr>
                <w:rFonts w:ascii="Lato;sans-serif" w:hAnsi="Lato;sans-serif"/>
                <w:b/>
                <w:color w:val="FFFFFF"/>
                <w:sz w:val="16"/>
              </w:rPr>
              <w:t>2024</w:t>
            </w:r>
          </w:p>
        </w:tc>
        <w:tc>
          <w:tcPr>
            <w:tcW w:w="1186" w:type="dxa"/>
            <w:gridSpan w:val="3"/>
            <w:tcBorders/>
            <w:shd w:fill="F44238" w:val="clear"/>
            <w:tcMar>
              <w:top w:w="0" w:type="dxa"/>
              <w:left w:w="0" w:type="dxa"/>
              <w:bottom w:w="0" w:type="dxa"/>
              <w:right w:w="0" w:type="dxa"/>
            </w:tcMar>
            <w:vAlign w:val="center"/>
          </w:tcPr>
          <w:p>
            <w:pPr>
              <w:pStyle w:val="TableContents"/>
              <w:bidi w:val="0"/>
              <w:spacing w:lineRule="auto" w:line="268" w:before="0" w:after="283"/>
              <w:jc w:val="center"/>
              <w:rPr>
                <w:rFonts w:ascii="Lato;sans-serif" w:hAnsi="Lato;sans-serif"/>
                <w:b/>
                <w:color w:val="FFFFFF"/>
                <w:sz w:val="16"/>
              </w:rPr>
            </w:pPr>
            <w:r>
              <w:rPr>
                <w:rFonts w:ascii="Lato;sans-serif" w:hAnsi="Lato;sans-serif"/>
                <w:b/>
                <w:color w:val="FFFFFF"/>
                <w:sz w:val="16"/>
              </w:rPr>
              <w:t>2025</w:t>
            </w:r>
          </w:p>
        </w:tc>
      </w:tr>
      <w:tr>
        <w:trPr/>
        <w:tc>
          <w:tcPr>
            <w:tcW w:w="1725"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Lato;sans-serif" w:hAnsi="Lato;sans-serif"/>
                <w:b w:val="false"/>
                <w:color w:val="000000"/>
                <w:sz w:val="16"/>
              </w:rPr>
            </w:pPr>
            <w:r>
              <w:rPr>
                <w:rFonts w:ascii="Lato;sans-serif" w:hAnsi="Lato;sans-serif"/>
                <w:b w:val="false"/>
                <w:color w:val="000000"/>
                <w:sz w:val="16"/>
              </w:rPr>
              <w:t>PEO Compensation</w:t>
            </w:r>
          </w:p>
        </w:tc>
        <w:tc>
          <w:tcPr>
            <w:tcW w:w="114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Lato;sans-serif" w:hAnsi="Lato;sans-serif"/>
                <w:b w:val="false"/>
                <w:color w:val="000000"/>
                <w:sz w:val="16"/>
              </w:rPr>
            </w:pPr>
            <w:r>
              <w:rPr>
                <w:rFonts w:ascii="Lato;sans-serif" w:hAnsi="Lato;sans-serif"/>
                <w:b w:val="false"/>
                <w:color w:val="000000"/>
                <w:sz w:val="16"/>
              </w:rPr>
              <w:t>12,173,581</w:t>
            </w:r>
          </w:p>
        </w:tc>
        <w:tc>
          <w:tcPr>
            <w:tcW w:w="114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Lato;sans-serif" w:hAnsi="Lato;sans-serif"/>
                <w:b w:val="false"/>
                <w:color w:val="000000"/>
                <w:sz w:val="16"/>
              </w:rPr>
            </w:pPr>
            <w:r>
              <w:rPr>
                <w:rFonts w:ascii="Lato;sans-serif" w:hAnsi="Lato;sans-serif"/>
                <w:b w:val="false"/>
                <w:color w:val="000000"/>
                <w:sz w:val="16"/>
              </w:rPr>
              <w:t>(9,307,765)</w:t>
            </w:r>
          </w:p>
        </w:tc>
        <w:tc>
          <w:tcPr>
            <w:tcW w:w="114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Lato;sans-serif" w:hAnsi="Lato;sans-serif"/>
                <w:b w:val="false"/>
                <w:color w:val="000000"/>
                <w:sz w:val="16"/>
              </w:rPr>
            </w:pPr>
            <w:r>
              <w:rPr>
                <w:rFonts w:ascii="Lato;sans-serif" w:hAnsi="Lato;sans-serif"/>
                <w:b w:val="false"/>
                <w:color w:val="000000"/>
                <w:sz w:val="16"/>
              </w:rPr>
              <w:t>2,304,429</w:t>
            </w:r>
          </w:p>
        </w:tc>
        <w:tc>
          <w:tcPr>
            <w:tcW w:w="114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Lato;sans-serif" w:hAnsi="Lato;sans-serif"/>
                <w:b w:val="false"/>
                <w:color w:val="000000"/>
                <w:sz w:val="16"/>
              </w:rPr>
            </w:pPr>
            <w:r>
              <w:rPr>
                <w:rFonts w:ascii="Lato;sans-serif" w:hAnsi="Lato;sans-serif"/>
                <w:b w:val="false"/>
                <w:color w:val="000000"/>
                <w:sz w:val="16"/>
              </w:rPr>
              <w:t>1,024,960</w:t>
            </w:r>
          </w:p>
        </w:tc>
        <w:tc>
          <w:tcPr>
            <w:tcW w:w="1186"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Lato;sans-serif" w:hAnsi="Lato;sans-serif"/>
                <w:b w:val="false"/>
                <w:color w:val="000000"/>
                <w:sz w:val="16"/>
              </w:rPr>
            </w:pPr>
            <w:r>
              <w:rPr>
                <w:rFonts w:ascii="Lato;sans-serif" w:hAnsi="Lato;sans-serif"/>
                <w:b w:val="false"/>
                <w:color w:val="000000"/>
                <w:sz w:val="16"/>
              </w:rPr>
              <w:t>35,270,457</w:t>
            </w:r>
          </w:p>
        </w:tc>
      </w:tr>
      <w:tr>
        <w:trPr/>
        <w:tc>
          <w:tcPr>
            <w:tcW w:w="1725" w:type="dxa"/>
            <w:gridSpan w:val="3"/>
            <w:tcBorders/>
            <w:shd w:fill="DBDBDB" w:val="clear"/>
            <w:tcMar>
              <w:top w:w="0" w:type="dxa"/>
              <w:left w:w="0" w:type="dxa"/>
              <w:bottom w:w="0" w:type="dxa"/>
              <w:right w:w="0" w:type="dxa"/>
            </w:tcMar>
            <w:vAlign w:val="center"/>
          </w:tcPr>
          <w:p>
            <w:pPr>
              <w:pStyle w:val="TableContents"/>
              <w:bidi w:val="0"/>
              <w:spacing w:lineRule="auto" w:line="268" w:before="0" w:after="283"/>
              <w:jc w:val="left"/>
              <w:rPr>
                <w:rFonts w:ascii="Lato;sans-serif" w:hAnsi="Lato;sans-serif"/>
                <w:b w:val="false"/>
                <w:color w:val="000000"/>
                <w:sz w:val="16"/>
              </w:rPr>
            </w:pPr>
            <w:r>
              <w:rPr>
                <w:rFonts w:ascii="Lato;sans-serif" w:hAnsi="Lato;sans-serif"/>
                <w:b w:val="false"/>
                <w:color w:val="000000"/>
                <w:sz w:val="16"/>
              </w:rPr>
              <w:t>AOI</w:t>
            </w:r>
          </w:p>
        </w:tc>
        <w:tc>
          <w:tcPr>
            <w:tcW w:w="1141"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Lato;sans-serif" w:hAnsi="Lato;sans-serif"/>
                <w:b w:val="false"/>
                <w:color w:val="000000"/>
                <w:sz w:val="16"/>
              </w:rPr>
            </w:pPr>
            <w:r>
              <w:rPr>
                <w:rFonts w:ascii="Lato;sans-serif" w:hAnsi="Lato;sans-serif"/>
                <w:b w:val="false"/>
                <w:color w:val="000000"/>
                <w:sz w:val="16"/>
              </w:rPr>
              <w:t>306,600,000</w:t>
            </w:r>
          </w:p>
        </w:tc>
        <w:tc>
          <w:tcPr>
            <w:tcW w:w="1141"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Lato;sans-serif" w:hAnsi="Lato;sans-serif"/>
                <w:b w:val="false"/>
                <w:color w:val="000000"/>
                <w:sz w:val="16"/>
              </w:rPr>
            </w:pPr>
            <w:r>
              <w:rPr>
                <w:rFonts w:ascii="Lato;sans-serif" w:hAnsi="Lato;sans-serif"/>
                <w:b w:val="false"/>
                <w:color w:val="000000"/>
                <w:sz w:val="16"/>
              </w:rPr>
              <w:t>447,800,000</w:t>
            </w:r>
          </w:p>
        </w:tc>
        <w:tc>
          <w:tcPr>
            <w:tcW w:w="1141"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Lato;sans-serif" w:hAnsi="Lato;sans-serif"/>
                <w:b w:val="false"/>
                <w:color w:val="000000"/>
                <w:sz w:val="16"/>
              </w:rPr>
            </w:pPr>
            <w:r>
              <w:rPr>
                <w:rFonts w:ascii="Lato;sans-serif" w:hAnsi="Lato;sans-serif"/>
                <w:b w:val="false"/>
                <w:color w:val="000000"/>
                <w:sz w:val="16"/>
              </w:rPr>
              <w:t>498,600,000</w:t>
            </w:r>
          </w:p>
        </w:tc>
        <w:tc>
          <w:tcPr>
            <w:tcW w:w="1141"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Lato;sans-serif" w:hAnsi="Lato;sans-serif"/>
                <w:b w:val="false"/>
                <w:color w:val="000000"/>
                <w:sz w:val="16"/>
              </w:rPr>
            </w:pPr>
            <w:r>
              <w:rPr>
                <w:rFonts w:ascii="Lato;sans-serif" w:hAnsi="Lato;sans-serif"/>
                <w:b w:val="false"/>
                <w:color w:val="000000"/>
                <w:sz w:val="16"/>
              </w:rPr>
              <w:t>428,500,000</w:t>
            </w:r>
          </w:p>
        </w:tc>
        <w:tc>
          <w:tcPr>
            <w:tcW w:w="1186"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Lato;sans-serif" w:hAnsi="Lato;sans-serif"/>
                <w:b w:val="false"/>
                <w:color w:val="000000"/>
                <w:sz w:val="16"/>
              </w:rPr>
            </w:pPr>
            <w:r>
              <w:rPr>
                <w:rFonts w:ascii="Lato;sans-serif" w:hAnsi="Lato;sans-serif"/>
                <w:b w:val="false"/>
                <w:color w:val="000000"/>
                <w:sz w:val="16"/>
              </w:rPr>
              <w:t>445,900,000</w:t>
            </w:r>
          </w:p>
        </w:tc>
      </w:tr>
    </w:tbl>
    <w:tbl>
      <w:tblPr>
        <w:tblW w:w="8254" w:type="dxa"/>
        <w:jc w:val="left"/>
        <w:tblInd w:w="0" w:type="dxa"/>
        <w:tblLayout w:type="fixed"/>
        <w:tblCellMar>
          <w:top w:w="28" w:type="dxa"/>
          <w:left w:w="28" w:type="dxa"/>
          <w:bottom w:w="28" w:type="dxa"/>
          <w:right w:w="28" w:type="dxa"/>
        </w:tblCellMar>
      </w:tblPr>
      <w:tblGrid>
        <w:gridCol w:w="907"/>
        <w:gridCol w:w="797"/>
        <w:gridCol w:w="800"/>
        <w:gridCol w:w="378"/>
        <w:gridCol w:w="378"/>
        <w:gridCol w:w="385"/>
        <w:gridCol w:w="378"/>
        <w:gridCol w:w="378"/>
        <w:gridCol w:w="385"/>
        <w:gridCol w:w="378"/>
        <w:gridCol w:w="378"/>
        <w:gridCol w:w="385"/>
        <w:gridCol w:w="378"/>
        <w:gridCol w:w="378"/>
        <w:gridCol w:w="385"/>
        <w:gridCol w:w="345"/>
        <w:gridCol w:w="345"/>
        <w:gridCol w:w="496"/>
      </w:tblGrid>
      <w:tr>
        <w:trPr/>
        <w:tc>
          <w:tcPr>
            <w:tcW w:w="907" w:type="dxa"/>
            <w:tcBorders/>
            <w:vAlign w:val="center"/>
          </w:tcPr>
          <w:p>
            <w:pPr>
              <w:pStyle w:val="TableContents"/>
              <w:bidi w:val="0"/>
              <w:spacing w:before="0" w:after="283"/>
              <w:jc w:val="left"/>
              <w:rPr>
                <w:sz w:val="4"/>
                <w:szCs w:val="4"/>
              </w:rPr>
            </w:pPr>
            <w:r>
              <w:rPr>
                <w:sz w:val="4"/>
                <w:szCs w:val="4"/>
              </w:rPr>
            </w:r>
          </w:p>
        </w:tc>
        <w:tc>
          <w:tcPr>
            <w:tcW w:w="797"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378" w:type="dxa"/>
            <w:tcBorders/>
            <w:vAlign w:val="center"/>
          </w:tcPr>
          <w:p>
            <w:pPr>
              <w:pStyle w:val="TableContents"/>
              <w:bidi w:val="0"/>
              <w:spacing w:before="0" w:after="283"/>
              <w:jc w:val="left"/>
              <w:rPr>
                <w:sz w:val="4"/>
                <w:szCs w:val="4"/>
              </w:rPr>
            </w:pPr>
            <w:r>
              <w:rPr>
                <w:sz w:val="4"/>
                <w:szCs w:val="4"/>
              </w:rPr>
            </w:r>
          </w:p>
        </w:tc>
        <w:tc>
          <w:tcPr>
            <w:tcW w:w="378"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378" w:type="dxa"/>
            <w:tcBorders/>
            <w:vAlign w:val="center"/>
          </w:tcPr>
          <w:p>
            <w:pPr>
              <w:pStyle w:val="TableContents"/>
              <w:bidi w:val="0"/>
              <w:spacing w:before="0" w:after="283"/>
              <w:jc w:val="left"/>
              <w:rPr>
                <w:sz w:val="4"/>
                <w:szCs w:val="4"/>
              </w:rPr>
            </w:pPr>
            <w:r>
              <w:rPr>
                <w:sz w:val="4"/>
                <w:szCs w:val="4"/>
              </w:rPr>
            </w:r>
          </w:p>
        </w:tc>
        <w:tc>
          <w:tcPr>
            <w:tcW w:w="378"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378" w:type="dxa"/>
            <w:tcBorders/>
            <w:vAlign w:val="center"/>
          </w:tcPr>
          <w:p>
            <w:pPr>
              <w:pStyle w:val="TableContents"/>
              <w:bidi w:val="0"/>
              <w:spacing w:before="0" w:after="283"/>
              <w:jc w:val="left"/>
              <w:rPr>
                <w:sz w:val="4"/>
                <w:szCs w:val="4"/>
              </w:rPr>
            </w:pPr>
            <w:r>
              <w:rPr>
                <w:sz w:val="4"/>
                <w:szCs w:val="4"/>
              </w:rPr>
            </w:r>
          </w:p>
        </w:tc>
        <w:tc>
          <w:tcPr>
            <w:tcW w:w="378"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378" w:type="dxa"/>
            <w:tcBorders/>
            <w:vAlign w:val="center"/>
          </w:tcPr>
          <w:p>
            <w:pPr>
              <w:pStyle w:val="TableContents"/>
              <w:bidi w:val="0"/>
              <w:spacing w:before="0" w:after="283"/>
              <w:jc w:val="left"/>
              <w:rPr>
                <w:sz w:val="4"/>
                <w:szCs w:val="4"/>
              </w:rPr>
            </w:pPr>
            <w:r>
              <w:rPr>
                <w:sz w:val="4"/>
                <w:szCs w:val="4"/>
              </w:rPr>
            </w:r>
          </w:p>
        </w:tc>
        <w:tc>
          <w:tcPr>
            <w:tcW w:w="378"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r>
      <w:tr>
        <w:trPr/>
        <w:tc>
          <w:tcPr>
            <w:tcW w:w="2504" w:type="dxa"/>
            <w:gridSpan w:val="3"/>
            <w:tcBorders/>
            <w:shd w:fill="F4423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0" w:type="dxa"/>
            <w:gridSpan w:val="15"/>
            <w:tcBorders/>
            <w:shd w:fill="F44238" w:val="clear"/>
            <w:tcMar>
              <w:top w:w="0" w:type="dxa"/>
              <w:left w:w="0" w:type="dxa"/>
              <w:bottom w:w="0" w:type="dxa"/>
              <w:right w:w="0" w:type="dxa"/>
            </w:tcMar>
            <w:vAlign w:val="center"/>
          </w:tcPr>
          <w:p>
            <w:pPr>
              <w:pStyle w:val="TableContents"/>
              <w:bidi w:val="0"/>
              <w:spacing w:lineRule="auto" w:line="268" w:before="0" w:after="283"/>
              <w:jc w:val="center"/>
              <w:rPr>
                <w:rFonts w:ascii="Lato;sans-serif" w:hAnsi="Lato;sans-serif"/>
                <w:b/>
                <w:color w:val="FFFFFF"/>
                <w:sz w:val="16"/>
              </w:rPr>
            </w:pPr>
            <w:r>
              <w:rPr>
                <w:rFonts w:ascii="Lato;sans-serif" w:hAnsi="Lato;sans-serif"/>
                <w:b/>
                <w:color w:val="FFFFFF"/>
                <w:sz w:val="16"/>
              </w:rPr>
              <w:t>NEO Compensation vs. AOI</w:t>
            </w:r>
          </w:p>
        </w:tc>
      </w:tr>
      <w:tr>
        <w:trPr/>
        <w:tc>
          <w:tcPr>
            <w:tcW w:w="2504" w:type="dxa"/>
            <w:gridSpan w:val="3"/>
            <w:tcBorders/>
            <w:shd w:fill="F4423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F44238" w:val="clear"/>
            <w:tcMar>
              <w:top w:w="0" w:type="dxa"/>
              <w:left w:w="0" w:type="dxa"/>
              <w:bottom w:w="0" w:type="dxa"/>
              <w:right w:w="0" w:type="dxa"/>
            </w:tcMar>
            <w:vAlign w:val="center"/>
          </w:tcPr>
          <w:p>
            <w:pPr>
              <w:pStyle w:val="TableContents"/>
              <w:bidi w:val="0"/>
              <w:spacing w:lineRule="auto" w:line="268" w:before="0" w:after="283"/>
              <w:jc w:val="center"/>
              <w:rPr>
                <w:rFonts w:ascii="Lato;sans-serif" w:hAnsi="Lato;sans-serif"/>
                <w:b/>
                <w:color w:val="FFFFFF"/>
                <w:sz w:val="16"/>
              </w:rPr>
            </w:pPr>
            <w:r>
              <w:rPr>
                <w:rFonts w:ascii="Lato;sans-serif" w:hAnsi="Lato;sans-serif"/>
                <w:b/>
                <w:color w:val="FFFFFF"/>
                <w:sz w:val="16"/>
              </w:rPr>
              <w:t>2021</w:t>
            </w:r>
          </w:p>
        </w:tc>
        <w:tc>
          <w:tcPr>
            <w:tcW w:w="1141" w:type="dxa"/>
            <w:gridSpan w:val="3"/>
            <w:tcBorders/>
            <w:shd w:fill="F44238" w:val="clear"/>
            <w:tcMar>
              <w:top w:w="0" w:type="dxa"/>
              <w:left w:w="0" w:type="dxa"/>
              <w:bottom w:w="0" w:type="dxa"/>
              <w:right w:w="0" w:type="dxa"/>
            </w:tcMar>
            <w:vAlign w:val="center"/>
          </w:tcPr>
          <w:p>
            <w:pPr>
              <w:pStyle w:val="TableContents"/>
              <w:bidi w:val="0"/>
              <w:spacing w:lineRule="auto" w:line="268" w:before="0" w:after="283"/>
              <w:jc w:val="center"/>
              <w:rPr>
                <w:rFonts w:ascii="Lato;sans-serif" w:hAnsi="Lato;sans-serif"/>
                <w:b/>
                <w:color w:val="FFFFFF"/>
                <w:sz w:val="16"/>
              </w:rPr>
            </w:pPr>
            <w:r>
              <w:rPr>
                <w:rFonts w:ascii="Lato;sans-serif" w:hAnsi="Lato;sans-serif"/>
                <w:b/>
                <w:color w:val="FFFFFF"/>
                <w:sz w:val="16"/>
              </w:rPr>
              <w:t>2022</w:t>
            </w:r>
          </w:p>
        </w:tc>
        <w:tc>
          <w:tcPr>
            <w:tcW w:w="1141" w:type="dxa"/>
            <w:gridSpan w:val="3"/>
            <w:tcBorders/>
            <w:shd w:fill="F44238" w:val="clear"/>
            <w:tcMar>
              <w:top w:w="0" w:type="dxa"/>
              <w:left w:w="0" w:type="dxa"/>
              <w:bottom w:w="0" w:type="dxa"/>
              <w:right w:w="0" w:type="dxa"/>
            </w:tcMar>
            <w:vAlign w:val="center"/>
          </w:tcPr>
          <w:p>
            <w:pPr>
              <w:pStyle w:val="TableContents"/>
              <w:bidi w:val="0"/>
              <w:spacing w:lineRule="auto" w:line="268" w:before="0" w:after="283"/>
              <w:jc w:val="center"/>
              <w:rPr>
                <w:rFonts w:ascii="Lato;sans-serif" w:hAnsi="Lato;sans-serif"/>
                <w:b/>
                <w:color w:val="FFFFFF"/>
                <w:sz w:val="16"/>
              </w:rPr>
            </w:pPr>
            <w:r>
              <w:rPr>
                <w:rFonts w:ascii="Lato;sans-serif" w:hAnsi="Lato;sans-serif"/>
                <w:b/>
                <w:color w:val="FFFFFF"/>
                <w:sz w:val="16"/>
              </w:rPr>
              <w:t>2023</w:t>
            </w:r>
          </w:p>
        </w:tc>
        <w:tc>
          <w:tcPr>
            <w:tcW w:w="1141" w:type="dxa"/>
            <w:gridSpan w:val="3"/>
            <w:tcBorders/>
            <w:shd w:fill="F44238" w:val="clear"/>
            <w:tcMar>
              <w:top w:w="0" w:type="dxa"/>
              <w:left w:w="0" w:type="dxa"/>
              <w:bottom w:w="0" w:type="dxa"/>
              <w:right w:w="0" w:type="dxa"/>
            </w:tcMar>
            <w:vAlign w:val="center"/>
          </w:tcPr>
          <w:p>
            <w:pPr>
              <w:pStyle w:val="TableContents"/>
              <w:bidi w:val="0"/>
              <w:spacing w:lineRule="auto" w:line="268" w:before="0" w:after="283"/>
              <w:jc w:val="center"/>
              <w:rPr>
                <w:rFonts w:ascii="Lato;sans-serif" w:hAnsi="Lato;sans-serif"/>
                <w:b/>
                <w:color w:val="FFFFFF"/>
                <w:sz w:val="16"/>
              </w:rPr>
            </w:pPr>
            <w:r>
              <w:rPr>
                <w:rFonts w:ascii="Lato;sans-serif" w:hAnsi="Lato;sans-serif"/>
                <w:b/>
                <w:color w:val="FFFFFF"/>
                <w:sz w:val="16"/>
              </w:rPr>
              <w:t>2024</w:t>
            </w:r>
          </w:p>
        </w:tc>
        <w:tc>
          <w:tcPr>
            <w:tcW w:w="1186" w:type="dxa"/>
            <w:gridSpan w:val="3"/>
            <w:tcBorders/>
            <w:shd w:fill="F44238" w:val="clear"/>
            <w:tcMar>
              <w:top w:w="0" w:type="dxa"/>
              <w:left w:w="0" w:type="dxa"/>
              <w:bottom w:w="0" w:type="dxa"/>
              <w:right w:w="0" w:type="dxa"/>
            </w:tcMar>
            <w:vAlign w:val="center"/>
          </w:tcPr>
          <w:p>
            <w:pPr>
              <w:pStyle w:val="TableContents"/>
              <w:bidi w:val="0"/>
              <w:spacing w:lineRule="auto" w:line="268" w:before="0" w:after="283"/>
              <w:jc w:val="center"/>
              <w:rPr>
                <w:rFonts w:ascii="Lato;sans-serif" w:hAnsi="Lato;sans-serif"/>
                <w:b/>
                <w:color w:val="FFFFFF"/>
                <w:sz w:val="16"/>
              </w:rPr>
            </w:pPr>
            <w:r>
              <w:rPr>
                <w:rFonts w:ascii="Lato;sans-serif" w:hAnsi="Lato;sans-serif"/>
                <w:b/>
                <w:color w:val="FFFFFF"/>
                <w:sz w:val="16"/>
              </w:rPr>
              <w:t>2025</w:t>
            </w:r>
          </w:p>
        </w:tc>
      </w:tr>
      <w:tr>
        <w:trPr/>
        <w:tc>
          <w:tcPr>
            <w:tcW w:w="2504"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Lato;sans-serif" w:hAnsi="Lato;sans-serif"/>
                <w:b w:val="false"/>
                <w:color w:val="000000"/>
                <w:sz w:val="16"/>
              </w:rPr>
            </w:pPr>
            <w:r>
              <w:rPr>
                <w:rFonts w:ascii="Lato;sans-serif" w:hAnsi="Lato;sans-serif"/>
                <w:b w:val="false"/>
                <w:color w:val="000000"/>
                <w:sz w:val="16"/>
              </w:rPr>
              <w:t>NEO Average Compensation</w:t>
            </w:r>
          </w:p>
        </w:tc>
        <w:tc>
          <w:tcPr>
            <w:tcW w:w="114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Lato;sans-serif" w:hAnsi="Lato;sans-serif"/>
                <w:b w:val="false"/>
                <w:color w:val="000000"/>
                <w:sz w:val="16"/>
              </w:rPr>
            </w:pPr>
            <w:r>
              <w:rPr>
                <w:rFonts w:ascii="Lato;sans-serif" w:hAnsi="Lato;sans-serif"/>
                <w:b w:val="false"/>
                <w:color w:val="000000"/>
                <w:sz w:val="16"/>
              </w:rPr>
              <w:t>18,433,785</w:t>
            </w:r>
          </w:p>
        </w:tc>
        <w:tc>
          <w:tcPr>
            <w:tcW w:w="114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Lato;sans-serif" w:hAnsi="Lato;sans-serif"/>
                <w:b w:val="false"/>
                <w:color w:val="000000"/>
                <w:sz w:val="16"/>
              </w:rPr>
            </w:pPr>
            <w:r>
              <w:rPr>
                <w:rFonts w:ascii="Lato;sans-serif" w:hAnsi="Lato;sans-serif"/>
                <w:b w:val="false"/>
                <w:color w:val="000000"/>
                <w:sz w:val="16"/>
              </w:rPr>
              <w:t>(3,364,287)</w:t>
            </w:r>
          </w:p>
        </w:tc>
        <w:tc>
          <w:tcPr>
            <w:tcW w:w="114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Lato;sans-serif" w:hAnsi="Lato;sans-serif"/>
                <w:b w:val="false"/>
                <w:color w:val="000000"/>
                <w:sz w:val="16"/>
              </w:rPr>
            </w:pPr>
            <w:r>
              <w:rPr>
                <w:rFonts w:ascii="Lato;sans-serif" w:hAnsi="Lato;sans-serif"/>
                <w:b w:val="false"/>
                <w:color w:val="000000"/>
                <w:sz w:val="16"/>
              </w:rPr>
              <w:t>2,255,270</w:t>
            </w:r>
          </w:p>
        </w:tc>
        <w:tc>
          <w:tcPr>
            <w:tcW w:w="114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Lato;sans-serif" w:hAnsi="Lato;sans-serif"/>
                <w:b w:val="false"/>
                <w:color w:val="000000"/>
                <w:sz w:val="16"/>
              </w:rPr>
            </w:pPr>
            <w:r>
              <w:rPr>
                <w:rFonts w:ascii="Lato;sans-serif" w:hAnsi="Lato;sans-serif"/>
                <w:b w:val="false"/>
                <w:color w:val="000000"/>
                <w:sz w:val="16"/>
              </w:rPr>
              <w:t>808,766</w:t>
            </w:r>
          </w:p>
        </w:tc>
        <w:tc>
          <w:tcPr>
            <w:tcW w:w="1186"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Lato;sans-serif" w:hAnsi="Lato;sans-serif"/>
                <w:b w:val="false"/>
                <w:color w:val="000000"/>
                <w:sz w:val="16"/>
              </w:rPr>
            </w:pPr>
            <w:r>
              <w:rPr>
                <w:rFonts w:ascii="Lato;sans-serif" w:hAnsi="Lato;sans-serif"/>
                <w:b w:val="false"/>
                <w:color w:val="000000"/>
                <w:sz w:val="16"/>
              </w:rPr>
              <w:t>4,707,548</w:t>
            </w:r>
          </w:p>
        </w:tc>
      </w:tr>
      <w:tr>
        <w:trPr/>
        <w:tc>
          <w:tcPr>
            <w:tcW w:w="2504" w:type="dxa"/>
            <w:gridSpan w:val="3"/>
            <w:tcBorders/>
            <w:shd w:fill="DBDBDB" w:val="clear"/>
            <w:tcMar>
              <w:top w:w="0" w:type="dxa"/>
              <w:left w:w="0" w:type="dxa"/>
              <w:bottom w:w="0" w:type="dxa"/>
              <w:right w:w="0" w:type="dxa"/>
            </w:tcMar>
            <w:vAlign w:val="center"/>
          </w:tcPr>
          <w:p>
            <w:pPr>
              <w:pStyle w:val="TableContents"/>
              <w:bidi w:val="0"/>
              <w:spacing w:lineRule="auto" w:line="268" w:before="0" w:after="283"/>
              <w:jc w:val="left"/>
              <w:rPr>
                <w:rFonts w:ascii="Lato;sans-serif" w:hAnsi="Lato;sans-serif"/>
                <w:b w:val="false"/>
                <w:color w:val="000000"/>
                <w:sz w:val="16"/>
              </w:rPr>
            </w:pPr>
            <w:r>
              <w:rPr>
                <w:rFonts w:ascii="Lato;sans-serif" w:hAnsi="Lato;sans-serif"/>
                <w:b w:val="false"/>
                <w:color w:val="000000"/>
                <w:sz w:val="16"/>
              </w:rPr>
              <w:t>AOI</w:t>
            </w:r>
          </w:p>
        </w:tc>
        <w:tc>
          <w:tcPr>
            <w:tcW w:w="1141"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Lato;sans-serif" w:hAnsi="Lato;sans-serif"/>
                <w:b w:val="false"/>
                <w:color w:val="000000"/>
                <w:sz w:val="16"/>
              </w:rPr>
            </w:pPr>
            <w:r>
              <w:rPr>
                <w:rFonts w:ascii="Lato;sans-serif" w:hAnsi="Lato;sans-serif"/>
                <w:b w:val="false"/>
                <w:color w:val="000000"/>
                <w:sz w:val="16"/>
              </w:rPr>
              <w:t>306,600,000</w:t>
            </w:r>
          </w:p>
        </w:tc>
        <w:tc>
          <w:tcPr>
            <w:tcW w:w="1141"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Lato;sans-serif" w:hAnsi="Lato;sans-serif"/>
                <w:b w:val="false"/>
                <w:color w:val="000000"/>
                <w:sz w:val="16"/>
              </w:rPr>
            </w:pPr>
            <w:r>
              <w:rPr>
                <w:rFonts w:ascii="Lato;sans-serif" w:hAnsi="Lato;sans-serif"/>
                <w:b w:val="false"/>
                <w:color w:val="000000"/>
                <w:sz w:val="16"/>
              </w:rPr>
              <w:t>447,800,000</w:t>
            </w:r>
          </w:p>
        </w:tc>
        <w:tc>
          <w:tcPr>
            <w:tcW w:w="1141"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Lato;sans-serif" w:hAnsi="Lato;sans-serif"/>
                <w:b w:val="false"/>
                <w:color w:val="000000"/>
                <w:sz w:val="16"/>
              </w:rPr>
            </w:pPr>
            <w:r>
              <w:rPr>
                <w:rFonts w:ascii="Lato;sans-serif" w:hAnsi="Lato;sans-serif"/>
                <w:b w:val="false"/>
                <w:color w:val="000000"/>
                <w:sz w:val="16"/>
              </w:rPr>
              <w:t>498,600,000</w:t>
            </w:r>
          </w:p>
        </w:tc>
        <w:tc>
          <w:tcPr>
            <w:tcW w:w="1141"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Lato;sans-serif" w:hAnsi="Lato;sans-serif"/>
                <w:b w:val="false"/>
                <w:color w:val="000000"/>
                <w:sz w:val="16"/>
              </w:rPr>
            </w:pPr>
            <w:r>
              <w:rPr>
                <w:rFonts w:ascii="Lato;sans-serif" w:hAnsi="Lato;sans-serif"/>
                <w:b w:val="false"/>
                <w:color w:val="000000"/>
                <w:sz w:val="16"/>
              </w:rPr>
              <w:t>428,500,000</w:t>
            </w:r>
          </w:p>
        </w:tc>
        <w:tc>
          <w:tcPr>
            <w:tcW w:w="1186"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Lato;sans-serif" w:hAnsi="Lato;sans-serif"/>
                <w:b w:val="false"/>
                <w:color w:val="000000"/>
                <w:sz w:val="16"/>
              </w:rPr>
            </w:pPr>
            <w:r>
              <w:rPr>
                <w:rFonts w:ascii="Lato;sans-serif" w:hAnsi="Lato;sans-serif"/>
                <w:b w:val="false"/>
                <w:color w:val="000000"/>
                <w:sz w:val="16"/>
              </w:rPr>
              <w:t>445,900,000</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5">
                <wp:simplePos x="0" y="0"/>
                <wp:positionH relativeFrom="character">
                  <wp:align>left</wp:align>
                </wp:positionH>
                <wp:positionV relativeFrom="line">
                  <wp:posOffset>635</wp:posOffset>
                </wp:positionV>
                <wp:extent cx="6480175" cy="352425"/>
                <wp:effectExtent l="0" t="0" r="0" b="0"/>
                <wp:wrapNone/>
                <wp:docPr id="101" name="Frame85"/>
                <a:graphic xmlns:a="http://schemas.openxmlformats.org/drawingml/2006/main">
                  <a:graphicData uri="http://schemas.microsoft.com/office/word/2010/wordprocessingShape">
                    <wps:wsp>
                      <wps:cNvSpPr txBox="1"/>
                      <wps:spPr>
                        <a:xfrm>
                          <a:off x="0" y="0"/>
                          <a:ext cx="6480175" cy="352425"/>
                        </a:xfrm>
                        <a:prstGeom prst="rect"/>
                        <a:solidFill>
                          <a:srgbClr val="FFFFFF"/>
                        </a:solidFill>
                      </wps:spPr>
                      <wps:txbx>
                        <w:txbxContent>
                          <w:p>
                            <w:pPr>
                              <w:pStyle w:val="TextBody"/>
                              <w:bidi w:val="0"/>
                              <w:spacing w:lineRule="auto" w:line="288" w:before="0" w:after="0"/>
                              <w:jc w:val="center"/>
                              <w:rPr>
                                <w:rFonts w:ascii="Lato;sans-serif" w:hAnsi="Lato;sans-serif"/>
                                <w:b w:val="false"/>
                                <w:color w:val="000000"/>
                                <w:sz w:val="20"/>
                              </w:rPr>
                            </w:pPr>
                            <w:r>
                              <w:rPr>
                                <w:rFonts w:ascii="Lato;sans-serif" w:hAnsi="Lato;sans-serif"/>
                                <w:b w:val="false"/>
                                <w:color w:val="000000"/>
                                <w:sz w:val="20"/>
                              </w:rPr>
                              <w:t>79</w:t>
                            </w:r>
                          </w:p>
                          <w:p>
                            <w:pPr>
                              <w:pStyle w:val="TextBody"/>
                              <w:bidi w:val="0"/>
                              <w:spacing w:lineRule="auto" w:line="288" w:before="0" w:after="0"/>
                              <w:jc w:val="left"/>
                              <w:rPr>
                                <w:color w:val="000000"/>
                              </w:rPr>
                            </w:pPr>
                            <w:r>
                              <w:rPr>
                                <w:color w:val="000000"/>
                              </w:rPr>
                              <w:t>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Lato;sans-serif" w:hAnsi="Lato;sans-serif"/>
                          <w:b w:val="false"/>
                          <w:color w:val="000000"/>
                          <w:sz w:val="20"/>
                        </w:rPr>
                      </w:pPr>
                      <w:r>
                        <w:rPr>
                          <w:rFonts w:ascii="Lato;sans-serif" w:hAnsi="Lato;sans-serif"/>
                          <w:b w:val="false"/>
                          <w:color w:val="000000"/>
                          <w:sz w:val="20"/>
                        </w:rPr>
                        <w:t>79</w:t>
                      </w:r>
                    </w:p>
                    <w:p>
                      <w:pPr>
                        <w:pStyle w:val="TextBody"/>
                        <w:bidi w:val="0"/>
                        <w:spacing w:lineRule="auto" w:line="288" w:before="0" w:after="0"/>
                        <w:jc w:val="left"/>
                        <w:rPr>
                          <w:color w:val="000000"/>
                        </w:rPr>
                      </w:pPr>
                      <w:r>
                        <w:rPr>
                          <w:color w:val="000000"/>
                        </w:rPr>
                        <w:t>        </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300" w:after="180"/>
        <w:jc w:val="left"/>
        <w:rPr>
          <w:rFonts w:ascii="Lato;sans-serif" w:hAnsi="Lato;sans-serif"/>
          <w:b/>
          <w:i/>
          <w:color w:val="000000"/>
          <w:sz w:val="20"/>
        </w:rPr>
      </w:pPr>
      <w:r>
        <w:rPr>
          <w:rFonts w:ascii="Lato;sans-serif" w:hAnsi="Lato;sans-serif"/>
          <w:b/>
          <w:i/>
          <w:color w:val="000000"/>
          <w:sz w:val="20"/>
        </w:rPr>
        <w:t>Financial Performance Measures Used to Link Executive Compensation to Performance</w:t>
      </w:r>
    </w:p>
    <w:p>
      <w:pPr>
        <w:pStyle w:val="TextBody"/>
        <w:bidi w:val="0"/>
        <w:spacing w:lineRule="auto" w:line="256" w:before="180" w:after="180"/>
        <w:jc w:val="both"/>
        <w:rPr>
          <w:rFonts w:ascii="Lato;sans-serif" w:hAnsi="Lato;sans-serif"/>
          <w:b w:val="false"/>
          <w:color w:val="000000"/>
          <w:sz w:val="20"/>
        </w:rPr>
      </w:pPr>
      <w:r>
        <w:rPr>
          <w:rFonts w:ascii="Lato;sans-serif" w:hAnsi="Lato;sans-serif"/>
          <w:b w:val="false"/>
          <w:color w:val="000000"/>
          <w:sz w:val="20"/>
        </w:rPr>
        <w:t>For purposes of the Rule, we have identified the following performance measures as the most important in setting compensation for our NEOs for fiscal year ended December 31, 2025, in response to the Tabular List disclosure requirement pursuant to Item 402(v)(6) of Regulation S-K. Due to significance of the impact of the CEO Premium-Priced Performance Option on our PEO’s CAP for fiscal year ended December 31, 2025, we have decided to break out this table into two lists: one for our PEO and one for Non-PEO NEOs. The measures in these table are not ranked.</w:t>
      </w:r>
    </w:p>
    <w:p>
      <w:pPr>
        <w:pStyle w:val="TextBody"/>
        <w:bidi w:val="0"/>
        <w:spacing w:lineRule="auto" w:line="256" w:before="180" w:after="180"/>
        <w:jc w:val="both"/>
        <w:rPr>
          <w:rFonts w:ascii="Lato;sans-serif" w:hAnsi="Lato;sans-serif"/>
          <w:b w:val="false"/>
          <w:color w:val="000000"/>
          <w:sz w:val="20"/>
        </w:rPr>
      </w:pPr>
      <w:r>
        <w:rPr>
          <w:rFonts w:ascii="Lato;sans-serif" w:hAnsi="Lato;sans-serif"/>
          <w:b w:val="false"/>
          <w:color w:val="000000"/>
          <w:sz w:val="20"/>
        </w:rPr>
        <w:t>With respect to our Non-PEO NEO’s, these performance measures were used (i) in setting performance goals under our 2025 Cash Incentive Bonus Plan, in the case of AOI and Net New ARR, and (ii) in setting longer term performance goals for the PSUs awarded to our NEOs, in the case of adjusted free cash flow per share, and in setting our Chief Revenue Officer’s discretionary incentive award based upon the achievement of a stretch goal, in the case of Net Revenue Retention.</w:t>
      </w:r>
    </w:p>
    <w:p>
      <w:pPr>
        <w:pStyle w:val="TextBody"/>
        <w:bidi w:val="0"/>
        <w:spacing w:lineRule="auto" w:line="256" w:before="180" w:after="180"/>
        <w:jc w:val="both"/>
        <w:rPr/>
      </w:pPr>
      <w:r>
        <w:rPr>
          <w:rFonts w:ascii="Lato;sans-serif" w:hAnsi="Lato;sans-serif"/>
          <w:b w:val="false"/>
          <w:color w:val="000000"/>
          <w:sz w:val="20"/>
        </w:rPr>
        <w:t>With respect to our PEO, these performance measures were used in setting performance goals under the CEO Premium-Priced Performance Option provided to Mr. Schuck, which is described in greater detail below under the section entitled “</w:t>
      </w:r>
      <w:r>
        <w:rPr>
          <w:rFonts w:ascii="Lato;sans-serif" w:hAnsi="Lato;sans-serif"/>
          <w:b w:val="false"/>
          <w:i/>
          <w:color w:val="000000"/>
          <w:sz w:val="20"/>
        </w:rPr>
        <w:t>Executive Compensation Discussion and Analysis—Long-Term Equity Compensation—2025 CEO Premium-Priced Performance Option.”</w:t>
      </w:r>
    </w:p>
    <w:tbl>
      <w:tblPr>
        <w:tblW w:w="7199" w:type="dxa"/>
        <w:jc w:val="left"/>
        <w:tblInd w:w="0" w:type="dxa"/>
        <w:tblLayout w:type="fixed"/>
        <w:tblCellMar>
          <w:top w:w="28" w:type="dxa"/>
          <w:left w:w="28" w:type="dxa"/>
          <w:bottom w:w="28" w:type="dxa"/>
          <w:right w:w="28" w:type="dxa"/>
        </w:tblCellMar>
      </w:tblPr>
      <w:tblGrid>
        <w:gridCol w:w="1300"/>
        <w:gridCol w:w="1136"/>
        <w:gridCol w:w="1148"/>
        <w:gridCol w:w="1058"/>
        <w:gridCol w:w="1058"/>
        <w:gridCol w:w="1499"/>
      </w:tblGrid>
      <w:tr>
        <w:trPr/>
        <w:tc>
          <w:tcPr>
            <w:tcW w:w="1300" w:type="dxa"/>
            <w:tcBorders/>
            <w:vAlign w:val="center"/>
          </w:tcPr>
          <w:p>
            <w:pPr>
              <w:pStyle w:val="TableContents"/>
              <w:bidi w:val="0"/>
              <w:spacing w:before="0" w:after="283"/>
              <w:jc w:val="left"/>
              <w:rPr>
                <w:sz w:val="4"/>
                <w:szCs w:val="4"/>
              </w:rPr>
            </w:pPr>
            <w:r>
              <w:rPr>
                <w:sz w:val="4"/>
                <w:szCs w:val="4"/>
              </w:rPr>
            </w:r>
          </w:p>
        </w:tc>
        <w:tc>
          <w:tcPr>
            <w:tcW w:w="1136" w:type="dxa"/>
            <w:tcBorders/>
            <w:vAlign w:val="center"/>
          </w:tcPr>
          <w:p>
            <w:pPr>
              <w:pStyle w:val="TableContents"/>
              <w:bidi w:val="0"/>
              <w:spacing w:before="0" w:after="283"/>
              <w:jc w:val="left"/>
              <w:rPr>
                <w:sz w:val="4"/>
                <w:szCs w:val="4"/>
              </w:rPr>
            </w:pPr>
            <w:r>
              <w:rPr>
                <w:sz w:val="4"/>
                <w:szCs w:val="4"/>
              </w:rPr>
            </w:r>
          </w:p>
        </w:tc>
        <w:tc>
          <w:tcPr>
            <w:tcW w:w="1148" w:type="dxa"/>
            <w:tcBorders/>
            <w:vAlign w:val="center"/>
          </w:tcPr>
          <w:p>
            <w:pPr>
              <w:pStyle w:val="TableContents"/>
              <w:bidi w:val="0"/>
              <w:spacing w:before="0" w:after="283"/>
              <w:jc w:val="left"/>
              <w:rPr>
                <w:sz w:val="4"/>
                <w:szCs w:val="4"/>
              </w:rPr>
            </w:pPr>
            <w:r>
              <w:rPr>
                <w:sz w:val="4"/>
                <w:szCs w:val="4"/>
              </w:rPr>
            </w:r>
          </w:p>
        </w:tc>
        <w:tc>
          <w:tcPr>
            <w:tcW w:w="1058" w:type="dxa"/>
            <w:tcBorders/>
            <w:vAlign w:val="center"/>
          </w:tcPr>
          <w:p>
            <w:pPr>
              <w:pStyle w:val="TableContents"/>
              <w:bidi w:val="0"/>
              <w:spacing w:before="0" w:after="283"/>
              <w:jc w:val="left"/>
              <w:rPr>
                <w:sz w:val="4"/>
                <w:szCs w:val="4"/>
              </w:rPr>
            </w:pPr>
            <w:r>
              <w:rPr>
                <w:sz w:val="4"/>
                <w:szCs w:val="4"/>
              </w:rPr>
            </w:r>
          </w:p>
        </w:tc>
        <w:tc>
          <w:tcPr>
            <w:tcW w:w="1058" w:type="dxa"/>
            <w:tcBorders/>
            <w:vAlign w:val="center"/>
          </w:tcPr>
          <w:p>
            <w:pPr>
              <w:pStyle w:val="TableContents"/>
              <w:bidi w:val="0"/>
              <w:spacing w:before="0" w:after="283"/>
              <w:jc w:val="left"/>
              <w:rPr>
                <w:sz w:val="4"/>
                <w:szCs w:val="4"/>
              </w:rPr>
            </w:pPr>
            <w:r>
              <w:rPr>
                <w:sz w:val="4"/>
                <w:szCs w:val="4"/>
              </w:rPr>
            </w:r>
          </w:p>
        </w:tc>
        <w:tc>
          <w:tcPr>
            <w:tcW w:w="1499" w:type="dxa"/>
            <w:tcBorders/>
            <w:vAlign w:val="center"/>
          </w:tcPr>
          <w:p>
            <w:pPr>
              <w:pStyle w:val="TableContents"/>
              <w:bidi w:val="0"/>
              <w:spacing w:before="0" w:after="283"/>
              <w:jc w:val="left"/>
              <w:rPr>
                <w:sz w:val="4"/>
                <w:szCs w:val="4"/>
              </w:rPr>
            </w:pPr>
            <w:r>
              <w:rPr>
                <w:sz w:val="4"/>
                <w:szCs w:val="4"/>
              </w:rPr>
            </w:r>
          </w:p>
        </w:tc>
      </w:tr>
      <w:tr>
        <w:trPr/>
        <w:tc>
          <w:tcPr>
            <w:tcW w:w="3584" w:type="dxa"/>
            <w:gridSpan w:val="3"/>
            <w:tcBorders/>
            <w:shd w:fill="F44238" w:val="clear"/>
            <w:tcMar>
              <w:top w:w="0" w:type="dxa"/>
              <w:left w:w="0" w:type="dxa"/>
              <w:bottom w:w="0" w:type="dxa"/>
              <w:right w:w="0" w:type="dxa"/>
            </w:tcMar>
            <w:vAlign w:val="center"/>
          </w:tcPr>
          <w:p>
            <w:pPr>
              <w:pStyle w:val="TableContents"/>
              <w:bidi w:val="0"/>
              <w:spacing w:lineRule="auto" w:line="268" w:before="0" w:after="0"/>
              <w:jc w:val="center"/>
              <w:rPr>
                <w:rFonts w:ascii="Lato;sans-serif" w:hAnsi="Lato;sans-serif"/>
                <w:b/>
                <w:color w:val="FFFFFF"/>
                <w:sz w:val="20"/>
              </w:rPr>
            </w:pPr>
            <w:r>
              <w:rPr>
                <w:rFonts w:ascii="Lato;sans-serif" w:hAnsi="Lato;sans-serif"/>
                <w:b/>
                <w:color w:val="FFFFFF"/>
                <w:sz w:val="20"/>
              </w:rPr>
              <w:t>PEO</w:t>
            </w:r>
          </w:p>
        </w:tc>
        <w:tc>
          <w:tcPr>
            <w:tcW w:w="3615" w:type="dxa"/>
            <w:gridSpan w:val="3"/>
            <w:tcBorders/>
            <w:shd w:fill="F44238" w:val="clear"/>
            <w:tcMar>
              <w:top w:w="0" w:type="dxa"/>
              <w:left w:w="0" w:type="dxa"/>
              <w:bottom w:w="0" w:type="dxa"/>
              <w:right w:w="0" w:type="dxa"/>
            </w:tcMar>
            <w:vAlign w:val="center"/>
          </w:tcPr>
          <w:p>
            <w:pPr>
              <w:pStyle w:val="TableContents"/>
              <w:bidi w:val="0"/>
              <w:spacing w:lineRule="auto" w:line="268" w:before="0" w:after="0"/>
              <w:jc w:val="center"/>
              <w:rPr>
                <w:rFonts w:ascii="Lato;sans-serif" w:hAnsi="Lato;sans-serif"/>
                <w:b/>
                <w:color w:val="FFFFFF"/>
                <w:sz w:val="20"/>
              </w:rPr>
            </w:pPr>
            <w:r>
              <w:rPr>
                <w:rFonts w:ascii="Lato;sans-serif" w:hAnsi="Lato;sans-serif"/>
                <w:b/>
                <w:color w:val="FFFFFF"/>
                <w:sz w:val="20"/>
              </w:rPr>
              <w:t>Non-PEO NEOs</w:t>
            </w:r>
          </w:p>
        </w:tc>
      </w:tr>
      <w:tr>
        <w:trPr/>
        <w:tc>
          <w:tcPr>
            <w:tcW w:w="3584" w:type="dxa"/>
            <w:gridSpan w:val="3"/>
            <w:tcBorders>
              <w:top w:val="single" w:sz="4" w:space="0" w:color="000000"/>
              <w:left w:val="single" w:sz="4" w:space="0" w:color="000000"/>
            </w:tcBorders>
            <w:shd w:fill="FFFFFF" w:val="clear"/>
            <w:tcMar>
              <w:top w:w="30" w:type="dxa"/>
              <w:bottom w:w="0" w:type="dxa"/>
              <w:right w:w="0" w:type="dxa"/>
            </w:tcMar>
            <w:vAlign w:val="center"/>
          </w:tcPr>
          <w:p>
            <w:pPr>
              <w:pStyle w:val="TableContents"/>
              <w:bidi w:val="0"/>
              <w:spacing w:lineRule="auto" w:line="268" w:before="0" w:after="0"/>
              <w:ind w:left="0" w:right="0" w:hanging="360"/>
              <w:jc w:val="both"/>
              <w:rPr/>
            </w:pPr>
            <w:r>
              <w:rPr>
                <w:color w:val="000000"/>
              </w:rPr>
              <w:t>•</w:t>
            </w:r>
            <w:r>
              <w:rPr>
                <w:rFonts w:ascii="Lato;sans-serif" w:hAnsi="Lato;sans-serif"/>
                <w:b w:val="false"/>
                <w:color w:val="000000"/>
                <w:sz w:val="20"/>
              </w:rPr>
              <w:t>AOI</w:t>
            </w:r>
          </w:p>
        </w:tc>
        <w:tc>
          <w:tcPr>
            <w:tcW w:w="3615" w:type="dxa"/>
            <w:gridSpan w:val="3"/>
            <w:tcBorders>
              <w:top w:val="single" w:sz="4" w:space="0" w:color="000000"/>
              <w:right w:val="single" w:sz="4" w:space="0" w:color="000000"/>
            </w:tcBorders>
            <w:shd w:fill="FFFFFF" w:val="clear"/>
            <w:tcMar>
              <w:top w:w="30" w:type="dxa"/>
              <w:left w:w="0" w:type="dxa"/>
              <w:bottom w:w="0" w:type="dxa"/>
            </w:tcMar>
            <w:vAlign w:val="center"/>
          </w:tcPr>
          <w:p>
            <w:pPr>
              <w:pStyle w:val="TableContents"/>
              <w:bidi w:val="0"/>
              <w:spacing w:lineRule="auto" w:line="268" w:before="0" w:after="0"/>
              <w:ind w:left="0" w:right="0" w:hanging="360"/>
              <w:jc w:val="both"/>
              <w:rPr/>
            </w:pPr>
            <w:r>
              <w:rPr>
                <w:color w:val="000000"/>
              </w:rPr>
              <w:t>•</w:t>
            </w:r>
            <w:r>
              <w:rPr>
                <w:rFonts w:ascii="Lato;sans-serif" w:hAnsi="Lato;sans-serif"/>
                <w:b w:val="false"/>
                <w:color w:val="000000"/>
                <w:sz w:val="20"/>
              </w:rPr>
              <w:t>AOI</w:t>
            </w:r>
          </w:p>
        </w:tc>
      </w:tr>
      <w:tr>
        <w:trPr/>
        <w:tc>
          <w:tcPr>
            <w:tcW w:w="3584" w:type="dxa"/>
            <w:gridSpan w:val="3"/>
            <w:tcBorders>
              <w:left w:val="single" w:sz="4" w:space="0" w:color="000000"/>
            </w:tcBorders>
            <w:shd w:fill="FFFFFF" w:val="clear"/>
            <w:tcMar>
              <w:top w:w="0" w:type="dxa"/>
              <w:bottom w:w="0" w:type="dxa"/>
              <w:right w:w="0" w:type="dxa"/>
            </w:tcMar>
            <w:vAlign w:val="center"/>
          </w:tcPr>
          <w:p>
            <w:pPr>
              <w:pStyle w:val="TableContents"/>
              <w:bidi w:val="0"/>
              <w:spacing w:lineRule="auto" w:line="268" w:before="0" w:after="0"/>
              <w:ind w:left="0" w:right="0" w:hanging="360"/>
              <w:jc w:val="both"/>
              <w:rPr/>
            </w:pPr>
            <w:r>
              <w:rPr>
                <w:color w:val="000000"/>
              </w:rPr>
              <w:t>•</w:t>
            </w:r>
            <w:r>
              <w:rPr>
                <w:rFonts w:ascii="Lato;sans-serif" w:hAnsi="Lato;sans-serif"/>
                <w:b w:val="false"/>
                <w:color w:val="000000"/>
                <w:sz w:val="20"/>
              </w:rPr>
              <w:t>Net New ARR</w:t>
            </w:r>
          </w:p>
        </w:tc>
        <w:tc>
          <w:tcPr>
            <w:tcW w:w="3615" w:type="dxa"/>
            <w:gridSpan w:val="3"/>
            <w:tcBorders>
              <w:right w:val="single" w:sz="4" w:space="0" w:color="000000"/>
            </w:tcBorders>
            <w:shd w:fill="FFFFFF" w:val="clear"/>
            <w:tcMar>
              <w:top w:w="0" w:type="dxa"/>
              <w:left w:w="0" w:type="dxa"/>
              <w:bottom w:w="0" w:type="dxa"/>
            </w:tcMar>
            <w:vAlign w:val="center"/>
          </w:tcPr>
          <w:p>
            <w:pPr>
              <w:pStyle w:val="TableContents"/>
              <w:bidi w:val="0"/>
              <w:spacing w:lineRule="auto" w:line="268" w:before="0" w:after="0"/>
              <w:ind w:left="0" w:right="0" w:hanging="360"/>
              <w:jc w:val="both"/>
              <w:rPr/>
            </w:pPr>
            <w:r>
              <w:rPr>
                <w:color w:val="000000"/>
              </w:rPr>
              <w:t>•</w:t>
            </w:r>
            <w:r>
              <w:rPr>
                <w:rFonts w:ascii="Lato;sans-serif" w:hAnsi="Lato;sans-serif"/>
                <w:b w:val="false"/>
                <w:color w:val="000000"/>
                <w:sz w:val="20"/>
              </w:rPr>
              <w:t>Net New ARR</w:t>
            </w:r>
          </w:p>
        </w:tc>
      </w:tr>
      <w:tr>
        <w:trPr/>
        <w:tc>
          <w:tcPr>
            <w:tcW w:w="3584" w:type="dxa"/>
            <w:gridSpan w:val="3"/>
            <w:tcBorders>
              <w:left w:val="single" w:sz="4" w:space="0" w:color="000000"/>
            </w:tcBorders>
            <w:shd w:fill="FFFFFF" w:val="clear"/>
            <w:tcMar>
              <w:top w:w="0" w:type="dxa"/>
              <w:bottom w:w="0" w:type="dxa"/>
              <w:right w:w="0" w:type="dxa"/>
            </w:tcMar>
            <w:vAlign w:val="center"/>
          </w:tcPr>
          <w:p>
            <w:pPr>
              <w:pStyle w:val="TableContents"/>
              <w:bidi w:val="0"/>
              <w:spacing w:lineRule="auto" w:line="268" w:before="0" w:after="0"/>
              <w:ind w:left="0" w:right="0" w:hanging="360"/>
              <w:jc w:val="both"/>
              <w:rPr/>
            </w:pPr>
            <w:r>
              <w:rPr>
                <w:color w:val="000000"/>
              </w:rPr>
              <w:t>•</w:t>
            </w:r>
            <w:r>
              <w:rPr>
                <w:rFonts w:ascii="Lato;sans-serif" w:hAnsi="Lato;sans-serif"/>
                <w:b w:val="false"/>
                <w:color w:val="000000"/>
                <w:sz w:val="20"/>
              </w:rPr>
              <w:t>Adjusted Free Cash Flow Per Share</w:t>
            </w:r>
          </w:p>
        </w:tc>
        <w:tc>
          <w:tcPr>
            <w:tcW w:w="3615" w:type="dxa"/>
            <w:gridSpan w:val="3"/>
            <w:tcBorders>
              <w:right w:val="single" w:sz="4" w:space="0" w:color="000000"/>
            </w:tcBorders>
            <w:shd w:fill="FFFFFF" w:val="clear"/>
            <w:tcMar>
              <w:top w:w="0" w:type="dxa"/>
              <w:left w:w="0" w:type="dxa"/>
              <w:bottom w:w="0" w:type="dxa"/>
            </w:tcMar>
            <w:vAlign w:val="center"/>
          </w:tcPr>
          <w:p>
            <w:pPr>
              <w:pStyle w:val="TableContents"/>
              <w:bidi w:val="0"/>
              <w:spacing w:lineRule="auto" w:line="268" w:before="0" w:after="0"/>
              <w:ind w:left="0" w:right="0" w:hanging="360"/>
              <w:jc w:val="both"/>
              <w:rPr/>
            </w:pPr>
            <w:r>
              <w:rPr>
                <w:color w:val="000000"/>
              </w:rPr>
              <w:t>•</w:t>
            </w:r>
            <w:r>
              <w:rPr>
                <w:rFonts w:ascii="Lato;sans-serif" w:hAnsi="Lato;sans-serif"/>
                <w:b w:val="false"/>
                <w:color w:val="000000"/>
                <w:sz w:val="20"/>
              </w:rPr>
              <w:t>Adjusted Free Cash Flow Per Share</w:t>
            </w:r>
          </w:p>
        </w:tc>
      </w:tr>
      <w:tr>
        <w:trPr/>
        <w:tc>
          <w:tcPr>
            <w:tcW w:w="3584" w:type="dxa"/>
            <w:gridSpan w:val="3"/>
            <w:tcBorders>
              <w:left w:val="single" w:sz="4" w:space="0" w:color="000000"/>
              <w:bottom w:val="single" w:sz="4" w:space="0" w:color="000000"/>
            </w:tcBorders>
            <w:tcMar>
              <w:top w:w="0" w:type="dxa"/>
              <w:bottom w:w="30" w:type="dxa"/>
              <w:right w:w="0" w:type="dxa"/>
            </w:tcMar>
            <w:vAlign w:val="center"/>
          </w:tcPr>
          <w:p>
            <w:pPr>
              <w:pStyle w:val="TableContents"/>
              <w:bidi w:val="0"/>
              <w:spacing w:lineRule="auto" w:line="240" w:before="0" w:after="0"/>
              <w:ind w:left="0" w:right="0" w:hanging="360"/>
              <w:jc w:val="left"/>
              <w:rPr/>
            </w:pPr>
            <w:r>
              <w:rPr>
                <w:color w:val="000000"/>
              </w:rPr>
              <w:t>•</w:t>
            </w:r>
            <w:r>
              <w:rPr>
                <w:rFonts w:ascii="Lato;sans-serif" w:hAnsi="Lato;sans-serif"/>
                <w:b w:val="false"/>
                <w:color w:val="000000"/>
                <w:sz w:val="20"/>
              </w:rPr>
              <w:t>Stock Price</w:t>
            </w:r>
          </w:p>
        </w:tc>
        <w:tc>
          <w:tcPr>
            <w:tcW w:w="3615" w:type="dxa"/>
            <w:gridSpan w:val="3"/>
            <w:tcBorders>
              <w:bottom w:val="single" w:sz="4" w:space="0" w:color="000000"/>
              <w:right w:val="single" w:sz="4" w:space="0" w:color="000000"/>
            </w:tcBorders>
            <w:tcMar>
              <w:top w:w="0" w:type="dxa"/>
              <w:left w:w="0" w:type="dxa"/>
              <w:bottom w:w="30" w:type="dxa"/>
            </w:tcMar>
            <w:vAlign w:val="center"/>
          </w:tcPr>
          <w:p>
            <w:pPr>
              <w:pStyle w:val="TableContents"/>
              <w:bidi w:val="0"/>
              <w:spacing w:lineRule="auto" w:line="240" w:before="0" w:after="0"/>
              <w:ind w:left="0" w:right="0" w:hanging="360"/>
              <w:jc w:val="left"/>
              <w:rPr/>
            </w:pPr>
            <w:r>
              <w:rPr>
                <w:color w:val="000000"/>
              </w:rPr>
              <w:t>•</w:t>
            </w:r>
            <w:r>
              <w:rPr>
                <w:rFonts w:ascii="Lato;sans-serif" w:hAnsi="Lato;sans-serif"/>
                <w:b w:val="false"/>
                <w:color w:val="000000"/>
                <w:sz w:val="20"/>
              </w:rPr>
              <w:t>Net Revenue Retention</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6">
                <wp:simplePos x="0" y="0"/>
                <wp:positionH relativeFrom="character">
                  <wp:align>left</wp:align>
                </wp:positionH>
                <wp:positionV relativeFrom="line">
                  <wp:posOffset>635</wp:posOffset>
                </wp:positionV>
                <wp:extent cx="6480175" cy="352425"/>
                <wp:effectExtent l="0" t="0" r="0" b="0"/>
                <wp:wrapNone/>
                <wp:docPr id="102" name="Frame86"/>
                <a:graphic xmlns:a="http://schemas.openxmlformats.org/drawingml/2006/main">
                  <a:graphicData uri="http://schemas.microsoft.com/office/word/2010/wordprocessingShape">
                    <wps:wsp>
                      <wps:cNvSpPr txBox="1"/>
                      <wps:spPr>
                        <a:xfrm>
                          <a:off x="0" y="0"/>
                          <a:ext cx="6480175" cy="352425"/>
                        </a:xfrm>
                        <a:prstGeom prst="rect"/>
                        <a:solidFill>
                          <a:srgbClr val="FFFFFF"/>
                        </a:solidFill>
                      </wps:spPr>
                      <wps:txbx>
                        <w:txbxContent>
                          <w:p>
                            <w:pPr>
                              <w:pStyle w:val="TextBody"/>
                              <w:bidi w:val="0"/>
                              <w:spacing w:lineRule="auto" w:line="288" w:before="0" w:after="0"/>
                              <w:jc w:val="center"/>
                              <w:rPr>
                                <w:rFonts w:ascii="Lato;sans-serif" w:hAnsi="Lato;sans-serif"/>
                                <w:b w:val="false"/>
                                <w:color w:val="000000"/>
                                <w:sz w:val="20"/>
                              </w:rPr>
                            </w:pPr>
                            <w:r>
                              <w:rPr>
                                <w:rFonts w:ascii="Lato;sans-serif" w:hAnsi="Lato;sans-serif"/>
                                <w:b w:val="false"/>
                                <w:color w:val="000000"/>
                                <w:sz w:val="20"/>
                              </w:rPr>
                              <w:t>80</w:t>
                            </w:r>
                          </w:p>
                          <w:p>
                            <w:pPr>
                              <w:pStyle w:val="TextBody"/>
                              <w:bidi w:val="0"/>
                              <w:spacing w:lineRule="auto" w:line="288" w:before="0" w:after="0"/>
                              <w:jc w:val="left"/>
                              <w:rPr>
                                <w:color w:val="000000"/>
                              </w:rPr>
                            </w:pPr>
                            <w:r>
                              <w:rPr>
                                <w:color w:val="000000"/>
                              </w:rPr>
                              <w:t>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Lato;sans-serif" w:hAnsi="Lato;sans-serif"/>
                          <w:b w:val="false"/>
                          <w:color w:val="000000"/>
                          <w:sz w:val="20"/>
                        </w:rPr>
                      </w:pPr>
                      <w:r>
                        <w:rPr>
                          <w:rFonts w:ascii="Lato;sans-serif" w:hAnsi="Lato;sans-serif"/>
                          <w:b w:val="false"/>
                          <w:color w:val="000000"/>
                          <w:sz w:val="20"/>
                        </w:rPr>
                        <w:t>80</w:t>
                      </w:r>
                    </w:p>
                    <w:p>
                      <w:pPr>
                        <w:pStyle w:val="TextBody"/>
                        <w:bidi w:val="0"/>
                        <w:spacing w:lineRule="auto" w:line="288" w:before="0" w:after="0"/>
                        <w:jc w:val="left"/>
                        <w:rPr>
                          <w:color w:val="000000"/>
                        </w:rPr>
                      </w:pPr>
                      <w:r>
                        <w:rPr>
                          <w:color w:val="000000"/>
                        </w:rPr>
                        <w:t>        </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300" w:after="180"/>
        <w:jc w:val="center"/>
        <w:rPr>
          <w:rFonts w:ascii="Lato;sans-serif" w:hAnsi="Lato;sans-serif"/>
          <w:b/>
          <w:color w:val="000000"/>
          <w:sz w:val="20"/>
          <w:shd w:fill="FFFFFF" w:val="clear"/>
        </w:rPr>
      </w:pPr>
      <w:r>
        <w:rPr>
          <w:rFonts w:ascii="Lato;sans-serif" w:hAnsi="Lato;sans-serif"/>
          <w:b/>
          <w:color w:val="000000"/>
          <w:sz w:val="20"/>
          <w:shd w:fill="FFFFFF" w:val="clear"/>
        </w:rPr>
        <w:t>EQUITY COMPENSATION PLAN INFORMATION</w:t>
      </w:r>
    </w:p>
    <w:p>
      <w:pPr>
        <w:pStyle w:val="TextBody"/>
        <w:bidi w:val="0"/>
        <w:spacing w:lineRule="auto" w:line="276" w:before="120" w:after="180"/>
        <w:jc w:val="both"/>
        <w:rPr>
          <w:rFonts w:ascii="Lato;sans-serif" w:hAnsi="Lato;sans-serif"/>
          <w:b w:val="false"/>
          <w:color w:val="000000"/>
          <w:sz w:val="20"/>
        </w:rPr>
      </w:pPr>
      <w:r>
        <w:rPr>
          <w:rFonts w:ascii="Lato;sans-serif" w:hAnsi="Lato;sans-serif"/>
          <w:b w:val="false"/>
          <w:color w:val="000000"/>
          <w:sz w:val="20"/>
        </w:rPr>
        <w:t>The following table sets forth, as of December 31, 2025, certain information related to our compensation plans under which shares of our common stock may be issued.</w:t>
      </w:r>
    </w:p>
    <w:tbl>
      <w:tblPr>
        <w:tblW w:w="10205" w:type="dxa"/>
        <w:jc w:val="left"/>
        <w:tblInd w:w="0" w:type="dxa"/>
        <w:tblLayout w:type="fixed"/>
        <w:tblCellMar>
          <w:top w:w="28" w:type="dxa"/>
          <w:left w:w="28" w:type="dxa"/>
          <w:bottom w:w="28" w:type="dxa"/>
          <w:right w:w="28" w:type="dxa"/>
        </w:tblCellMar>
      </w:tblPr>
      <w:tblGrid>
        <w:gridCol w:w="614"/>
        <w:gridCol w:w="539"/>
        <w:gridCol w:w="542"/>
        <w:gridCol w:w="109"/>
        <w:gridCol w:w="109"/>
        <w:gridCol w:w="109"/>
        <w:gridCol w:w="1013"/>
        <w:gridCol w:w="801"/>
        <w:gridCol w:w="803"/>
        <w:gridCol w:w="109"/>
        <w:gridCol w:w="109"/>
        <w:gridCol w:w="109"/>
        <w:gridCol w:w="727"/>
        <w:gridCol w:w="727"/>
        <w:gridCol w:w="729"/>
        <w:gridCol w:w="109"/>
        <w:gridCol w:w="109"/>
        <w:gridCol w:w="109"/>
        <w:gridCol w:w="865"/>
        <w:gridCol w:w="769"/>
        <w:gridCol w:w="1095"/>
      </w:tblGrid>
      <w:tr>
        <w:trPr/>
        <w:tc>
          <w:tcPr>
            <w:tcW w:w="614"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13"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8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27" w:type="dxa"/>
            <w:tcBorders/>
            <w:vAlign w:val="center"/>
          </w:tcPr>
          <w:p>
            <w:pPr>
              <w:pStyle w:val="TableContents"/>
              <w:bidi w:val="0"/>
              <w:spacing w:before="0" w:after="283"/>
              <w:jc w:val="left"/>
              <w:rPr>
                <w:sz w:val="4"/>
                <w:szCs w:val="4"/>
              </w:rPr>
            </w:pPr>
            <w:r>
              <w:rPr>
                <w:sz w:val="4"/>
                <w:szCs w:val="4"/>
              </w:rPr>
            </w:r>
          </w:p>
        </w:tc>
        <w:tc>
          <w:tcPr>
            <w:tcW w:w="727" w:type="dxa"/>
            <w:tcBorders/>
            <w:vAlign w:val="center"/>
          </w:tcPr>
          <w:p>
            <w:pPr>
              <w:pStyle w:val="TableContents"/>
              <w:bidi w:val="0"/>
              <w:spacing w:before="0" w:after="283"/>
              <w:jc w:val="left"/>
              <w:rPr>
                <w:sz w:val="4"/>
                <w:szCs w:val="4"/>
              </w:rPr>
            </w:pPr>
            <w:r>
              <w:rPr>
                <w:sz w:val="4"/>
                <w:szCs w:val="4"/>
              </w:rPr>
            </w:r>
          </w:p>
        </w:tc>
        <w:tc>
          <w:tcPr>
            <w:tcW w:w="7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65"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1095" w:type="dxa"/>
            <w:tcBorders/>
            <w:vAlign w:val="center"/>
          </w:tcPr>
          <w:p>
            <w:pPr>
              <w:pStyle w:val="TableContents"/>
              <w:bidi w:val="0"/>
              <w:spacing w:before="0" w:after="283"/>
              <w:jc w:val="left"/>
              <w:rPr>
                <w:sz w:val="4"/>
                <w:szCs w:val="4"/>
              </w:rPr>
            </w:pPr>
            <w:r>
              <w:rPr>
                <w:sz w:val="4"/>
                <w:szCs w:val="4"/>
              </w:rPr>
            </w:r>
          </w:p>
        </w:tc>
      </w:tr>
      <w:tr>
        <w:trPr/>
        <w:tc>
          <w:tcPr>
            <w:tcW w:w="1695" w:type="dxa"/>
            <w:gridSpan w:val="3"/>
            <w:tcBorders/>
            <w:shd w:fill="F44238" w:val="clear"/>
            <w:tcMar>
              <w:top w:w="0" w:type="dxa"/>
              <w:left w:w="0" w:type="dxa"/>
              <w:bottom w:w="0" w:type="dxa"/>
              <w:right w:w="0" w:type="dxa"/>
            </w:tcMar>
            <w:vAlign w:val="center"/>
          </w:tcPr>
          <w:p>
            <w:pPr>
              <w:pStyle w:val="TableContents"/>
              <w:bidi w:val="0"/>
              <w:spacing w:lineRule="auto" w:line="240" w:before="0" w:after="283"/>
              <w:jc w:val="left"/>
              <w:rPr>
                <w:color w:val="FFFFFF"/>
              </w:rPr>
            </w:pPr>
            <w:r>
              <w:rPr>
                <w:color w:val="FFFFFF"/>
              </w:rPr>
              <w:t> </w:t>
            </w:r>
          </w:p>
        </w:tc>
        <w:tc>
          <w:tcPr>
            <w:tcW w:w="327" w:type="dxa"/>
            <w:gridSpan w:val="3"/>
            <w:tcBorders/>
            <w:shd w:fill="F4423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7" w:type="dxa"/>
            <w:gridSpan w:val="3"/>
            <w:tcBorders/>
            <w:shd w:fill="F44238" w:val="clear"/>
            <w:tcMar>
              <w:top w:w="0" w:type="dxa"/>
              <w:left w:w="0" w:type="dxa"/>
              <w:bottom w:w="0" w:type="dxa"/>
              <w:right w:w="0" w:type="dxa"/>
            </w:tcMar>
            <w:vAlign w:val="center"/>
          </w:tcPr>
          <w:p>
            <w:pPr>
              <w:pStyle w:val="TableContents"/>
              <w:bidi w:val="0"/>
              <w:spacing w:lineRule="auto" w:line="276" w:before="0" w:after="283"/>
              <w:jc w:val="center"/>
              <w:rPr>
                <w:rFonts w:ascii="Lato;sans-serif" w:hAnsi="Lato;sans-serif"/>
                <w:b/>
                <w:color w:val="FFFFFF"/>
                <w:sz w:val="16"/>
              </w:rPr>
            </w:pPr>
            <w:r>
              <w:rPr>
                <w:rFonts w:ascii="Lato;sans-serif" w:hAnsi="Lato;sans-serif"/>
                <w:b/>
                <w:color w:val="FFFFFF"/>
                <w:sz w:val="16"/>
              </w:rPr>
              <w:t>Number of securities to be issued upon exercise of outstanding options, warrants and rights</w:t>
            </w:r>
          </w:p>
        </w:tc>
        <w:tc>
          <w:tcPr>
            <w:tcW w:w="327" w:type="dxa"/>
            <w:gridSpan w:val="3"/>
            <w:tcBorders/>
            <w:shd w:fill="F44238" w:val="clear"/>
            <w:tcMar>
              <w:top w:w="0" w:type="dxa"/>
              <w:left w:w="0" w:type="dxa"/>
              <w:bottom w:w="0" w:type="dxa"/>
              <w:right w:w="0" w:type="dxa"/>
            </w:tcMar>
            <w:vAlign w:val="center"/>
          </w:tcPr>
          <w:p>
            <w:pPr>
              <w:pStyle w:val="TableContents"/>
              <w:bidi w:val="0"/>
              <w:spacing w:lineRule="auto" w:line="240" w:before="0" w:after="283"/>
              <w:jc w:val="left"/>
              <w:rPr>
                <w:color w:val="FFFFFF"/>
              </w:rPr>
            </w:pPr>
            <w:r>
              <w:rPr>
                <w:color w:val="FFFFFF"/>
              </w:rPr>
              <w:t> </w:t>
            </w:r>
          </w:p>
        </w:tc>
        <w:tc>
          <w:tcPr>
            <w:tcW w:w="2183" w:type="dxa"/>
            <w:gridSpan w:val="3"/>
            <w:tcBorders/>
            <w:shd w:fill="F44238" w:val="clear"/>
            <w:tcMar>
              <w:top w:w="0" w:type="dxa"/>
              <w:left w:w="0" w:type="dxa"/>
              <w:bottom w:w="0" w:type="dxa"/>
              <w:right w:w="0" w:type="dxa"/>
            </w:tcMar>
            <w:vAlign w:val="center"/>
          </w:tcPr>
          <w:p>
            <w:pPr>
              <w:pStyle w:val="TableContents"/>
              <w:bidi w:val="0"/>
              <w:spacing w:lineRule="auto" w:line="276" w:before="0" w:after="283"/>
              <w:jc w:val="center"/>
              <w:rPr>
                <w:rFonts w:ascii="Lato;sans-serif" w:hAnsi="Lato;sans-serif"/>
                <w:b/>
                <w:color w:val="FFFFFF"/>
                <w:sz w:val="16"/>
              </w:rPr>
            </w:pPr>
            <w:r>
              <w:rPr>
                <w:rFonts w:ascii="Lato;sans-serif" w:hAnsi="Lato;sans-serif"/>
                <w:b/>
                <w:color w:val="FFFFFF"/>
                <w:sz w:val="16"/>
              </w:rPr>
              <w:t>Weighted- average exercise price of outstanding options, warrants and rights</w:t>
            </w:r>
          </w:p>
        </w:tc>
        <w:tc>
          <w:tcPr>
            <w:tcW w:w="327" w:type="dxa"/>
            <w:gridSpan w:val="3"/>
            <w:tcBorders/>
            <w:shd w:fill="F44238" w:val="clear"/>
            <w:tcMar>
              <w:top w:w="0" w:type="dxa"/>
              <w:left w:w="0" w:type="dxa"/>
              <w:bottom w:w="0" w:type="dxa"/>
              <w:right w:w="0" w:type="dxa"/>
            </w:tcMar>
            <w:vAlign w:val="center"/>
          </w:tcPr>
          <w:p>
            <w:pPr>
              <w:pStyle w:val="TableContents"/>
              <w:bidi w:val="0"/>
              <w:spacing w:lineRule="auto" w:line="240" w:before="0" w:after="283"/>
              <w:jc w:val="left"/>
              <w:rPr>
                <w:color w:val="FFFFFF"/>
              </w:rPr>
            </w:pPr>
            <w:r>
              <w:rPr>
                <w:color w:val="FFFFFF"/>
              </w:rPr>
              <w:t> </w:t>
            </w:r>
          </w:p>
        </w:tc>
        <w:tc>
          <w:tcPr>
            <w:tcW w:w="2729" w:type="dxa"/>
            <w:gridSpan w:val="3"/>
            <w:tcBorders/>
            <w:shd w:fill="F44238" w:val="clear"/>
            <w:tcMar>
              <w:top w:w="0" w:type="dxa"/>
              <w:left w:w="0" w:type="dxa"/>
              <w:bottom w:w="0" w:type="dxa"/>
              <w:right w:w="0" w:type="dxa"/>
            </w:tcMar>
            <w:vAlign w:val="center"/>
          </w:tcPr>
          <w:p>
            <w:pPr>
              <w:pStyle w:val="TableContents"/>
              <w:bidi w:val="0"/>
              <w:spacing w:lineRule="auto" w:line="276" w:before="0" w:after="283"/>
              <w:jc w:val="center"/>
              <w:rPr>
                <w:rFonts w:ascii="Lato;sans-serif" w:hAnsi="Lato;sans-serif"/>
                <w:b/>
                <w:color w:val="FFFFFF"/>
                <w:sz w:val="16"/>
              </w:rPr>
            </w:pPr>
            <w:r>
              <w:rPr>
                <w:rFonts w:ascii="Lato;sans-serif" w:hAnsi="Lato;sans-serif"/>
                <w:b/>
                <w:color w:val="FFFFFF"/>
                <w:sz w:val="16"/>
              </w:rPr>
              <w:t>Number of securities remaining available for future issuance under equity compensation plans</w:t>
            </w:r>
          </w:p>
        </w:tc>
      </w:tr>
      <w:tr>
        <w:trPr/>
        <w:tc>
          <w:tcPr>
            <w:tcW w:w="1695"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240"/>
              <w:jc w:val="left"/>
              <w:rPr/>
            </w:pPr>
            <w:r>
              <w:rPr>
                <w:rFonts w:ascii="Lato;sans-serif" w:hAnsi="Lato;sans-serif"/>
                <w:b w:val="false"/>
                <w:color w:val="000000"/>
                <w:sz w:val="16"/>
              </w:rPr>
              <w:t>Equity compensation plans approved by security holders</w:t>
            </w:r>
            <w:r>
              <w:rPr>
                <w:rFonts w:ascii="Lato;sans-serif" w:hAnsi="Lato;sans-serif"/>
                <w:b w:val="false"/>
                <w:color w:val="000000"/>
                <w:sz w:val="10"/>
              </w:rPr>
              <w:t>(1)</w:t>
            </w:r>
            <w:r>
              <w:rPr>
                <w:rFonts w:ascii="Lato;sans-serif" w:hAnsi="Lato;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3"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9"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5"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6"/>
              </w:rPr>
            </w:pPr>
            <w:r>
              <w:rPr>
                <w:rFonts w:ascii="Lato;sans-serif" w:hAnsi="Lato;sans-serif"/>
                <w:b w:val="false"/>
                <w:color w:val="000000"/>
                <w:sz w:val="16"/>
              </w:rPr>
              <w:t>2020 Omnibus Incentive Plan</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7" w:type="dxa"/>
            <w:gridSpan w:val="3"/>
            <w:tcBorders/>
            <w:shd w:fill="DBDBDB" w:val="clear"/>
            <w:tcMar>
              <w:top w:w="0" w:type="dxa"/>
              <w:left w:w="0" w:type="dxa"/>
              <w:bottom w:w="0" w:type="dxa"/>
              <w:right w:w="0" w:type="dxa"/>
            </w:tcMar>
            <w:vAlign w:val="center"/>
          </w:tcPr>
          <w:p>
            <w:pPr>
              <w:pStyle w:val="TableContents"/>
              <w:bidi w:val="0"/>
              <w:spacing w:lineRule="auto" w:line="240" w:before="0" w:after="0"/>
              <w:jc w:val="right"/>
              <w:rPr/>
            </w:pPr>
            <w:r>
              <w:rPr>
                <w:rFonts w:ascii="Lato;sans-serif" w:hAnsi="Lato;sans-serif"/>
                <w:b w:val="false"/>
                <w:color w:val="000000"/>
                <w:sz w:val="16"/>
              </w:rPr>
              <w:t>26,201,849</w:t>
            </w:r>
            <w:r>
              <w:rPr>
                <w:rFonts w:ascii="Lato;sans-serif" w:hAnsi="Lato;sans-serif"/>
                <w:b w:val="false"/>
                <w:color w:val="000000"/>
                <w:sz w:val="10"/>
              </w:rPr>
              <w:t>(2)</w:t>
            </w:r>
          </w:p>
        </w:tc>
        <w:tc>
          <w:tcPr>
            <w:tcW w:w="327"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183" w:type="dxa"/>
            <w:gridSpan w:val="3"/>
            <w:tcBorders/>
            <w:shd w:fill="DBDBDB" w:val="clear"/>
            <w:tcMar>
              <w:top w:w="0" w:type="dxa"/>
              <w:left w:w="0" w:type="dxa"/>
              <w:bottom w:w="0" w:type="dxa"/>
              <w:right w:w="0" w:type="dxa"/>
            </w:tcMar>
            <w:vAlign w:val="center"/>
          </w:tcPr>
          <w:p>
            <w:pPr>
              <w:pStyle w:val="TableContents"/>
              <w:bidi w:val="0"/>
              <w:spacing w:lineRule="auto" w:line="240" w:before="0" w:after="0"/>
              <w:jc w:val="right"/>
              <w:rPr/>
            </w:pPr>
            <w:r>
              <w:rPr>
                <w:rFonts w:ascii="Lato;sans-serif" w:hAnsi="Lato;sans-serif"/>
                <w:b w:val="false"/>
                <w:color w:val="000000"/>
                <w:sz w:val="16"/>
              </w:rPr>
              <w:t>$13.69</w:t>
            </w:r>
            <w:r>
              <w:rPr>
                <w:rFonts w:ascii="Lato;sans-serif" w:hAnsi="Lato;sans-serif"/>
                <w:b w:val="false"/>
                <w:color w:val="000000"/>
                <w:sz w:val="10"/>
              </w:rPr>
              <w:t>(3)</w:t>
            </w:r>
          </w:p>
        </w:tc>
        <w:tc>
          <w:tcPr>
            <w:tcW w:w="327"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729" w:type="dxa"/>
            <w:gridSpan w:val="3"/>
            <w:tcBorders/>
            <w:shd w:fill="DBDBDB" w:val="clear"/>
            <w:tcMar>
              <w:top w:w="0" w:type="dxa"/>
              <w:left w:w="0" w:type="dxa"/>
              <w:bottom w:w="0" w:type="dxa"/>
              <w:right w:w="0" w:type="dxa"/>
            </w:tcMar>
            <w:vAlign w:val="center"/>
          </w:tcPr>
          <w:p>
            <w:pPr>
              <w:pStyle w:val="TableContents"/>
              <w:bidi w:val="0"/>
              <w:spacing w:lineRule="auto" w:line="240" w:before="0" w:after="0"/>
              <w:jc w:val="right"/>
              <w:rPr/>
            </w:pPr>
            <w:r>
              <w:rPr>
                <w:rFonts w:ascii="Lato;sans-serif" w:hAnsi="Lato;sans-serif"/>
                <w:b w:val="false"/>
                <w:color w:val="000000"/>
                <w:sz w:val="16"/>
              </w:rPr>
              <w:t>17,318</w:t>
            </w:r>
            <w:r>
              <w:rPr>
                <w:rFonts w:ascii="Lato;sans-serif" w:hAnsi="Lato;sans-serif"/>
                <w:b w:val="false"/>
                <w:color w:val="000000"/>
                <w:sz w:val="10"/>
              </w:rPr>
              <w:t>(4)</w:t>
            </w:r>
          </w:p>
        </w:tc>
      </w:tr>
      <w:tr>
        <w:trPr/>
        <w:tc>
          <w:tcPr>
            <w:tcW w:w="16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6"/>
              </w:rPr>
            </w:pPr>
            <w:r>
              <w:rPr>
                <w:rFonts w:ascii="Lato;sans-serif" w:hAnsi="Lato;sans-serif"/>
                <w:b w:val="false"/>
                <w:color w:val="000000"/>
                <w:sz w:val="16"/>
              </w:rPr>
              <w:t>2020 Employee Stock Purchase Plan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8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1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6"/>
              </w:rPr>
            </w:pPr>
            <w:r>
              <w:rPr>
                <w:rFonts w:ascii="Lato;sans-serif" w:hAnsi="Lato;sans-serif"/>
                <w:b w:val="false"/>
                <w:color w:val="000000"/>
                <w:sz w:val="16"/>
              </w:rPr>
              <w:t>N/A</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6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6"/>
              </w:rPr>
            </w:pPr>
            <w:r>
              <w:rPr>
                <w:rFonts w:ascii="Lato;sans-serif" w:hAnsi="Lato;sans-serif"/>
                <w:b w:val="false"/>
                <w:color w:val="000000"/>
                <w:sz w:val="16"/>
              </w:rPr>
              <w:t>6,599,113 </w:t>
            </w:r>
          </w:p>
        </w:tc>
        <w:tc>
          <w:tcPr>
            <w:tcW w:w="10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5" w:type="dxa"/>
            <w:gridSpan w:val="3"/>
            <w:tcBorders/>
            <w:shd w:fill="DBDBDB" w:val="clear"/>
            <w:tcMar>
              <w:top w:w="0" w:type="dxa"/>
              <w:left w:w="0" w:type="dxa"/>
              <w:bottom w:w="0" w:type="dxa"/>
              <w:right w:w="0" w:type="dxa"/>
            </w:tcMar>
            <w:vAlign w:val="center"/>
          </w:tcPr>
          <w:p>
            <w:pPr>
              <w:pStyle w:val="TableContents"/>
              <w:bidi w:val="0"/>
              <w:spacing w:lineRule="auto" w:line="288" w:before="0" w:after="0"/>
              <w:ind w:left="0" w:right="0" w:hanging="241"/>
              <w:jc w:val="left"/>
              <w:rPr>
                <w:rFonts w:ascii="Lato;sans-serif" w:hAnsi="Lato;sans-serif"/>
                <w:b w:val="false"/>
                <w:color w:val="000000"/>
                <w:sz w:val="16"/>
              </w:rPr>
            </w:pPr>
            <w:r>
              <w:rPr>
                <w:rFonts w:ascii="Lato;sans-serif" w:hAnsi="Lato;sans-serif"/>
                <w:b w:val="false"/>
                <w:color w:val="000000"/>
                <w:sz w:val="16"/>
              </w:rPr>
              <w:t>Equity compensation plans not approved by security holders</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4"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803"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3"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6"/>
              </w:rPr>
            </w:pPr>
            <w:r>
              <w:rPr>
                <w:rFonts w:ascii="Lato;sans-serif" w:hAnsi="Lato;sans-serif"/>
                <w:b w:val="false"/>
                <w:color w:val="000000"/>
                <w:sz w:val="16"/>
              </w:rPr>
              <w:t>N/A</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4"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5"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6"/>
              </w:rPr>
            </w:pPr>
            <w:r>
              <w:rPr>
                <w:rFonts w:ascii="Lato;sans-serif" w:hAnsi="Lato;sans-serif"/>
                <w:b w:val="false"/>
                <w:color w:val="000000"/>
                <w:sz w:val="16"/>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4" w:type="dxa"/>
            <w:gridSpan w:val="2"/>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Lato;sans-serif" w:hAnsi="Lato;sans-serif"/>
                <w:b w:val="false"/>
                <w:color w:val="000000"/>
                <w:sz w:val="16"/>
              </w:rPr>
            </w:pPr>
            <w:r>
              <w:rPr>
                <w:rFonts w:ascii="Lato;sans-serif" w:hAnsi="Lato;sans-serif"/>
                <w:b w:val="false"/>
                <w:color w:val="000000"/>
                <w:sz w:val="16"/>
              </w:rPr>
              <w:t>26,201,849 </w:t>
            </w:r>
          </w:p>
        </w:tc>
        <w:tc>
          <w:tcPr>
            <w:tcW w:w="803"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4" w:type="dxa"/>
            <w:gridSpan w:val="2"/>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Lato;sans-serif" w:hAnsi="Lato;sans-serif"/>
                <w:b w:val="false"/>
                <w:color w:val="000000"/>
                <w:sz w:val="16"/>
              </w:rPr>
            </w:pPr>
            <w:r>
              <w:rPr>
                <w:rFonts w:ascii="Lato;sans-serif" w:hAnsi="Lato;sans-serif"/>
                <w:b w:val="false"/>
                <w:color w:val="000000"/>
                <w:sz w:val="16"/>
              </w:rPr>
              <w:t>6,616,431 </w:t>
            </w:r>
          </w:p>
        </w:tc>
        <w:tc>
          <w:tcPr>
            <w:tcW w:w="1095"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__________________</w:t>
      </w:r>
    </w:p>
    <w:p>
      <w:pPr>
        <w:pStyle w:val="TextBody"/>
        <w:bidi w:val="0"/>
        <w:spacing w:lineRule="auto" w:line="288" w:before="0" w:after="0"/>
        <w:ind w:left="0" w:right="0" w:hanging="360"/>
        <w:jc w:val="both"/>
        <w:rPr/>
      </w:pPr>
      <w:r>
        <w:rPr>
          <w:rFonts w:ascii="Lato;sans-serif" w:hAnsi="Lato;sans-serif"/>
          <w:b w:val="false"/>
          <w:color w:val="000000"/>
          <w:sz w:val="16"/>
        </w:rPr>
        <w:t>(1)We have two equity compensation plans that have been approved by our stockholders: the 2020 Omnibus Incentive Plan and the 2020 Employee Stock Purchase Plan (the “</w:t>
      </w:r>
      <w:r>
        <w:rPr>
          <w:rFonts w:ascii="Lato;sans-serif" w:hAnsi="Lato;sans-serif"/>
          <w:b/>
          <w:i/>
          <w:color w:val="000000"/>
          <w:sz w:val="16"/>
        </w:rPr>
        <w:t>ESPP</w:t>
      </w:r>
      <w:r>
        <w:rPr>
          <w:color w:val="000000"/>
        </w:rPr>
        <w:t>”</w:t>
      </w:r>
      <w:r>
        <w:rPr>
          <w:rFonts w:ascii="Lato;sans-serif" w:hAnsi="Lato;sans-serif"/>
          <w:b w:val="false"/>
          <w:color w:val="000000"/>
          <w:sz w:val="16"/>
        </w:rPr>
        <w:t>). On December 12, 2024, our Board approved the suspension of the ESPP preventing the commencement of what would have been the next offering on December 15, 2024. This suspension of the ESPP will continue until otherwise determined by the Board.</w:t>
      </w:r>
    </w:p>
    <w:p>
      <w:pPr>
        <w:pStyle w:val="TextBody"/>
        <w:bidi w:val="0"/>
        <w:spacing w:lineRule="auto" w:line="288" w:before="0" w:after="0"/>
        <w:ind w:left="0" w:right="0" w:hanging="360"/>
        <w:jc w:val="both"/>
        <w:rPr>
          <w:rFonts w:ascii="Lato;sans-serif" w:hAnsi="Lato;sans-serif"/>
          <w:b w:val="false"/>
          <w:color w:val="000000"/>
          <w:sz w:val="16"/>
        </w:rPr>
      </w:pPr>
      <w:r>
        <w:rPr>
          <w:rFonts w:ascii="Lato;sans-serif" w:hAnsi="Lato;sans-serif"/>
          <w:b w:val="false"/>
          <w:color w:val="000000"/>
          <w:sz w:val="16"/>
        </w:rPr>
        <w:t xml:space="preserve">(2)Consists of 16,327,640 shares of our common stock issuable upon the settlement of RSUs and PSUs, 196,209 and 9,678,000 shares of our common stock issuable upon the exercise of stock options and CEO Premium-Priced Performance Options, respectively. </w:t>
      </w:r>
    </w:p>
    <w:p>
      <w:pPr>
        <w:pStyle w:val="TextBody"/>
        <w:bidi w:val="0"/>
        <w:spacing w:lineRule="auto" w:line="288" w:before="0" w:after="0"/>
        <w:ind w:left="0" w:right="0" w:hanging="360"/>
        <w:jc w:val="both"/>
        <w:rPr>
          <w:rFonts w:ascii="Lato;sans-serif" w:hAnsi="Lato;sans-serif"/>
          <w:b w:val="false"/>
          <w:color w:val="000000"/>
          <w:sz w:val="16"/>
        </w:rPr>
      </w:pPr>
      <w:r>
        <w:rPr>
          <w:rFonts w:ascii="Lato;sans-serif" w:hAnsi="Lato;sans-serif"/>
          <w:b w:val="false"/>
          <w:color w:val="000000"/>
          <w:sz w:val="16"/>
        </w:rPr>
        <w:t>(3)The weighted average exercise price relates only to stock options. The calculation of the weighted average exercise price does not include outstanding equity awards that are received or exercised for no consideration.</w:t>
      </w:r>
    </w:p>
    <w:p>
      <w:pPr>
        <w:pStyle w:val="TextBody"/>
        <w:bidi w:val="0"/>
        <w:spacing w:lineRule="auto" w:line="288" w:before="0" w:after="0"/>
        <w:ind w:left="0" w:right="0" w:hanging="360"/>
        <w:jc w:val="both"/>
        <w:rPr>
          <w:rFonts w:ascii="Lato;sans-serif" w:hAnsi="Lato;sans-serif"/>
          <w:b w:val="false"/>
          <w:color w:val="000000"/>
          <w:sz w:val="16"/>
        </w:rPr>
      </w:pPr>
      <w:r>
        <w:rPr>
          <w:rFonts w:ascii="Lato;sans-serif" w:hAnsi="Lato;sans-serif"/>
          <w:b w:val="false"/>
          <w:color w:val="000000"/>
          <w:sz w:val="16"/>
        </w:rPr>
        <w:t>(4)Consists of shares of our common stock available for future stock-based awards under our 2020 Omnibus Incentive Plan which may include, at the discretion of our Compensation Committee or Board of Directors, non-qualified stock options, incentive stock options, stock appreciation rights, restricted stock units, restricted stock, limited liability company interests in our primary operating company (ZoomInfo Holdings LLC), performance-based awards and other equity-based awards.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7">
                <wp:simplePos x="0" y="0"/>
                <wp:positionH relativeFrom="character">
                  <wp:align>left</wp:align>
                </wp:positionH>
                <wp:positionV relativeFrom="line">
                  <wp:posOffset>635</wp:posOffset>
                </wp:positionV>
                <wp:extent cx="6480175" cy="352425"/>
                <wp:effectExtent l="0" t="0" r="0" b="0"/>
                <wp:wrapNone/>
                <wp:docPr id="103" name="Frame87"/>
                <a:graphic xmlns:a="http://schemas.openxmlformats.org/drawingml/2006/main">
                  <a:graphicData uri="http://schemas.microsoft.com/office/word/2010/wordprocessingShape">
                    <wps:wsp>
                      <wps:cNvSpPr txBox="1"/>
                      <wps:spPr>
                        <a:xfrm>
                          <a:off x="0" y="0"/>
                          <a:ext cx="6480175" cy="352425"/>
                        </a:xfrm>
                        <a:prstGeom prst="rect"/>
                        <a:solidFill>
                          <a:srgbClr val="FFFFFF"/>
                        </a:solidFill>
                      </wps:spPr>
                      <wps:txbx>
                        <w:txbxContent>
                          <w:p>
                            <w:pPr>
                              <w:pStyle w:val="TextBody"/>
                              <w:bidi w:val="0"/>
                              <w:spacing w:lineRule="auto" w:line="288" w:before="0" w:after="0"/>
                              <w:jc w:val="center"/>
                              <w:rPr>
                                <w:rFonts w:ascii="Lato;sans-serif" w:hAnsi="Lato;sans-serif"/>
                                <w:b w:val="false"/>
                                <w:color w:val="000000"/>
                                <w:sz w:val="20"/>
                              </w:rPr>
                            </w:pPr>
                            <w:r>
                              <w:rPr>
                                <w:rFonts w:ascii="Lato;sans-serif" w:hAnsi="Lato;sans-serif"/>
                                <w:b w:val="false"/>
                                <w:color w:val="000000"/>
                                <w:sz w:val="20"/>
                              </w:rPr>
                              <w:t>81</w:t>
                            </w:r>
                          </w:p>
                          <w:p>
                            <w:pPr>
                              <w:pStyle w:val="TextBody"/>
                              <w:bidi w:val="0"/>
                              <w:spacing w:lineRule="auto" w:line="288" w:before="0" w:after="0"/>
                              <w:jc w:val="left"/>
                              <w:rPr>
                                <w:color w:val="000000"/>
                              </w:rPr>
                            </w:pPr>
                            <w:r>
                              <w:rPr>
                                <w:color w:val="000000"/>
                              </w:rPr>
                              <w:t>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Lato;sans-serif" w:hAnsi="Lato;sans-serif"/>
                          <w:b w:val="false"/>
                          <w:color w:val="000000"/>
                          <w:sz w:val="20"/>
                        </w:rPr>
                      </w:pPr>
                      <w:r>
                        <w:rPr>
                          <w:rFonts w:ascii="Lato;sans-serif" w:hAnsi="Lato;sans-serif"/>
                          <w:b w:val="false"/>
                          <w:color w:val="000000"/>
                          <w:sz w:val="20"/>
                        </w:rPr>
                        <w:t>81</w:t>
                      </w:r>
                    </w:p>
                    <w:p>
                      <w:pPr>
                        <w:pStyle w:val="TextBody"/>
                        <w:bidi w:val="0"/>
                        <w:spacing w:lineRule="auto" w:line="288" w:before="0" w:after="0"/>
                        <w:jc w:val="left"/>
                        <w:rPr>
                          <w:color w:val="000000"/>
                        </w:rPr>
                      </w:pPr>
                      <w:r>
                        <w:rPr>
                          <w:color w:val="000000"/>
                        </w:rPr>
                        <w:t>        </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300" w:after="180"/>
        <w:jc w:val="center"/>
        <w:rPr>
          <w:rFonts w:ascii="Lato;sans-serif" w:hAnsi="Lato;sans-serif"/>
          <w:b/>
          <w:color w:val="000000"/>
          <w:sz w:val="20"/>
        </w:rPr>
      </w:pPr>
      <w:r>
        <w:rPr>
          <w:rFonts w:ascii="Lato;sans-serif" w:hAnsi="Lato;sans-serif"/>
          <w:b/>
          <w:color w:val="000000"/>
          <w:sz w:val="20"/>
        </w:rPr>
        <w:t>OWNERSHIP OF SECURITIES</w:t>
      </w:r>
    </w:p>
    <w:p>
      <w:pPr>
        <w:pStyle w:val="TextBody"/>
        <w:bidi w:val="0"/>
        <w:spacing w:lineRule="auto" w:line="288" w:before="180" w:after="180"/>
        <w:jc w:val="both"/>
        <w:rPr>
          <w:rFonts w:ascii="Lato;sans-serif" w:hAnsi="Lato;sans-serif"/>
          <w:b w:val="false"/>
          <w:color w:val="000000"/>
          <w:sz w:val="20"/>
        </w:rPr>
      </w:pPr>
      <w:r>
        <w:rPr>
          <w:rFonts w:ascii="Lato;sans-serif" w:hAnsi="Lato;sans-serif"/>
          <w:b w:val="false"/>
          <w:color w:val="000000"/>
          <w:sz w:val="20"/>
        </w:rPr>
        <w:t>The following table sets forth information regarding the beneficial ownership of shares of our common stock as of March 15, 2026 by (1) each person known to us to beneficially own more than 5% of our outstanding common stock, (2) each of our directors and Named Executive Officers, and (3) all of our directors and executive officers as a group. Such information (other than with respect to our directors and executive officers) is based on a review of statements filed with the SEC pursuant to Sections 13(d), 13(f) and 13(g) of the Exchange Act with respect to our common stock.</w:t>
      </w:r>
    </w:p>
    <w:p>
      <w:pPr>
        <w:pStyle w:val="TextBody"/>
        <w:bidi w:val="0"/>
        <w:spacing w:lineRule="auto" w:line="288" w:before="180" w:after="180"/>
        <w:jc w:val="both"/>
        <w:rPr>
          <w:rFonts w:ascii="Lato;sans-serif" w:hAnsi="Lato;sans-serif"/>
          <w:b w:val="false"/>
          <w:color w:val="000000"/>
          <w:sz w:val="20"/>
        </w:rPr>
      </w:pPr>
      <w:r>
        <w:rPr>
          <w:rFonts w:ascii="Lato;sans-serif" w:hAnsi="Lato;sans-serif"/>
          <w:b w:val="false"/>
          <w:color w:val="000000"/>
          <w:sz w:val="20"/>
        </w:rPr>
        <w:t>The percentage of beneficial ownership of shares of our common stock is based on 298,249,955 shares of common stock outstanding as of March 15, 2026. Unless otherwise noted, the address for each of the beneficial owners listed below is 330 W Columbia Way, Floor 8, Vancouver, Washington 98660.</w:t>
      </w:r>
    </w:p>
    <w:tbl>
      <w:tblPr>
        <w:tblW w:w="10205" w:type="dxa"/>
        <w:jc w:val="left"/>
        <w:tblInd w:w="0" w:type="dxa"/>
        <w:tblLayout w:type="fixed"/>
        <w:tblCellMar>
          <w:top w:w="28" w:type="dxa"/>
          <w:left w:w="28" w:type="dxa"/>
          <w:bottom w:w="28" w:type="dxa"/>
          <w:right w:w="28" w:type="dxa"/>
        </w:tblCellMar>
      </w:tblPr>
      <w:tblGrid>
        <w:gridCol w:w="1696"/>
        <w:gridCol w:w="1369"/>
        <w:gridCol w:w="1376"/>
        <w:gridCol w:w="922"/>
        <w:gridCol w:w="922"/>
        <w:gridCol w:w="924"/>
        <w:gridCol w:w="875"/>
        <w:gridCol w:w="875"/>
        <w:gridCol w:w="1246"/>
      </w:tblGrid>
      <w:tr>
        <w:trPr/>
        <w:tc>
          <w:tcPr>
            <w:tcW w:w="1696" w:type="dxa"/>
            <w:tcBorders/>
            <w:vAlign w:val="center"/>
          </w:tcPr>
          <w:p>
            <w:pPr>
              <w:pStyle w:val="TableContents"/>
              <w:bidi w:val="0"/>
              <w:spacing w:before="0" w:after="283"/>
              <w:jc w:val="left"/>
              <w:rPr>
                <w:sz w:val="4"/>
                <w:szCs w:val="4"/>
              </w:rPr>
            </w:pPr>
            <w:r>
              <w:rPr>
                <w:sz w:val="4"/>
                <w:szCs w:val="4"/>
              </w:rPr>
            </w:r>
          </w:p>
        </w:tc>
        <w:tc>
          <w:tcPr>
            <w:tcW w:w="1369" w:type="dxa"/>
            <w:tcBorders/>
            <w:vAlign w:val="center"/>
          </w:tcPr>
          <w:p>
            <w:pPr>
              <w:pStyle w:val="TableContents"/>
              <w:bidi w:val="0"/>
              <w:spacing w:before="0" w:after="283"/>
              <w:jc w:val="left"/>
              <w:rPr>
                <w:sz w:val="4"/>
                <w:szCs w:val="4"/>
              </w:rPr>
            </w:pPr>
            <w:r>
              <w:rPr>
                <w:sz w:val="4"/>
                <w:szCs w:val="4"/>
              </w:rPr>
            </w:r>
          </w:p>
        </w:tc>
        <w:tc>
          <w:tcPr>
            <w:tcW w:w="1376" w:type="dxa"/>
            <w:tcBorders/>
            <w:vAlign w:val="center"/>
          </w:tcPr>
          <w:p>
            <w:pPr>
              <w:pStyle w:val="TableContents"/>
              <w:bidi w:val="0"/>
              <w:spacing w:before="0" w:after="283"/>
              <w:jc w:val="left"/>
              <w:rPr>
                <w:sz w:val="4"/>
                <w:szCs w:val="4"/>
              </w:rPr>
            </w:pPr>
            <w:r>
              <w:rPr>
                <w:sz w:val="4"/>
                <w:szCs w:val="4"/>
              </w:rPr>
            </w:r>
          </w:p>
        </w:tc>
        <w:tc>
          <w:tcPr>
            <w:tcW w:w="922" w:type="dxa"/>
            <w:tcBorders/>
            <w:vAlign w:val="center"/>
          </w:tcPr>
          <w:p>
            <w:pPr>
              <w:pStyle w:val="TableContents"/>
              <w:bidi w:val="0"/>
              <w:spacing w:before="0" w:after="283"/>
              <w:jc w:val="left"/>
              <w:rPr>
                <w:sz w:val="4"/>
                <w:szCs w:val="4"/>
              </w:rPr>
            </w:pPr>
            <w:r>
              <w:rPr>
                <w:sz w:val="4"/>
                <w:szCs w:val="4"/>
              </w:rPr>
            </w:r>
          </w:p>
        </w:tc>
        <w:tc>
          <w:tcPr>
            <w:tcW w:w="922" w:type="dxa"/>
            <w:tcBorders/>
            <w:vAlign w:val="center"/>
          </w:tcPr>
          <w:p>
            <w:pPr>
              <w:pStyle w:val="TableContents"/>
              <w:bidi w:val="0"/>
              <w:spacing w:before="0" w:after="283"/>
              <w:jc w:val="left"/>
              <w:rPr>
                <w:sz w:val="4"/>
                <w:szCs w:val="4"/>
              </w:rPr>
            </w:pPr>
            <w:r>
              <w:rPr>
                <w:sz w:val="4"/>
                <w:szCs w:val="4"/>
              </w:rPr>
            </w:r>
          </w:p>
        </w:tc>
        <w:tc>
          <w:tcPr>
            <w:tcW w:w="924"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1246" w:type="dxa"/>
            <w:tcBorders/>
            <w:vAlign w:val="center"/>
          </w:tcPr>
          <w:p>
            <w:pPr>
              <w:pStyle w:val="TableContents"/>
              <w:bidi w:val="0"/>
              <w:spacing w:before="0" w:after="283"/>
              <w:jc w:val="left"/>
              <w:rPr>
                <w:sz w:val="4"/>
                <w:szCs w:val="4"/>
              </w:rPr>
            </w:pPr>
            <w:r>
              <w:rPr>
                <w:sz w:val="4"/>
                <w:szCs w:val="4"/>
              </w:rPr>
            </w:r>
          </w:p>
        </w:tc>
      </w:tr>
      <w:tr>
        <w:trPr/>
        <w:tc>
          <w:tcPr>
            <w:tcW w:w="4441" w:type="dxa"/>
            <w:gridSpan w:val="3"/>
            <w:tcBorders/>
            <w:shd w:fill="F44238"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color w:val="FFFFFF"/>
                <w:sz w:val="20"/>
              </w:rPr>
            </w:pPr>
            <w:r>
              <w:rPr>
                <w:rFonts w:ascii="Lato;sans-serif" w:hAnsi="Lato;sans-serif"/>
                <w:b/>
                <w:color w:val="FFFFFF"/>
                <w:sz w:val="20"/>
              </w:rPr>
              <w:t>Name of Beneficial Owner</w:t>
            </w:r>
          </w:p>
        </w:tc>
        <w:tc>
          <w:tcPr>
            <w:tcW w:w="2768" w:type="dxa"/>
            <w:gridSpan w:val="3"/>
            <w:tcBorders/>
            <w:shd w:fill="F44238" w:val="clear"/>
            <w:tcMar>
              <w:top w:w="0" w:type="dxa"/>
              <w:left w:w="0" w:type="dxa"/>
              <w:bottom w:w="0" w:type="dxa"/>
              <w:right w:w="0" w:type="dxa"/>
            </w:tcMar>
            <w:vAlign w:val="center"/>
          </w:tcPr>
          <w:p>
            <w:pPr>
              <w:pStyle w:val="TableContents"/>
              <w:bidi w:val="0"/>
              <w:spacing w:lineRule="auto" w:line="240" w:before="0" w:after="0"/>
              <w:jc w:val="center"/>
              <w:rPr/>
            </w:pPr>
            <w:r>
              <w:rPr>
                <w:rFonts w:ascii="Lato;sans-serif" w:hAnsi="Lato;sans-serif"/>
                <w:b/>
                <w:color w:val="FFFFFF"/>
                <w:sz w:val="20"/>
              </w:rPr>
              <w:t>Number of Shares Beneficially Owned</w:t>
            </w:r>
            <w:r>
              <w:rPr>
                <w:rFonts w:ascii="Lato;sans-serif" w:hAnsi="Lato;sans-serif"/>
                <w:b/>
                <w:color w:val="FFFFFF"/>
                <w:sz w:val="10"/>
              </w:rPr>
              <w:t>(1)</w:t>
            </w:r>
          </w:p>
        </w:tc>
        <w:tc>
          <w:tcPr>
            <w:tcW w:w="2996" w:type="dxa"/>
            <w:gridSpan w:val="3"/>
            <w:tcBorders/>
            <w:shd w:fill="F44238" w:val="clear"/>
            <w:tcMar>
              <w:top w:w="0" w:type="dxa"/>
              <w:left w:w="0" w:type="dxa"/>
              <w:bottom w:w="0" w:type="dxa"/>
              <w:right w:w="0" w:type="dxa"/>
            </w:tcMar>
            <w:vAlign w:val="center"/>
          </w:tcPr>
          <w:p>
            <w:pPr>
              <w:pStyle w:val="TableContents"/>
              <w:bidi w:val="0"/>
              <w:spacing w:lineRule="auto" w:line="240" w:before="0" w:after="0"/>
              <w:jc w:val="center"/>
              <w:rPr/>
            </w:pPr>
            <w:r>
              <w:rPr>
                <w:rFonts w:ascii="Lato;sans-serif" w:hAnsi="Lato;sans-serif"/>
                <w:b/>
                <w:color w:val="FFFFFF"/>
                <w:sz w:val="20"/>
              </w:rPr>
              <w:t>Percentage of Shares Beneficially Owned</w:t>
            </w:r>
            <w:r>
              <w:rPr>
                <w:rFonts w:ascii="Lato;sans-serif" w:hAnsi="Lato;sans-serif"/>
                <w:b/>
                <w:color w:val="FFFFFF"/>
                <w:sz w:val="10"/>
              </w:rPr>
              <w:t>(1)</w:t>
            </w:r>
          </w:p>
        </w:tc>
      </w:tr>
      <w:tr>
        <w:trPr/>
        <w:tc>
          <w:tcPr>
            <w:tcW w:w="444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76" w:before="0" w:after="0"/>
              <w:jc w:val="left"/>
              <w:rPr/>
            </w:pPr>
            <w:r>
              <w:rPr>
                <w:rFonts w:ascii="Lato;sans-serif" w:hAnsi="Lato;sans-serif"/>
                <w:b w:val="false"/>
                <w:color w:val="000000"/>
                <w:sz w:val="20"/>
              </w:rPr>
              <w:t>Vanguard Group Inc.</w:t>
            </w:r>
            <w:r>
              <w:rPr>
                <w:rFonts w:ascii="Lato;sans-serif" w:hAnsi="Lato;sans-serif"/>
                <w:b w:val="false"/>
                <w:color w:val="000000"/>
                <w:sz w:val="13"/>
              </w:rPr>
              <w:t>(2)</w:t>
            </w:r>
          </w:p>
        </w:tc>
        <w:tc>
          <w:tcPr>
            <w:tcW w:w="2768"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76" w:before="0" w:after="283"/>
              <w:jc w:val="center"/>
              <w:rPr>
                <w:rFonts w:ascii="Lato;sans-serif" w:hAnsi="Lato;sans-serif"/>
                <w:b w:val="false"/>
                <w:color w:val="000000"/>
                <w:sz w:val="20"/>
              </w:rPr>
            </w:pPr>
            <w:r>
              <w:rPr>
                <w:rFonts w:ascii="Lato;sans-serif" w:hAnsi="Lato;sans-serif"/>
                <w:b w:val="false"/>
                <w:color w:val="000000"/>
                <w:sz w:val="20"/>
              </w:rPr>
              <w:t>33,287,433</w:t>
            </w:r>
          </w:p>
        </w:tc>
        <w:tc>
          <w:tcPr>
            <w:tcW w:w="2996"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76" w:before="0" w:after="283"/>
              <w:jc w:val="center"/>
              <w:rPr>
                <w:rFonts w:ascii="Lato;sans-serif" w:hAnsi="Lato;sans-serif"/>
                <w:b w:val="false"/>
                <w:color w:val="000000"/>
                <w:sz w:val="20"/>
              </w:rPr>
            </w:pPr>
            <w:r>
              <w:rPr>
                <w:rFonts w:ascii="Lato;sans-serif" w:hAnsi="Lato;sans-serif"/>
                <w:b w:val="false"/>
                <w:color w:val="000000"/>
                <w:sz w:val="20"/>
              </w:rPr>
              <w:t>11.2%</w:t>
            </w:r>
          </w:p>
        </w:tc>
      </w:tr>
      <w:tr>
        <w:trPr/>
        <w:tc>
          <w:tcPr>
            <w:tcW w:w="4441" w:type="dxa"/>
            <w:gridSpan w:val="3"/>
            <w:tcBorders/>
            <w:shd w:fill="DBDBDB" w:val="clear"/>
            <w:tcMar>
              <w:top w:w="0" w:type="dxa"/>
              <w:left w:w="0" w:type="dxa"/>
              <w:bottom w:w="0" w:type="dxa"/>
              <w:right w:w="0" w:type="dxa"/>
            </w:tcMar>
            <w:vAlign w:val="center"/>
          </w:tcPr>
          <w:p>
            <w:pPr>
              <w:pStyle w:val="TableContents"/>
              <w:bidi w:val="0"/>
              <w:spacing w:lineRule="auto" w:line="276" w:before="0" w:after="0"/>
              <w:jc w:val="left"/>
              <w:rPr/>
            </w:pPr>
            <w:r>
              <w:rPr>
                <w:rFonts w:ascii="Lato;sans-serif" w:hAnsi="Lato;sans-serif"/>
                <w:b w:val="false"/>
                <w:color w:val="000000"/>
                <w:sz w:val="20"/>
              </w:rPr>
              <w:t>BlackRock, Inc.</w:t>
            </w:r>
            <w:r>
              <w:rPr>
                <w:rFonts w:ascii="Lato;sans-serif" w:hAnsi="Lato;sans-serif"/>
                <w:b w:val="false"/>
                <w:color w:val="000000"/>
                <w:sz w:val="13"/>
              </w:rPr>
              <w:t>(3)</w:t>
            </w:r>
          </w:p>
        </w:tc>
        <w:tc>
          <w:tcPr>
            <w:tcW w:w="2768" w:type="dxa"/>
            <w:gridSpan w:val="3"/>
            <w:tcBorders/>
            <w:shd w:fill="DBDBDB" w:val="clear"/>
            <w:tcMar>
              <w:top w:w="0" w:type="dxa"/>
              <w:left w:w="0" w:type="dxa"/>
              <w:bottom w:w="0" w:type="dxa"/>
              <w:right w:w="0" w:type="dxa"/>
            </w:tcMar>
            <w:vAlign w:val="center"/>
          </w:tcPr>
          <w:p>
            <w:pPr>
              <w:pStyle w:val="TableContents"/>
              <w:bidi w:val="0"/>
              <w:spacing w:lineRule="auto" w:line="276" w:before="0" w:after="283"/>
              <w:jc w:val="center"/>
              <w:rPr>
                <w:rFonts w:ascii="Lato;sans-serif" w:hAnsi="Lato;sans-serif"/>
                <w:b w:val="false"/>
                <w:color w:val="000000"/>
                <w:sz w:val="20"/>
              </w:rPr>
            </w:pPr>
            <w:r>
              <w:rPr>
                <w:rFonts w:ascii="Lato;sans-serif" w:hAnsi="Lato;sans-serif"/>
                <w:b w:val="false"/>
                <w:color w:val="000000"/>
                <w:sz w:val="20"/>
              </w:rPr>
              <w:t>27,182,630</w:t>
            </w:r>
          </w:p>
        </w:tc>
        <w:tc>
          <w:tcPr>
            <w:tcW w:w="2996" w:type="dxa"/>
            <w:gridSpan w:val="3"/>
            <w:tcBorders/>
            <w:shd w:fill="DBDBDB" w:val="clear"/>
            <w:tcMar>
              <w:top w:w="0" w:type="dxa"/>
              <w:left w:w="0" w:type="dxa"/>
              <w:bottom w:w="0" w:type="dxa"/>
              <w:right w:w="0" w:type="dxa"/>
            </w:tcMar>
            <w:vAlign w:val="center"/>
          </w:tcPr>
          <w:p>
            <w:pPr>
              <w:pStyle w:val="TableContents"/>
              <w:bidi w:val="0"/>
              <w:spacing w:lineRule="auto" w:line="276" w:before="0" w:after="283"/>
              <w:jc w:val="center"/>
              <w:rPr>
                <w:rFonts w:ascii="Lato;sans-serif" w:hAnsi="Lato;sans-serif"/>
                <w:b w:val="false"/>
                <w:color w:val="000000"/>
                <w:sz w:val="20"/>
              </w:rPr>
            </w:pPr>
            <w:r>
              <w:rPr>
                <w:rFonts w:ascii="Lato;sans-serif" w:hAnsi="Lato;sans-serif"/>
                <w:b w:val="false"/>
                <w:color w:val="000000"/>
                <w:sz w:val="20"/>
              </w:rPr>
              <w:t>9.1%</w:t>
            </w:r>
          </w:p>
        </w:tc>
      </w:tr>
      <w:tr>
        <w:trPr/>
        <w:tc>
          <w:tcPr>
            <w:tcW w:w="4441" w:type="dxa"/>
            <w:gridSpan w:val="3"/>
            <w:tcBorders/>
            <w:shd w:fill="FFFFFF" w:val="clear"/>
            <w:tcMar>
              <w:top w:w="0" w:type="dxa"/>
              <w:left w:w="0" w:type="dxa"/>
              <w:bottom w:w="0" w:type="dxa"/>
              <w:right w:w="0" w:type="dxa"/>
            </w:tcMar>
            <w:vAlign w:val="center"/>
          </w:tcPr>
          <w:p>
            <w:pPr>
              <w:pStyle w:val="TableContents"/>
              <w:bidi w:val="0"/>
              <w:spacing w:lineRule="auto" w:line="276" w:before="0" w:after="0"/>
              <w:jc w:val="left"/>
              <w:rPr/>
            </w:pPr>
            <w:r>
              <w:rPr>
                <w:rFonts w:ascii="Lato;sans-serif" w:hAnsi="Lato;sans-serif"/>
                <w:b w:val="false"/>
                <w:color w:val="000000"/>
                <w:sz w:val="20"/>
              </w:rPr>
              <w:t xml:space="preserve">FMR LLC </w:t>
            </w:r>
            <w:r>
              <w:rPr>
                <w:rFonts w:ascii="Lato;sans-serif" w:hAnsi="Lato;sans-serif"/>
                <w:b w:val="false"/>
                <w:color w:val="000000"/>
                <w:sz w:val="13"/>
              </w:rPr>
              <w:t>(4)</w:t>
            </w:r>
          </w:p>
        </w:tc>
        <w:tc>
          <w:tcPr>
            <w:tcW w:w="2768"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center"/>
              <w:rPr>
                <w:rFonts w:ascii="Lato;sans-serif" w:hAnsi="Lato;sans-serif"/>
                <w:b w:val="false"/>
                <w:color w:val="000000"/>
                <w:sz w:val="20"/>
              </w:rPr>
            </w:pPr>
            <w:r>
              <w:rPr>
                <w:rFonts w:ascii="Lato;sans-serif" w:hAnsi="Lato;sans-serif"/>
                <w:b w:val="false"/>
                <w:color w:val="000000"/>
                <w:sz w:val="20"/>
              </w:rPr>
              <w:t>23,451,217</w:t>
            </w:r>
          </w:p>
        </w:tc>
        <w:tc>
          <w:tcPr>
            <w:tcW w:w="2996"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center"/>
              <w:rPr>
                <w:rFonts w:ascii="Lato;sans-serif" w:hAnsi="Lato;sans-serif"/>
                <w:b w:val="false"/>
                <w:color w:val="000000"/>
                <w:sz w:val="20"/>
              </w:rPr>
            </w:pPr>
            <w:r>
              <w:rPr>
                <w:rFonts w:ascii="Lato;sans-serif" w:hAnsi="Lato;sans-serif"/>
                <w:b w:val="false"/>
                <w:color w:val="000000"/>
                <w:sz w:val="20"/>
              </w:rPr>
              <w:t>7.9%</w:t>
            </w:r>
          </w:p>
        </w:tc>
      </w:tr>
      <w:tr>
        <w:trPr/>
        <w:tc>
          <w:tcPr>
            <w:tcW w:w="4441" w:type="dxa"/>
            <w:gridSpan w:val="3"/>
            <w:tcBorders/>
            <w:shd w:fill="DBDBDB" w:val="clear"/>
            <w:tcMar>
              <w:top w:w="0" w:type="dxa"/>
              <w:left w:w="0" w:type="dxa"/>
              <w:bottom w:w="0" w:type="dxa"/>
              <w:right w:w="0" w:type="dxa"/>
            </w:tcMar>
            <w:vAlign w:val="center"/>
          </w:tcPr>
          <w:p>
            <w:pPr>
              <w:pStyle w:val="TableContents"/>
              <w:bidi w:val="0"/>
              <w:spacing w:lineRule="auto" w:line="276" w:before="0" w:after="0"/>
              <w:jc w:val="left"/>
              <w:rPr/>
            </w:pPr>
            <w:r>
              <w:rPr>
                <w:rFonts w:ascii="Lato;sans-serif" w:hAnsi="Lato;sans-serif"/>
                <w:b w:val="false"/>
                <w:color w:val="000000"/>
                <w:sz w:val="20"/>
              </w:rPr>
              <w:t>RPD Fund Management LLC</w:t>
            </w:r>
            <w:r>
              <w:rPr>
                <w:rFonts w:ascii="Lato;sans-serif" w:hAnsi="Lato;sans-serif"/>
                <w:b w:val="false"/>
                <w:color w:val="000000"/>
                <w:sz w:val="13"/>
              </w:rPr>
              <w:t>(5)</w:t>
            </w:r>
          </w:p>
        </w:tc>
        <w:tc>
          <w:tcPr>
            <w:tcW w:w="2768" w:type="dxa"/>
            <w:gridSpan w:val="3"/>
            <w:tcBorders/>
            <w:shd w:fill="DBDBDB" w:val="clear"/>
            <w:tcMar>
              <w:top w:w="0" w:type="dxa"/>
              <w:left w:w="0" w:type="dxa"/>
              <w:bottom w:w="0" w:type="dxa"/>
              <w:right w:w="0" w:type="dxa"/>
            </w:tcMar>
            <w:vAlign w:val="center"/>
          </w:tcPr>
          <w:p>
            <w:pPr>
              <w:pStyle w:val="TableContents"/>
              <w:bidi w:val="0"/>
              <w:spacing w:lineRule="auto" w:line="276" w:before="0" w:after="283"/>
              <w:jc w:val="center"/>
              <w:rPr>
                <w:rFonts w:ascii="Lato;sans-serif" w:hAnsi="Lato;sans-serif"/>
                <w:b w:val="false"/>
                <w:color w:val="000000"/>
                <w:sz w:val="20"/>
              </w:rPr>
            </w:pPr>
            <w:r>
              <w:rPr>
                <w:rFonts w:ascii="Lato;sans-serif" w:hAnsi="Lato;sans-serif"/>
                <w:b w:val="false"/>
                <w:color w:val="000000"/>
                <w:sz w:val="20"/>
              </w:rPr>
              <w:t>21,605,149</w:t>
            </w:r>
          </w:p>
        </w:tc>
        <w:tc>
          <w:tcPr>
            <w:tcW w:w="2996" w:type="dxa"/>
            <w:gridSpan w:val="3"/>
            <w:tcBorders/>
            <w:shd w:fill="DBDBDB" w:val="clear"/>
            <w:tcMar>
              <w:top w:w="0" w:type="dxa"/>
              <w:left w:w="0" w:type="dxa"/>
              <w:bottom w:w="0" w:type="dxa"/>
              <w:right w:w="0" w:type="dxa"/>
            </w:tcMar>
            <w:vAlign w:val="center"/>
          </w:tcPr>
          <w:p>
            <w:pPr>
              <w:pStyle w:val="TableContents"/>
              <w:bidi w:val="0"/>
              <w:spacing w:lineRule="auto" w:line="276" w:before="0" w:after="283"/>
              <w:jc w:val="center"/>
              <w:rPr>
                <w:rFonts w:ascii="Lato;sans-serif" w:hAnsi="Lato;sans-serif"/>
                <w:b w:val="false"/>
                <w:color w:val="000000"/>
                <w:sz w:val="20"/>
              </w:rPr>
            </w:pPr>
            <w:r>
              <w:rPr>
                <w:rFonts w:ascii="Lato;sans-serif" w:hAnsi="Lato;sans-serif"/>
                <w:b w:val="false"/>
                <w:color w:val="000000"/>
                <w:sz w:val="20"/>
              </w:rPr>
              <w:t>7.2%</w:t>
            </w:r>
          </w:p>
        </w:tc>
      </w:tr>
      <w:tr>
        <w:trPr/>
        <w:tc>
          <w:tcPr>
            <w:tcW w:w="4441" w:type="dxa"/>
            <w:gridSpan w:val="3"/>
            <w:tcBorders/>
            <w:shd w:fill="FFFFFF" w:val="clear"/>
            <w:tcMar>
              <w:top w:w="0" w:type="dxa"/>
              <w:left w:w="0" w:type="dxa"/>
              <w:bottom w:w="0" w:type="dxa"/>
              <w:right w:w="0" w:type="dxa"/>
            </w:tcMar>
            <w:vAlign w:val="center"/>
          </w:tcPr>
          <w:p>
            <w:pPr>
              <w:pStyle w:val="TableContents"/>
              <w:bidi w:val="0"/>
              <w:spacing w:lineRule="auto" w:line="276" w:before="0" w:after="0"/>
              <w:jc w:val="left"/>
              <w:rPr/>
            </w:pPr>
            <w:r>
              <w:rPr>
                <w:rFonts w:ascii="Lato;sans-serif" w:hAnsi="Lato;sans-serif"/>
                <w:b w:val="false"/>
                <w:color w:val="000000"/>
                <w:sz w:val="20"/>
              </w:rPr>
              <w:t>HighSage Ventures LLC</w:t>
            </w:r>
            <w:r>
              <w:rPr>
                <w:rFonts w:ascii="Lato;sans-serif" w:hAnsi="Lato;sans-serif"/>
                <w:b w:val="false"/>
                <w:color w:val="000000"/>
                <w:sz w:val="13"/>
              </w:rPr>
              <w:t>(6)</w:t>
            </w:r>
          </w:p>
        </w:tc>
        <w:tc>
          <w:tcPr>
            <w:tcW w:w="2768"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center"/>
              <w:rPr>
                <w:rFonts w:ascii="Lato;sans-serif" w:hAnsi="Lato;sans-serif"/>
                <w:b w:val="false"/>
                <w:color w:val="000000"/>
                <w:sz w:val="20"/>
              </w:rPr>
            </w:pPr>
            <w:r>
              <w:rPr>
                <w:rFonts w:ascii="Lato;sans-serif" w:hAnsi="Lato;sans-serif"/>
                <w:b w:val="false"/>
                <w:color w:val="000000"/>
                <w:sz w:val="20"/>
              </w:rPr>
              <w:t>20,410,148</w:t>
            </w:r>
          </w:p>
        </w:tc>
        <w:tc>
          <w:tcPr>
            <w:tcW w:w="2996"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center"/>
              <w:rPr>
                <w:rFonts w:ascii="Lato;sans-serif" w:hAnsi="Lato;sans-serif"/>
                <w:b w:val="false"/>
                <w:color w:val="000000"/>
                <w:sz w:val="20"/>
              </w:rPr>
            </w:pPr>
            <w:r>
              <w:rPr>
                <w:rFonts w:ascii="Lato;sans-serif" w:hAnsi="Lato;sans-serif"/>
                <w:b w:val="false"/>
                <w:color w:val="000000"/>
                <w:sz w:val="20"/>
              </w:rPr>
              <w:t>6.8%</w:t>
            </w:r>
          </w:p>
        </w:tc>
      </w:tr>
      <w:tr>
        <w:trPr/>
        <w:tc>
          <w:tcPr>
            <w:tcW w:w="4441" w:type="dxa"/>
            <w:gridSpan w:val="3"/>
            <w:tcBorders/>
            <w:shd w:fill="DBDBDB" w:val="clear"/>
            <w:tcMar>
              <w:top w:w="0" w:type="dxa"/>
              <w:left w:w="0" w:type="dxa"/>
              <w:bottom w:w="0" w:type="dxa"/>
              <w:right w:w="0" w:type="dxa"/>
            </w:tcMar>
            <w:vAlign w:val="center"/>
          </w:tcPr>
          <w:p>
            <w:pPr>
              <w:pStyle w:val="TableContents"/>
              <w:bidi w:val="0"/>
              <w:spacing w:lineRule="auto" w:line="276" w:before="0" w:after="0"/>
              <w:jc w:val="left"/>
              <w:rPr/>
            </w:pPr>
            <w:r>
              <w:rPr>
                <w:rFonts w:ascii="Lato;sans-serif" w:hAnsi="Lato;sans-serif"/>
                <w:b w:val="false"/>
                <w:color w:val="000000"/>
                <w:sz w:val="20"/>
              </w:rPr>
              <w:t>Glenview Capital Management, LLC</w:t>
            </w:r>
            <w:r>
              <w:rPr>
                <w:rFonts w:ascii="Lato;sans-serif" w:hAnsi="Lato;sans-serif"/>
                <w:b w:val="false"/>
                <w:color w:val="000000"/>
                <w:sz w:val="13"/>
              </w:rPr>
              <w:t>(7)</w:t>
            </w:r>
          </w:p>
        </w:tc>
        <w:tc>
          <w:tcPr>
            <w:tcW w:w="2768" w:type="dxa"/>
            <w:gridSpan w:val="3"/>
            <w:tcBorders/>
            <w:shd w:fill="DBDBDB" w:val="clear"/>
            <w:tcMar>
              <w:top w:w="0" w:type="dxa"/>
              <w:left w:w="0" w:type="dxa"/>
              <w:bottom w:w="0" w:type="dxa"/>
              <w:right w:w="0" w:type="dxa"/>
            </w:tcMar>
            <w:vAlign w:val="center"/>
          </w:tcPr>
          <w:p>
            <w:pPr>
              <w:pStyle w:val="TableContents"/>
              <w:bidi w:val="0"/>
              <w:spacing w:lineRule="auto" w:line="276" w:before="0" w:after="283"/>
              <w:jc w:val="center"/>
              <w:rPr>
                <w:rFonts w:ascii="Lato;sans-serif" w:hAnsi="Lato;sans-serif"/>
                <w:b w:val="false"/>
                <w:color w:val="000000"/>
                <w:sz w:val="20"/>
              </w:rPr>
            </w:pPr>
            <w:r>
              <w:rPr>
                <w:rFonts w:ascii="Lato;sans-serif" w:hAnsi="Lato;sans-serif"/>
                <w:b w:val="false"/>
                <w:color w:val="000000"/>
                <w:sz w:val="20"/>
              </w:rPr>
              <w:t>17,581,399</w:t>
            </w:r>
          </w:p>
        </w:tc>
        <w:tc>
          <w:tcPr>
            <w:tcW w:w="2996" w:type="dxa"/>
            <w:gridSpan w:val="3"/>
            <w:tcBorders/>
            <w:shd w:fill="DBDBDB" w:val="clear"/>
            <w:tcMar>
              <w:top w:w="0" w:type="dxa"/>
              <w:left w:w="0" w:type="dxa"/>
              <w:bottom w:w="0" w:type="dxa"/>
              <w:right w:w="0" w:type="dxa"/>
            </w:tcMar>
            <w:vAlign w:val="center"/>
          </w:tcPr>
          <w:p>
            <w:pPr>
              <w:pStyle w:val="TableContents"/>
              <w:bidi w:val="0"/>
              <w:spacing w:lineRule="auto" w:line="276" w:before="0" w:after="283"/>
              <w:jc w:val="center"/>
              <w:rPr>
                <w:rFonts w:ascii="Lato;sans-serif" w:hAnsi="Lato;sans-serif"/>
                <w:b w:val="false"/>
                <w:color w:val="000000"/>
                <w:sz w:val="20"/>
              </w:rPr>
            </w:pPr>
            <w:r>
              <w:rPr>
                <w:rFonts w:ascii="Lato;sans-serif" w:hAnsi="Lato;sans-serif"/>
                <w:b w:val="false"/>
                <w:color w:val="000000"/>
                <w:sz w:val="20"/>
              </w:rPr>
              <w:t>5.9%</w:t>
            </w:r>
          </w:p>
        </w:tc>
      </w:tr>
      <w:tr>
        <w:trPr/>
        <w:tc>
          <w:tcPr>
            <w:tcW w:w="4441" w:type="dxa"/>
            <w:gridSpan w:val="3"/>
            <w:tcBorders/>
            <w:shd w:fill="FFFFFF" w:val="clear"/>
            <w:tcMar>
              <w:top w:w="0" w:type="dxa"/>
              <w:left w:w="0" w:type="dxa"/>
              <w:bottom w:w="0" w:type="dxa"/>
              <w:right w:w="0" w:type="dxa"/>
            </w:tcMar>
            <w:vAlign w:val="center"/>
          </w:tcPr>
          <w:p>
            <w:pPr>
              <w:pStyle w:val="TableContents"/>
              <w:bidi w:val="0"/>
              <w:spacing w:lineRule="auto" w:line="276" w:before="0" w:after="0"/>
              <w:jc w:val="left"/>
              <w:rPr/>
            </w:pPr>
            <w:r>
              <w:rPr>
                <w:rFonts w:ascii="Lato;sans-serif" w:hAnsi="Lato;sans-serif"/>
                <w:b w:val="false"/>
                <w:color w:val="000000"/>
                <w:sz w:val="20"/>
              </w:rPr>
              <w:t>Kirk Brown</w:t>
            </w:r>
            <w:r>
              <w:rPr>
                <w:rFonts w:ascii="Lato;sans-serif" w:hAnsi="Lato;sans-serif"/>
                <w:b w:val="false"/>
                <w:color w:val="000000"/>
                <w:sz w:val="13"/>
              </w:rPr>
              <w:t>(8)</w:t>
            </w:r>
          </w:p>
        </w:tc>
        <w:tc>
          <w:tcPr>
            <w:tcW w:w="2768"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center"/>
              <w:rPr>
                <w:rFonts w:ascii="Lato;sans-serif" w:hAnsi="Lato;sans-serif"/>
                <w:b w:val="false"/>
                <w:color w:val="000000"/>
                <w:sz w:val="20"/>
              </w:rPr>
            </w:pPr>
            <w:r>
              <w:rPr>
                <w:rFonts w:ascii="Lato;sans-serif" w:hAnsi="Lato;sans-serif"/>
                <w:b w:val="false"/>
                <w:color w:val="000000"/>
                <w:sz w:val="20"/>
              </w:rPr>
              <w:t>20,993,243</w:t>
            </w:r>
          </w:p>
        </w:tc>
        <w:tc>
          <w:tcPr>
            <w:tcW w:w="2996"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center"/>
              <w:rPr>
                <w:rFonts w:ascii="Lato;sans-serif" w:hAnsi="Lato;sans-serif"/>
                <w:b w:val="false"/>
                <w:color w:val="000000"/>
                <w:sz w:val="20"/>
              </w:rPr>
            </w:pPr>
            <w:r>
              <w:rPr>
                <w:rFonts w:ascii="Lato;sans-serif" w:hAnsi="Lato;sans-serif"/>
                <w:b w:val="false"/>
                <w:color w:val="000000"/>
                <w:sz w:val="20"/>
              </w:rPr>
              <w:t>7.0%</w:t>
            </w:r>
          </w:p>
        </w:tc>
      </w:tr>
      <w:tr>
        <w:trPr/>
        <w:tc>
          <w:tcPr>
            <w:tcW w:w="4441" w:type="dxa"/>
            <w:gridSpan w:val="3"/>
            <w:tcBorders/>
            <w:shd w:fill="DBDBDB" w:val="clear"/>
            <w:tcMar>
              <w:top w:w="0" w:type="dxa"/>
              <w:left w:w="0" w:type="dxa"/>
              <w:bottom w:w="0" w:type="dxa"/>
              <w:right w:w="0" w:type="dxa"/>
            </w:tcMar>
            <w:vAlign w:val="center"/>
          </w:tcPr>
          <w:p>
            <w:pPr>
              <w:pStyle w:val="TableContents"/>
              <w:bidi w:val="0"/>
              <w:spacing w:lineRule="auto" w:line="276" w:before="0" w:after="0"/>
              <w:jc w:val="left"/>
              <w:rPr/>
            </w:pPr>
            <w:r>
              <w:rPr>
                <w:rFonts w:ascii="Lato;sans-serif" w:hAnsi="Lato;sans-serif"/>
                <w:b w:val="false"/>
                <w:color w:val="000000"/>
                <w:sz w:val="20"/>
              </w:rPr>
              <w:t xml:space="preserve">Henry L. Schuck </w:t>
            </w:r>
            <w:r>
              <w:rPr>
                <w:rFonts w:ascii="Lato;sans-serif" w:hAnsi="Lato;sans-serif"/>
                <w:b w:val="false"/>
                <w:color w:val="000000"/>
                <w:sz w:val="13"/>
              </w:rPr>
              <w:t>(9)</w:t>
            </w:r>
          </w:p>
        </w:tc>
        <w:tc>
          <w:tcPr>
            <w:tcW w:w="2768" w:type="dxa"/>
            <w:gridSpan w:val="3"/>
            <w:tcBorders/>
            <w:shd w:fill="DBDBDB" w:val="clear"/>
            <w:tcMar>
              <w:top w:w="0" w:type="dxa"/>
              <w:left w:w="0" w:type="dxa"/>
              <w:bottom w:w="0" w:type="dxa"/>
              <w:right w:w="0" w:type="dxa"/>
            </w:tcMar>
            <w:vAlign w:val="center"/>
          </w:tcPr>
          <w:p>
            <w:pPr>
              <w:pStyle w:val="TableContents"/>
              <w:bidi w:val="0"/>
              <w:spacing w:lineRule="auto" w:line="276" w:before="0" w:after="283"/>
              <w:jc w:val="center"/>
              <w:rPr>
                <w:rFonts w:ascii="Lato;sans-serif" w:hAnsi="Lato;sans-serif"/>
                <w:b w:val="false"/>
                <w:color w:val="000000"/>
                <w:sz w:val="20"/>
              </w:rPr>
            </w:pPr>
            <w:r>
              <w:rPr>
                <w:rFonts w:ascii="Lato;sans-serif" w:hAnsi="Lato;sans-serif"/>
                <w:b w:val="false"/>
                <w:color w:val="000000"/>
                <w:sz w:val="20"/>
              </w:rPr>
              <w:t>27,510,804</w:t>
            </w:r>
          </w:p>
        </w:tc>
        <w:tc>
          <w:tcPr>
            <w:tcW w:w="2996" w:type="dxa"/>
            <w:gridSpan w:val="3"/>
            <w:tcBorders/>
            <w:shd w:fill="DBDBDB" w:val="clear"/>
            <w:tcMar>
              <w:top w:w="0" w:type="dxa"/>
              <w:left w:w="0" w:type="dxa"/>
              <w:bottom w:w="0" w:type="dxa"/>
              <w:right w:w="0" w:type="dxa"/>
            </w:tcMar>
            <w:vAlign w:val="center"/>
          </w:tcPr>
          <w:p>
            <w:pPr>
              <w:pStyle w:val="TableContents"/>
              <w:bidi w:val="0"/>
              <w:spacing w:lineRule="auto" w:line="276" w:before="0" w:after="283"/>
              <w:jc w:val="center"/>
              <w:rPr>
                <w:rFonts w:ascii="Lato;sans-serif" w:hAnsi="Lato;sans-serif"/>
                <w:b w:val="false"/>
                <w:color w:val="000000"/>
                <w:sz w:val="20"/>
              </w:rPr>
            </w:pPr>
            <w:r>
              <w:rPr>
                <w:rFonts w:ascii="Lato;sans-serif" w:hAnsi="Lato;sans-serif"/>
                <w:b w:val="false"/>
                <w:color w:val="000000"/>
                <w:sz w:val="20"/>
              </w:rPr>
              <w:t>9.2%</w:t>
            </w:r>
          </w:p>
        </w:tc>
      </w:tr>
      <w:tr>
        <w:trPr/>
        <w:tc>
          <w:tcPr>
            <w:tcW w:w="4441" w:type="dxa"/>
            <w:gridSpan w:val="3"/>
            <w:tcBorders/>
            <w:shd w:fill="FFFFFF" w:val="clear"/>
            <w:tcMar>
              <w:top w:w="0" w:type="dxa"/>
              <w:left w:w="0" w:type="dxa"/>
              <w:bottom w:w="0" w:type="dxa"/>
              <w:right w:w="0" w:type="dxa"/>
            </w:tcMar>
            <w:vAlign w:val="center"/>
          </w:tcPr>
          <w:p>
            <w:pPr>
              <w:pStyle w:val="TableContents"/>
              <w:bidi w:val="0"/>
              <w:spacing w:lineRule="auto" w:line="276" w:before="0" w:after="0"/>
              <w:jc w:val="left"/>
              <w:rPr>
                <w:rFonts w:ascii="Lato;sans-serif" w:hAnsi="Lato;sans-serif"/>
                <w:b w:val="false"/>
                <w:color w:val="000000"/>
                <w:sz w:val="20"/>
              </w:rPr>
            </w:pPr>
            <w:r>
              <w:rPr>
                <w:rFonts w:ascii="Lato;sans-serif" w:hAnsi="Lato;sans-serif"/>
                <w:b w:val="false"/>
                <w:color w:val="000000"/>
                <w:sz w:val="20"/>
              </w:rPr>
              <w:t>Michael Graham O’Brien</w:t>
            </w:r>
          </w:p>
        </w:tc>
        <w:tc>
          <w:tcPr>
            <w:tcW w:w="2768"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center"/>
              <w:rPr>
                <w:rFonts w:ascii="Lato;sans-serif" w:hAnsi="Lato;sans-serif"/>
                <w:b w:val="false"/>
                <w:color w:val="000000"/>
                <w:sz w:val="20"/>
              </w:rPr>
            </w:pPr>
            <w:r>
              <w:rPr>
                <w:rFonts w:ascii="Lato;sans-serif" w:hAnsi="Lato;sans-serif"/>
                <w:b w:val="false"/>
                <w:color w:val="000000"/>
                <w:sz w:val="20"/>
              </w:rPr>
              <w:t>197,919</w:t>
            </w:r>
          </w:p>
        </w:tc>
        <w:tc>
          <w:tcPr>
            <w:tcW w:w="2996"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center"/>
              <w:rPr>
                <w:rFonts w:ascii="Lato;sans-serif" w:hAnsi="Lato;sans-serif"/>
                <w:b w:val="false"/>
                <w:color w:val="000000"/>
                <w:sz w:val="20"/>
              </w:rPr>
            </w:pPr>
            <w:r>
              <w:rPr>
                <w:rFonts w:ascii="Lato;sans-serif" w:hAnsi="Lato;sans-serif"/>
                <w:b w:val="false"/>
                <w:color w:val="000000"/>
                <w:sz w:val="20"/>
              </w:rPr>
              <w:t>*</w:t>
            </w:r>
          </w:p>
        </w:tc>
      </w:tr>
      <w:tr>
        <w:trPr/>
        <w:tc>
          <w:tcPr>
            <w:tcW w:w="4441" w:type="dxa"/>
            <w:gridSpan w:val="3"/>
            <w:tcBorders/>
            <w:shd w:fill="DBDBDB" w:val="clear"/>
            <w:tcMar>
              <w:top w:w="0" w:type="dxa"/>
              <w:left w:w="0" w:type="dxa"/>
              <w:bottom w:w="0" w:type="dxa"/>
              <w:right w:w="0" w:type="dxa"/>
            </w:tcMar>
            <w:vAlign w:val="center"/>
          </w:tcPr>
          <w:p>
            <w:pPr>
              <w:pStyle w:val="TableContents"/>
              <w:bidi w:val="0"/>
              <w:spacing w:lineRule="auto" w:line="276" w:before="0" w:after="283"/>
              <w:jc w:val="left"/>
              <w:rPr>
                <w:rFonts w:ascii="Lato;sans-serif" w:hAnsi="Lato;sans-serif"/>
                <w:b w:val="false"/>
                <w:color w:val="000000"/>
                <w:sz w:val="20"/>
              </w:rPr>
            </w:pPr>
            <w:r>
              <w:rPr>
                <w:rFonts w:ascii="Lato;sans-serif" w:hAnsi="Lato;sans-serif"/>
                <w:b w:val="false"/>
                <w:color w:val="000000"/>
                <w:sz w:val="20"/>
              </w:rPr>
              <w:t>James Roth</w:t>
            </w:r>
          </w:p>
        </w:tc>
        <w:tc>
          <w:tcPr>
            <w:tcW w:w="2768" w:type="dxa"/>
            <w:gridSpan w:val="3"/>
            <w:tcBorders/>
            <w:shd w:fill="DBDBDB" w:val="clear"/>
            <w:tcMar>
              <w:top w:w="0" w:type="dxa"/>
              <w:left w:w="0" w:type="dxa"/>
              <w:bottom w:w="0" w:type="dxa"/>
              <w:right w:w="0" w:type="dxa"/>
            </w:tcMar>
            <w:vAlign w:val="center"/>
          </w:tcPr>
          <w:p>
            <w:pPr>
              <w:pStyle w:val="TableContents"/>
              <w:bidi w:val="0"/>
              <w:spacing w:lineRule="auto" w:line="276" w:before="0" w:after="283"/>
              <w:jc w:val="center"/>
              <w:rPr>
                <w:rFonts w:ascii="Lato;sans-serif" w:hAnsi="Lato;sans-serif"/>
                <w:b w:val="false"/>
                <w:color w:val="000000"/>
                <w:sz w:val="20"/>
              </w:rPr>
            </w:pPr>
            <w:r>
              <w:rPr>
                <w:rFonts w:ascii="Lato;sans-serif" w:hAnsi="Lato;sans-serif"/>
                <w:b w:val="false"/>
                <w:color w:val="000000"/>
                <w:sz w:val="20"/>
              </w:rPr>
              <w:t>234,214</w:t>
            </w:r>
          </w:p>
        </w:tc>
        <w:tc>
          <w:tcPr>
            <w:tcW w:w="2996" w:type="dxa"/>
            <w:gridSpan w:val="3"/>
            <w:tcBorders/>
            <w:shd w:fill="DBDBDB" w:val="clear"/>
            <w:tcMar>
              <w:top w:w="0" w:type="dxa"/>
              <w:left w:w="0" w:type="dxa"/>
              <w:bottom w:w="0" w:type="dxa"/>
              <w:right w:w="0" w:type="dxa"/>
            </w:tcMar>
            <w:vAlign w:val="center"/>
          </w:tcPr>
          <w:p>
            <w:pPr>
              <w:pStyle w:val="TableContents"/>
              <w:bidi w:val="0"/>
              <w:spacing w:lineRule="auto" w:line="276" w:before="0" w:after="283"/>
              <w:jc w:val="center"/>
              <w:rPr>
                <w:rFonts w:ascii="Lato;sans-serif" w:hAnsi="Lato;sans-serif"/>
                <w:b w:val="false"/>
                <w:color w:val="000000"/>
                <w:sz w:val="20"/>
              </w:rPr>
            </w:pPr>
            <w:r>
              <w:rPr>
                <w:rFonts w:ascii="Lato;sans-serif" w:hAnsi="Lato;sans-serif"/>
                <w:b w:val="false"/>
                <w:color w:val="000000"/>
                <w:sz w:val="20"/>
              </w:rPr>
              <w:t>*</w:t>
            </w:r>
          </w:p>
        </w:tc>
      </w:tr>
      <w:tr>
        <w:trPr/>
        <w:tc>
          <w:tcPr>
            <w:tcW w:w="4441"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left"/>
              <w:rPr>
                <w:rFonts w:ascii="Lato;sans-serif" w:hAnsi="Lato;sans-serif"/>
                <w:b w:val="false"/>
                <w:color w:val="000000"/>
                <w:sz w:val="20"/>
              </w:rPr>
            </w:pPr>
            <w:r>
              <w:rPr>
                <w:rFonts w:ascii="Lato;sans-serif" w:hAnsi="Lato;sans-serif"/>
                <w:b w:val="false"/>
                <w:color w:val="000000"/>
                <w:sz w:val="20"/>
              </w:rPr>
              <w:t>Ashley McGrane</w:t>
            </w:r>
          </w:p>
        </w:tc>
        <w:tc>
          <w:tcPr>
            <w:tcW w:w="2768"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center"/>
              <w:rPr>
                <w:rFonts w:ascii="Lato;sans-serif" w:hAnsi="Lato;sans-serif"/>
                <w:b w:val="false"/>
                <w:color w:val="000000"/>
                <w:sz w:val="20"/>
              </w:rPr>
            </w:pPr>
            <w:r>
              <w:rPr>
                <w:rFonts w:ascii="Lato;sans-serif" w:hAnsi="Lato;sans-serif"/>
                <w:b w:val="false"/>
                <w:color w:val="000000"/>
                <w:sz w:val="20"/>
              </w:rPr>
              <w:t>101,388</w:t>
            </w:r>
          </w:p>
        </w:tc>
        <w:tc>
          <w:tcPr>
            <w:tcW w:w="2996"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center"/>
              <w:rPr>
                <w:rFonts w:ascii="Lato;sans-serif" w:hAnsi="Lato;sans-serif"/>
                <w:b w:val="false"/>
                <w:color w:val="000000"/>
                <w:sz w:val="20"/>
              </w:rPr>
            </w:pPr>
            <w:r>
              <w:rPr>
                <w:rFonts w:ascii="Lato;sans-serif" w:hAnsi="Lato;sans-serif"/>
                <w:b w:val="false"/>
                <w:color w:val="000000"/>
                <w:sz w:val="20"/>
              </w:rPr>
              <w:t>*</w:t>
            </w:r>
          </w:p>
        </w:tc>
      </w:tr>
      <w:tr>
        <w:trPr/>
        <w:tc>
          <w:tcPr>
            <w:tcW w:w="4441" w:type="dxa"/>
            <w:gridSpan w:val="3"/>
            <w:tcBorders/>
            <w:shd w:fill="DBDBDB" w:val="clear"/>
            <w:tcMar>
              <w:top w:w="0" w:type="dxa"/>
              <w:left w:w="0" w:type="dxa"/>
              <w:bottom w:w="0" w:type="dxa"/>
              <w:right w:w="0" w:type="dxa"/>
            </w:tcMar>
            <w:vAlign w:val="center"/>
          </w:tcPr>
          <w:p>
            <w:pPr>
              <w:pStyle w:val="TableContents"/>
              <w:bidi w:val="0"/>
              <w:spacing w:lineRule="auto" w:line="276" w:before="0" w:after="283"/>
              <w:jc w:val="left"/>
              <w:rPr>
                <w:rFonts w:ascii="Lato;sans-serif" w:hAnsi="Lato;sans-serif"/>
                <w:b w:val="false"/>
                <w:color w:val="000000"/>
                <w:sz w:val="20"/>
              </w:rPr>
            </w:pPr>
            <w:r>
              <w:rPr>
                <w:rFonts w:ascii="Lato;sans-serif" w:hAnsi="Lato;sans-serif"/>
                <w:b w:val="false"/>
                <w:color w:val="000000"/>
                <w:sz w:val="20"/>
              </w:rPr>
              <w:t>Keith Enright</w:t>
            </w:r>
          </w:p>
        </w:tc>
        <w:tc>
          <w:tcPr>
            <w:tcW w:w="2768" w:type="dxa"/>
            <w:gridSpan w:val="3"/>
            <w:tcBorders/>
            <w:shd w:fill="DBDBDB" w:val="clear"/>
            <w:tcMar>
              <w:top w:w="0" w:type="dxa"/>
              <w:left w:w="0" w:type="dxa"/>
              <w:bottom w:w="0" w:type="dxa"/>
              <w:right w:w="0" w:type="dxa"/>
            </w:tcMar>
            <w:vAlign w:val="center"/>
          </w:tcPr>
          <w:p>
            <w:pPr>
              <w:pStyle w:val="TableContents"/>
              <w:bidi w:val="0"/>
              <w:spacing w:lineRule="auto" w:line="276" w:before="0" w:after="283"/>
              <w:jc w:val="center"/>
              <w:rPr>
                <w:rFonts w:ascii="Lato;sans-serif" w:hAnsi="Lato;sans-serif"/>
                <w:b w:val="false"/>
                <w:color w:val="000000"/>
                <w:sz w:val="20"/>
              </w:rPr>
            </w:pPr>
            <w:r>
              <w:rPr>
                <w:rFonts w:ascii="Lato;sans-serif" w:hAnsi="Lato;sans-serif"/>
                <w:b w:val="false"/>
                <w:color w:val="000000"/>
                <w:sz w:val="20"/>
              </w:rPr>
              <w:t>64,166</w:t>
            </w:r>
          </w:p>
        </w:tc>
        <w:tc>
          <w:tcPr>
            <w:tcW w:w="2996" w:type="dxa"/>
            <w:gridSpan w:val="3"/>
            <w:tcBorders/>
            <w:shd w:fill="DBDBDB" w:val="clear"/>
            <w:tcMar>
              <w:top w:w="0" w:type="dxa"/>
              <w:left w:w="0" w:type="dxa"/>
              <w:bottom w:w="0" w:type="dxa"/>
              <w:right w:w="0" w:type="dxa"/>
            </w:tcMar>
            <w:vAlign w:val="center"/>
          </w:tcPr>
          <w:p>
            <w:pPr>
              <w:pStyle w:val="TableContents"/>
              <w:bidi w:val="0"/>
              <w:spacing w:lineRule="auto" w:line="276" w:before="0" w:after="283"/>
              <w:jc w:val="center"/>
              <w:rPr>
                <w:rFonts w:ascii="Lato;sans-serif" w:hAnsi="Lato;sans-serif"/>
                <w:b w:val="false"/>
                <w:color w:val="000000"/>
                <w:sz w:val="20"/>
              </w:rPr>
            </w:pPr>
            <w:r>
              <w:rPr>
                <w:rFonts w:ascii="Lato;sans-serif" w:hAnsi="Lato;sans-serif"/>
                <w:b w:val="false"/>
                <w:color w:val="000000"/>
                <w:sz w:val="20"/>
              </w:rPr>
              <w:t>*</w:t>
            </w:r>
          </w:p>
        </w:tc>
      </w:tr>
      <w:tr>
        <w:trPr/>
        <w:tc>
          <w:tcPr>
            <w:tcW w:w="4441"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left"/>
              <w:rPr>
                <w:rFonts w:ascii="Lato;sans-serif" w:hAnsi="Lato;sans-serif"/>
                <w:b w:val="false"/>
                <w:color w:val="000000"/>
                <w:sz w:val="20"/>
              </w:rPr>
            </w:pPr>
            <w:r>
              <w:rPr>
                <w:rFonts w:ascii="Lato;sans-serif" w:hAnsi="Lato;sans-serif"/>
                <w:b w:val="false"/>
                <w:color w:val="000000"/>
                <w:sz w:val="20"/>
              </w:rPr>
              <w:t>Ashley S. Evans</w:t>
            </w:r>
          </w:p>
        </w:tc>
        <w:tc>
          <w:tcPr>
            <w:tcW w:w="2768"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center"/>
              <w:rPr>
                <w:rFonts w:ascii="Lato;sans-serif" w:hAnsi="Lato;sans-serif"/>
                <w:b w:val="false"/>
                <w:color w:val="000000"/>
                <w:sz w:val="20"/>
              </w:rPr>
            </w:pPr>
            <w:r>
              <w:rPr>
                <w:rFonts w:ascii="Lato;sans-serif" w:hAnsi="Lato;sans-serif"/>
                <w:b w:val="false"/>
                <w:color w:val="000000"/>
                <w:sz w:val="20"/>
              </w:rPr>
              <w:t>48,130</w:t>
            </w:r>
          </w:p>
        </w:tc>
        <w:tc>
          <w:tcPr>
            <w:tcW w:w="2996"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center"/>
              <w:rPr>
                <w:rFonts w:ascii="Lato;sans-serif" w:hAnsi="Lato;sans-serif"/>
                <w:b w:val="false"/>
                <w:color w:val="000000"/>
                <w:sz w:val="20"/>
              </w:rPr>
            </w:pPr>
            <w:r>
              <w:rPr>
                <w:rFonts w:ascii="Lato;sans-serif" w:hAnsi="Lato;sans-serif"/>
                <w:b w:val="false"/>
                <w:color w:val="000000"/>
                <w:sz w:val="20"/>
              </w:rPr>
              <w:t>*</w:t>
            </w:r>
          </w:p>
        </w:tc>
      </w:tr>
      <w:tr>
        <w:trPr/>
        <w:tc>
          <w:tcPr>
            <w:tcW w:w="4441" w:type="dxa"/>
            <w:gridSpan w:val="3"/>
            <w:tcBorders/>
            <w:shd w:fill="DBDBDB" w:val="clear"/>
            <w:tcMar>
              <w:top w:w="0" w:type="dxa"/>
              <w:left w:w="0" w:type="dxa"/>
              <w:bottom w:w="0" w:type="dxa"/>
              <w:right w:w="0" w:type="dxa"/>
            </w:tcMar>
            <w:vAlign w:val="center"/>
          </w:tcPr>
          <w:p>
            <w:pPr>
              <w:pStyle w:val="TableContents"/>
              <w:bidi w:val="0"/>
              <w:spacing w:lineRule="auto" w:line="276" w:before="0" w:after="283"/>
              <w:jc w:val="left"/>
              <w:rPr>
                <w:rFonts w:ascii="Lato;sans-serif" w:hAnsi="Lato;sans-serif"/>
                <w:b w:val="false"/>
                <w:color w:val="000000"/>
                <w:sz w:val="20"/>
              </w:rPr>
            </w:pPr>
            <w:r>
              <w:rPr>
                <w:rFonts w:ascii="Lato;sans-serif" w:hAnsi="Lato;sans-serif"/>
                <w:b w:val="false"/>
                <w:color w:val="000000"/>
                <w:sz w:val="20"/>
              </w:rPr>
              <w:t>Robert Keith Giglio</w:t>
            </w:r>
          </w:p>
        </w:tc>
        <w:tc>
          <w:tcPr>
            <w:tcW w:w="2768" w:type="dxa"/>
            <w:gridSpan w:val="3"/>
            <w:tcBorders/>
            <w:shd w:fill="DBDBDB" w:val="clear"/>
            <w:tcMar>
              <w:top w:w="0" w:type="dxa"/>
              <w:left w:w="0" w:type="dxa"/>
              <w:bottom w:w="0" w:type="dxa"/>
              <w:right w:w="0" w:type="dxa"/>
            </w:tcMar>
            <w:vAlign w:val="center"/>
          </w:tcPr>
          <w:p>
            <w:pPr>
              <w:pStyle w:val="TableContents"/>
              <w:bidi w:val="0"/>
              <w:spacing w:lineRule="auto" w:line="276" w:before="0" w:after="283"/>
              <w:jc w:val="center"/>
              <w:rPr>
                <w:rFonts w:ascii="Lato;sans-serif" w:hAnsi="Lato;sans-serif"/>
                <w:b w:val="false"/>
                <w:color w:val="000000"/>
                <w:sz w:val="20"/>
              </w:rPr>
            </w:pPr>
            <w:r>
              <w:rPr>
                <w:rFonts w:ascii="Lato;sans-serif" w:hAnsi="Lato;sans-serif"/>
                <w:b w:val="false"/>
                <w:color w:val="000000"/>
                <w:sz w:val="20"/>
              </w:rPr>
              <w:t>23,076</w:t>
            </w:r>
          </w:p>
        </w:tc>
        <w:tc>
          <w:tcPr>
            <w:tcW w:w="2996" w:type="dxa"/>
            <w:gridSpan w:val="3"/>
            <w:tcBorders/>
            <w:shd w:fill="DBDBDB" w:val="clear"/>
            <w:tcMar>
              <w:top w:w="0" w:type="dxa"/>
              <w:left w:w="0" w:type="dxa"/>
              <w:bottom w:w="0" w:type="dxa"/>
              <w:right w:w="0" w:type="dxa"/>
            </w:tcMar>
            <w:vAlign w:val="center"/>
          </w:tcPr>
          <w:p>
            <w:pPr>
              <w:pStyle w:val="TableContents"/>
              <w:bidi w:val="0"/>
              <w:spacing w:lineRule="auto" w:line="276" w:before="0" w:after="283"/>
              <w:jc w:val="center"/>
              <w:rPr>
                <w:rFonts w:ascii="Lato;sans-serif" w:hAnsi="Lato;sans-serif"/>
                <w:b w:val="false"/>
                <w:color w:val="000000"/>
                <w:sz w:val="20"/>
              </w:rPr>
            </w:pPr>
            <w:r>
              <w:rPr>
                <w:rFonts w:ascii="Lato;sans-serif" w:hAnsi="Lato;sans-serif"/>
                <w:b w:val="false"/>
                <w:color w:val="000000"/>
                <w:sz w:val="20"/>
              </w:rPr>
              <w:t>*</w:t>
            </w:r>
          </w:p>
        </w:tc>
      </w:tr>
      <w:tr>
        <w:trPr/>
        <w:tc>
          <w:tcPr>
            <w:tcW w:w="4441"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left"/>
              <w:rPr>
                <w:rFonts w:ascii="Lato;sans-serif" w:hAnsi="Lato;sans-serif"/>
                <w:b w:val="false"/>
                <w:color w:val="000000"/>
                <w:sz w:val="20"/>
              </w:rPr>
            </w:pPr>
            <w:r>
              <w:rPr>
                <w:rFonts w:ascii="Lato;sans-serif" w:hAnsi="Lato;sans-serif"/>
                <w:b w:val="false"/>
                <w:color w:val="000000"/>
                <w:sz w:val="20"/>
              </w:rPr>
              <w:t>Alison Gleeson</w:t>
            </w:r>
          </w:p>
        </w:tc>
        <w:tc>
          <w:tcPr>
            <w:tcW w:w="2768"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center"/>
              <w:rPr>
                <w:rFonts w:ascii="Lato;sans-serif" w:hAnsi="Lato;sans-serif"/>
                <w:b w:val="false"/>
                <w:color w:val="000000"/>
                <w:sz w:val="20"/>
              </w:rPr>
            </w:pPr>
            <w:r>
              <w:rPr>
                <w:rFonts w:ascii="Lato;sans-serif" w:hAnsi="Lato;sans-serif"/>
                <w:b w:val="false"/>
                <w:color w:val="000000"/>
                <w:sz w:val="20"/>
              </w:rPr>
              <w:t>49,147</w:t>
            </w:r>
          </w:p>
        </w:tc>
        <w:tc>
          <w:tcPr>
            <w:tcW w:w="2996"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center"/>
              <w:rPr>
                <w:rFonts w:ascii="Lato;sans-serif" w:hAnsi="Lato;sans-serif"/>
                <w:b w:val="false"/>
                <w:color w:val="000000"/>
                <w:sz w:val="20"/>
              </w:rPr>
            </w:pPr>
            <w:r>
              <w:rPr>
                <w:rFonts w:ascii="Lato;sans-serif" w:hAnsi="Lato;sans-serif"/>
                <w:b w:val="false"/>
                <w:color w:val="000000"/>
                <w:sz w:val="20"/>
              </w:rPr>
              <w:t>*</w:t>
            </w:r>
          </w:p>
        </w:tc>
      </w:tr>
      <w:tr>
        <w:trPr/>
        <w:tc>
          <w:tcPr>
            <w:tcW w:w="4441" w:type="dxa"/>
            <w:gridSpan w:val="3"/>
            <w:tcBorders/>
            <w:shd w:fill="DBDBDB" w:val="clear"/>
            <w:tcMar>
              <w:top w:w="0" w:type="dxa"/>
              <w:left w:w="0" w:type="dxa"/>
              <w:bottom w:w="0" w:type="dxa"/>
              <w:right w:w="0" w:type="dxa"/>
            </w:tcMar>
            <w:vAlign w:val="center"/>
          </w:tcPr>
          <w:p>
            <w:pPr>
              <w:pStyle w:val="TableContents"/>
              <w:bidi w:val="0"/>
              <w:spacing w:lineRule="auto" w:line="276" w:before="0" w:after="283"/>
              <w:jc w:val="left"/>
              <w:rPr>
                <w:rFonts w:ascii="Lato;sans-serif" w:hAnsi="Lato;sans-serif"/>
                <w:b w:val="false"/>
                <w:color w:val="000000"/>
                <w:sz w:val="20"/>
              </w:rPr>
            </w:pPr>
            <w:r>
              <w:rPr>
                <w:rFonts w:ascii="Lato;sans-serif" w:hAnsi="Lato;sans-serif"/>
                <w:b w:val="false"/>
                <w:color w:val="000000"/>
                <w:sz w:val="20"/>
              </w:rPr>
              <w:t>Mark Mader</w:t>
            </w:r>
          </w:p>
        </w:tc>
        <w:tc>
          <w:tcPr>
            <w:tcW w:w="2768" w:type="dxa"/>
            <w:gridSpan w:val="3"/>
            <w:tcBorders/>
            <w:shd w:fill="DBDBDB" w:val="clear"/>
            <w:tcMar>
              <w:top w:w="0" w:type="dxa"/>
              <w:left w:w="0" w:type="dxa"/>
              <w:bottom w:w="0" w:type="dxa"/>
              <w:right w:w="0" w:type="dxa"/>
            </w:tcMar>
            <w:vAlign w:val="center"/>
          </w:tcPr>
          <w:p>
            <w:pPr>
              <w:pStyle w:val="TableContents"/>
              <w:bidi w:val="0"/>
              <w:spacing w:lineRule="auto" w:line="276" w:before="0" w:after="283"/>
              <w:jc w:val="center"/>
              <w:rPr>
                <w:rFonts w:ascii="Lato;sans-serif" w:hAnsi="Lato;sans-serif"/>
                <w:b w:val="false"/>
                <w:color w:val="000000"/>
                <w:sz w:val="20"/>
              </w:rPr>
            </w:pPr>
            <w:r>
              <w:rPr>
                <w:rFonts w:ascii="Lato;sans-serif" w:hAnsi="Lato;sans-serif"/>
                <w:b w:val="false"/>
                <w:color w:val="000000"/>
                <w:sz w:val="20"/>
              </w:rPr>
              <w:t>52,360</w:t>
            </w:r>
          </w:p>
        </w:tc>
        <w:tc>
          <w:tcPr>
            <w:tcW w:w="2996" w:type="dxa"/>
            <w:gridSpan w:val="3"/>
            <w:tcBorders/>
            <w:shd w:fill="DBDBDB" w:val="clear"/>
            <w:tcMar>
              <w:top w:w="0" w:type="dxa"/>
              <w:left w:w="0" w:type="dxa"/>
              <w:bottom w:w="0" w:type="dxa"/>
              <w:right w:w="0" w:type="dxa"/>
            </w:tcMar>
            <w:vAlign w:val="center"/>
          </w:tcPr>
          <w:p>
            <w:pPr>
              <w:pStyle w:val="TableContents"/>
              <w:bidi w:val="0"/>
              <w:spacing w:lineRule="auto" w:line="276" w:before="0" w:after="283"/>
              <w:jc w:val="center"/>
              <w:rPr>
                <w:rFonts w:ascii="Lato;sans-serif" w:hAnsi="Lato;sans-serif"/>
                <w:b w:val="false"/>
                <w:color w:val="000000"/>
                <w:sz w:val="20"/>
              </w:rPr>
            </w:pPr>
            <w:r>
              <w:rPr>
                <w:rFonts w:ascii="Lato;sans-serif" w:hAnsi="Lato;sans-serif"/>
                <w:b w:val="false"/>
                <w:color w:val="000000"/>
                <w:sz w:val="20"/>
              </w:rPr>
              <w:t>*</w:t>
            </w:r>
          </w:p>
        </w:tc>
      </w:tr>
      <w:tr>
        <w:trPr/>
        <w:tc>
          <w:tcPr>
            <w:tcW w:w="4441"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left"/>
              <w:rPr>
                <w:rFonts w:ascii="Lato;sans-serif" w:hAnsi="Lato;sans-serif"/>
                <w:b w:val="false"/>
                <w:color w:val="000000"/>
                <w:sz w:val="20"/>
              </w:rPr>
            </w:pPr>
            <w:r>
              <w:rPr>
                <w:rFonts w:ascii="Lato;sans-serif" w:hAnsi="Lato;sans-serif"/>
                <w:b w:val="false"/>
                <w:color w:val="000000"/>
                <w:sz w:val="20"/>
              </w:rPr>
              <w:t>Domenic J. Maida</w:t>
            </w:r>
          </w:p>
        </w:tc>
        <w:tc>
          <w:tcPr>
            <w:tcW w:w="2768"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center"/>
              <w:rPr>
                <w:rFonts w:ascii="Lato;sans-serif" w:hAnsi="Lato;sans-serif"/>
                <w:b w:val="false"/>
                <w:color w:val="000000"/>
                <w:sz w:val="20"/>
              </w:rPr>
            </w:pPr>
            <w:r>
              <w:rPr>
                <w:rFonts w:ascii="Lato;sans-serif" w:hAnsi="Lato;sans-serif"/>
                <w:b w:val="false"/>
                <w:color w:val="000000"/>
                <w:sz w:val="20"/>
              </w:rPr>
              <w:t>38,842</w:t>
            </w:r>
          </w:p>
        </w:tc>
        <w:tc>
          <w:tcPr>
            <w:tcW w:w="2996"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center"/>
              <w:rPr>
                <w:rFonts w:ascii="Lato;sans-serif" w:hAnsi="Lato;sans-serif"/>
                <w:b w:val="false"/>
                <w:color w:val="000000"/>
                <w:sz w:val="20"/>
              </w:rPr>
            </w:pPr>
            <w:r>
              <w:rPr>
                <w:rFonts w:ascii="Lato;sans-serif" w:hAnsi="Lato;sans-serif"/>
                <w:b w:val="false"/>
                <w:color w:val="000000"/>
                <w:sz w:val="20"/>
              </w:rPr>
              <w:t>*</w:t>
            </w:r>
          </w:p>
        </w:tc>
      </w:tr>
      <w:tr>
        <w:trPr/>
        <w:tc>
          <w:tcPr>
            <w:tcW w:w="4441" w:type="dxa"/>
            <w:gridSpan w:val="3"/>
            <w:tcBorders/>
            <w:shd w:fill="DBDBDB" w:val="clear"/>
            <w:tcMar>
              <w:top w:w="0" w:type="dxa"/>
              <w:left w:w="0" w:type="dxa"/>
              <w:bottom w:w="0" w:type="dxa"/>
              <w:right w:w="0" w:type="dxa"/>
            </w:tcMar>
            <w:vAlign w:val="center"/>
          </w:tcPr>
          <w:p>
            <w:pPr>
              <w:pStyle w:val="TableContents"/>
              <w:bidi w:val="0"/>
              <w:spacing w:lineRule="auto" w:line="276" w:before="0" w:after="283"/>
              <w:jc w:val="left"/>
              <w:rPr>
                <w:rFonts w:ascii="Lato;sans-serif" w:hAnsi="Lato;sans-serif"/>
                <w:b w:val="false"/>
                <w:color w:val="000000"/>
                <w:sz w:val="20"/>
              </w:rPr>
            </w:pPr>
            <w:r>
              <w:rPr>
                <w:rFonts w:ascii="Lato;sans-serif" w:hAnsi="Lato;sans-serif"/>
                <w:b w:val="false"/>
                <w:color w:val="000000"/>
                <w:sz w:val="20"/>
              </w:rPr>
              <w:t>Katie Rooney</w:t>
            </w:r>
          </w:p>
        </w:tc>
        <w:tc>
          <w:tcPr>
            <w:tcW w:w="2768" w:type="dxa"/>
            <w:gridSpan w:val="3"/>
            <w:tcBorders/>
            <w:shd w:fill="DBDBDB" w:val="clear"/>
            <w:tcMar>
              <w:top w:w="0" w:type="dxa"/>
              <w:left w:w="0" w:type="dxa"/>
              <w:bottom w:w="0" w:type="dxa"/>
              <w:right w:w="0" w:type="dxa"/>
            </w:tcMar>
            <w:vAlign w:val="center"/>
          </w:tcPr>
          <w:p>
            <w:pPr>
              <w:pStyle w:val="TableContents"/>
              <w:bidi w:val="0"/>
              <w:spacing w:lineRule="auto" w:line="276" w:before="0" w:after="283"/>
              <w:jc w:val="center"/>
              <w:rPr>
                <w:rFonts w:ascii="Lato;sans-serif" w:hAnsi="Lato;sans-serif"/>
                <w:b w:val="false"/>
                <w:color w:val="000000"/>
                <w:sz w:val="20"/>
              </w:rPr>
            </w:pPr>
            <w:r>
              <w:rPr>
                <w:rFonts w:ascii="Lato;sans-serif" w:hAnsi="Lato;sans-serif"/>
                <w:b w:val="false"/>
                <w:color w:val="000000"/>
                <w:sz w:val="20"/>
              </w:rPr>
              <w:t>25,090</w:t>
            </w:r>
          </w:p>
        </w:tc>
        <w:tc>
          <w:tcPr>
            <w:tcW w:w="2996" w:type="dxa"/>
            <w:gridSpan w:val="3"/>
            <w:tcBorders/>
            <w:shd w:fill="DBDBDB" w:val="clear"/>
            <w:tcMar>
              <w:top w:w="0" w:type="dxa"/>
              <w:left w:w="0" w:type="dxa"/>
              <w:bottom w:w="0" w:type="dxa"/>
              <w:right w:w="0" w:type="dxa"/>
            </w:tcMar>
            <w:vAlign w:val="center"/>
          </w:tcPr>
          <w:p>
            <w:pPr>
              <w:pStyle w:val="TableContents"/>
              <w:bidi w:val="0"/>
              <w:spacing w:lineRule="auto" w:line="276" w:before="0" w:after="283"/>
              <w:jc w:val="center"/>
              <w:rPr>
                <w:rFonts w:ascii="Lato;sans-serif" w:hAnsi="Lato;sans-serif"/>
                <w:b w:val="false"/>
                <w:color w:val="000000"/>
                <w:sz w:val="20"/>
              </w:rPr>
            </w:pPr>
            <w:r>
              <w:rPr>
                <w:rFonts w:ascii="Lato;sans-serif" w:hAnsi="Lato;sans-serif"/>
                <w:b w:val="false"/>
                <w:color w:val="000000"/>
                <w:sz w:val="20"/>
              </w:rPr>
              <w:t>*</w:t>
            </w:r>
          </w:p>
        </w:tc>
      </w:tr>
      <w:tr>
        <w:trPr/>
        <w:tc>
          <w:tcPr>
            <w:tcW w:w="4441"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left"/>
              <w:rPr>
                <w:rFonts w:ascii="Lato;sans-serif" w:hAnsi="Lato;sans-serif"/>
                <w:b w:val="false"/>
                <w:color w:val="000000"/>
                <w:sz w:val="20"/>
              </w:rPr>
            </w:pPr>
            <w:r>
              <w:rPr>
                <w:rFonts w:ascii="Lato;sans-serif" w:hAnsi="Lato;sans-serif"/>
                <w:b w:val="false"/>
                <w:color w:val="000000"/>
                <w:sz w:val="20"/>
              </w:rPr>
              <w:t>D. Randall Winn</w:t>
            </w:r>
          </w:p>
        </w:tc>
        <w:tc>
          <w:tcPr>
            <w:tcW w:w="2768"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center"/>
              <w:rPr>
                <w:rFonts w:ascii="Lato;sans-serif" w:hAnsi="Lato;sans-serif"/>
                <w:b w:val="false"/>
                <w:color w:val="000000"/>
                <w:sz w:val="20"/>
              </w:rPr>
            </w:pPr>
            <w:r>
              <w:rPr>
                <w:rFonts w:ascii="Lato;sans-serif" w:hAnsi="Lato;sans-serif"/>
                <w:b w:val="false"/>
                <w:color w:val="000000"/>
                <w:sz w:val="20"/>
              </w:rPr>
              <w:t>1,092,086</w:t>
            </w:r>
          </w:p>
        </w:tc>
        <w:tc>
          <w:tcPr>
            <w:tcW w:w="2996"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center"/>
              <w:rPr>
                <w:rFonts w:ascii="Lato;sans-serif" w:hAnsi="Lato;sans-serif"/>
                <w:b w:val="false"/>
                <w:color w:val="000000"/>
                <w:sz w:val="20"/>
              </w:rPr>
            </w:pPr>
            <w:r>
              <w:rPr>
                <w:rFonts w:ascii="Lato;sans-serif" w:hAnsi="Lato;sans-serif"/>
                <w:b w:val="false"/>
                <w:color w:val="000000"/>
                <w:sz w:val="20"/>
              </w:rPr>
              <w:t>*</w:t>
            </w:r>
          </w:p>
        </w:tc>
      </w:tr>
      <w:tr>
        <w:trPr/>
        <w:tc>
          <w:tcPr>
            <w:tcW w:w="4441" w:type="dxa"/>
            <w:gridSpan w:val="3"/>
            <w:tcBorders/>
            <w:shd w:fill="DBDBDB" w:val="clear"/>
            <w:tcMar>
              <w:top w:w="0" w:type="dxa"/>
              <w:left w:w="0" w:type="dxa"/>
              <w:bottom w:w="0" w:type="dxa"/>
              <w:right w:w="0" w:type="dxa"/>
            </w:tcMar>
            <w:vAlign w:val="center"/>
          </w:tcPr>
          <w:p>
            <w:pPr>
              <w:pStyle w:val="TableContents"/>
              <w:bidi w:val="0"/>
              <w:spacing w:lineRule="auto" w:line="276" w:before="0" w:after="0"/>
              <w:jc w:val="left"/>
              <w:rPr>
                <w:rFonts w:ascii="Lato;sans-serif" w:hAnsi="Lato;sans-serif"/>
                <w:b w:val="false"/>
                <w:color w:val="000000"/>
                <w:sz w:val="20"/>
              </w:rPr>
            </w:pPr>
            <w:r>
              <w:rPr>
                <w:rFonts w:ascii="Lato;sans-serif" w:hAnsi="Lato;sans-serif"/>
                <w:b w:val="false"/>
                <w:color w:val="000000"/>
                <w:sz w:val="20"/>
              </w:rPr>
              <w:t>Owen Wurzbacher</w:t>
            </w:r>
          </w:p>
        </w:tc>
        <w:tc>
          <w:tcPr>
            <w:tcW w:w="2768" w:type="dxa"/>
            <w:gridSpan w:val="3"/>
            <w:tcBorders/>
            <w:shd w:fill="DBDBDB" w:val="clear"/>
            <w:tcMar>
              <w:top w:w="0" w:type="dxa"/>
              <w:left w:w="0" w:type="dxa"/>
              <w:bottom w:w="0" w:type="dxa"/>
              <w:right w:w="0" w:type="dxa"/>
            </w:tcMar>
            <w:vAlign w:val="center"/>
          </w:tcPr>
          <w:p>
            <w:pPr>
              <w:pStyle w:val="TableContents"/>
              <w:bidi w:val="0"/>
              <w:spacing w:lineRule="auto" w:line="276" w:before="0" w:after="283"/>
              <w:jc w:val="center"/>
              <w:rPr>
                <w:rFonts w:ascii="Lato;sans-serif" w:hAnsi="Lato;sans-serif"/>
                <w:b w:val="false"/>
                <w:color w:val="000000"/>
                <w:sz w:val="20"/>
              </w:rPr>
            </w:pPr>
            <w:r>
              <w:rPr>
                <w:rFonts w:ascii="Lato;sans-serif" w:hAnsi="Lato;sans-serif"/>
                <w:b w:val="false"/>
                <w:color w:val="000000"/>
                <w:sz w:val="20"/>
              </w:rPr>
              <w:t>53,242</w:t>
            </w:r>
          </w:p>
        </w:tc>
        <w:tc>
          <w:tcPr>
            <w:tcW w:w="2996" w:type="dxa"/>
            <w:gridSpan w:val="3"/>
            <w:tcBorders/>
            <w:shd w:fill="DBDBDB" w:val="clear"/>
            <w:tcMar>
              <w:top w:w="0" w:type="dxa"/>
              <w:left w:w="0" w:type="dxa"/>
              <w:bottom w:w="0" w:type="dxa"/>
              <w:right w:w="0" w:type="dxa"/>
            </w:tcMar>
            <w:vAlign w:val="center"/>
          </w:tcPr>
          <w:p>
            <w:pPr>
              <w:pStyle w:val="TableContents"/>
              <w:bidi w:val="0"/>
              <w:spacing w:lineRule="auto" w:line="276" w:before="0" w:after="283"/>
              <w:jc w:val="center"/>
              <w:rPr>
                <w:rFonts w:ascii="Lato;sans-serif" w:hAnsi="Lato;sans-serif"/>
                <w:b w:val="false"/>
                <w:color w:val="000000"/>
                <w:sz w:val="20"/>
              </w:rPr>
            </w:pPr>
            <w:r>
              <w:rPr>
                <w:rFonts w:ascii="Lato;sans-serif" w:hAnsi="Lato;sans-serif"/>
                <w:b w:val="false"/>
                <w:color w:val="000000"/>
                <w:sz w:val="20"/>
              </w:rPr>
              <w:t>*</w:t>
            </w:r>
          </w:p>
        </w:tc>
      </w:tr>
      <w:tr>
        <w:trPr/>
        <w:tc>
          <w:tcPr>
            <w:tcW w:w="4441" w:type="dxa"/>
            <w:gridSpan w:val="3"/>
            <w:tcBorders/>
            <w:shd w:fill="FFFFFF" w:val="clear"/>
            <w:tcMar>
              <w:top w:w="0" w:type="dxa"/>
              <w:left w:w="0" w:type="dxa"/>
              <w:bottom w:w="0" w:type="dxa"/>
              <w:right w:w="0" w:type="dxa"/>
            </w:tcMar>
            <w:vAlign w:val="center"/>
          </w:tcPr>
          <w:p>
            <w:pPr>
              <w:pStyle w:val="TableContents"/>
              <w:bidi w:val="0"/>
              <w:spacing w:lineRule="auto" w:line="276" w:before="0" w:after="0"/>
              <w:jc w:val="left"/>
              <w:rPr/>
            </w:pPr>
            <w:r>
              <w:rPr>
                <w:rFonts w:ascii="Lato;sans-serif" w:hAnsi="Lato;sans-serif"/>
                <w:b w:val="false"/>
                <w:color w:val="000000"/>
                <w:sz w:val="20"/>
              </w:rPr>
              <w:t>Directors and executive officers as a group (13 persons as of March 15, 2026)</w:t>
            </w:r>
            <w:r>
              <w:rPr>
                <w:rFonts w:ascii="Lato;sans-serif" w:hAnsi="Lato;sans-serif"/>
                <w:b w:val="false"/>
                <w:color w:val="000000"/>
                <w:sz w:val="13"/>
              </w:rPr>
              <w:t>(10)</w:t>
            </w:r>
          </w:p>
        </w:tc>
        <w:tc>
          <w:tcPr>
            <w:tcW w:w="2768"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center"/>
              <w:rPr>
                <w:rFonts w:ascii="Lato;sans-serif" w:hAnsi="Lato;sans-serif"/>
                <w:b w:val="false"/>
                <w:color w:val="000000"/>
                <w:sz w:val="20"/>
              </w:rPr>
            </w:pPr>
            <w:r>
              <w:rPr>
                <w:rFonts w:ascii="Lato;sans-serif" w:hAnsi="Lato;sans-serif"/>
                <w:b w:val="false"/>
                <w:color w:val="000000"/>
                <w:sz w:val="20"/>
              </w:rPr>
              <w:t>29,490,464</w:t>
            </w:r>
          </w:p>
        </w:tc>
        <w:tc>
          <w:tcPr>
            <w:tcW w:w="2996"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center"/>
              <w:rPr>
                <w:rFonts w:ascii="Lato;sans-serif" w:hAnsi="Lato;sans-serif"/>
                <w:b w:val="false"/>
                <w:color w:val="000000"/>
                <w:sz w:val="20"/>
              </w:rPr>
            </w:pPr>
            <w:r>
              <w:rPr>
                <w:rFonts w:ascii="Lato;sans-serif" w:hAnsi="Lato;sans-serif"/>
                <w:b w:val="false"/>
                <w:color w:val="000000"/>
                <w:sz w:val="20"/>
              </w:rPr>
              <w:t>9.9%</w:t>
            </w:r>
          </w:p>
        </w:tc>
      </w:tr>
    </w:tbl>
    <w:p>
      <w:pPr>
        <w:pStyle w:val="TextBody"/>
        <w:bidi w:val="0"/>
        <w:spacing w:lineRule="auto" w:line="333" w:before="0" w:after="0"/>
        <w:jc w:val="left"/>
        <w:rPr>
          <w:rFonts w:ascii="Times New Roman;serif" w:hAnsi="Times New Roman;serif"/>
          <w:b w:val="false"/>
          <w:color w:val="000000"/>
          <w:sz w:val="20"/>
        </w:rPr>
      </w:pPr>
      <w:r>
        <w:rPr>
          <w:rFonts w:ascii="Times New Roman;serif" w:hAnsi="Times New Roman;serif"/>
          <w:b w:val="false"/>
          <w:color w:val="000000"/>
          <w:sz w:val="20"/>
        </w:rPr>
        <w:t>__________________</w:t>
      </w:r>
    </w:p>
    <w:p>
      <w:pPr>
        <w:pStyle w:val="TextBody"/>
        <w:bidi w:val="0"/>
        <w:spacing w:lineRule="auto" w:line="288" w:before="20" w:after="180"/>
        <w:jc w:val="left"/>
        <w:rPr>
          <w:rFonts w:ascii="Lato;sans-serif" w:hAnsi="Lato;sans-serif"/>
          <w:b w:val="false"/>
          <w:color w:val="000000"/>
          <w:sz w:val="16"/>
        </w:rPr>
      </w:pPr>
      <w:r>
        <w:rPr>
          <w:rFonts w:ascii="Lato;sans-serif" w:hAnsi="Lato;sans-serif"/>
          <w:b w:val="false"/>
          <w:color w:val="000000"/>
          <w:sz w:val="16"/>
        </w:rPr>
        <w:t>*Represents less than 1%.</w:t>
      </w:r>
    </w:p>
    <w:p>
      <w:pPr>
        <w:pStyle w:val="TextBody"/>
        <w:bidi w:val="0"/>
        <w:spacing w:lineRule="auto" w:line="288" w:before="0" w:after="0"/>
        <w:ind w:left="0" w:right="0" w:hanging="360"/>
        <w:jc w:val="both"/>
        <w:rPr>
          <w:rFonts w:ascii="Lato;sans-serif" w:hAnsi="Lato;sans-serif"/>
          <w:b w:val="false"/>
          <w:color w:val="000000"/>
          <w:sz w:val="16"/>
        </w:rPr>
      </w:pPr>
      <w:r>
        <w:rPr>
          <w:rFonts w:ascii="Lato;sans-serif" w:hAnsi="Lato;sans-serif"/>
          <w:b w:val="false"/>
          <w:color w:val="000000"/>
          <w:sz w:val="16"/>
        </w:rPr>
        <w:t>(1)The number of shares are those beneficially owned, as determined under the rules of the SEC, and such information is not necessarily indicative of beneficial ownership for any other purpose. Under such rules, beneficial ownership includes any shares as to which a person has sole or shared voting power or investment power and any shares which the person has the right to acquire within 60 days through the exercise of any option, warrant or right, through conversion of any security or pursuant to the automatic termination of a power of attorney or revocation of a trust, discretionary account or similar arrangement. Percentages are calculated in accordance with applicable SEC rules and are based on the number of shares issued and outstanding on March 15, 2026.</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8">
                <wp:simplePos x="0" y="0"/>
                <wp:positionH relativeFrom="character">
                  <wp:align>left</wp:align>
                </wp:positionH>
                <wp:positionV relativeFrom="line">
                  <wp:posOffset>635</wp:posOffset>
                </wp:positionV>
                <wp:extent cx="6480175" cy="352425"/>
                <wp:effectExtent l="0" t="0" r="0" b="0"/>
                <wp:wrapNone/>
                <wp:docPr id="104" name="Frame88"/>
                <a:graphic xmlns:a="http://schemas.openxmlformats.org/drawingml/2006/main">
                  <a:graphicData uri="http://schemas.microsoft.com/office/word/2010/wordprocessingShape">
                    <wps:wsp>
                      <wps:cNvSpPr txBox="1"/>
                      <wps:spPr>
                        <a:xfrm>
                          <a:off x="0" y="0"/>
                          <a:ext cx="6480175" cy="352425"/>
                        </a:xfrm>
                        <a:prstGeom prst="rect"/>
                        <a:solidFill>
                          <a:srgbClr val="FFFFFF"/>
                        </a:solidFill>
                      </wps:spPr>
                      <wps:txbx>
                        <w:txbxContent>
                          <w:p>
                            <w:pPr>
                              <w:pStyle w:val="TextBody"/>
                              <w:bidi w:val="0"/>
                              <w:spacing w:lineRule="auto" w:line="288" w:before="0" w:after="0"/>
                              <w:jc w:val="center"/>
                              <w:rPr>
                                <w:rFonts w:ascii="Lato;sans-serif" w:hAnsi="Lato;sans-serif"/>
                                <w:b w:val="false"/>
                                <w:color w:val="000000"/>
                                <w:sz w:val="20"/>
                              </w:rPr>
                            </w:pPr>
                            <w:r>
                              <w:rPr>
                                <w:rFonts w:ascii="Lato;sans-serif" w:hAnsi="Lato;sans-serif"/>
                                <w:b w:val="false"/>
                                <w:color w:val="000000"/>
                                <w:sz w:val="20"/>
                              </w:rPr>
                              <w:t>82</w:t>
                            </w:r>
                          </w:p>
                          <w:p>
                            <w:pPr>
                              <w:pStyle w:val="TextBody"/>
                              <w:bidi w:val="0"/>
                              <w:spacing w:lineRule="auto" w:line="288" w:before="0" w:after="0"/>
                              <w:jc w:val="left"/>
                              <w:rPr>
                                <w:color w:val="000000"/>
                              </w:rPr>
                            </w:pPr>
                            <w:r>
                              <w:rPr>
                                <w:color w:val="000000"/>
                              </w:rPr>
                              <w:t>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Lato;sans-serif" w:hAnsi="Lato;sans-serif"/>
                          <w:b w:val="false"/>
                          <w:color w:val="000000"/>
                          <w:sz w:val="20"/>
                        </w:rPr>
                      </w:pPr>
                      <w:r>
                        <w:rPr>
                          <w:rFonts w:ascii="Lato;sans-serif" w:hAnsi="Lato;sans-serif"/>
                          <w:b w:val="false"/>
                          <w:color w:val="000000"/>
                          <w:sz w:val="20"/>
                        </w:rPr>
                        <w:t>82</w:t>
                      </w:r>
                    </w:p>
                    <w:p>
                      <w:pPr>
                        <w:pStyle w:val="TextBody"/>
                        <w:bidi w:val="0"/>
                        <w:spacing w:lineRule="auto" w:line="288" w:before="0" w:after="0"/>
                        <w:jc w:val="left"/>
                        <w:rPr>
                          <w:color w:val="000000"/>
                        </w:rPr>
                      </w:pPr>
                      <w:r>
                        <w:rPr>
                          <w:color w:val="000000"/>
                        </w:rPr>
                        <w:t>        </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ind w:left="0" w:right="0" w:hanging="360"/>
        <w:jc w:val="both"/>
        <w:rPr>
          <w:rFonts w:ascii="Lato;sans-serif" w:hAnsi="Lato;sans-serif"/>
          <w:b w:val="false"/>
          <w:color w:val="000000"/>
          <w:sz w:val="16"/>
        </w:rPr>
      </w:pPr>
      <w:r>
        <w:rPr>
          <w:rFonts w:ascii="Lato;sans-serif" w:hAnsi="Lato;sans-serif"/>
          <w:b w:val="false"/>
          <w:color w:val="000000"/>
          <w:sz w:val="16"/>
        </w:rPr>
        <w:t>(2)Based solely on information contained in a Schedule 13G/A filed with the SEC on February 13, 2024 by The Vanguard Group in which The Vanguard Group reported that it had shared voting power over 150,807 shares of common stock, sole dispositive power over 32,614,490 shares of common stock, and shared dispositive power over 672,943 shares of common stock. The principal business address of The Vanguard Group is 100 Vanguard Blvd., Malvern, PA 19355.</w:t>
      </w:r>
    </w:p>
    <w:p>
      <w:pPr>
        <w:pStyle w:val="TextBody"/>
        <w:bidi w:val="0"/>
        <w:spacing w:lineRule="auto" w:line="288" w:before="0" w:after="0"/>
        <w:ind w:left="0" w:right="0" w:hanging="360"/>
        <w:jc w:val="both"/>
        <w:rPr>
          <w:rFonts w:ascii="Lato;sans-serif" w:hAnsi="Lato;sans-serif"/>
          <w:b w:val="false"/>
          <w:color w:val="000000"/>
          <w:sz w:val="16"/>
        </w:rPr>
      </w:pPr>
      <w:r>
        <w:rPr>
          <w:rFonts w:ascii="Lato;sans-serif" w:hAnsi="Lato;sans-serif"/>
          <w:b w:val="false"/>
          <w:color w:val="000000"/>
          <w:sz w:val="16"/>
        </w:rPr>
        <w:t>(3)Based solely on information contained in a Schedule 13G filed with the SEC on January 26, 2024 by BlackRock, Inc. in which BlackRock, Inc. reported that it had sole voting power over 26,204,554 shares of common stock and sole dispositive power over 27,182,630 shares of common stock. The principal business address of BlackRock, Inc. is 50 Hudson Yards, New York, NY 10001.</w:t>
      </w:r>
    </w:p>
    <w:p>
      <w:pPr>
        <w:pStyle w:val="TextBody"/>
        <w:bidi w:val="0"/>
        <w:spacing w:lineRule="auto" w:line="288" w:before="0" w:after="0"/>
        <w:ind w:left="0" w:right="0" w:hanging="360"/>
        <w:jc w:val="both"/>
        <w:rPr>
          <w:rFonts w:ascii="Lato;sans-serif" w:hAnsi="Lato;sans-serif"/>
          <w:b w:val="false"/>
          <w:color w:val="000000"/>
          <w:sz w:val="16"/>
        </w:rPr>
      </w:pPr>
      <w:r>
        <w:rPr>
          <w:rFonts w:ascii="Lato;sans-serif" w:hAnsi="Lato;sans-serif"/>
          <w:b w:val="false"/>
          <w:color w:val="000000"/>
          <w:sz w:val="16"/>
        </w:rPr>
        <w:t>(4)Based solely on information contained in a Schedule 13G/A filed with the SEC on February 4, 2026 by FMR LLC and Abigail P. Johnson in which FMR LLC reported that it had sole voting power over 23,451,217 shares of common stock and sole dispositive power over 23,473,262 shares of common stock, and Ms. Johnson reported that she had sole dispositive power over 23,473,262 shares of common stock. Members of the Johnson family may be deemed, under the Investment Company Act of 1940, to form a controlling group with respect to FMR LLC. The principal business address of each of FMR LLC and Ms. Johnson is 245 Summer Street, Boston, Massachusetts 02210.</w:t>
      </w:r>
    </w:p>
    <w:p>
      <w:pPr>
        <w:pStyle w:val="TextBody"/>
        <w:bidi w:val="0"/>
        <w:spacing w:lineRule="auto" w:line="288" w:before="0" w:after="0"/>
        <w:ind w:left="0" w:right="0" w:hanging="360"/>
        <w:jc w:val="both"/>
        <w:rPr>
          <w:rFonts w:ascii="Lato;sans-serif" w:hAnsi="Lato;sans-serif"/>
          <w:b w:val="false"/>
          <w:color w:val="000000"/>
          <w:sz w:val="16"/>
        </w:rPr>
      </w:pPr>
      <w:r>
        <w:rPr>
          <w:rFonts w:ascii="Lato;sans-serif" w:hAnsi="Lato;sans-serif"/>
          <w:b w:val="false"/>
          <w:color w:val="000000"/>
          <w:sz w:val="16"/>
        </w:rPr>
        <w:t>(5)Based solely on information contained in a Schedule 13G filed with the SEC on January 17, 2026 by Ahmet H. Okumus in which Mr. Okumus reported beneficial ownership of 21,605,149 shares of common stock, consisting of sole voting power over 9,000,000 shares of common stock, shared voting power over 12,605,149 shares of common stock, sole dispositive power over 9,000,000 shares of common stock, and shared dispositive power over 12,605,149 shares of common stock. A portion of the securities reported are directly owned by advisory clients of RPD Fund Management LLC, an investment adviser for which Mr. Okumus serves as Managing Member. The principal business address of Mr. Okumus is c/o RPD Fund Management LLC, 599 Lexington Avenue, 47th Floor, New York, New York 10022.</w:t>
      </w:r>
    </w:p>
    <w:p>
      <w:pPr>
        <w:pStyle w:val="TextBody"/>
        <w:bidi w:val="0"/>
        <w:spacing w:lineRule="auto" w:line="288" w:before="0" w:after="0"/>
        <w:ind w:left="0" w:right="0" w:hanging="360"/>
        <w:jc w:val="both"/>
        <w:rPr>
          <w:rFonts w:ascii="Lato;sans-serif" w:hAnsi="Lato;sans-serif"/>
          <w:b w:val="false"/>
          <w:color w:val="000000"/>
          <w:sz w:val="16"/>
        </w:rPr>
      </w:pPr>
      <w:r>
        <w:rPr>
          <w:rFonts w:ascii="Lato;sans-serif" w:hAnsi="Lato;sans-serif"/>
          <w:b w:val="false"/>
          <w:color w:val="000000"/>
          <w:sz w:val="16"/>
        </w:rPr>
        <w:t>(6)Based solely on information contained in a Schedule 13D/A filed with the SEC on February 18, 2026 by HighSage Ventures LLC and Jennifer Stier in which HighSage Ventures LLC reported that it had shared voting power over 14,479,835 shares of common stock and shared dispositive power over 14,479,835 shares of common stock, and Ms. Stier reported that she had shared voting power over 20,410,148 shares of common stock and shared dispositive power over 20,410,148 shares of common stock. Ms. Stier may be deemed to share voting and dispositive power over the shares beneficially owned by HighSage Ventures LLC and/or the limited liability companies directly holding such shares that she and/or HighSage Ventures LLC manages. The reporting persons disclaim beneficial ownership over shares and restricted stock units beneficially owned by Owen Wurzbacher, who serves as Chief Investment Officer of HighSage Ventures LLC and as the Lead Independent Director of ZoomInfo Technologies Inc.'s Board of Directors. The principal business address of each of HighSage Ventures LLC and Ms. Stier is 200 Clarendon Street, 59th Floor, Boston, MA 02116.</w:t>
      </w:r>
    </w:p>
    <w:p>
      <w:pPr>
        <w:pStyle w:val="TextBody"/>
        <w:bidi w:val="0"/>
        <w:spacing w:lineRule="auto" w:line="288" w:before="0" w:after="0"/>
        <w:ind w:left="0" w:right="0" w:hanging="360"/>
        <w:jc w:val="both"/>
        <w:rPr>
          <w:rFonts w:ascii="Lato;sans-serif" w:hAnsi="Lato;sans-serif"/>
          <w:b w:val="false"/>
          <w:color w:val="000000"/>
          <w:sz w:val="16"/>
        </w:rPr>
      </w:pPr>
      <w:r>
        <w:rPr>
          <w:rFonts w:ascii="Lato;sans-serif" w:hAnsi="Lato;sans-serif"/>
          <w:b w:val="false"/>
          <w:color w:val="000000"/>
          <w:sz w:val="16"/>
        </w:rPr>
        <w:t>(7)Based solely on information contained in a Schedule 13G filed with the SEC on July 11, 2025 by Glenview Capital Management, LLC and Larry Robbins in which each of Glenview Capital Management, LLC and Mr. Robbins reported that they had shared voting power over 17,581,399 shares of common stock and shared dispositive power over 17,581,399 shares of common stock. The reported shares consist of 6,855,556 shares held for the account of Glenview Capital Master Fund, Ltd. and 10,725,843 shares held for the account of Glenview Offshore Opportunity Master Fund, Ltd. Glenview Capital Management, LLC serves as investment manager to each of these funds, and Mr. Robbins is the Chief Executive Officer of Glenview Capital Management, LLC. The principal business address of each of Glenview Capital Management, LLC and Mr. Robbins is 767 Fifth Avenue, 44th Floor, New York, New York 10153.</w:t>
      </w:r>
    </w:p>
    <w:p>
      <w:pPr>
        <w:pStyle w:val="TextBody"/>
        <w:bidi w:val="0"/>
        <w:spacing w:lineRule="auto" w:line="288" w:before="0" w:after="0"/>
        <w:ind w:left="0" w:right="0" w:hanging="360"/>
        <w:jc w:val="both"/>
        <w:rPr>
          <w:rFonts w:ascii="Lato;sans-serif" w:hAnsi="Lato;sans-serif"/>
          <w:b w:val="false"/>
          <w:color w:val="000000"/>
          <w:sz w:val="16"/>
        </w:rPr>
      </w:pPr>
      <w:r>
        <w:rPr>
          <w:rFonts w:ascii="Lato;sans-serif" w:hAnsi="Lato;sans-serif"/>
          <w:b w:val="false"/>
          <w:color w:val="000000"/>
          <w:sz w:val="16"/>
        </w:rPr>
        <w:t>(8)Based solely on information contained in a Schedule 13G/A filed with the SEC on February 10, 2025 and a Form 4 filed by Mr. Brown on March 4, 2025. Amount beneficially owned reflects 13,377,329 shares of common stock held directly by DO Holdings (WA), LLC and 7,615,914 shares of common stock held directly by Mr. Brown. DO Holdings (WA), LLC is owned by Messrs. Schuck and Brown. Mr. Brown may be deemed to share voting and dispositive power over the securities held by DO Holdings (WA), LLC. The principal business address of Mr. Brown is c/o Wildwood Law Group, 3915 NE 15th Ave, #362, Portland, OR 97212.</w:t>
      </w:r>
    </w:p>
    <w:p>
      <w:pPr>
        <w:pStyle w:val="TextBody"/>
        <w:bidi w:val="0"/>
        <w:spacing w:lineRule="auto" w:line="288" w:before="0" w:after="0"/>
        <w:ind w:left="0" w:right="0" w:hanging="360"/>
        <w:jc w:val="both"/>
        <w:rPr/>
      </w:pPr>
      <w:r>
        <w:rPr>
          <w:rFonts w:ascii="Lato;sans-serif" w:hAnsi="Lato;sans-serif"/>
          <w:b w:val="false"/>
          <w:color w:val="000000"/>
          <w:sz w:val="16"/>
        </w:rPr>
        <w:t>(9)Amount beneficially owned reflects (i) 11,354,680 shares of our common stock held directly by Mr. Schuck, (ii) 2,224,173 shares of common stock held directly by HSKB Funds, LLC (“</w:t>
      </w:r>
      <w:r>
        <w:rPr>
          <w:rFonts w:ascii="Lato;sans-serif" w:hAnsi="Lato;sans-serif"/>
          <w:b/>
          <w:i/>
          <w:color w:val="000000"/>
          <w:sz w:val="16"/>
        </w:rPr>
        <w:t>HSKB</w:t>
      </w:r>
      <w:r>
        <w:rPr>
          <w:color w:val="000000"/>
        </w:rPr>
        <w:t>”</w:t>
      </w:r>
      <w:r>
        <w:rPr>
          <w:rFonts w:ascii="Lato;sans-serif" w:hAnsi="Lato;sans-serif"/>
          <w:b w:val="false"/>
          <w:color w:val="000000"/>
          <w:sz w:val="16"/>
        </w:rPr>
        <w:t>), (iii) 279,635 shares of common stock held directly by HSKB Funds II, LLC (“</w:t>
      </w:r>
      <w:r>
        <w:rPr>
          <w:rFonts w:ascii="Lato;sans-serif" w:hAnsi="Lato;sans-serif"/>
          <w:b/>
          <w:i/>
          <w:color w:val="000000"/>
          <w:sz w:val="16"/>
        </w:rPr>
        <w:t>HSKB II</w:t>
      </w:r>
      <w:r>
        <w:rPr>
          <w:color w:val="000000"/>
        </w:rPr>
        <w:t>”</w:t>
      </w:r>
      <w:r>
        <w:rPr>
          <w:rFonts w:ascii="Lato;sans-serif" w:hAnsi="Lato;sans-serif"/>
          <w:b w:val="false"/>
          <w:color w:val="000000"/>
          <w:sz w:val="16"/>
        </w:rPr>
        <w:t>), (iv) 237,376 shares of common stock held by a grantor trust, (v) 13,377,329 shares of common stock (based solely on information contained in a Schedule 13G/A filed with the SEC on February 10, 2025) held directly by DO Holdings (WA), LLC and (vi) 37,611 shares of our common stock underlying RSUs that vest within 60 days of March 15, 2026. HSKB Funds, LLC and HSKB Funds II, LLC are managed by HLS Management, LLC. Mr. Schuck is the sole member of HLS Management, LLC. Mr. Schuck only has an economic interest in 1,848,514 shares of common stock held by HSKB and no economic interest in shares of common stock held by HSKB II. DO Holdings (WA), LLC is substantially owned by Messrs. Schuck and Brown. Mr. Schuck may be deemed to share voting and dispositive power over the securities held by DO Holdings (WA), LLC.</w:t>
      </w:r>
    </w:p>
    <w:p>
      <w:pPr>
        <w:pStyle w:val="TextBody"/>
        <w:bidi w:val="0"/>
        <w:spacing w:lineRule="auto" w:line="288" w:before="0" w:after="0"/>
        <w:ind w:left="0" w:right="0" w:hanging="360"/>
        <w:jc w:val="both"/>
        <w:rPr>
          <w:rFonts w:ascii="Lato;sans-serif" w:hAnsi="Lato;sans-serif"/>
          <w:b w:val="false"/>
          <w:color w:val="000000"/>
          <w:sz w:val="16"/>
        </w:rPr>
      </w:pPr>
      <w:r>
        <w:rPr>
          <w:rFonts w:ascii="Lato;sans-serif" w:hAnsi="Lato;sans-serif"/>
          <w:b w:val="false"/>
          <w:color w:val="000000"/>
          <w:sz w:val="16"/>
        </w:rPr>
        <w:t>(10)Amount beneficially owned reflects 408,704 shares of our common stock underlying RSUs held by our D&amp;Os that vest within 60 days of March 15,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9">
                <wp:simplePos x="0" y="0"/>
                <wp:positionH relativeFrom="character">
                  <wp:align>left</wp:align>
                </wp:positionH>
                <wp:positionV relativeFrom="line">
                  <wp:posOffset>635</wp:posOffset>
                </wp:positionV>
                <wp:extent cx="6480175" cy="352425"/>
                <wp:effectExtent l="0" t="0" r="0" b="0"/>
                <wp:wrapNone/>
                <wp:docPr id="105" name="Frame89"/>
                <a:graphic xmlns:a="http://schemas.openxmlformats.org/drawingml/2006/main">
                  <a:graphicData uri="http://schemas.microsoft.com/office/word/2010/wordprocessingShape">
                    <wps:wsp>
                      <wps:cNvSpPr txBox="1"/>
                      <wps:spPr>
                        <a:xfrm>
                          <a:off x="0" y="0"/>
                          <a:ext cx="6480175" cy="352425"/>
                        </a:xfrm>
                        <a:prstGeom prst="rect"/>
                        <a:solidFill>
                          <a:srgbClr val="FFFFFF"/>
                        </a:solidFill>
                      </wps:spPr>
                      <wps:txbx>
                        <w:txbxContent>
                          <w:p>
                            <w:pPr>
                              <w:pStyle w:val="TextBody"/>
                              <w:bidi w:val="0"/>
                              <w:spacing w:lineRule="auto" w:line="288" w:before="0" w:after="0"/>
                              <w:jc w:val="center"/>
                              <w:rPr>
                                <w:rFonts w:ascii="Lato;sans-serif" w:hAnsi="Lato;sans-serif"/>
                                <w:b w:val="false"/>
                                <w:color w:val="000000"/>
                                <w:sz w:val="20"/>
                              </w:rPr>
                            </w:pPr>
                            <w:r>
                              <w:rPr>
                                <w:rFonts w:ascii="Lato;sans-serif" w:hAnsi="Lato;sans-serif"/>
                                <w:b w:val="false"/>
                                <w:color w:val="000000"/>
                                <w:sz w:val="20"/>
                              </w:rPr>
                              <w:t>83</w:t>
                            </w:r>
                          </w:p>
                          <w:p>
                            <w:pPr>
                              <w:pStyle w:val="TextBody"/>
                              <w:bidi w:val="0"/>
                              <w:spacing w:lineRule="auto" w:line="288" w:before="0" w:after="0"/>
                              <w:jc w:val="left"/>
                              <w:rPr>
                                <w:color w:val="000000"/>
                              </w:rPr>
                            </w:pPr>
                            <w:r>
                              <w:rPr>
                                <w:color w:val="000000"/>
                              </w:rPr>
                              <w:t>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Lato;sans-serif" w:hAnsi="Lato;sans-serif"/>
                          <w:b w:val="false"/>
                          <w:color w:val="000000"/>
                          <w:sz w:val="20"/>
                        </w:rPr>
                      </w:pPr>
                      <w:r>
                        <w:rPr>
                          <w:rFonts w:ascii="Lato;sans-serif" w:hAnsi="Lato;sans-serif"/>
                          <w:b w:val="false"/>
                          <w:color w:val="000000"/>
                          <w:sz w:val="20"/>
                        </w:rPr>
                        <w:t>83</w:t>
                      </w:r>
                    </w:p>
                    <w:p>
                      <w:pPr>
                        <w:pStyle w:val="TextBody"/>
                        <w:bidi w:val="0"/>
                        <w:spacing w:lineRule="auto" w:line="288" w:before="0" w:after="0"/>
                        <w:jc w:val="left"/>
                        <w:rPr>
                          <w:color w:val="000000"/>
                        </w:rPr>
                      </w:pPr>
                      <w:r>
                        <w:rPr>
                          <w:color w:val="000000"/>
                        </w:rPr>
                        <w:t>        </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300" w:after="180"/>
        <w:jc w:val="center"/>
        <w:rPr>
          <w:rFonts w:ascii="Lato;sans-serif" w:hAnsi="Lato;sans-serif"/>
          <w:b/>
          <w:color w:val="000000"/>
          <w:sz w:val="20"/>
        </w:rPr>
      </w:pPr>
      <w:r>
        <w:rPr>
          <w:rFonts w:ascii="Lato;sans-serif" w:hAnsi="Lato;sans-serif"/>
          <w:b/>
          <w:color w:val="000000"/>
          <w:sz w:val="20"/>
        </w:rPr>
        <w:t>DELINQUENT SECTION 16(a) REPORTS</w:t>
      </w:r>
    </w:p>
    <w:p>
      <w:pPr>
        <w:pStyle w:val="TextBody"/>
        <w:bidi w:val="0"/>
        <w:spacing w:lineRule="auto" w:line="288" w:before="180" w:after="180"/>
        <w:jc w:val="both"/>
        <w:rPr>
          <w:rFonts w:ascii="Lato;sans-serif" w:hAnsi="Lato;sans-serif"/>
          <w:b w:val="false"/>
          <w:color w:val="000000"/>
          <w:sz w:val="20"/>
        </w:rPr>
      </w:pPr>
      <w:r>
        <w:rPr>
          <w:rFonts w:ascii="Lato;sans-serif" w:hAnsi="Lato;sans-serif"/>
          <w:b w:val="false"/>
          <w:color w:val="000000"/>
          <w:sz w:val="20"/>
        </w:rPr>
        <w:t>Section 16(a) of the Exchange Act requires executive officers and directors, a company’s chief accounting officer and persons who beneficially own more than 10% of a company’s common stock, to file initial reports of ownership and reports of changes in ownership with the SEC and the Nasdaq.</w:t>
      </w:r>
    </w:p>
    <w:p>
      <w:pPr>
        <w:pStyle w:val="TextBody"/>
        <w:bidi w:val="0"/>
        <w:spacing w:lineRule="auto" w:line="288" w:before="180" w:after="180"/>
        <w:jc w:val="both"/>
        <w:rPr>
          <w:rFonts w:ascii="Lato;sans-serif" w:hAnsi="Lato;sans-serif"/>
          <w:b w:val="false"/>
          <w:color w:val="000000"/>
          <w:sz w:val="20"/>
        </w:rPr>
      </w:pPr>
      <w:r>
        <w:rPr>
          <w:rFonts w:ascii="Lato;sans-serif" w:hAnsi="Lato;sans-serif"/>
          <w:b w:val="false"/>
          <w:color w:val="000000"/>
          <w:sz w:val="20"/>
        </w:rPr>
        <w:t>Based solely on our review of copies of such reports and written representations from our executive officers, directors, and other beneficial owners of more than ten percent of any class of our equity securities registered pursuant to Section 12 of the Exchange Act, in each case at any time during the prior fiscal year, we believe that such persons or beneficial owners complied with all Section 16(a) filing requirements during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0">
                <wp:simplePos x="0" y="0"/>
                <wp:positionH relativeFrom="character">
                  <wp:align>left</wp:align>
                </wp:positionH>
                <wp:positionV relativeFrom="line">
                  <wp:posOffset>635</wp:posOffset>
                </wp:positionV>
                <wp:extent cx="6480175" cy="352425"/>
                <wp:effectExtent l="0" t="0" r="0" b="0"/>
                <wp:wrapNone/>
                <wp:docPr id="106" name="Frame90"/>
                <a:graphic xmlns:a="http://schemas.openxmlformats.org/drawingml/2006/main">
                  <a:graphicData uri="http://schemas.microsoft.com/office/word/2010/wordprocessingShape">
                    <wps:wsp>
                      <wps:cNvSpPr txBox="1"/>
                      <wps:spPr>
                        <a:xfrm>
                          <a:off x="0" y="0"/>
                          <a:ext cx="6480175" cy="352425"/>
                        </a:xfrm>
                        <a:prstGeom prst="rect"/>
                        <a:solidFill>
                          <a:srgbClr val="FFFFFF"/>
                        </a:solidFill>
                      </wps:spPr>
                      <wps:txbx>
                        <w:txbxContent>
                          <w:p>
                            <w:pPr>
                              <w:pStyle w:val="TextBody"/>
                              <w:bidi w:val="0"/>
                              <w:spacing w:lineRule="auto" w:line="288" w:before="0" w:after="0"/>
                              <w:jc w:val="center"/>
                              <w:rPr>
                                <w:rFonts w:ascii="Lato;sans-serif" w:hAnsi="Lato;sans-serif"/>
                                <w:b w:val="false"/>
                                <w:color w:val="000000"/>
                                <w:sz w:val="20"/>
                              </w:rPr>
                            </w:pPr>
                            <w:r>
                              <w:rPr>
                                <w:rFonts w:ascii="Lato;sans-serif" w:hAnsi="Lato;sans-serif"/>
                                <w:b w:val="false"/>
                                <w:color w:val="000000"/>
                                <w:sz w:val="20"/>
                              </w:rPr>
                              <w:t>84</w:t>
                            </w:r>
                          </w:p>
                          <w:p>
                            <w:pPr>
                              <w:pStyle w:val="TextBody"/>
                              <w:bidi w:val="0"/>
                              <w:spacing w:lineRule="auto" w:line="288" w:before="0" w:after="0"/>
                              <w:jc w:val="left"/>
                              <w:rPr>
                                <w:color w:val="000000"/>
                              </w:rPr>
                            </w:pPr>
                            <w:r>
                              <w:rPr>
                                <w:color w:val="000000"/>
                              </w:rPr>
                              <w:t>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Lato;sans-serif" w:hAnsi="Lato;sans-serif"/>
                          <w:b w:val="false"/>
                          <w:color w:val="000000"/>
                          <w:sz w:val="20"/>
                        </w:rPr>
                      </w:pPr>
                      <w:r>
                        <w:rPr>
                          <w:rFonts w:ascii="Lato;sans-serif" w:hAnsi="Lato;sans-serif"/>
                          <w:b w:val="false"/>
                          <w:color w:val="000000"/>
                          <w:sz w:val="20"/>
                        </w:rPr>
                        <w:t>84</w:t>
                      </w:r>
                    </w:p>
                    <w:p>
                      <w:pPr>
                        <w:pStyle w:val="TextBody"/>
                        <w:bidi w:val="0"/>
                        <w:spacing w:lineRule="auto" w:line="288" w:before="0" w:after="0"/>
                        <w:jc w:val="left"/>
                        <w:rPr>
                          <w:color w:val="000000"/>
                        </w:rPr>
                      </w:pPr>
                      <w:r>
                        <w:rPr>
                          <w:color w:val="000000"/>
                        </w:rPr>
                        <w:t>        </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300" w:after="180"/>
        <w:jc w:val="center"/>
        <w:rPr>
          <w:rFonts w:ascii="Lato;sans-serif" w:hAnsi="Lato;sans-serif"/>
          <w:b/>
          <w:color w:val="000000"/>
          <w:sz w:val="20"/>
        </w:rPr>
      </w:pPr>
      <w:r>
        <w:rPr>
          <w:rFonts w:ascii="Lato;sans-serif" w:hAnsi="Lato;sans-serif"/>
          <w:b/>
          <w:color w:val="000000"/>
          <w:sz w:val="20"/>
        </w:rPr>
        <w:t>TRANSACTIONS WITH RELATED PERSONS</w:t>
      </w:r>
    </w:p>
    <w:p>
      <w:pPr>
        <w:pStyle w:val="TextBody"/>
        <w:bidi w:val="0"/>
        <w:spacing w:lineRule="auto" w:line="288" w:before="180" w:after="180"/>
        <w:jc w:val="both"/>
        <w:rPr/>
      </w:pPr>
      <w:r>
        <w:rPr>
          <w:rFonts w:ascii="Lato;sans-serif" w:hAnsi="Lato;sans-serif"/>
          <w:b w:val="false"/>
          <w:color w:val="000000"/>
          <w:sz w:val="20"/>
        </w:rPr>
        <w:t>Our Board of Directors has adopted a written statement of policy regarding transactions with related persons, which we refer to as our “related person policy.” Our related person policy requires that information about any “related person transaction” (defined as any transaction that is anticipated to be reportable by us under Item 404(a) of Regulation S-K in which we were or are expected to be a participant and the amount involved exceeds $120,000 and in which any “related person” (as defined in Item 404(a) of Regulation S-K) had or will have a direct or indirect material interest) proposed to be entered into by the Company must be reported to members of the Company’s management. Such persons will then promptly communicate that information to our Board of Directors or a duly authorized committee of our Board of Directors. Each related person transaction shall either be approved in advance, or ratified after consummation of the transaction, by our Board of Directors or a committee of our Board of Directors composed solely of independent directors who are disinterested. Our Board of Directors has designated the Audit Committee to serve as such committee. It is our policy that directors interested in a related person transaction will recuse themselves from any vote on a related person transaction in which they have an interest. Our policy also contains a standing approval for transactions with and payments to or from TA Associates, Carlyle and investment funds associated with 22C Capital LLC (“</w:t>
      </w:r>
      <w:r>
        <w:rPr>
          <w:rFonts w:ascii="Lato;sans-serif" w:hAnsi="Lato;sans-serif"/>
          <w:b/>
          <w:i/>
          <w:color w:val="000000"/>
          <w:sz w:val="20"/>
        </w:rPr>
        <w:t>22C Capital</w:t>
      </w:r>
      <w:r>
        <w:rPr>
          <w:color w:val="000000"/>
        </w:rPr>
        <w:t>”</w:t>
      </w:r>
      <w:r>
        <w:rPr>
          <w:rFonts w:ascii="Lato;sans-serif" w:hAnsi="Lato;sans-serif"/>
          <w:b w:val="false"/>
          <w:color w:val="000000"/>
          <w:sz w:val="20"/>
        </w:rPr>
        <w:t>) and/or their respective affiliates (including portfolio companies) (each, a “</w:t>
      </w:r>
      <w:r>
        <w:rPr>
          <w:rFonts w:ascii="Lato;sans-serif" w:hAnsi="Lato;sans-serif"/>
          <w:b/>
          <w:i/>
          <w:color w:val="000000"/>
          <w:sz w:val="20"/>
        </w:rPr>
        <w:t>Sponsor</w:t>
      </w:r>
      <w:r>
        <w:rPr>
          <w:color w:val="000000"/>
        </w:rPr>
        <w:t xml:space="preserve">” </w:t>
      </w:r>
      <w:r>
        <w:rPr>
          <w:rFonts w:ascii="Lato;sans-serif" w:hAnsi="Lato;sans-serif"/>
          <w:b w:val="false"/>
          <w:color w:val="000000"/>
          <w:sz w:val="20"/>
        </w:rPr>
        <w:t>and, collectively, the “</w:t>
      </w:r>
      <w:r>
        <w:rPr>
          <w:rFonts w:ascii="Lato;sans-serif" w:hAnsi="Lato;sans-serif"/>
          <w:b/>
          <w:i/>
          <w:color w:val="000000"/>
          <w:sz w:val="20"/>
        </w:rPr>
        <w:t>Sponsors</w:t>
      </w:r>
      <w:r>
        <w:rPr>
          <w:color w:val="000000"/>
        </w:rPr>
        <w:t>”</w:t>
      </w:r>
      <w:r>
        <w:rPr>
          <w:rFonts w:ascii="Lato;sans-serif" w:hAnsi="Lato;sans-serif"/>
          <w:b w:val="false"/>
          <w:color w:val="000000"/>
          <w:sz w:val="20"/>
        </w:rPr>
        <w:t>) pursuant to agreements that were in effect at the time of the IPO and certain transactions with or related to the Sponsors, including, without limitation: (1) transactions involving the Company’s securities in which any Sponsor serves as an underwriter, placement agent, initial purchaser, financial advisor or in a similar capacity, and the fees and commissions received by the Sponsor for such services are no greater (on a per security basis) than those received by other underwriters, placement agents, initial purchasers, financial advisors or persons performing in a similar capacity in the transaction or that would be received by an unaffiliated third party; and (2) the purchase or sale of products or services involving any Sponsor, provided that (a) the appropriate officers of the Company reasonably believe the transaction is an arm’s length transaction, (b) the subject products or services are of a type generally made available to other customers of the Sponsor and (c) the aggregate amount involved in such purchase or sale is expected to be less than $5 million over five years.</w:t>
      </w:r>
    </w:p>
    <w:p>
      <w:pPr>
        <w:pStyle w:val="TextBody"/>
        <w:bidi w:val="0"/>
        <w:spacing w:lineRule="auto" w:line="288" w:before="180" w:after="180"/>
        <w:jc w:val="both"/>
        <w:rPr>
          <w:rFonts w:ascii="Lato;sans-serif" w:hAnsi="Lato;sans-serif"/>
          <w:b w:val="false"/>
          <w:color w:val="000000"/>
          <w:sz w:val="20"/>
        </w:rPr>
      </w:pPr>
      <w:r>
        <w:rPr>
          <w:rFonts w:ascii="Lato;sans-serif" w:hAnsi="Lato;sans-serif"/>
          <w:b w:val="false"/>
          <w:color w:val="000000"/>
          <w:sz w:val="20"/>
        </w:rPr>
        <w:t>As used herein, unless otherwise noted or the context requires otherwise:</w:t>
      </w:r>
    </w:p>
    <w:p>
      <w:pPr>
        <w:pStyle w:val="TextBody"/>
        <w:bidi w:val="0"/>
        <w:spacing w:lineRule="auto" w:line="288" w:before="0" w:after="100"/>
        <w:ind w:left="0" w:right="0" w:hanging="360"/>
        <w:jc w:val="left"/>
        <w:rPr/>
      </w:pPr>
      <w:r>
        <w:rPr>
          <w:color w:val="000000"/>
        </w:rPr>
        <w:t>•“</w:t>
      </w:r>
      <w:r>
        <w:rPr>
          <w:rFonts w:ascii="Lato;sans-serif" w:hAnsi="Lato;sans-serif"/>
          <w:b w:val="false"/>
          <w:color w:val="000000"/>
          <w:sz w:val="20"/>
        </w:rPr>
        <w:t>HoldCo Units” refers to the class of units of ZoomInfo HoldCo.</w:t>
      </w:r>
    </w:p>
    <w:p>
      <w:pPr>
        <w:pStyle w:val="TextBody"/>
        <w:bidi w:val="0"/>
        <w:spacing w:lineRule="auto" w:line="288" w:before="0" w:after="100"/>
        <w:ind w:left="0" w:right="0" w:hanging="360"/>
        <w:jc w:val="left"/>
        <w:rPr/>
      </w:pPr>
      <w:r>
        <w:rPr>
          <w:color w:val="000000"/>
        </w:rPr>
        <w:t>•“</w:t>
      </w:r>
      <w:r>
        <w:rPr>
          <w:rFonts w:ascii="Lato;sans-serif" w:hAnsi="Lato;sans-serif"/>
          <w:b w:val="false"/>
          <w:color w:val="000000"/>
          <w:sz w:val="20"/>
        </w:rPr>
        <w:t>Holdings LLC Units” refers to the class of units of ZoomInfo Holdings.</w:t>
      </w:r>
    </w:p>
    <w:p>
      <w:pPr>
        <w:pStyle w:val="TextBody"/>
        <w:bidi w:val="0"/>
        <w:spacing w:lineRule="auto" w:line="288" w:before="0" w:after="100"/>
        <w:ind w:left="0" w:right="0" w:hanging="360"/>
        <w:jc w:val="left"/>
        <w:rPr/>
      </w:pPr>
      <w:r>
        <w:rPr>
          <w:color w:val="000000"/>
        </w:rPr>
        <w:t>•“</w:t>
      </w:r>
      <w:r>
        <w:rPr>
          <w:rFonts w:ascii="Lato;sans-serif" w:hAnsi="Lato;sans-serif"/>
          <w:b w:val="false"/>
          <w:color w:val="000000"/>
          <w:sz w:val="20"/>
        </w:rPr>
        <w:t>Pre-IPO HoldCo Unitholders” refers to the Pre-IPO owners that held HoldCo Units immediately prior to the IPO.</w:t>
      </w:r>
    </w:p>
    <w:p>
      <w:pPr>
        <w:pStyle w:val="TextBody"/>
        <w:bidi w:val="0"/>
        <w:spacing w:lineRule="auto" w:line="288" w:before="0" w:after="100"/>
        <w:ind w:left="0" w:right="0" w:hanging="360"/>
        <w:jc w:val="left"/>
        <w:rPr/>
      </w:pPr>
      <w:r>
        <w:rPr>
          <w:color w:val="000000"/>
        </w:rPr>
        <w:t>•“</w:t>
      </w:r>
      <w:r>
        <w:rPr>
          <w:rFonts w:ascii="Lato;sans-serif" w:hAnsi="Lato;sans-serif"/>
          <w:b w:val="false"/>
          <w:color w:val="000000"/>
          <w:sz w:val="20"/>
        </w:rPr>
        <w:t>Pre-IPO owners” refers collectively to the Sponsors, the Founders, and the management and other equity holders who were the owners of ZoomInfo Holdings immediately prior to the Reorganization Transactions (as defined below).</w:t>
      </w:r>
    </w:p>
    <w:p>
      <w:pPr>
        <w:pStyle w:val="TextBody"/>
        <w:bidi w:val="0"/>
        <w:spacing w:lineRule="auto" w:line="288" w:before="0" w:after="100"/>
        <w:ind w:left="0" w:right="0" w:hanging="360"/>
        <w:jc w:val="left"/>
        <w:rPr/>
      </w:pPr>
      <w:r>
        <w:rPr>
          <w:color w:val="000000"/>
        </w:rPr>
        <w:t>•“</w:t>
      </w:r>
      <w:r>
        <w:rPr>
          <w:rFonts w:ascii="Lato;sans-serif" w:hAnsi="Lato;sans-serif"/>
          <w:b w:val="false"/>
          <w:color w:val="000000"/>
          <w:sz w:val="20"/>
        </w:rPr>
        <w:t>Pre-IPO OpCo Unitholders” refers to the Pre-IPO owners that held Holdings LLC Units immediately prior to the IPO.</w:t>
      </w:r>
    </w:p>
    <w:p>
      <w:pPr>
        <w:pStyle w:val="TextBody"/>
        <w:bidi w:val="0"/>
        <w:spacing w:lineRule="auto" w:line="288" w:before="180" w:after="100"/>
        <w:jc w:val="both"/>
        <w:rPr>
          <w:rFonts w:ascii="Lato;sans-serif" w:hAnsi="Lato;sans-serif"/>
          <w:b w:val="false"/>
          <w:color w:val="000000"/>
          <w:sz w:val="20"/>
        </w:rPr>
      </w:pPr>
      <w:r>
        <w:rPr>
          <w:rFonts w:ascii="Lato;sans-serif" w:hAnsi="Lato;sans-serif"/>
          <w:b w:val="false"/>
          <w:color w:val="000000"/>
          <w:sz w:val="20"/>
        </w:rPr>
        <w:t>The following is a summary of such related person transactions since January 1, 2025 in which the amount involved exceeded or will exceed $120,000.</w:t>
      </w:r>
    </w:p>
    <w:p>
      <w:pPr>
        <w:pStyle w:val="TextBody"/>
        <w:bidi w:val="0"/>
        <w:spacing w:lineRule="auto" w:line="288" w:before="300" w:after="180"/>
        <w:jc w:val="left"/>
        <w:rPr>
          <w:rFonts w:ascii="Lato;sans-serif" w:hAnsi="Lato;sans-serif"/>
          <w:b/>
          <w:color w:val="000000"/>
          <w:sz w:val="20"/>
        </w:rPr>
      </w:pPr>
      <w:r>
        <w:rPr>
          <w:rFonts w:ascii="Lato;sans-serif" w:hAnsi="Lato;sans-serif"/>
          <w:b/>
          <w:color w:val="000000"/>
          <w:sz w:val="20"/>
        </w:rPr>
        <w:t>Stockholders Agreement</w:t>
      </w:r>
    </w:p>
    <w:p>
      <w:pPr>
        <w:pStyle w:val="TextBody"/>
        <w:bidi w:val="0"/>
        <w:spacing w:lineRule="auto" w:line="288" w:before="180" w:after="180"/>
        <w:jc w:val="both"/>
        <w:rPr>
          <w:rFonts w:ascii="Lato;sans-serif" w:hAnsi="Lato;sans-serif"/>
          <w:b w:val="false"/>
          <w:color w:val="000000"/>
          <w:sz w:val="20"/>
        </w:rPr>
      </w:pPr>
      <w:r>
        <w:rPr>
          <w:rFonts w:ascii="Lato;sans-serif" w:hAnsi="Lato;sans-serif"/>
          <w:b w:val="false"/>
          <w:color w:val="000000"/>
          <w:sz w:val="20"/>
        </w:rPr>
        <w:t>In connection with the IPO, we entered into a stockholders agreement with certain affiliates of TA Associates, Carlyle, and our Founders granting them certain board designation rights so long as they maintain a certain percentage of ownership of our outstanding common stock.</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1">
                <wp:simplePos x="0" y="0"/>
                <wp:positionH relativeFrom="character">
                  <wp:align>left</wp:align>
                </wp:positionH>
                <wp:positionV relativeFrom="line">
                  <wp:posOffset>635</wp:posOffset>
                </wp:positionV>
                <wp:extent cx="6480175" cy="352425"/>
                <wp:effectExtent l="0" t="0" r="0" b="0"/>
                <wp:wrapNone/>
                <wp:docPr id="107" name="Frame91"/>
                <a:graphic xmlns:a="http://schemas.openxmlformats.org/drawingml/2006/main">
                  <a:graphicData uri="http://schemas.microsoft.com/office/word/2010/wordprocessingShape">
                    <wps:wsp>
                      <wps:cNvSpPr txBox="1"/>
                      <wps:spPr>
                        <a:xfrm>
                          <a:off x="0" y="0"/>
                          <a:ext cx="6480175" cy="352425"/>
                        </a:xfrm>
                        <a:prstGeom prst="rect"/>
                        <a:solidFill>
                          <a:srgbClr val="FFFFFF"/>
                        </a:solidFill>
                      </wps:spPr>
                      <wps:txbx>
                        <w:txbxContent>
                          <w:p>
                            <w:pPr>
                              <w:pStyle w:val="TextBody"/>
                              <w:bidi w:val="0"/>
                              <w:spacing w:lineRule="auto" w:line="288" w:before="0" w:after="0"/>
                              <w:jc w:val="center"/>
                              <w:rPr>
                                <w:rFonts w:ascii="Lato;sans-serif" w:hAnsi="Lato;sans-serif"/>
                                <w:b w:val="false"/>
                                <w:color w:val="000000"/>
                                <w:sz w:val="20"/>
                              </w:rPr>
                            </w:pPr>
                            <w:r>
                              <w:rPr>
                                <w:rFonts w:ascii="Lato;sans-serif" w:hAnsi="Lato;sans-serif"/>
                                <w:b w:val="false"/>
                                <w:color w:val="000000"/>
                                <w:sz w:val="20"/>
                              </w:rPr>
                              <w:t>85</w:t>
                            </w:r>
                          </w:p>
                          <w:p>
                            <w:pPr>
                              <w:pStyle w:val="TextBody"/>
                              <w:bidi w:val="0"/>
                              <w:spacing w:lineRule="auto" w:line="288" w:before="0" w:after="0"/>
                              <w:jc w:val="left"/>
                              <w:rPr>
                                <w:color w:val="000000"/>
                              </w:rPr>
                            </w:pPr>
                            <w:r>
                              <w:rPr>
                                <w:color w:val="000000"/>
                              </w:rPr>
                              <w:t>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Lato;sans-serif" w:hAnsi="Lato;sans-serif"/>
                          <w:b w:val="false"/>
                          <w:color w:val="000000"/>
                          <w:sz w:val="20"/>
                        </w:rPr>
                      </w:pPr>
                      <w:r>
                        <w:rPr>
                          <w:rFonts w:ascii="Lato;sans-serif" w:hAnsi="Lato;sans-serif"/>
                          <w:b w:val="false"/>
                          <w:color w:val="000000"/>
                          <w:sz w:val="20"/>
                        </w:rPr>
                        <w:t>85</w:t>
                      </w:r>
                    </w:p>
                    <w:p>
                      <w:pPr>
                        <w:pStyle w:val="TextBody"/>
                        <w:bidi w:val="0"/>
                        <w:spacing w:lineRule="auto" w:line="288" w:before="0" w:after="0"/>
                        <w:jc w:val="left"/>
                        <w:rPr>
                          <w:color w:val="000000"/>
                        </w:rPr>
                      </w:pPr>
                      <w:r>
                        <w:rPr>
                          <w:color w:val="000000"/>
                        </w:rPr>
                        <w:t>        </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80" w:after="120"/>
        <w:jc w:val="both"/>
        <w:rPr/>
      </w:pPr>
      <w:r>
        <w:rPr>
          <w:rFonts w:ascii="Lato;sans-serif" w:hAnsi="Lato;sans-serif"/>
          <w:b w:val="false"/>
          <w:color w:val="000000"/>
          <w:sz w:val="20"/>
        </w:rPr>
        <w:t>The stockholders agreement requires us to, among other things, nominate a number of individuals for election as our directors at any meeting of our stockholders, designated by TA Associates (each such individual a “</w:t>
      </w:r>
      <w:r>
        <w:rPr>
          <w:rFonts w:ascii="Lato;sans-serif" w:hAnsi="Lato;sans-serif"/>
          <w:b/>
          <w:i/>
          <w:color w:val="000000"/>
          <w:sz w:val="20"/>
        </w:rPr>
        <w:t>TA Designee</w:t>
      </w:r>
      <w:r>
        <w:rPr>
          <w:color w:val="000000"/>
        </w:rPr>
        <w:t>”</w:t>
      </w:r>
      <w:r>
        <w:rPr>
          <w:rFonts w:ascii="Lato;sans-serif" w:hAnsi="Lato;sans-serif"/>
          <w:b w:val="false"/>
          <w:color w:val="000000"/>
          <w:sz w:val="20"/>
        </w:rPr>
        <w:t>), Carlyle (each such individual a “</w:t>
      </w:r>
      <w:r>
        <w:rPr>
          <w:rFonts w:ascii="Lato;sans-serif" w:hAnsi="Lato;sans-serif"/>
          <w:b/>
          <w:i/>
          <w:color w:val="000000"/>
          <w:sz w:val="20"/>
        </w:rPr>
        <w:t>Carlyle Designee</w:t>
      </w:r>
      <w:r>
        <w:rPr>
          <w:color w:val="000000"/>
        </w:rPr>
        <w:t>”</w:t>
      </w:r>
      <w:r>
        <w:rPr>
          <w:rFonts w:ascii="Lato;sans-serif" w:hAnsi="Lato;sans-serif"/>
          <w:b w:val="false"/>
          <w:color w:val="000000"/>
          <w:sz w:val="20"/>
        </w:rPr>
        <w:t>), and the Founders (each such individual a “</w:t>
      </w:r>
      <w:r>
        <w:rPr>
          <w:rFonts w:ascii="Lato;sans-serif" w:hAnsi="Lato;sans-serif"/>
          <w:b/>
          <w:i/>
          <w:color w:val="000000"/>
          <w:sz w:val="20"/>
        </w:rPr>
        <w:t>Founder Designee</w:t>
      </w:r>
      <w:r>
        <w:rPr>
          <w:color w:val="000000"/>
        </w:rPr>
        <w:t>”</w:t>
      </w:r>
      <w:r>
        <w:rPr>
          <w:rFonts w:ascii="Lato;sans-serif" w:hAnsi="Lato;sans-serif"/>
          <w:b w:val="false"/>
          <w:color w:val="000000"/>
          <w:sz w:val="20"/>
        </w:rPr>
        <w:t>), provided the applicable stockholder beneficially owns at least 5% of the combined voting power of all classes of voting shares, voting together as a single class, as of the record date for the stockholders’ meeting. Since the record date of our prior 2025 annual meeting, neither TA Associates nor Carlyle met this beneficial ownership threshold, and there are no longer any TA Designees or Carlyle Designees serving on our Board of Directors. The Founder Designees serving as directors of our Company will be equal to one (1) director for so long as the Founders collectively beneficially own at least 5% of the combined voting power of all classes of voting shares, voting together as a single class, as of the record date for the stockholders’ meeting. For so long as the stockholders agreement remains in effect and subject to the amended and restated certificate of incorporation, the Founder Designee may be removed and vacancies filled (subject to the nominating and corporate governance committee determining such designated persons are qualified) only with the consent of the Founders.</w:t>
      </w:r>
    </w:p>
    <w:p>
      <w:pPr>
        <w:pStyle w:val="TextBody"/>
        <w:bidi w:val="0"/>
        <w:spacing w:lineRule="auto" w:line="288" w:before="300" w:after="120"/>
        <w:jc w:val="left"/>
        <w:rPr>
          <w:rFonts w:ascii="Lato;sans-serif" w:hAnsi="Lato;sans-serif"/>
          <w:b/>
          <w:color w:val="000000"/>
          <w:sz w:val="20"/>
        </w:rPr>
      </w:pPr>
      <w:r>
        <w:rPr>
          <w:rFonts w:ascii="Lato;sans-serif" w:hAnsi="Lato;sans-serif"/>
          <w:b/>
          <w:color w:val="000000"/>
          <w:sz w:val="20"/>
        </w:rPr>
        <w:t>Registration Rights Agreement</w:t>
      </w:r>
    </w:p>
    <w:p>
      <w:pPr>
        <w:pStyle w:val="TextBody"/>
        <w:bidi w:val="0"/>
        <w:spacing w:lineRule="auto" w:line="288" w:before="120" w:after="120"/>
        <w:jc w:val="both"/>
        <w:rPr/>
      </w:pPr>
      <w:r>
        <w:rPr>
          <w:rFonts w:ascii="Lato;sans-serif" w:hAnsi="Lato;sans-serif"/>
          <w:b w:val="false"/>
          <w:color w:val="000000"/>
          <w:sz w:val="20"/>
        </w:rPr>
        <w:t>In connection with the IPO, we entered into a registration rights agreement with certain affiliates of TA Associates, Carlyle, 22C Capital, and the Founders pursuant to which we granted them and their affiliates the right, under certain circumstances and subject to certain restrictions, to require us to register under the Securities Act of 1933, as amended (the “</w:t>
      </w:r>
      <w:r>
        <w:rPr>
          <w:rFonts w:ascii="Lato;sans-serif" w:hAnsi="Lato;sans-serif"/>
          <w:b/>
          <w:i/>
          <w:color w:val="000000"/>
          <w:sz w:val="20"/>
        </w:rPr>
        <w:t>Securities Act</w:t>
      </w:r>
      <w:r>
        <w:rPr>
          <w:color w:val="000000"/>
        </w:rPr>
        <w:t>”</w:t>
      </w:r>
      <w:r>
        <w:rPr>
          <w:rFonts w:ascii="Lato;sans-serif" w:hAnsi="Lato;sans-serif"/>
          <w:b w:val="false"/>
          <w:color w:val="000000"/>
          <w:sz w:val="20"/>
        </w:rPr>
        <w:t>) shares of common stock. Pursuant to the registration rights agreement, affiliates of TA Associates, Carlyle, and 22C Capital that are party to the registration rights agreement are entitled to certain demand registration rights, which require us to register shares of our common stock under the Securities Act held by participating holders and, if requested, to maintain a shelf registration statement effective with respect to such shares. In addition, if we propose to register the offer and sale of our common stock under the Securities Act following the consummation of the IPO, in connection with the public offering of such common stock, the parties to the registration rights agreement are entitled to certain “piggyback” registration rights allowing the holders to include their shares in such registration, subject to certain marketing and other limitations. At any time that a registration statement on Form S-3 is effective, subject to certain limitations, affiliates of TA Associates, Carlyle, and 22C Capital party to the registration rights agreement may make a written request that we register the offer and sale of their shares on such registration statement on Form S-3. Certain affiliates of 22C Capital also have participation rights to participate in any sale by affiliates of Carlyle under certain circumstances. The registration rights agreement also provides that we will pay certain expenses relating to such registrations and indemnify certain parties against certain liabilities which may arise under the Securities Act.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2">
                <wp:simplePos x="0" y="0"/>
                <wp:positionH relativeFrom="character">
                  <wp:align>left</wp:align>
                </wp:positionH>
                <wp:positionV relativeFrom="line">
                  <wp:posOffset>635</wp:posOffset>
                </wp:positionV>
                <wp:extent cx="6480175" cy="352425"/>
                <wp:effectExtent l="0" t="0" r="0" b="0"/>
                <wp:wrapNone/>
                <wp:docPr id="108" name="Frame92"/>
                <a:graphic xmlns:a="http://schemas.openxmlformats.org/drawingml/2006/main">
                  <a:graphicData uri="http://schemas.microsoft.com/office/word/2010/wordprocessingShape">
                    <wps:wsp>
                      <wps:cNvSpPr txBox="1"/>
                      <wps:spPr>
                        <a:xfrm>
                          <a:off x="0" y="0"/>
                          <a:ext cx="6480175" cy="352425"/>
                        </a:xfrm>
                        <a:prstGeom prst="rect"/>
                        <a:solidFill>
                          <a:srgbClr val="FFFFFF"/>
                        </a:solidFill>
                      </wps:spPr>
                      <wps:txbx>
                        <w:txbxContent>
                          <w:p>
                            <w:pPr>
                              <w:pStyle w:val="TextBody"/>
                              <w:bidi w:val="0"/>
                              <w:spacing w:lineRule="auto" w:line="288" w:before="0" w:after="0"/>
                              <w:jc w:val="center"/>
                              <w:rPr>
                                <w:rFonts w:ascii="Lato;sans-serif" w:hAnsi="Lato;sans-serif"/>
                                <w:b w:val="false"/>
                                <w:color w:val="000000"/>
                                <w:sz w:val="20"/>
                              </w:rPr>
                            </w:pPr>
                            <w:r>
                              <w:rPr>
                                <w:rFonts w:ascii="Lato;sans-serif" w:hAnsi="Lato;sans-serif"/>
                                <w:b w:val="false"/>
                                <w:color w:val="000000"/>
                                <w:sz w:val="20"/>
                              </w:rPr>
                              <w:t>86</w:t>
                            </w:r>
                          </w:p>
                          <w:p>
                            <w:pPr>
                              <w:pStyle w:val="TextBody"/>
                              <w:bidi w:val="0"/>
                              <w:spacing w:lineRule="auto" w:line="288" w:before="0" w:after="0"/>
                              <w:jc w:val="left"/>
                              <w:rPr>
                                <w:color w:val="000000"/>
                              </w:rPr>
                            </w:pPr>
                            <w:r>
                              <w:rPr>
                                <w:color w:val="000000"/>
                              </w:rPr>
                              <w:t>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Lato;sans-serif" w:hAnsi="Lato;sans-serif"/>
                          <w:b w:val="false"/>
                          <w:color w:val="000000"/>
                          <w:sz w:val="20"/>
                        </w:rPr>
                      </w:pPr>
                      <w:r>
                        <w:rPr>
                          <w:rFonts w:ascii="Lato;sans-serif" w:hAnsi="Lato;sans-serif"/>
                          <w:b w:val="false"/>
                          <w:color w:val="000000"/>
                          <w:sz w:val="20"/>
                        </w:rPr>
                        <w:t>86</w:t>
                      </w:r>
                    </w:p>
                    <w:p>
                      <w:pPr>
                        <w:pStyle w:val="TextBody"/>
                        <w:bidi w:val="0"/>
                        <w:spacing w:lineRule="auto" w:line="288" w:before="0" w:after="0"/>
                        <w:jc w:val="left"/>
                        <w:rPr>
                          <w:color w:val="000000"/>
                        </w:rPr>
                      </w:pPr>
                      <w:r>
                        <w:rPr>
                          <w:color w:val="000000"/>
                        </w:rPr>
                        <w:t>        </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300" w:after="120"/>
        <w:jc w:val="left"/>
        <w:rPr>
          <w:rFonts w:ascii="Lato;sans-serif" w:hAnsi="Lato;sans-serif"/>
          <w:b/>
          <w:color w:val="000000"/>
          <w:sz w:val="20"/>
        </w:rPr>
      </w:pPr>
      <w:r>
        <w:rPr>
          <w:rFonts w:ascii="Lato;sans-serif" w:hAnsi="Lato;sans-serif"/>
          <w:b/>
          <w:color w:val="000000"/>
          <w:sz w:val="20"/>
        </w:rPr>
        <w:t>Tax Receivable Agreements</w:t>
      </w:r>
    </w:p>
    <w:p>
      <w:pPr>
        <w:pStyle w:val="TextBody"/>
        <w:bidi w:val="0"/>
        <w:spacing w:lineRule="auto" w:line="268" w:before="0" w:after="0"/>
        <w:jc w:val="both"/>
        <w:rPr/>
      </w:pPr>
      <w:r>
        <w:rPr>
          <w:rFonts w:ascii="Lato;sans-serif" w:hAnsi="Lato;sans-serif"/>
          <w:b w:val="false"/>
          <w:color w:val="000000"/>
          <w:sz w:val="20"/>
        </w:rPr>
        <w:t>In connection with our IPO, we entered into two tax receivable agreements. We entered into (i) the Exchange Tax Receivable Agreement with certain of our Pre-IPO OpCo Unitholders (the “</w:t>
      </w:r>
      <w:r>
        <w:rPr>
          <w:rFonts w:ascii="Lato;sans-serif" w:hAnsi="Lato;sans-serif"/>
          <w:b/>
          <w:i/>
          <w:color w:val="000000"/>
          <w:sz w:val="20"/>
        </w:rPr>
        <w:t>Exchange Tax Receivable Agreement</w:t>
      </w:r>
      <w:r>
        <w:rPr>
          <w:color w:val="000000"/>
        </w:rPr>
        <w:t>”</w:t>
      </w:r>
      <w:r>
        <w:rPr>
          <w:rFonts w:ascii="Lato;sans-serif" w:hAnsi="Lato;sans-serif"/>
          <w:b w:val="false"/>
          <w:color w:val="000000"/>
          <w:sz w:val="20"/>
        </w:rPr>
        <w:t>) and (ii) the Reorganization Tax Receivable Agreement with our Pre-IPO owners that held their interests in us through certain “</w:t>
      </w:r>
      <w:r>
        <w:rPr>
          <w:rFonts w:ascii="Lato;sans-serif" w:hAnsi="Lato;sans-serif"/>
          <w:b/>
          <w:i/>
          <w:color w:val="000000"/>
          <w:sz w:val="20"/>
        </w:rPr>
        <w:t>blocker companies</w:t>
      </w:r>
      <w:r>
        <w:rPr>
          <w:color w:val="000000"/>
        </w:rPr>
        <w:t xml:space="preserve">” </w:t>
      </w:r>
      <w:r>
        <w:rPr>
          <w:rFonts w:ascii="Lato;sans-serif" w:hAnsi="Lato;sans-serif"/>
          <w:b w:val="false"/>
          <w:color w:val="000000"/>
          <w:sz w:val="20"/>
        </w:rPr>
        <w:t>immediately prior to our IPO, that are taxable as corporations for U.S. federal income tax purposes (the “</w:t>
      </w:r>
      <w:r>
        <w:rPr>
          <w:rFonts w:ascii="Lato;sans-serif" w:hAnsi="Lato;sans-serif"/>
          <w:b/>
          <w:i/>
          <w:color w:val="000000"/>
          <w:sz w:val="20"/>
        </w:rPr>
        <w:t>Blocker Companies</w:t>
      </w:r>
      <w:r>
        <w:rPr>
          <w:color w:val="000000"/>
        </w:rPr>
        <w:t>”</w:t>
      </w:r>
      <w:r>
        <w:rPr>
          <w:rFonts w:ascii="Lato;sans-serif" w:hAnsi="Lato;sans-serif"/>
          <w:b w:val="false"/>
          <w:color w:val="000000"/>
          <w:sz w:val="20"/>
        </w:rPr>
        <w:t>) immediately prior to the consummation of the IPO (such Pre-IPO owners, the “</w:t>
      </w:r>
      <w:r>
        <w:rPr>
          <w:rFonts w:ascii="Lato;sans-serif" w:hAnsi="Lato;sans-serif"/>
          <w:b/>
          <w:i/>
          <w:color w:val="000000"/>
          <w:sz w:val="20"/>
        </w:rPr>
        <w:t>Pre-IPO Blocker Holders</w:t>
      </w:r>
      <w:r>
        <w:rPr>
          <w:color w:val="000000"/>
        </w:rPr>
        <w:t>”</w:t>
      </w:r>
      <w:r>
        <w:rPr>
          <w:rFonts w:ascii="Lato;sans-serif" w:hAnsi="Lato;sans-serif"/>
          <w:b w:val="false"/>
          <w:color w:val="000000"/>
          <w:sz w:val="20"/>
        </w:rPr>
        <w:t>) (“</w:t>
      </w:r>
      <w:r>
        <w:rPr>
          <w:rFonts w:ascii="Lato;sans-serif" w:hAnsi="Lato;sans-serif"/>
          <w:b/>
          <w:i/>
          <w:color w:val="000000"/>
          <w:sz w:val="20"/>
        </w:rPr>
        <w:t>Reorganization Tax Receivable Agreement</w:t>
      </w:r>
      <w:r>
        <w:rPr>
          <w:color w:val="000000"/>
        </w:rPr>
        <w:t>”</w:t>
      </w:r>
      <w:r>
        <w:rPr>
          <w:rFonts w:ascii="Lato;sans-serif" w:hAnsi="Lato;sans-serif"/>
          <w:b w:val="false"/>
          <w:color w:val="000000"/>
          <w:sz w:val="20"/>
        </w:rPr>
        <w:t>). These tax receivable agreements provide for the payment by ZoomInfo Technologies Inc. or any member of its affiliated, consolidated, combined, or unitary tax group (collectively, the “</w:t>
      </w:r>
      <w:r>
        <w:rPr>
          <w:rFonts w:ascii="Lato;sans-serif" w:hAnsi="Lato;sans-serif"/>
          <w:b/>
          <w:i/>
          <w:color w:val="000000"/>
          <w:sz w:val="20"/>
        </w:rPr>
        <w:t>ZoomInfo Tax Group</w:t>
      </w:r>
      <w:r>
        <w:rPr>
          <w:color w:val="000000"/>
        </w:rPr>
        <w:t>”</w:t>
      </w:r>
      <w:r>
        <w:rPr>
          <w:rFonts w:ascii="Lato;sans-serif" w:hAnsi="Lato;sans-serif"/>
          <w:b w:val="false"/>
          <w:color w:val="000000"/>
          <w:sz w:val="20"/>
        </w:rPr>
        <w:t>) to certain Pre-IPO owners and certain Pre-IPO HoldCo Unitholders of 85% of the benefits, if any, that the ZoomInfo Tax Group is deemed to realize (calculated using certain assumptions) as a result of certain tax attributes and benefits covered by the tax receivable agreements. The Exchange Tax Receivable Agreement provides for the payment by members of the ZoomInfo Tax Group to certain Pre-IPO OpCo Unitholders and certain Pre-IPO HoldCo Unitholders of 85% of the benefits, if any, that the ZoomInfo Tax Group is deemed to realize (calculated using certain assumptions) as a result of (i) the ZoomInfo Tax Group’s allocable share of existing tax basis acquired in the IPO and (ii) increases in the ZoomInfo Tax Group’s allocable share of existing tax basis and tax basis adjustments that increased the tax basis of the tangible and intangible assets of the ZoomInfo Tax Group as a result of sales or exchanges of Holdings LLC Units for shares of common stock after the IPO, and certain other tax benefits, including tax benefits attributable to payments under the Exchange Tax Receivable Agreement. Note that all exchanges of Holdings LLC Units for shares of common stock have been completed to date and no future exchanges will occur. The Reorganization Tax Receivable Agreement provides for the payment by the ZoomInfo Tax Group to Pre-IPO Blocker Holders and certain Pre-IPO HoldCo Unitholders of 85% of the benefits, if any, that the ZoomInfo Tax Group is deemed to realize (calculated using certain assumptions) as a result of the ZoomInfo Tax Group’s utilization of certain tax attributes of the Blocker Companies (including the ZoomInfo Tax Group’s allocable share of existing tax basis acquired in certain reorganization transactions effected in connection with the IPO (the “</w:t>
      </w:r>
      <w:r>
        <w:rPr>
          <w:rFonts w:ascii="Lato;sans-serif" w:hAnsi="Lato;sans-serif"/>
          <w:b/>
          <w:i/>
          <w:color w:val="000000"/>
          <w:sz w:val="20"/>
        </w:rPr>
        <w:t>Reorganization Transactions</w:t>
      </w:r>
      <w:r>
        <w:rPr>
          <w:color w:val="000000"/>
        </w:rPr>
        <w:t>”</w:t>
      </w:r>
      <w:r>
        <w:rPr>
          <w:rFonts w:ascii="Lato;sans-serif" w:hAnsi="Lato;sans-serif"/>
          <w:b w:val="false"/>
          <w:color w:val="000000"/>
          <w:sz w:val="20"/>
        </w:rPr>
        <w:t>), and certain other tax benefits. The ZoomInfo Tax Group expects to benefit from the remaining 15% of realized cash tax benefits. Estimating the amount of payments made under the tax receivable agreements is by its nature imprecise, insofar as the calculation of amounts payable depends on a variety of factors. The increase in the ZoomInfo Tax Group’s allocable share of existing tax basis and the tax basis adjustments from the exchanges of Holdings LLC Units for shares of common stock, as well as the amount and timing of any payments under the tax receivable agreements, vary depending upon a number of factors, including our blended federal and state tax rate, the amount and timing of our income and deductions, and situations where no net benefit is received from the tax attributes.</w:t>
      </w:r>
    </w:p>
    <w:p>
      <w:pPr>
        <w:pStyle w:val="TextBody"/>
        <w:bidi w:val="0"/>
        <w:spacing w:before="0" w:after="0"/>
        <w:jc w:val="both"/>
        <w:rPr/>
      </w:pPr>
      <w:r>
        <w:rPr/>
      </w:r>
    </w:p>
    <w:p>
      <w:pPr>
        <w:pStyle w:val="TextBody"/>
        <w:bidi w:val="0"/>
        <w:spacing w:lineRule="auto" w:line="288" w:before="0" w:after="0"/>
        <w:jc w:val="both"/>
        <w:rPr/>
      </w:pPr>
      <w:r>
        <w:rPr>
          <w:rFonts w:ascii="Lato;sans-serif" w:hAnsi="Lato;sans-serif"/>
          <w:b w:val="false"/>
          <w:color w:val="000000"/>
          <w:sz w:val="20"/>
        </w:rPr>
        <w:t xml:space="preserve">As of December 31, 2025, the ZoomInfo Tax Group had a liability of $2,731.9 million related to its projected obligations under the Tax Receivable Agreements. This liability, or portion thereof, becomes payable once the tax attributes under the Tax Receivable Agreements reduces the ZoomInfo Tax Group’s current income tax liability which would have been otherwise due absent such tax attributes. The liability will be reduced to the extent the tax attributes are expected to expire or otherwise cannot be applied to reduce the ZoomInfo Tax Group’s tax liabilities. During the year ended December 31, 2025, $23.6 million was paid to TRA holders pursuant to the Tax Receivable Agreements. For additional information about the Tax Receivable Agreements, see </w:t>
      </w:r>
      <w:r>
        <w:rPr>
          <w:rFonts w:ascii="Lato;sans-serif" w:hAnsi="Lato;sans-serif"/>
          <w:b w:val="false"/>
          <w:i/>
          <w:color w:val="000000"/>
          <w:sz w:val="20"/>
        </w:rPr>
        <w:t>Note 15 - Tax Receivable Agreements</w:t>
      </w:r>
      <w:r>
        <w:rPr>
          <w:color w:val="000000"/>
        </w:rPr>
        <w:t xml:space="preserve"> </w:t>
      </w:r>
      <w:r>
        <w:rPr>
          <w:rFonts w:ascii="Lato;sans-serif" w:hAnsi="Lato;sans-serif"/>
          <w:b w:val="false"/>
          <w:color w:val="000000"/>
          <w:sz w:val="20"/>
        </w:rPr>
        <w:t>to our audited consolidated financial statements included in the 2025 10-K.</w:t>
      </w:r>
    </w:p>
    <w:p>
      <w:pPr>
        <w:pStyle w:val="TextBody"/>
        <w:bidi w:val="0"/>
        <w:spacing w:lineRule="auto" w:line="288" w:before="300" w:after="180"/>
        <w:jc w:val="left"/>
        <w:rPr>
          <w:rFonts w:ascii="Lato;sans-serif" w:hAnsi="Lato;sans-serif"/>
          <w:b/>
          <w:color w:val="000000"/>
          <w:sz w:val="20"/>
        </w:rPr>
      </w:pPr>
      <w:r>
        <w:rPr>
          <w:rFonts w:ascii="Lato;sans-serif" w:hAnsi="Lato;sans-serif"/>
          <w:b/>
          <w:color w:val="000000"/>
          <w:sz w:val="20"/>
        </w:rPr>
        <w:t>Other Related Person Transactions</w:t>
      </w:r>
    </w:p>
    <w:p>
      <w:pPr>
        <w:pStyle w:val="TextBody"/>
        <w:bidi w:val="0"/>
        <w:spacing w:lineRule="auto" w:line="288" w:before="180" w:after="180"/>
        <w:jc w:val="both"/>
        <w:rPr>
          <w:rFonts w:ascii="Lato;sans-serif" w:hAnsi="Lato;sans-serif"/>
          <w:b w:val="false"/>
          <w:color w:val="000000"/>
          <w:sz w:val="20"/>
        </w:rPr>
      </w:pPr>
      <w:r>
        <w:rPr>
          <w:rFonts w:ascii="Lato;sans-serif" w:hAnsi="Lato;sans-serif"/>
          <w:b w:val="false"/>
          <w:color w:val="000000"/>
          <w:sz w:val="20"/>
        </w:rPr>
        <w:t>Michelle Milner, our Senior Vice President, Human Resources, is the sister-in-law of Henry L. Schuck, our Chief Executive Officer. Total compensation paid by the Company to Ms. Milner, including salary, bonus, and equity compensation, for the year ended December 31, 2025 was approximately $0.4 million.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3">
                <wp:simplePos x="0" y="0"/>
                <wp:positionH relativeFrom="character">
                  <wp:align>left</wp:align>
                </wp:positionH>
                <wp:positionV relativeFrom="line">
                  <wp:posOffset>635</wp:posOffset>
                </wp:positionV>
                <wp:extent cx="6480175" cy="352425"/>
                <wp:effectExtent l="0" t="0" r="0" b="0"/>
                <wp:wrapNone/>
                <wp:docPr id="109" name="Frame93"/>
                <a:graphic xmlns:a="http://schemas.openxmlformats.org/drawingml/2006/main">
                  <a:graphicData uri="http://schemas.microsoft.com/office/word/2010/wordprocessingShape">
                    <wps:wsp>
                      <wps:cNvSpPr txBox="1"/>
                      <wps:spPr>
                        <a:xfrm>
                          <a:off x="0" y="0"/>
                          <a:ext cx="6480175" cy="352425"/>
                        </a:xfrm>
                        <a:prstGeom prst="rect"/>
                        <a:solidFill>
                          <a:srgbClr val="FFFFFF"/>
                        </a:solidFill>
                      </wps:spPr>
                      <wps:txbx>
                        <w:txbxContent>
                          <w:p>
                            <w:pPr>
                              <w:pStyle w:val="TextBody"/>
                              <w:bidi w:val="0"/>
                              <w:spacing w:lineRule="auto" w:line="288" w:before="0" w:after="0"/>
                              <w:jc w:val="center"/>
                              <w:rPr>
                                <w:rFonts w:ascii="Lato;sans-serif" w:hAnsi="Lato;sans-serif"/>
                                <w:b w:val="false"/>
                                <w:color w:val="000000"/>
                                <w:sz w:val="20"/>
                              </w:rPr>
                            </w:pPr>
                            <w:r>
                              <w:rPr>
                                <w:rFonts w:ascii="Lato;sans-serif" w:hAnsi="Lato;sans-serif"/>
                                <w:b w:val="false"/>
                                <w:color w:val="000000"/>
                                <w:sz w:val="20"/>
                              </w:rPr>
                              <w:t>87</w:t>
                            </w:r>
                          </w:p>
                          <w:p>
                            <w:pPr>
                              <w:pStyle w:val="TextBody"/>
                              <w:bidi w:val="0"/>
                              <w:spacing w:lineRule="auto" w:line="288" w:before="0" w:after="0"/>
                              <w:jc w:val="left"/>
                              <w:rPr>
                                <w:color w:val="000000"/>
                              </w:rPr>
                            </w:pPr>
                            <w:r>
                              <w:rPr>
                                <w:color w:val="000000"/>
                              </w:rPr>
                              <w:t>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Lato;sans-serif" w:hAnsi="Lato;sans-serif"/>
                          <w:b w:val="false"/>
                          <w:color w:val="000000"/>
                          <w:sz w:val="20"/>
                        </w:rPr>
                      </w:pPr>
                      <w:r>
                        <w:rPr>
                          <w:rFonts w:ascii="Lato;sans-serif" w:hAnsi="Lato;sans-serif"/>
                          <w:b w:val="false"/>
                          <w:color w:val="000000"/>
                          <w:sz w:val="20"/>
                        </w:rPr>
                        <w:t>87</w:t>
                      </w:r>
                    </w:p>
                    <w:p>
                      <w:pPr>
                        <w:pStyle w:val="TextBody"/>
                        <w:bidi w:val="0"/>
                        <w:spacing w:lineRule="auto" w:line="288" w:before="0" w:after="0"/>
                        <w:jc w:val="left"/>
                        <w:rPr>
                          <w:color w:val="000000"/>
                        </w:rPr>
                      </w:pPr>
                      <w:r>
                        <w:rPr>
                          <w:color w:val="000000"/>
                        </w:rPr>
                        <w:t>        </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300" w:after="180"/>
        <w:jc w:val="left"/>
        <w:rPr>
          <w:rFonts w:ascii="Lato;sans-serif" w:hAnsi="Lato;sans-serif"/>
          <w:b/>
          <w:color w:val="000000"/>
          <w:sz w:val="20"/>
        </w:rPr>
      </w:pPr>
      <w:r>
        <w:rPr>
          <w:rFonts w:ascii="Lato;sans-serif" w:hAnsi="Lato;sans-serif"/>
          <w:b/>
          <w:color w:val="000000"/>
          <w:sz w:val="20"/>
        </w:rPr>
        <w:t>Tax-Related Fees</w:t>
      </w:r>
    </w:p>
    <w:p>
      <w:pPr>
        <w:pStyle w:val="TextBody"/>
        <w:bidi w:val="0"/>
        <w:spacing w:lineRule="auto" w:line="288" w:before="120" w:after="120"/>
        <w:jc w:val="both"/>
        <w:rPr>
          <w:rFonts w:ascii="Lato;sans-serif" w:hAnsi="Lato;sans-serif"/>
          <w:b w:val="false"/>
          <w:color w:val="000000"/>
          <w:sz w:val="20"/>
        </w:rPr>
      </w:pPr>
      <w:r>
        <w:rPr>
          <w:rFonts w:ascii="Lato;sans-serif" w:hAnsi="Lato;sans-serif"/>
          <w:b w:val="false"/>
          <w:color w:val="000000"/>
          <w:sz w:val="20"/>
        </w:rPr>
        <w:t>We paid ongoing tax, accounting, and other administrative expenses on behalf of HSKB Funds, LLC, HSKB Funds II, LLC and DiscoverOrg Management Holdings, LLC, each of which was formed prior to our IPO to hold employee retention equity and is controlled by Mr. Schuck, in the amount of approximately $20,000 for the year ended December 31, 2025. The Company has not received any estimates of similar fees to be paid in the year ending December 31, 2026, although it anticipates that if any fees would be incurred, such fees would be less than $120,000.</w:t>
      </w:r>
    </w:p>
    <w:p>
      <w:pPr>
        <w:pStyle w:val="TextBody"/>
        <w:bidi w:val="0"/>
        <w:spacing w:lineRule="auto" w:line="288" w:before="300" w:after="180"/>
        <w:jc w:val="both"/>
        <w:rPr>
          <w:rFonts w:ascii="Lato;sans-serif" w:hAnsi="Lato;sans-serif"/>
          <w:b/>
          <w:color w:val="000000"/>
          <w:sz w:val="20"/>
        </w:rPr>
      </w:pPr>
      <w:r>
        <w:rPr>
          <w:rFonts w:ascii="Lato;sans-serif" w:hAnsi="Lato;sans-serif"/>
          <w:b/>
          <w:color w:val="000000"/>
          <w:sz w:val="20"/>
        </w:rPr>
        <w:t>Commercial Transactions with Our Sponsors and Sponsor Portfolio Companies</w:t>
      </w:r>
    </w:p>
    <w:p>
      <w:pPr>
        <w:pStyle w:val="TextBody"/>
        <w:bidi w:val="0"/>
        <w:spacing w:lineRule="auto" w:line="288" w:before="120" w:after="283"/>
        <w:jc w:val="both"/>
        <w:rPr>
          <w:rFonts w:ascii="Lato;sans-serif" w:hAnsi="Lato;sans-serif"/>
          <w:b w:val="false"/>
          <w:color w:val="000000"/>
          <w:sz w:val="20"/>
        </w:rPr>
      </w:pPr>
      <w:r>
        <w:rPr>
          <w:rFonts w:ascii="Lato;sans-serif" w:hAnsi="Lato;sans-serif"/>
          <w:b w:val="false"/>
          <w:color w:val="000000"/>
          <w:sz w:val="20"/>
        </w:rPr>
        <w:t>We provide limited complimentary access to our platform to 22C Capital, Carlyle and TA Associates. We estimate the value of such access provided to each of 22C Capital, Carlyle and TA Associates in 2025 to be zero. In addition, we provide our services to The Carlyle Group and 22C Capital in the ordinary course of our business. We recorded revenues from The Carlyle Group and 22C Capital in 2025 of approximately $0.1 million and less than $0.1 million, respectively.</w:t>
      </w:r>
    </w:p>
    <w:p>
      <w:pPr>
        <w:pStyle w:val="TextBody"/>
        <w:bidi w:val="0"/>
        <w:spacing w:lineRule="auto" w:line="288" w:before="120" w:after="120"/>
        <w:jc w:val="both"/>
        <w:rPr>
          <w:rFonts w:ascii="Lato;sans-serif" w:hAnsi="Lato;sans-serif"/>
          <w:b w:val="false"/>
          <w:color w:val="000000"/>
          <w:sz w:val="20"/>
        </w:rPr>
      </w:pPr>
      <w:r>
        <w:rPr>
          <w:rFonts w:ascii="Lato;sans-serif" w:hAnsi="Lato;sans-serif"/>
          <w:b w:val="false"/>
          <w:color w:val="000000"/>
          <w:sz w:val="20"/>
        </w:rPr>
        <w:t>Our Sponsors and their affiliates have ownership interests in a broad range of companies. We have entered and may in the future enter into commercial transactions in the ordinary course of our business with some of these companies, including the sale of goods and services and the purchase of goods and services. None of these transactions or arrangements has been or is expected to be material to us.</w:t>
      </w:r>
    </w:p>
    <w:p>
      <w:pPr>
        <w:pStyle w:val="TextBody"/>
        <w:bidi w:val="0"/>
        <w:spacing w:lineRule="auto" w:line="288" w:before="300" w:after="180"/>
        <w:jc w:val="both"/>
        <w:rPr>
          <w:rFonts w:ascii="Lato;sans-serif" w:hAnsi="Lato;sans-serif"/>
          <w:b/>
          <w:color w:val="000000"/>
          <w:sz w:val="20"/>
        </w:rPr>
      </w:pPr>
      <w:r>
        <w:rPr>
          <w:rFonts w:ascii="Lato;sans-serif" w:hAnsi="Lato;sans-serif"/>
          <w:b/>
          <w:color w:val="000000"/>
          <w:sz w:val="20"/>
        </w:rPr>
        <w:t>Indemnification of Directors and Officers</w:t>
      </w:r>
    </w:p>
    <w:p>
      <w:pPr>
        <w:pStyle w:val="TextBody"/>
        <w:bidi w:val="0"/>
        <w:spacing w:lineRule="auto" w:line="288" w:before="180" w:after="180"/>
        <w:jc w:val="both"/>
        <w:rPr>
          <w:rFonts w:ascii="Lato;sans-serif" w:hAnsi="Lato;sans-serif"/>
          <w:b w:val="false"/>
          <w:color w:val="000000"/>
          <w:sz w:val="20"/>
        </w:rPr>
      </w:pPr>
      <w:r>
        <w:rPr>
          <w:rFonts w:ascii="Lato;sans-serif" w:hAnsi="Lato;sans-serif"/>
          <w:b w:val="false"/>
          <w:color w:val="000000"/>
          <w:sz w:val="20"/>
        </w:rPr>
        <w:t>Our amended and restated bylaws provide that we will indemnify our directors and officers to the fullest extent permitted by the DGCL. In addition, our amended and restated certificate of incorporation provides that our directors will not be liable for monetary damages for breach of fiduciary duty to the fullest extent permitted by the DGCL.</w:t>
      </w:r>
    </w:p>
    <w:p>
      <w:pPr>
        <w:pStyle w:val="TextBody"/>
        <w:bidi w:val="0"/>
        <w:spacing w:lineRule="auto" w:line="288" w:before="180" w:after="180"/>
        <w:jc w:val="both"/>
        <w:rPr>
          <w:rFonts w:ascii="Lato;sans-serif" w:hAnsi="Lato;sans-serif"/>
          <w:b w:val="false"/>
          <w:color w:val="000000"/>
          <w:sz w:val="20"/>
        </w:rPr>
      </w:pPr>
      <w:r>
        <w:rPr>
          <w:rFonts w:ascii="Lato;sans-serif" w:hAnsi="Lato;sans-serif"/>
          <w:b w:val="false"/>
          <w:color w:val="000000"/>
          <w:sz w:val="20"/>
        </w:rPr>
        <w:t>There is no pending litigation or proceeding naming any of our directors or officers to which indemnification is being sought, and we are not aware of any pending or threatened litigation that may result in claims for indemnification by any director or officer.</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4">
                <wp:simplePos x="0" y="0"/>
                <wp:positionH relativeFrom="character">
                  <wp:align>left</wp:align>
                </wp:positionH>
                <wp:positionV relativeFrom="line">
                  <wp:posOffset>635</wp:posOffset>
                </wp:positionV>
                <wp:extent cx="6480175" cy="352425"/>
                <wp:effectExtent l="0" t="0" r="0" b="0"/>
                <wp:wrapNone/>
                <wp:docPr id="110" name="Frame94"/>
                <a:graphic xmlns:a="http://schemas.openxmlformats.org/drawingml/2006/main">
                  <a:graphicData uri="http://schemas.microsoft.com/office/word/2010/wordprocessingShape">
                    <wps:wsp>
                      <wps:cNvSpPr txBox="1"/>
                      <wps:spPr>
                        <a:xfrm>
                          <a:off x="0" y="0"/>
                          <a:ext cx="6480175" cy="352425"/>
                        </a:xfrm>
                        <a:prstGeom prst="rect"/>
                        <a:solidFill>
                          <a:srgbClr val="FFFFFF"/>
                        </a:solidFill>
                      </wps:spPr>
                      <wps:txbx>
                        <w:txbxContent>
                          <w:p>
                            <w:pPr>
                              <w:pStyle w:val="TextBody"/>
                              <w:bidi w:val="0"/>
                              <w:spacing w:lineRule="auto" w:line="288" w:before="0" w:after="0"/>
                              <w:jc w:val="center"/>
                              <w:rPr>
                                <w:rFonts w:ascii="Lato;sans-serif" w:hAnsi="Lato;sans-serif"/>
                                <w:b w:val="false"/>
                                <w:color w:val="000000"/>
                                <w:sz w:val="20"/>
                              </w:rPr>
                            </w:pPr>
                            <w:r>
                              <w:rPr>
                                <w:rFonts w:ascii="Lato;sans-serif" w:hAnsi="Lato;sans-serif"/>
                                <w:b w:val="false"/>
                                <w:color w:val="000000"/>
                                <w:sz w:val="20"/>
                              </w:rPr>
                              <w:t>88</w:t>
                            </w:r>
                          </w:p>
                          <w:p>
                            <w:pPr>
                              <w:pStyle w:val="TextBody"/>
                              <w:bidi w:val="0"/>
                              <w:spacing w:lineRule="auto" w:line="288" w:before="0" w:after="0"/>
                              <w:jc w:val="left"/>
                              <w:rPr>
                                <w:color w:val="000000"/>
                              </w:rPr>
                            </w:pPr>
                            <w:r>
                              <w:rPr>
                                <w:color w:val="000000"/>
                              </w:rPr>
                              <w:t>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Lato;sans-serif" w:hAnsi="Lato;sans-serif"/>
                          <w:b w:val="false"/>
                          <w:color w:val="000000"/>
                          <w:sz w:val="20"/>
                        </w:rPr>
                      </w:pPr>
                      <w:r>
                        <w:rPr>
                          <w:rFonts w:ascii="Lato;sans-serif" w:hAnsi="Lato;sans-serif"/>
                          <w:b w:val="false"/>
                          <w:color w:val="000000"/>
                          <w:sz w:val="20"/>
                        </w:rPr>
                        <w:t>88</w:t>
                      </w:r>
                    </w:p>
                    <w:p>
                      <w:pPr>
                        <w:pStyle w:val="TextBody"/>
                        <w:bidi w:val="0"/>
                        <w:spacing w:lineRule="auto" w:line="288" w:before="0" w:after="0"/>
                        <w:jc w:val="left"/>
                        <w:rPr>
                          <w:color w:val="000000"/>
                        </w:rPr>
                      </w:pPr>
                      <w:r>
                        <w:rPr>
                          <w:color w:val="000000"/>
                        </w:rPr>
                        <w:t>        </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300" w:after="120"/>
        <w:jc w:val="center"/>
        <w:rPr>
          <w:rFonts w:ascii="Lato;sans-serif" w:hAnsi="Lato;sans-serif"/>
          <w:b/>
          <w:color w:val="000000"/>
          <w:sz w:val="20"/>
        </w:rPr>
      </w:pPr>
      <w:r>
        <w:rPr>
          <w:rFonts w:ascii="Lato;sans-serif" w:hAnsi="Lato;sans-serif"/>
          <w:b/>
          <w:color w:val="000000"/>
          <w:sz w:val="20"/>
        </w:rPr>
        <w:t>STOCKHOLDER PROPOSALS FOR THE 2027 ANNUAL MEETING</w:t>
      </w:r>
    </w:p>
    <w:p>
      <w:pPr>
        <w:pStyle w:val="TextBody"/>
        <w:bidi w:val="0"/>
        <w:spacing w:lineRule="auto" w:line="288" w:before="180" w:after="180"/>
        <w:jc w:val="both"/>
        <w:rPr/>
      </w:pPr>
      <w:r>
        <w:rPr>
          <w:rFonts w:ascii="Lato;sans-serif" w:hAnsi="Lato;sans-serif"/>
          <w:b w:val="false"/>
          <w:color w:val="000000"/>
          <w:sz w:val="20"/>
        </w:rPr>
        <w:t>If any stockholder wishes to propose a matter for consideration at our 2027 Annual Meeting of Stockholders (the “</w:t>
      </w:r>
      <w:r>
        <w:rPr>
          <w:rFonts w:ascii="Lato;sans-serif" w:hAnsi="Lato;sans-serif"/>
          <w:b/>
          <w:i/>
          <w:color w:val="000000"/>
          <w:sz w:val="20"/>
        </w:rPr>
        <w:t>2027 Annual Meeting</w:t>
      </w:r>
      <w:r>
        <w:rPr>
          <w:color w:val="000000"/>
        </w:rPr>
        <w:t>”</w:t>
      </w:r>
      <w:r>
        <w:rPr>
          <w:rFonts w:ascii="Lato;sans-serif" w:hAnsi="Lato;sans-serif"/>
          <w:b w:val="false"/>
          <w:color w:val="000000"/>
          <w:sz w:val="20"/>
        </w:rPr>
        <w:t>), the proposal should be mailed by certified mail return receipt requested, to our Secretary, ZoomInfo Technologies Inc., 330 W Columbia Way, Floor 8, Vancouver, Washington 98660. To be eligible under the SEC’s stockholder proposal rule (Rule 14a-8(e) of the Exchange Act) for inclusion in our proxy statement for the 2027 Annual Meeting, a proposal must be received by our Secretary no later than November 26, 2026. Failure to deliver a proposal in accordance with this procedure may result in it not being deemed timely received.</w:t>
      </w:r>
    </w:p>
    <w:p>
      <w:pPr>
        <w:pStyle w:val="TextBody"/>
        <w:bidi w:val="0"/>
        <w:spacing w:lineRule="auto" w:line="288" w:before="180" w:after="180"/>
        <w:jc w:val="both"/>
        <w:rPr>
          <w:rFonts w:ascii="Lato;sans-serif" w:hAnsi="Lato;sans-serif"/>
          <w:b w:val="false"/>
          <w:color w:val="000000"/>
          <w:sz w:val="20"/>
        </w:rPr>
      </w:pPr>
      <w:r>
        <w:rPr>
          <w:rFonts w:ascii="Lato;sans-serif" w:hAnsi="Lato;sans-serif"/>
          <w:b w:val="false"/>
          <w:color w:val="000000"/>
          <w:sz w:val="20"/>
        </w:rPr>
        <w:t>In addition, our Bylaws permit stockholders to nominate candidates for director and present other business for consideration at our annual meeting of stockholders. To make a director nomination or present other business for consideration at the 2027 Annual Meeting, you must submit a timely notice in accordance with the procedures described in our Bylaws. To be timely, a stockholder’s notice must be delivered to the Secretary at the principal executive offices of our Company not less than 90 days nor more than 120 days prior to the date of the first anniversary of the preceding year’s annual meeting. Therefore, to be presented at our 2027 Annual Meeting, such a proposal must be received on or after January 14, 2027, but not later than February 13, 2027. In the event that the date of the 2027 Annual Meeting is advanced by more than 30 days, or delayed by more than 70 days, from the anniversary date of this year’s Annual Meeting of Stockholders, notice by the stockholder to be timely must be so delivered not earlier than the 120th day prior to the 2027 Annual Meeting and not later than the close of business on the later of the 90th day prior to the 2027 Annual Meeting or the tenth day following the day on which public announcement of the date of the 2027 Annual Meeting is first made. If the number of directors to be elected to the Board of Directors at an annual meeting is increased and there is no public announcement by the Company naming all of the nominees for director or specifying the size of the increased Board of Directors at least 100 calendar days prior to the first anniversary of this year’s Annual Meeting, notice by a stockholder will be considered timely, but only with respect to nominees for any new positions created by such increase, if it is delivered not later than the close of business on the tenth calendar day following the day on which such public announcement is first made. Any such proposal will be considered timely only if it is otherwise in compliance with the requirements set forth in our Bylaws.</w:t>
      </w:r>
    </w:p>
    <w:p>
      <w:pPr>
        <w:pStyle w:val="TextBody"/>
        <w:bidi w:val="0"/>
        <w:spacing w:lineRule="auto" w:line="288" w:before="180" w:after="180"/>
        <w:jc w:val="both"/>
        <w:rPr>
          <w:rFonts w:ascii="Lato;sans-serif" w:hAnsi="Lato;sans-serif"/>
          <w:b w:val="false"/>
          <w:color w:val="000000"/>
          <w:sz w:val="20"/>
        </w:rPr>
      </w:pPr>
      <w:r>
        <w:rPr>
          <w:rFonts w:ascii="Lato;sans-serif" w:hAnsi="Lato;sans-serif"/>
          <w:b w:val="false"/>
          <w:color w:val="000000"/>
          <w:sz w:val="20"/>
        </w:rPr>
        <w:t>In addition to satisfying the foregoing requirements under our Bylaws, to comply with the universal proxy rules, stockholders who intend to solicit proxies in support of director nominees other than our nominees must provide notice that sets forth the information required by Rule 14a-19 under the Exchange Act. Since our Bylaws impose an earlier deadline for such a notice than Rule 14a-19(b)(1), the noticing stockholder’s proposal must be received by the Company in compliance with our Bylaws in order to be timely delivered.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5">
                <wp:simplePos x="0" y="0"/>
                <wp:positionH relativeFrom="character">
                  <wp:align>left</wp:align>
                </wp:positionH>
                <wp:positionV relativeFrom="line">
                  <wp:posOffset>635</wp:posOffset>
                </wp:positionV>
                <wp:extent cx="6480175" cy="352425"/>
                <wp:effectExtent l="0" t="0" r="0" b="0"/>
                <wp:wrapNone/>
                <wp:docPr id="111" name="Frame95"/>
                <a:graphic xmlns:a="http://schemas.openxmlformats.org/drawingml/2006/main">
                  <a:graphicData uri="http://schemas.microsoft.com/office/word/2010/wordprocessingShape">
                    <wps:wsp>
                      <wps:cNvSpPr txBox="1"/>
                      <wps:spPr>
                        <a:xfrm>
                          <a:off x="0" y="0"/>
                          <a:ext cx="6480175" cy="352425"/>
                        </a:xfrm>
                        <a:prstGeom prst="rect"/>
                        <a:solidFill>
                          <a:srgbClr val="FFFFFF"/>
                        </a:solidFill>
                      </wps:spPr>
                      <wps:txbx>
                        <w:txbxContent>
                          <w:p>
                            <w:pPr>
                              <w:pStyle w:val="TextBody"/>
                              <w:bidi w:val="0"/>
                              <w:spacing w:lineRule="auto" w:line="288" w:before="0" w:after="0"/>
                              <w:jc w:val="center"/>
                              <w:rPr>
                                <w:rFonts w:ascii="Lato;sans-serif" w:hAnsi="Lato;sans-serif"/>
                                <w:b w:val="false"/>
                                <w:color w:val="000000"/>
                                <w:sz w:val="20"/>
                              </w:rPr>
                            </w:pPr>
                            <w:r>
                              <w:rPr>
                                <w:rFonts w:ascii="Lato;sans-serif" w:hAnsi="Lato;sans-serif"/>
                                <w:b w:val="false"/>
                                <w:color w:val="000000"/>
                                <w:sz w:val="20"/>
                              </w:rPr>
                              <w:t>89</w:t>
                            </w:r>
                          </w:p>
                          <w:p>
                            <w:pPr>
                              <w:pStyle w:val="TextBody"/>
                              <w:bidi w:val="0"/>
                              <w:spacing w:lineRule="auto" w:line="288" w:before="0" w:after="0"/>
                              <w:jc w:val="left"/>
                              <w:rPr>
                                <w:color w:val="000000"/>
                              </w:rPr>
                            </w:pPr>
                            <w:r>
                              <w:rPr>
                                <w:color w:val="000000"/>
                              </w:rPr>
                              <w:t>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Lato;sans-serif" w:hAnsi="Lato;sans-serif"/>
                          <w:b w:val="false"/>
                          <w:color w:val="000000"/>
                          <w:sz w:val="20"/>
                        </w:rPr>
                      </w:pPr>
                      <w:r>
                        <w:rPr>
                          <w:rFonts w:ascii="Lato;sans-serif" w:hAnsi="Lato;sans-serif"/>
                          <w:b w:val="false"/>
                          <w:color w:val="000000"/>
                          <w:sz w:val="20"/>
                        </w:rPr>
                        <w:t>89</w:t>
                      </w:r>
                    </w:p>
                    <w:p>
                      <w:pPr>
                        <w:pStyle w:val="TextBody"/>
                        <w:bidi w:val="0"/>
                        <w:spacing w:lineRule="auto" w:line="288" w:before="0" w:after="0"/>
                        <w:jc w:val="left"/>
                        <w:rPr>
                          <w:color w:val="000000"/>
                        </w:rPr>
                      </w:pPr>
                      <w:r>
                        <w:rPr>
                          <w:color w:val="000000"/>
                        </w:rPr>
                        <w:t>        </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300" w:after="180"/>
        <w:jc w:val="center"/>
        <w:rPr>
          <w:rFonts w:ascii="Lato;sans-serif" w:hAnsi="Lato;sans-serif"/>
          <w:b/>
          <w:color w:val="000000"/>
          <w:sz w:val="20"/>
        </w:rPr>
      </w:pPr>
      <w:r>
        <w:rPr>
          <w:rFonts w:ascii="Lato;sans-serif" w:hAnsi="Lato;sans-serif"/>
          <w:b/>
          <w:color w:val="000000"/>
          <w:sz w:val="20"/>
        </w:rPr>
        <w:t xml:space="preserve">OTHER BUSINESS </w:t>
      </w:r>
    </w:p>
    <w:p>
      <w:pPr>
        <w:pStyle w:val="TextBody"/>
        <w:bidi w:val="0"/>
        <w:spacing w:lineRule="auto" w:line="288" w:before="180" w:after="180"/>
        <w:jc w:val="both"/>
        <w:rPr>
          <w:rFonts w:ascii="Lato;sans-serif" w:hAnsi="Lato;sans-serif"/>
          <w:b w:val="false"/>
          <w:color w:val="000000"/>
          <w:sz w:val="20"/>
        </w:rPr>
      </w:pPr>
      <w:r>
        <w:rPr>
          <w:rFonts w:ascii="Lato;sans-serif" w:hAnsi="Lato;sans-serif"/>
          <w:b w:val="false"/>
          <w:color w:val="000000"/>
          <w:sz w:val="20"/>
        </w:rPr>
        <w:t>The Board does not know of any other matters to be brought before the meeting. If other matters are presented, the proxy holders have discretionary authority to vote all proxies in accordance with their best judgment.</w:t>
      </w:r>
    </w:p>
    <w:tbl>
      <w:tblPr>
        <w:tblW w:w="4793" w:type="dxa"/>
        <w:jc w:val="left"/>
        <w:tblInd w:w="0" w:type="dxa"/>
        <w:tblLayout w:type="fixed"/>
        <w:tblCellMar>
          <w:top w:w="28" w:type="dxa"/>
          <w:left w:w="28" w:type="dxa"/>
          <w:bottom w:w="28" w:type="dxa"/>
          <w:right w:w="28" w:type="dxa"/>
        </w:tblCellMar>
      </w:tblPr>
      <w:tblGrid>
        <w:gridCol w:w="124"/>
        <w:gridCol w:w="109"/>
        <w:gridCol w:w="109"/>
        <w:gridCol w:w="1301"/>
        <w:gridCol w:w="1301"/>
        <w:gridCol w:w="184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01" w:type="dxa"/>
            <w:tcBorders/>
            <w:vAlign w:val="center"/>
          </w:tcPr>
          <w:p>
            <w:pPr>
              <w:pStyle w:val="TableContents"/>
              <w:bidi w:val="0"/>
              <w:spacing w:before="0" w:after="283"/>
              <w:jc w:val="left"/>
              <w:rPr>
                <w:sz w:val="4"/>
                <w:szCs w:val="4"/>
              </w:rPr>
            </w:pPr>
            <w:r>
              <w:rPr>
                <w:sz w:val="4"/>
                <w:szCs w:val="4"/>
              </w:rPr>
            </w:r>
          </w:p>
        </w:tc>
        <w:tc>
          <w:tcPr>
            <w:tcW w:w="1301" w:type="dxa"/>
            <w:tcBorders/>
            <w:vAlign w:val="center"/>
          </w:tcPr>
          <w:p>
            <w:pPr>
              <w:pStyle w:val="TableContents"/>
              <w:bidi w:val="0"/>
              <w:spacing w:before="0" w:after="283"/>
              <w:jc w:val="left"/>
              <w:rPr>
                <w:sz w:val="4"/>
                <w:szCs w:val="4"/>
              </w:rPr>
            </w:pPr>
            <w:r>
              <w:rPr>
                <w:sz w:val="4"/>
                <w:szCs w:val="4"/>
              </w:rPr>
            </w:r>
          </w:p>
        </w:tc>
        <w:tc>
          <w:tcPr>
            <w:tcW w:w="184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20"/>
              </w:rPr>
            </w:pPr>
            <w:r>
              <w:rPr>
                <w:rFonts w:ascii="Lato;sans-serif" w:hAnsi="Lato;sans-serif"/>
                <w:b w:val="false"/>
                <w:color w:val="000000"/>
                <w:sz w:val="20"/>
              </w:rPr>
              <w:t>By Order of the Board of Directors,</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51"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2743200" cy="1114425"/>
                  <wp:effectExtent l="0" t="0" r="0" b="0"/>
                  <wp:docPr id="112"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 name="Image17" descr=""/>
                          <pic:cNvPicPr>
                            <a:picLocks noChangeAspect="1" noChangeArrowheads="1"/>
                          </pic:cNvPicPr>
                        </pic:nvPicPr>
                        <pic:blipFill>
                          <a:blip r:embed="rId18"/>
                          <a:stretch>
                            <a:fillRect/>
                          </a:stretch>
                        </pic:blipFill>
                        <pic:spPr bwMode="auto">
                          <a:xfrm>
                            <a:off x="0" y="0"/>
                            <a:ext cx="2743200" cy="1114425"/>
                          </a:xfrm>
                          <a:prstGeom prst="rect">
                            <a:avLst/>
                          </a:prstGeom>
                        </pic:spPr>
                      </pic:pic>
                    </a:graphicData>
                  </a:graphic>
                </wp:inline>
              </w:drawing>
            </w:r>
            <w:bookmarkStart w:id="16" w:name="i-17"/>
            <w:bookmarkEnd w:id="16"/>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51"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Lato;sans-serif" w:hAnsi="Lato;sans-serif"/>
                <w:b w:val="false"/>
                <w:color w:val="000000"/>
                <w:sz w:val="20"/>
              </w:rPr>
            </w:pPr>
            <w:r>
              <w:rPr>
                <w:rFonts w:ascii="Lato;sans-serif" w:hAnsi="Lato;sans-serif"/>
                <w:b w:val="false"/>
                <w:color w:val="000000"/>
                <w:sz w:val="20"/>
              </w:rPr>
              <w:t>Ashley McGrane</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i/>
                <w:color w:val="000000"/>
                <w:sz w:val="20"/>
              </w:rPr>
            </w:pPr>
            <w:r>
              <w:rPr>
                <w:rFonts w:ascii="Lato;sans-serif" w:hAnsi="Lato;sans-serif"/>
                <w:b w:val="false"/>
                <w:i/>
                <w:color w:val="000000"/>
                <w:sz w:val="20"/>
              </w:rPr>
              <w:t>Secretary</w:t>
            </w:r>
          </w:p>
        </w:tc>
      </w:tr>
    </w:tbl>
    <w:p>
      <w:pPr>
        <w:pStyle w:val="TextBody"/>
        <w:bidi w:val="0"/>
        <w:spacing w:lineRule="auto" w:line="288" w:before="180" w:after="180"/>
        <w:jc w:val="both"/>
        <w:rPr/>
      </w:pPr>
      <w:r>
        <w:rPr>
          <w:rFonts w:ascii="Lato;sans-serif" w:hAnsi="Lato;sans-serif"/>
          <w:b/>
          <w:color w:val="000000"/>
          <w:sz w:val="20"/>
        </w:rPr>
        <w:t xml:space="preserve">We make available, free of charge on our website, all of our filings that are made electronically with the SEC, including Forms 10-K, 10-Q and 8-K. To access these filings, go to our website </w:t>
      </w:r>
      <w:r>
        <w:rPr>
          <w:rFonts w:ascii="Lato;sans-serif" w:hAnsi="Lato;sans-serif"/>
          <w:b/>
          <w:i/>
          <w:color w:val="000000"/>
          <w:sz w:val="20"/>
        </w:rPr>
        <w:t>(ir.zoominfo.com)</w:t>
      </w:r>
      <w:r>
        <w:rPr>
          <w:color w:val="000000"/>
        </w:rPr>
        <w:t xml:space="preserve"> </w:t>
      </w:r>
      <w:r>
        <w:rPr>
          <w:rFonts w:ascii="Lato;sans-serif" w:hAnsi="Lato;sans-serif"/>
          <w:b/>
          <w:color w:val="000000"/>
          <w:sz w:val="20"/>
        </w:rPr>
        <w:t>and click on “SEC Filings” under the “Financials” heading. Copies of our Annual Report on Form 10-K for the year ended December 31, 2025, including financial statements and schedules thereto, filed with the SEC, are also available without charge to stockholders upon written request addressed to:</w:t>
      </w:r>
    </w:p>
    <w:p>
      <w:pPr>
        <w:pStyle w:val="TextBody"/>
        <w:bidi w:val="0"/>
        <w:spacing w:lineRule="auto" w:line="288" w:before="900" w:after="283"/>
        <w:jc w:val="center"/>
        <w:rPr>
          <w:rFonts w:ascii="Lato;sans-serif" w:hAnsi="Lato;sans-serif"/>
          <w:b w:val="false"/>
          <w:color w:val="000000"/>
          <w:sz w:val="20"/>
        </w:rPr>
      </w:pPr>
      <w:r>
        <w:rPr>
          <w:rFonts w:ascii="Lato;sans-serif" w:hAnsi="Lato;sans-serif"/>
          <w:b w:val="false"/>
          <w:color w:val="000000"/>
          <w:sz w:val="20"/>
        </w:rPr>
        <w:t>Secretary</w:t>
      </w:r>
    </w:p>
    <w:p>
      <w:pPr>
        <w:pStyle w:val="TextBody"/>
        <w:bidi w:val="0"/>
        <w:spacing w:lineRule="auto" w:line="288" w:before="0" w:after="0"/>
        <w:jc w:val="center"/>
        <w:rPr>
          <w:rFonts w:ascii="Lato;sans-serif" w:hAnsi="Lato;sans-serif"/>
          <w:b w:val="false"/>
          <w:color w:val="000000"/>
          <w:sz w:val="20"/>
        </w:rPr>
      </w:pPr>
      <w:r>
        <w:rPr>
          <w:rFonts w:ascii="Lato;sans-serif" w:hAnsi="Lato;sans-serif"/>
          <w:b w:val="false"/>
          <w:color w:val="000000"/>
          <w:sz w:val="20"/>
        </w:rPr>
        <w:t>ZoomInfo Technologies Inc.</w:t>
      </w:r>
    </w:p>
    <w:p>
      <w:pPr>
        <w:pStyle w:val="TextBody"/>
        <w:bidi w:val="0"/>
        <w:spacing w:lineRule="auto" w:line="288" w:before="0" w:after="0"/>
        <w:jc w:val="center"/>
        <w:rPr>
          <w:rFonts w:ascii="Lato;sans-serif" w:hAnsi="Lato;sans-serif"/>
          <w:b w:val="false"/>
          <w:color w:val="000000"/>
          <w:sz w:val="20"/>
        </w:rPr>
      </w:pPr>
      <w:r>
        <w:rPr>
          <w:rFonts w:ascii="Lato;sans-serif" w:hAnsi="Lato;sans-serif"/>
          <w:b w:val="false"/>
          <w:color w:val="000000"/>
          <w:sz w:val="20"/>
        </w:rPr>
        <w:t>330 W Columbia Way, Floor 8</w:t>
      </w:r>
    </w:p>
    <w:p>
      <w:pPr>
        <w:pStyle w:val="TextBody"/>
        <w:bidi w:val="0"/>
        <w:spacing w:lineRule="auto" w:line="288" w:before="0" w:after="0"/>
        <w:jc w:val="center"/>
        <w:rPr>
          <w:rFonts w:ascii="Lato;sans-serif" w:hAnsi="Lato;sans-serif"/>
          <w:b w:val="false"/>
          <w:color w:val="000000"/>
          <w:sz w:val="20"/>
        </w:rPr>
      </w:pPr>
      <w:r>
        <w:rPr>
          <w:rFonts w:ascii="Lato;sans-serif" w:hAnsi="Lato;sans-serif"/>
          <w:b w:val="false"/>
          <w:color w:val="000000"/>
          <w:sz w:val="20"/>
        </w:rPr>
        <w:t>Vancouver, Washington 98660</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6">
                <wp:simplePos x="0" y="0"/>
                <wp:positionH relativeFrom="character">
                  <wp:align>left</wp:align>
                </wp:positionH>
                <wp:positionV relativeFrom="line">
                  <wp:posOffset>635</wp:posOffset>
                </wp:positionV>
                <wp:extent cx="6480175" cy="352425"/>
                <wp:effectExtent l="0" t="0" r="0" b="0"/>
                <wp:wrapNone/>
                <wp:docPr id="113" name="Frame96"/>
                <a:graphic xmlns:a="http://schemas.openxmlformats.org/drawingml/2006/main">
                  <a:graphicData uri="http://schemas.microsoft.com/office/word/2010/wordprocessingShape">
                    <wps:wsp>
                      <wps:cNvSpPr txBox="1"/>
                      <wps:spPr>
                        <a:xfrm>
                          <a:off x="0" y="0"/>
                          <a:ext cx="6480175" cy="352425"/>
                        </a:xfrm>
                        <a:prstGeom prst="rect"/>
                        <a:solidFill>
                          <a:srgbClr val="FFFFFF"/>
                        </a:solidFill>
                      </wps:spPr>
                      <wps:txbx>
                        <w:txbxContent>
                          <w:p>
                            <w:pPr>
                              <w:pStyle w:val="TextBody"/>
                              <w:bidi w:val="0"/>
                              <w:spacing w:lineRule="auto" w:line="288" w:before="0" w:after="0"/>
                              <w:jc w:val="center"/>
                              <w:rPr>
                                <w:rFonts w:ascii="Lato;sans-serif" w:hAnsi="Lato;sans-serif"/>
                                <w:b w:val="false"/>
                                <w:color w:val="000000"/>
                                <w:sz w:val="20"/>
                              </w:rPr>
                            </w:pPr>
                            <w:r>
                              <w:rPr>
                                <w:rFonts w:ascii="Lato;sans-serif" w:hAnsi="Lato;sans-serif"/>
                                <w:b w:val="false"/>
                                <w:color w:val="000000"/>
                                <w:sz w:val="20"/>
                              </w:rPr>
                              <w:t>90</w:t>
                            </w:r>
                          </w:p>
                          <w:p>
                            <w:pPr>
                              <w:pStyle w:val="TextBody"/>
                              <w:bidi w:val="0"/>
                              <w:spacing w:lineRule="auto" w:line="288" w:before="0" w:after="0"/>
                              <w:jc w:val="left"/>
                              <w:rPr>
                                <w:color w:val="000000"/>
                              </w:rPr>
                            </w:pPr>
                            <w:r>
                              <w:rPr>
                                <w:color w:val="000000"/>
                              </w:rPr>
                              <w:t>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Lato;sans-serif" w:hAnsi="Lato;sans-serif"/>
                          <w:b w:val="false"/>
                          <w:color w:val="000000"/>
                          <w:sz w:val="20"/>
                        </w:rPr>
                      </w:pPr>
                      <w:r>
                        <w:rPr>
                          <w:rFonts w:ascii="Lato;sans-serif" w:hAnsi="Lato;sans-serif"/>
                          <w:b w:val="false"/>
                          <w:color w:val="000000"/>
                          <w:sz w:val="20"/>
                        </w:rPr>
                        <w:t>90</w:t>
                      </w:r>
                    </w:p>
                    <w:p>
                      <w:pPr>
                        <w:pStyle w:val="TextBody"/>
                        <w:bidi w:val="0"/>
                        <w:spacing w:lineRule="auto" w:line="288" w:before="0" w:after="0"/>
                        <w:jc w:val="left"/>
                        <w:rPr>
                          <w:color w:val="000000"/>
                        </w:rPr>
                      </w:pPr>
                      <w:r>
                        <w:rPr>
                          <w:color w:val="000000"/>
                        </w:rPr>
                        <w:t>        </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300" w:after="180"/>
        <w:jc w:val="center"/>
        <w:rPr>
          <w:rFonts w:ascii="Lato;sans-serif" w:hAnsi="Lato;sans-serif"/>
          <w:b/>
          <w:color w:val="000000"/>
          <w:sz w:val="20"/>
        </w:rPr>
      </w:pPr>
      <w:r>
        <w:rPr>
          <w:rFonts w:ascii="Lato;sans-serif" w:hAnsi="Lato;sans-serif"/>
          <w:b/>
          <w:color w:val="000000"/>
          <w:sz w:val="20"/>
        </w:rPr>
        <w:t>APPENDIX A: NON-GAAP FINANCIAL MEASURES</w:t>
      </w:r>
    </w:p>
    <w:p>
      <w:pPr>
        <w:pStyle w:val="TextBody"/>
        <w:bidi w:val="0"/>
        <w:spacing w:lineRule="auto" w:line="288" w:before="180" w:after="180"/>
        <w:jc w:val="both"/>
        <w:rPr>
          <w:rFonts w:ascii="Lato;sans-serif" w:hAnsi="Lato;sans-serif"/>
          <w:b w:val="false"/>
          <w:color w:val="000000"/>
          <w:sz w:val="20"/>
        </w:rPr>
      </w:pPr>
      <w:r>
        <w:rPr>
          <w:rFonts w:ascii="Lato;sans-serif" w:hAnsi="Lato;sans-serif"/>
          <w:b w:val="false"/>
          <w:color w:val="000000"/>
          <w:sz w:val="20"/>
        </w:rPr>
        <w:t>To supplement our consolidated financial statements presented in accordance with GAAP, this report contains non-GAAP financial measures, including adjusted operating income, adjusted operating income margin, and unlevered free cash flow. We believe these non-GAAP measures are useful to investors in evaluating our operating performance because they eliminate certain items that affect period-over-period comparability and provide consistency with past financial performance and additional information about our underlying results and trends by excluding certain items that may not be indicative of our business, results of operations, or outlook.</w:t>
      </w:r>
    </w:p>
    <w:p>
      <w:pPr>
        <w:pStyle w:val="TextBody"/>
        <w:bidi w:val="0"/>
        <w:spacing w:lineRule="auto" w:line="288" w:before="180" w:after="180"/>
        <w:jc w:val="both"/>
        <w:rPr>
          <w:rFonts w:ascii="Lato;sans-serif" w:hAnsi="Lato;sans-serif"/>
          <w:b w:val="false"/>
          <w:color w:val="000000"/>
          <w:sz w:val="20"/>
        </w:rPr>
      </w:pPr>
      <w:r>
        <w:rPr>
          <w:rFonts w:ascii="Lato;sans-serif" w:hAnsi="Lato;sans-serif"/>
          <w:b w:val="false"/>
          <w:color w:val="000000"/>
          <w:sz w:val="20"/>
        </w:rPr>
        <w:t>Non-GAAP financial measures are not meant to be considered in isolation or as a substitute for the comparable GAAP measures, but rather as supplemental information to our business results. This information should be read only in conjunction with our consolidated financial statements prepared in accordance with U.S. GAAP. There are limitations to these non-GAAP financial measures because they are not prepared in accordance with U.S. GAAP and may not be comparable to similarly titled measures of other companies due to potential differences in methods of calculation and items or events being adjusted. In addition, other companies may use different measures to evaluate their performance, all of which could reduce the usefulness of our non-GAAP financial measures as tools for comparison. A reconciliation is provided below for each non-GAAP financial measure to the most directly comparable financial measure stated in accordance with U.S. GAAP.</w:t>
      </w:r>
    </w:p>
    <w:p>
      <w:pPr>
        <w:pStyle w:val="TextBody"/>
        <w:bidi w:val="0"/>
        <w:spacing w:lineRule="auto" w:line="288" w:before="180" w:after="180"/>
        <w:jc w:val="both"/>
        <w:rPr>
          <w:rFonts w:ascii="Lato;sans-serif" w:hAnsi="Lato;sans-serif"/>
          <w:b w:val="false"/>
          <w:color w:val="000000"/>
          <w:sz w:val="20"/>
        </w:rPr>
      </w:pPr>
      <w:r>
        <w:rPr>
          <w:rFonts w:ascii="Lato;sans-serif" w:hAnsi="Lato;sans-serif"/>
          <w:b w:val="false"/>
          <w:color w:val="000000"/>
          <w:sz w:val="20"/>
        </w:rPr>
        <w:t>We define Adjusted Operating Income as income (loss) from operations adjusted for, as applicable, (i) impact of fair value adjustments to acquired unearned revenue, (ii) amortization of acquired technology and other acquired intangibles, (iii) equity-based compensation expense, (iv) restructuring and transaction-related expenses, (v) integration costs and acquisition-related compensation and (vi) legal settlement. We define Adjusted Operating Income Margin as Adjusted Operating Income divided by the sum of revenue and the impact of fair value adjustments to acquired unearned revenue.</w:t>
      </w:r>
    </w:p>
    <w:p>
      <w:pPr>
        <w:pStyle w:val="TextBody"/>
        <w:bidi w:val="0"/>
        <w:spacing w:lineRule="auto" w:line="288" w:before="180" w:after="180"/>
        <w:jc w:val="both"/>
        <w:rPr>
          <w:rFonts w:ascii="Lato;sans-serif" w:hAnsi="Lato;sans-serif"/>
          <w:b w:val="false"/>
          <w:color w:val="000000"/>
          <w:sz w:val="20"/>
        </w:rPr>
      </w:pPr>
      <w:r>
        <w:rPr>
          <w:rFonts w:ascii="Lato;sans-serif" w:hAnsi="Lato;sans-serif"/>
          <w:b w:val="false"/>
          <w:color w:val="000000"/>
          <w:sz w:val="20"/>
        </w:rPr>
        <w:t>We define Unlevered Free Cash Flow as net cash provided by (used in) operating activities less (i) purchases of property and equipment and other assets, plus (ii) cash interest expense, (iii) cash payments related to restructuring and transaction-related expenses, (iv) cash payments related to integration costs and acquisition-related compensation, and (v) legal settlement payments. Unlevered Free Cash Flow does not represent residual cash flow available for discretionary expenditures since, among other things, we have mandatory debt service requirements.</w:t>
      </w:r>
    </w:p>
    <w:p>
      <w:pPr>
        <w:pStyle w:val="TextBody"/>
        <w:bidi w:val="0"/>
        <w:spacing w:lineRule="auto" w:line="288" w:before="180" w:after="180"/>
        <w:jc w:val="both"/>
        <w:rPr/>
      </w:pPr>
      <w:r>
        <w:rPr>
          <w:rFonts w:ascii="Lato;sans-serif" w:hAnsi="Lato;sans-serif"/>
          <w:b w:val="false"/>
          <w:color w:val="000000"/>
          <w:sz w:val="20"/>
        </w:rPr>
        <w:t>Net revenue retention is metric that we calculate based on customers of ZoomInfo at the beginning of the twelve-month period, and is calculated as: (a) the total annual contract value ("</w:t>
      </w:r>
      <w:r>
        <w:rPr>
          <w:rFonts w:ascii="Lato;sans-serif" w:hAnsi="Lato;sans-serif"/>
          <w:b/>
          <w:i/>
          <w:color w:val="000000"/>
          <w:sz w:val="20"/>
        </w:rPr>
        <w:t>ACV</w:t>
      </w:r>
      <w:r>
        <w:rPr>
          <w:rFonts w:ascii="Lato;sans-serif" w:hAnsi="Lato;sans-serif"/>
          <w:b w:val="false"/>
          <w:color w:val="000000"/>
          <w:sz w:val="20"/>
        </w:rPr>
        <w:t>") for those customers at the end of the twelve-month period, divided by (b) the total ACV for those customers at the beginning of the twelve-month period.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7">
                <wp:simplePos x="0" y="0"/>
                <wp:positionH relativeFrom="character">
                  <wp:align>left</wp:align>
                </wp:positionH>
                <wp:positionV relativeFrom="line">
                  <wp:posOffset>635</wp:posOffset>
                </wp:positionV>
                <wp:extent cx="6480175" cy="352425"/>
                <wp:effectExtent l="0" t="0" r="0" b="0"/>
                <wp:wrapNone/>
                <wp:docPr id="114" name="Frame97"/>
                <a:graphic xmlns:a="http://schemas.openxmlformats.org/drawingml/2006/main">
                  <a:graphicData uri="http://schemas.microsoft.com/office/word/2010/wordprocessingShape">
                    <wps:wsp>
                      <wps:cNvSpPr txBox="1"/>
                      <wps:spPr>
                        <a:xfrm>
                          <a:off x="0" y="0"/>
                          <a:ext cx="6480175" cy="352425"/>
                        </a:xfrm>
                        <a:prstGeom prst="rect"/>
                        <a:solidFill>
                          <a:srgbClr val="FFFFFF"/>
                        </a:solidFill>
                      </wps:spPr>
                      <wps:txbx>
                        <w:txbxContent>
                          <w:p>
                            <w:pPr>
                              <w:pStyle w:val="TextBody"/>
                              <w:bidi w:val="0"/>
                              <w:spacing w:lineRule="auto" w:line="288" w:before="0" w:after="0"/>
                              <w:jc w:val="center"/>
                              <w:rPr>
                                <w:rFonts w:ascii="Lato;sans-serif" w:hAnsi="Lato;sans-serif"/>
                                <w:b w:val="false"/>
                                <w:color w:val="000000"/>
                                <w:sz w:val="20"/>
                              </w:rPr>
                            </w:pPr>
                            <w:r>
                              <w:rPr>
                                <w:rFonts w:ascii="Lato;sans-serif" w:hAnsi="Lato;sans-serif"/>
                                <w:b w:val="false"/>
                                <w:color w:val="000000"/>
                                <w:sz w:val="20"/>
                              </w:rPr>
                              <w:t>91</w:t>
                            </w:r>
                          </w:p>
                          <w:p>
                            <w:pPr>
                              <w:pStyle w:val="TextBody"/>
                              <w:bidi w:val="0"/>
                              <w:spacing w:lineRule="auto" w:line="288" w:before="0" w:after="0"/>
                              <w:jc w:val="left"/>
                              <w:rPr>
                                <w:color w:val="000000"/>
                              </w:rPr>
                            </w:pPr>
                            <w:r>
                              <w:rPr>
                                <w:color w:val="000000"/>
                              </w:rPr>
                              <w:t>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Lato;sans-serif" w:hAnsi="Lato;sans-serif"/>
                          <w:b w:val="false"/>
                          <w:color w:val="000000"/>
                          <w:sz w:val="20"/>
                        </w:rPr>
                      </w:pPr>
                      <w:r>
                        <w:rPr>
                          <w:rFonts w:ascii="Lato;sans-serif" w:hAnsi="Lato;sans-serif"/>
                          <w:b w:val="false"/>
                          <w:color w:val="000000"/>
                          <w:sz w:val="20"/>
                        </w:rPr>
                        <w:t>91</w:t>
                      </w:r>
                    </w:p>
                    <w:p>
                      <w:pPr>
                        <w:pStyle w:val="TextBody"/>
                        <w:bidi w:val="0"/>
                        <w:spacing w:lineRule="auto" w:line="288" w:before="0" w:after="0"/>
                        <w:jc w:val="left"/>
                        <w:rPr>
                          <w:color w:val="000000"/>
                        </w:rPr>
                      </w:pPr>
                      <w:r>
                        <w:rPr>
                          <w:color w:val="000000"/>
                        </w:rPr>
                        <w:t>        </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120"/>
        <w:jc w:val="both"/>
        <w:rPr/>
      </w:pPr>
      <w:r>
        <w:rPr>
          <w:rFonts w:ascii="Lato;sans-serif" w:hAnsi="Lato;sans-serif"/>
          <w:b/>
          <w:color w:val="000000"/>
          <w:sz w:val="20"/>
        </w:rPr>
        <w:t>Reconciliation from GAAP Income from Operations to Non-GAAP Adjusted Operating Income (Fiscal Years 2025, 2024, and 2023)</w:t>
      </w:r>
      <w:r>
        <w:rPr>
          <w:rFonts w:ascii="Lato;sans-serif" w:hAnsi="Lato;sans-serif"/>
          <w:b/>
          <w:color w:val="000000"/>
          <w:sz w:val="13"/>
        </w:rPr>
        <w:t>2</w:t>
      </w:r>
    </w:p>
    <w:tbl>
      <w:tblPr>
        <w:tblW w:w="10205" w:type="dxa"/>
        <w:jc w:val="left"/>
        <w:tblInd w:w="0" w:type="dxa"/>
        <w:tblLayout w:type="fixed"/>
        <w:tblCellMar>
          <w:top w:w="28" w:type="dxa"/>
          <w:left w:w="28" w:type="dxa"/>
          <w:bottom w:w="28" w:type="dxa"/>
          <w:right w:w="28" w:type="dxa"/>
        </w:tblCellMar>
      </w:tblPr>
      <w:tblGrid>
        <w:gridCol w:w="2201"/>
        <w:gridCol w:w="1901"/>
        <w:gridCol w:w="1915"/>
        <w:gridCol w:w="350"/>
        <w:gridCol w:w="384"/>
        <w:gridCol w:w="337"/>
        <w:gridCol w:w="154"/>
        <w:gridCol w:w="154"/>
        <w:gridCol w:w="154"/>
        <w:gridCol w:w="350"/>
        <w:gridCol w:w="383"/>
        <w:gridCol w:w="338"/>
        <w:gridCol w:w="154"/>
        <w:gridCol w:w="154"/>
        <w:gridCol w:w="154"/>
        <w:gridCol w:w="350"/>
        <w:gridCol w:w="354"/>
        <w:gridCol w:w="418"/>
      </w:tblGrid>
      <w:tr>
        <w:trPr/>
        <w:tc>
          <w:tcPr>
            <w:tcW w:w="2201" w:type="dxa"/>
            <w:tcBorders/>
            <w:vAlign w:val="center"/>
          </w:tcPr>
          <w:p>
            <w:pPr>
              <w:pStyle w:val="TableContents"/>
              <w:bidi w:val="0"/>
              <w:spacing w:before="0" w:after="283"/>
              <w:jc w:val="left"/>
              <w:rPr>
                <w:sz w:val="4"/>
                <w:szCs w:val="4"/>
              </w:rPr>
            </w:pPr>
            <w:r>
              <w:rPr>
                <w:sz w:val="4"/>
                <w:szCs w:val="4"/>
              </w:rPr>
            </w:r>
          </w:p>
        </w:tc>
        <w:tc>
          <w:tcPr>
            <w:tcW w:w="1901" w:type="dxa"/>
            <w:tcBorders/>
            <w:vAlign w:val="center"/>
          </w:tcPr>
          <w:p>
            <w:pPr>
              <w:pStyle w:val="TableContents"/>
              <w:bidi w:val="0"/>
              <w:spacing w:before="0" w:after="283"/>
              <w:jc w:val="left"/>
              <w:rPr>
                <w:sz w:val="4"/>
                <w:szCs w:val="4"/>
              </w:rPr>
            </w:pPr>
            <w:r>
              <w:rPr>
                <w:sz w:val="4"/>
                <w:szCs w:val="4"/>
              </w:rPr>
            </w:r>
          </w:p>
        </w:tc>
        <w:tc>
          <w:tcPr>
            <w:tcW w:w="1915"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418" w:type="dxa"/>
            <w:tcBorders/>
            <w:vAlign w:val="center"/>
          </w:tcPr>
          <w:p>
            <w:pPr>
              <w:pStyle w:val="TableContents"/>
              <w:bidi w:val="0"/>
              <w:spacing w:before="0" w:after="283"/>
              <w:jc w:val="left"/>
              <w:rPr>
                <w:sz w:val="4"/>
                <w:szCs w:val="4"/>
              </w:rPr>
            </w:pPr>
            <w:r>
              <w:rPr>
                <w:sz w:val="4"/>
                <w:szCs w:val="4"/>
              </w:rPr>
            </w:r>
          </w:p>
        </w:tc>
      </w:tr>
      <w:tr>
        <w:trPr/>
        <w:tc>
          <w:tcPr>
            <w:tcW w:w="6017" w:type="dxa"/>
            <w:gridSpan w:val="3"/>
            <w:tcBorders/>
            <w:shd w:fill="F4423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88" w:type="dxa"/>
            <w:gridSpan w:val="15"/>
            <w:tcBorders/>
            <w:shd w:fill="F44238" w:val="clear"/>
            <w:tcMar>
              <w:top w:w="0" w:type="dxa"/>
              <w:left w:w="0" w:type="dxa"/>
              <w:bottom w:w="0" w:type="dxa"/>
              <w:right w:w="0" w:type="dxa"/>
            </w:tcMar>
            <w:vAlign w:val="center"/>
          </w:tcPr>
          <w:p>
            <w:pPr>
              <w:pStyle w:val="TableContents"/>
              <w:bidi w:val="0"/>
              <w:spacing w:lineRule="auto" w:line="240" w:before="0" w:after="283"/>
              <w:jc w:val="center"/>
              <w:rPr>
                <w:rFonts w:ascii="Lato;sans-serif" w:hAnsi="Lato;sans-serif"/>
                <w:b/>
                <w:color w:val="FFFFFF"/>
                <w:sz w:val="20"/>
              </w:rPr>
            </w:pPr>
            <w:r>
              <w:rPr>
                <w:rFonts w:ascii="Lato;sans-serif" w:hAnsi="Lato;sans-serif"/>
                <w:b/>
                <w:color w:val="FFFFFF"/>
                <w:sz w:val="20"/>
              </w:rPr>
              <w:t>Year Ended December 31,</w:t>
            </w:r>
          </w:p>
        </w:tc>
      </w:tr>
      <w:tr>
        <w:trPr/>
        <w:tc>
          <w:tcPr>
            <w:tcW w:w="6017" w:type="dxa"/>
            <w:gridSpan w:val="3"/>
            <w:tcBorders/>
            <w:shd w:fill="F44238"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i/>
                <w:color w:val="FFFFFF"/>
                <w:sz w:val="16"/>
              </w:rPr>
            </w:pPr>
            <w:r>
              <w:rPr>
                <w:rFonts w:ascii="Lato;sans-serif" w:hAnsi="Lato;sans-serif"/>
                <w:b w:val="false"/>
                <w:i/>
                <w:color w:val="FFFFFF"/>
                <w:sz w:val="16"/>
              </w:rPr>
              <w:t>($ in millions)</w:t>
            </w:r>
          </w:p>
        </w:tc>
        <w:tc>
          <w:tcPr>
            <w:tcW w:w="1071" w:type="dxa"/>
            <w:gridSpan w:val="3"/>
            <w:tcBorders/>
            <w:shd w:fill="F44238" w:val="clear"/>
            <w:tcMar>
              <w:top w:w="0" w:type="dxa"/>
              <w:left w:w="0" w:type="dxa"/>
              <w:bottom w:w="0" w:type="dxa"/>
              <w:right w:w="0" w:type="dxa"/>
            </w:tcMar>
            <w:vAlign w:val="center"/>
          </w:tcPr>
          <w:p>
            <w:pPr>
              <w:pStyle w:val="TableContents"/>
              <w:bidi w:val="0"/>
              <w:spacing w:lineRule="auto" w:line="240" w:before="0" w:after="0"/>
              <w:jc w:val="center"/>
              <w:rPr>
                <w:rFonts w:ascii="Lato;sans-serif" w:hAnsi="Lato;sans-serif"/>
                <w:b/>
                <w:color w:val="FFFFFF"/>
                <w:sz w:val="20"/>
              </w:rPr>
            </w:pPr>
            <w:r>
              <w:rPr>
                <w:rFonts w:ascii="Lato;sans-serif" w:hAnsi="Lato;sans-serif"/>
                <w:b/>
                <w:color w:val="FFFFFF"/>
                <w:sz w:val="20"/>
              </w:rPr>
              <w:t>2025</w:t>
            </w:r>
          </w:p>
        </w:tc>
        <w:tc>
          <w:tcPr>
            <w:tcW w:w="462" w:type="dxa"/>
            <w:gridSpan w:val="3"/>
            <w:tcBorders/>
            <w:shd w:fill="F4423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F44238" w:val="clear"/>
            <w:tcMar>
              <w:top w:w="0" w:type="dxa"/>
              <w:left w:w="0" w:type="dxa"/>
              <w:bottom w:w="0" w:type="dxa"/>
              <w:right w:w="0" w:type="dxa"/>
            </w:tcMar>
            <w:vAlign w:val="center"/>
          </w:tcPr>
          <w:p>
            <w:pPr>
              <w:pStyle w:val="TableContents"/>
              <w:bidi w:val="0"/>
              <w:spacing w:lineRule="auto" w:line="240" w:before="0" w:after="0"/>
              <w:jc w:val="center"/>
              <w:rPr>
                <w:rFonts w:ascii="Lato;sans-serif" w:hAnsi="Lato;sans-serif"/>
                <w:b/>
                <w:color w:val="FFFFFF"/>
                <w:sz w:val="20"/>
              </w:rPr>
            </w:pPr>
            <w:r>
              <w:rPr>
                <w:rFonts w:ascii="Lato;sans-serif" w:hAnsi="Lato;sans-serif"/>
                <w:b/>
                <w:color w:val="FFFFFF"/>
                <w:sz w:val="20"/>
              </w:rPr>
              <w:t>2024</w:t>
            </w:r>
          </w:p>
        </w:tc>
        <w:tc>
          <w:tcPr>
            <w:tcW w:w="462" w:type="dxa"/>
            <w:gridSpan w:val="3"/>
            <w:tcBorders/>
            <w:shd w:fill="F4423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3"/>
            <w:tcBorders/>
            <w:shd w:fill="F44238" w:val="clear"/>
            <w:tcMar>
              <w:top w:w="0" w:type="dxa"/>
              <w:left w:w="0" w:type="dxa"/>
              <w:bottom w:w="0" w:type="dxa"/>
              <w:right w:w="0" w:type="dxa"/>
            </w:tcMar>
            <w:vAlign w:val="center"/>
          </w:tcPr>
          <w:p>
            <w:pPr>
              <w:pStyle w:val="TableContents"/>
              <w:bidi w:val="0"/>
              <w:spacing w:lineRule="auto" w:line="240" w:before="0" w:after="0"/>
              <w:jc w:val="center"/>
              <w:rPr>
                <w:rFonts w:ascii="Lato;sans-serif" w:hAnsi="Lato;sans-serif"/>
                <w:b/>
                <w:color w:val="FFFFFF"/>
                <w:sz w:val="20"/>
              </w:rPr>
            </w:pPr>
            <w:r>
              <w:rPr>
                <w:rFonts w:ascii="Lato;sans-serif" w:hAnsi="Lato;sans-serif"/>
                <w:b/>
                <w:color w:val="FFFFFF"/>
                <w:sz w:val="20"/>
              </w:rPr>
              <w:t>2023</w:t>
            </w:r>
          </w:p>
        </w:tc>
      </w:tr>
      <w:tr>
        <w:trPr/>
        <w:tc>
          <w:tcPr>
            <w:tcW w:w="601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color w:val="000000"/>
                <w:sz w:val="20"/>
              </w:rPr>
            </w:pPr>
            <w:r>
              <w:rPr>
                <w:rFonts w:ascii="Lato;sans-serif" w:hAnsi="Lato;sans-serif"/>
                <w:b/>
                <w:color w:val="000000"/>
                <w:sz w:val="20"/>
              </w:rPr>
              <w:t>Income from operations (GAAP)</w:t>
            </w:r>
          </w:p>
        </w:tc>
        <w:tc>
          <w:tcPr>
            <w:tcW w:w="350"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Lato;sans-serif" w:hAnsi="Lato;sans-serif"/>
                <w:b/>
                <w:color w:val="000000"/>
                <w:sz w:val="20"/>
              </w:rPr>
            </w:pPr>
            <w:r>
              <w:rPr>
                <w:rFonts w:ascii="Lato;sans-serif" w:hAnsi="Lato;sans-serif"/>
                <w:b/>
                <w:color w:val="000000"/>
                <w:sz w:val="20"/>
              </w:rPr>
              <w:t>$</w:t>
            </w:r>
          </w:p>
        </w:tc>
        <w:tc>
          <w:tcPr>
            <w:tcW w:w="721" w:type="dxa"/>
            <w:gridSpan w:val="2"/>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Lato;sans-serif" w:hAnsi="Lato;sans-serif"/>
                <w:b/>
                <w:color w:val="000000"/>
                <w:sz w:val="20"/>
              </w:rPr>
            </w:pPr>
            <w:r>
              <w:rPr>
                <w:rFonts w:ascii="Lato;sans-serif" w:hAnsi="Lato;sans-serif"/>
                <w:b/>
                <w:color w:val="000000"/>
                <w:sz w:val="20"/>
              </w:rPr>
              <w:t>225.7</w:t>
            </w:r>
          </w:p>
        </w:tc>
        <w:tc>
          <w:tcPr>
            <w:tcW w:w="462"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0"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Lato;sans-serif" w:hAnsi="Lato;sans-serif"/>
                <w:b/>
                <w:color w:val="000000"/>
                <w:sz w:val="20"/>
              </w:rPr>
            </w:pPr>
            <w:r>
              <w:rPr>
                <w:rFonts w:ascii="Lato;sans-serif" w:hAnsi="Lato;sans-serif"/>
                <w:b/>
                <w:color w:val="000000"/>
                <w:sz w:val="20"/>
              </w:rPr>
              <w:t>$</w:t>
            </w:r>
          </w:p>
        </w:tc>
        <w:tc>
          <w:tcPr>
            <w:tcW w:w="721" w:type="dxa"/>
            <w:gridSpan w:val="2"/>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Lato;sans-serif" w:hAnsi="Lato;sans-serif"/>
                <w:b/>
                <w:color w:val="000000"/>
                <w:sz w:val="20"/>
              </w:rPr>
            </w:pPr>
            <w:r>
              <w:rPr>
                <w:rFonts w:ascii="Lato;sans-serif" w:hAnsi="Lato;sans-serif"/>
                <w:b/>
                <w:color w:val="000000"/>
                <w:sz w:val="20"/>
              </w:rPr>
              <w:t>97.4</w:t>
            </w:r>
          </w:p>
        </w:tc>
        <w:tc>
          <w:tcPr>
            <w:tcW w:w="462"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0"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Lato;sans-serif" w:hAnsi="Lato;sans-serif"/>
                <w:b/>
                <w:color w:val="000000"/>
                <w:sz w:val="20"/>
              </w:rPr>
            </w:pPr>
            <w:r>
              <w:rPr>
                <w:rFonts w:ascii="Lato;sans-serif" w:hAnsi="Lato;sans-serif"/>
                <w:b/>
                <w:color w:val="000000"/>
                <w:sz w:val="20"/>
              </w:rPr>
              <w:t>$</w:t>
            </w:r>
          </w:p>
        </w:tc>
        <w:tc>
          <w:tcPr>
            <w:tcW w:w="772" w:type="dxa"/>
            <w:gridSpan w:val="2"/>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Lato;sans-serif" w:hAnsi="Lato;sans-serif"/>
                <w:b/>
                <w:color w:val="000000"/>
                <w:sz w:val="20"/>
              </w:rPr>
            </w:pPr>
            <w:r>
              <w:rPr>
                <w:rFonts w:ascii="Lato;sans-serif" w:hAnsi="Lato;sans-serif"/>
                <w:b/>
                <w:color w:val="000000"/>
                <w:sz w:val="20"/>
              </w:rPr>
              <w:t>259.5</w:t>
            </w:r>
          </w:p>
        </w:tc>
      </w:tr>
      <w:tr>
        <w:trPr/>
        <w:tc>
          <w:tcPr>
            <w:tcW w:w="6017"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20"/>
              </w:rPr>
            </w:pPr>
            <w:r>
              <w:rPr>
                <w:rFonts w:ascii="Lato;sans-serif" w:hAnsi="Lato;sans-serif"/>
                <w:b w:val="false"/>
                <w:color w:val="000000"/>
                <w:sz w:val="20"/>
              </w:rPr>
              <w:t>Impact of fair value adjustments to acquired unearned revenue</w:t>
            </w:r>
          </w:p>
        </w:tc>
        <w:tc>
          <w:tcPr>
            <w:tcW w:w="1071"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462"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462"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20"/>
              </w:rPr>
            </w:pPr>
            <w:r>
              <w:rPr>
                <w:rFonts w:ascii="Lato;sans-serif" w:hAnsi="Lato;sans-serif"/>
                <w:b w:val="false"/>
                <w:color w:val="000000"/>
                <w:sz w:val="20"/>
              </w:rPr>
              <w:t>0.2</w:t>
            </w:r>
          </w:p>
        </w:tc>
      </w:tr>
      <w:tr>
        <w:trPr/>
        <w:tc>
          <w:tcPr>
            <w:tcW w:w="60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20"/>
              </w:rPr>
            </w:pPr>
            <w:r>
              <w:rPr>
                <w:rFonts w:ascii="Lato;sans-serif" w:hAnsi="Lato;sans-serif"/>
                <w:b w:val="false"/>
                <w:color w:val="000000"/>
                <w:sz w:val="20"/>
              </w:rPr>
              <w:t>Amortization of acquired technology</w:t>
            </w:r>
          </w:p>
        </w:tc>
        <w:tc>
          <w:tcPr>
            <w:tcW w:w="10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20"/>
              </w:rPr>
            </w:pPr>
            <w:r>
              <w:rPr>
                <w:rFonts w:ascii="Lato;sans-serif" w:hAnsi="Lato;sans-serif"/>
                <w:b w:val="false"/>
                <w:color w:val="000000"/>
                <w:sz w:val="20"/>
              </w:rPr>
              <w:t>37.6</w:t>
            </w:r>
          </w:p>
        </w:tc>
        <w:tc>
          <w:tcPr>
            <w:tcW w:w="4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20"/>
              </w:rPr>
            </w:pPr>
            <w:r>
              <w:rPr>
                <w:rFonts w:ascii="Lato;sans-serif" w:hAnsi="Lato;sans-serif"/>
                <w:b w:val="false"/>
                <w:color w:val="000000"/>
                <w:sz w:val="20"/>
              </w:rPr>
              <w:t>38.2</w:t>
            </w:r>
          </w:p>
        </w:tc>
        <w:tc>
          <w:tcPr>
            <w:tcW w:w="4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20"/>
              </w:rPr>
            </w:pPr>
            <w:r>
              <w:rPr>
                <w:rFonts w:ascii="Lato;sans-serif" w:hAnsi="Lato;sans-serif"/>
                <w:b w:val="false"/>
                <w:color w:val="000000"/>
                <w:sz w:val="20"/>
              </w:rPr>
              <w:t>39.1</w:t>
            </w:r>
          </w:p>
        </w:tc>
      </w:tr>
      <w:tr>
        <w:trPr/>
        <w:tc>
          <w:tcPr>
            <w:tcW w:w="6017"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20"/>
              </w:rPr>
            </w:pPr>
            <w:r>
              <w:rPr>
                <w:rFonts w:ascii="Lato;sans-serif" w:hAnsi="Lato;sans-serif"/>
                <w:b w:val="false"/>
                <w:color w:val="000000"/>
                <w:sz w:val="20"/>
              </w:rPr>
              <w:t>Amortization of other acquired intangibles</w:t>
            </w:r>
          </w:p>
        </w:tc>
        <w:tc>
          <w:tcPr>
            <w:tcW w:w="1071"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20"/>
              </w:rPr>
            </w:pPr>
            <w:r>
              <w:rPr>
                <w:rFonts w:ascii="Lato;sans-serif" w:hAnsi="Lato;sans-serif"/>
                <w:b w:val="false"/>
                <w:color w:val="000000"/>
                <w:sz w:val="20"/>
              </w:rPr>
              <w:t>20.9</w:t>
            </w:r>
          </w:p>
        </w:tc>
        <w:tc>
          <w:tcPr>
            <w:tcW w:w="462"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20"/>
              </w:rPr>
            </w:pPr>
            <w:r>
              <w:rPr>
                <w:rFonts w:ascii="Lato;sans-serif" w:hAnsi="Lato;sans-serif"/>
                <w:b w:val="false"/>
                <w:color w:val="000000"/>
                <w:sz w:val="20"/>
              </w:rPr>
              <w:t>21.6</w:t>
            </w:r>
          </w:p>
        </w:tc>
        <w:tc>
          <w:tcPr>
            <w:tcW w:w="462"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20"/>
              </w:rPr>
            </w:pPr>
            <w:r>
              <w:rPr>
                <w:rFonts w:ascii="Lato;sans-serif" w:hAnsi="Lato;sans-serif"/>
                <w:b w:val="false"/>
                <w:color w:val="000000"/>
                <w:sz w:val="20"/>
              </w:rPr>
              <w:t>21.9</w:t>
            </w:r>
          </w:p>
        </w:tc>
      </w:tr>
      <w:tr>
        <w:trPr/>
        <w:tc>
          <w:tcPr>
            <w:tcW w:w="60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20"/>
              </w:rPr>
            </w:pPr>
            <w:r>
              <w:rPr>
                <w:rFonts w:ascii="Lato;sans-serif" w:hAnsi="Lato;sans-serif"/>
                <w:b w:val="false"/>
                <w:color w:val="000000"/>
                <w:sz w:val="20"/>
              </w:rPr>
              <w:t>Equity-based compensation expense</w:t>
            </w:r>
          </w:p>
        </w:tc>
        <w:tc>
          <w:tcPr>
            <w:tcW w:w="10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20"/>
              </w:rPr>
            </w:pPr>
            <w:r>
              <w:rPr>
                <w:rFonts w:ascii="Lato;sans-serif" w:hAnsi="Lato;sans-serif"/>
                <w:b w:val="false"/>
                <w:color w:val="000000"/>
                <w:sz w:val="20"/>
              </w:rPr>
              <w:t>116.2</w:t>
            </w:r>
          </w:p>
        </w:tc>
        <w:tc>
          <w:tcPr>
            <w:tcW w:w="4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20"/>
              </w:rPr>
            </w:pPr>
            <w:r>
              <w:rPr>
                <w:rFonts w:ascii="Lato;sans-serif" w:hAnsi="Lato;sans-serif"/>
                <w:b w:val="false"/>
                <w:color w:val="000000"/>
                <w:sz w:val="20"/>
              </w:rPr>
              <w:t>138.0</w:t>
            </w:r>
          </w:p>
        </w:tc>
        <w:tc>
          <w:tcPr>
            <w:tcW w:w="4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20"/>
              </w:rPr>
            </w:pPr>
            <w:r>
              <w:rPr>
                <w:rFonts w:ascii="Lato;sans-serif" w:hAnsi="Lato;sans-serif"/>
                <w:b w:val="false"/>
                <w:color w:val="000000"/>
                <w:sz w:val="20"/>
              </w:rPr>
              <w:t>167.6</w:t>
            </w:r>
          </w:p>
        </w:tc>
      </w:tr>
      <w:tr>
        <w:trPr/>
        <w:tc>
          <w:tcPr>
            <w:tcW w:w="6017"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20"/>
              </w:rPr>
            </w:pPr>
            <w:r>
              <w:rPr>
                <w:rFonts w:ascii="Lato;sans-serif" w:hAnsi="Lato;sans-serif"/>
                <w:b w:val="false"/>
                <w:color w:val="000000"/>
                <w:sz w:val="20"/>
              </w:rPr>
              <w:t>Restructuring and transaction-related expenses</w:t>
            </w:r>
          </w:p>
        </w:tc>
        <w:tc>
          <w:tcPr>
            <w:tcW w:w="1071"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20"/>
              </w:rPr>
            </w:pPr>
            <w:r>
              <w:rPr>
                <w:rFonts w:ascii="Lato;sans-serif" w:hAnsi="Lato;sans-serif"/>
                <w:b w:val="false"/>
                <w:color w:val="000000"/>
                <w:sz w:val="20"/>
              </w:rPr>
              <w:t>40.3</w:t>
            </w:r>
          </w:p>
        </w:tc>
        <w:tc>
          <w:tcPr>
            <w:tcW w:w="462"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20"/>
              </w:rPr>
            </w:pPr>
            <w:r>
              <w:rPr>
                <w:rFonts w:ascii="Lato;sans-serif" w:hAnsi="Lato;sans-serif"/>
                <w:b w:val="false"/>
                <w:color w:val="000000"/>
                <w:sz w:val="20"/>
              </w:rPr>
              <w:t>101.6</w:t>
            </w:r>
          </w:p>
        </w:tc>
        <w:tc>
          <w:tcPr>
            <w:tcW w:w="462"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20"/>
              </w:rPr>
            </w:pPr>
            <w:r>
              <w:rPr>
                <w:rFonts w:ascii="Lato;sans-serif" w:hAnsi="Lato;sans-serif"/>
                <w:b w:val="false"/>
                <w:color w:val="000000"/>
                <w:sz w:val="20"/>
              </w:rPr>
              <w:t>10.3</w:t>
            </w:r>
          </w:p>
        </w:tc>
      </w:tr>
      <w:tr>
        <w:trPr/>
        <w:tc>
          <w:tcPr>
            <w:tcW w:w="60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20"/>
              </w:rPr>
            </w:pPr>
            <w:r>
              <w:rPr>
                <w:rFonts w:ascii="Lato;sans-serif" w:hAnsi="Lato;sans-serif"/>
                <w:b w:val="false"/>
                <w:color w:val="000000"/>
                <w:sz w:val="20"/>
              </w:rPr>
              <w:t>Integration costs and acquisition-related expenses</w:t>
            </w:r>
          </w:p>
        </w:tc>
        <w:tc>
          <w:tcPr>
            <w:tcW w:w="10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4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4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r>
      <w:tr>
        <w:trPr/>
        <w:tc>
          <w:tcPr>
            <w:tcW w:w="6017"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20"/>
              </w:rPr>
            </w:pPr>
            <w:r>
              <w:rPr>
                <w:rFonts w:ascii="Lato;sans-serif" w:hAnsi="Lato;sans-serif"/>
                <w:b w:val="false"/>
                <w:color w:val="000000"/>
                <w:sz w:val="20"/>
              </w:rPr>
              <w:t>Litigation settlement</w:t>
            </w:r>
          </w:p>
        </w:tc>
        <w:tc>
          <w:tcPr>
            <w:tcW w:w="1071"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20"/>
              </w:rPr>
            </w:pPr>
            <w:r>
              <w:rPr>
                <w:rFonts w:ascii="Lato;sans-serif" w:hAnsi="Lato;sans-serif"/>
                <w:b w:val="false"/>
                <w:color w:val="000000"/>
                <w:sz w:val="20"/>
              </w:rPr>
              <w:t>5.2</w:t>
            </w:r>
          </w:p>
        </w:tc>
        <w:tc>
          <w:tcPr>
            <w:tcW w:w="462"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20"/>
              </w:rPr>
            </w:pPr>
            <w:r>
              <w:rPr>
                <w:rFonts w:ascii="Lato;sans-serif" w:hAnsi="Lato;sans-serif"/>
                <w:b w:val="false"/>
                <w:color w:val="000000"/>
                <w:sz w:val="20"/>
              </w:rPr>
              <w:t>31.7</w:t>
            </w:r>
          </w:p>
        </w:tc>
        <w:tc>
          <w:tcPr>
            <w:tcW w:w="462"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r>
      <w:tr>
        <w:trPr/>
        <w:tc>
          <w:tcPr>
            <w:tcW w:w="60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i/>
                <w:color w:val="000000"/>
                <w:sz w:val="20"/>
              </w:rPr>
            </w:pPr>
            <w:r>
              <w:rPr>
                <w:rFonts w:ascii="Lato;sans-serif" w:hAnsi="Lato;sans-serif"/>
                <w:b/>
                <w:i/>
                <w:color w:val="000000"/>
                <w:sz w:val="20"/>
              </w:rPr>
              <w:t>Adjusted Operating Income (Non-GAAP)</w:t>
            </w:r>
          </w:p>
        </w:tc>
        <w:tc>
          <w:tcPr>
            <w:tcW w:w="350"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Lato;sans-serif" w:hAnsi="Lato;sans-serif"/>
                <w:b/>
                <w:color w:val="000000"/>
                <w:sz w:val="20"/>
              </w:rPr>
            </w:pPr>
            <w:r>
              <w:rPr>
                <w:rFonts w:ascii="Lato;sans-serif" w:hAnsi="Lato;sans-serif"/>
                <w:b/>
                <w:color w:val="000000"/>
                <w:sz w:val="20"/>
              </w:rPr>
              <w:t>$</w:t>
            </w:r>
          </w:p>
        </w:tc>
        <w:tc>
          <w:tcPr>
            <w:tcW w:w="721" w:type="dxa"/>
            <w:gridSpan w:val="2"/>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Lato;sans-serif" w:hAnsi="Lato;sans-serif"/>
                <w:b/>
                <w:color w:val="000000"/>
                <w:sz w:val="20"/>
              </w:rPr>
            </w:pPr>
            <w:r>
              <w:rPr>
                <w:rFonts w:ascii="Lato;sans-serif" w:hAnsi="Lato;sans-serif"/>
                <w:b/>
                <w:color w:val="000000"/>
                <w:sz w:val="20"/>
              </w:rPr>
              <w:t>445.9</w:t>
            </w:r>
          </w:p>
        </w:tc>
        <w:tc>
          <w:tcPr>
            <w:tcW w:w="4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0"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Lato;sans-serif" w:hAnsi="Lato;sans-serif"/>
                <w:b/>
                <w:color w:val="000000"/>
                <w:sz w:val="20"/>
              </w:rPr>
            </w:pPr>
            <w:r>
              <w:rPr>
                <w:rFonts w:ascii="Lato;sans-serif" w:hAnsi="Lato;sans-serif"/>
                <w:b/>
                <w:color w:val="000000"/>
                <w:sz w:val="20"/>
              </w:rPr>
              <w:t>$</w:t>
            </w:r>
          </w:p>
        </w:tc>
        <w:tc>
          <w:tcPr>
            <w:tcW w:w="721" w:type="dxa"/>
            <w:gridSpan w:val="2"/>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Lato;sans-serif" w:hAnsi="Lato;sans-serif"/>
                <w:b/>
                <w:color w:val="000000"/>
                <w:sz w:val="20"/>
              </w:rPr>
            </w:pPr>
            <w:r>
              <w:rPr>
                <w:rFonts w:ascii="Lato;sans-serif" w:hAnsi="Lato;sans-serif"/>
                <w:b/>
                <w:color w:val="000000"/>
                <w:sz w:val="20"/>
              </w:rPr>
              <w:t>428.5</w:t>
            </w:r>
          </w:p>
        </w:tc>
        <w:tc>
          <w:tcPr>
            <w:tcW w:w="4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0"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Lato;sans-serif" w:hAnsi="Lato;sans-serif"/>
                <w:b/>
                <w:color w:val="000000"/>
                <w:sz w:val="20"/>
              </w:rPr>
            </w:pPr>
            <w:r>
              <w:rPr>
                <w:rFonts w:ascii="Lato;sans-serif" w:hAnsi="Lato;sans-serif"/>
                <w:b/>
                <w:color w:val="000000"/>
                <w:sz w:val="20"/>
              </w:rPr>
              <w:t>$</w:t>
            </w:r>
          </w:p>
        </w:tc>
        <w:tc>
          <w:tcPr>
            <w:tcW w:w="772" w:type="dxa"/>
            <w:gridSpan w:val="2"/>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Lato;sans-serif" w:hAnsi="Lato;sans-serif"/>
                <w:b/>
                <w:color w:val="000000"/>
                <w:sz w:val="20"/>
              </w:rPr>
            </w:pPr>
            <w:r>
              <w:rPr>
                <w:rFonts w:ascii="Lato;sans-serif" w:hAnsi="Lato;sans-serif"/>
                <w:b/>
                <w:color w:val="000000"/>
                <w:sz w:val="20"/>
              </w:rPr>
              <w:t>498.6</w:t>
            </w:r>
          </w:p>
        </w:tc>
      </w:tr>
    </w:tbl>
    <w:tbl>
      <w:tblPr>
        <w:tblW w:w="10205" w:type="dxa"/>
        <w:jc w:val="left"/>
        <w:tblInd w:w="0" w:type="dxa"/>
        <w:tblLayout w:type="fixed"/>
        <w:tblCellMar>
          <w:top w:w="28" w:type="dxa"/>
          <w:left w:w="28" w:type="dxa"/>
          <w:bottom w:w="28" w:type="dxa"/>
          <w:right w:w="28" w:type="dxa"/>
        </w:tblCellMar>
      </w:tblPr>
      <w:tblGrid>
        <w:gridCol w:w="2161"/>
        <w:gridCol w:w="1857"/>
        <w:gridCol w:w="1828"/>
        <w:gridCol w:w="266"/>
        <w:gridCol w:w="247"/>
        <w:gridCol w:w="684"/>
        <w:gridCol w:w="119"/>
        <w:gridCol w:w="119"/>
        <w:gridCol w:w="119"/>
        <w:gridCol w:w="266"/>
        <w:gridCol w:w="247"/>
        <w:gridCol w:w="684"/>
        <w:gridCol w:w="119"/>
        <w:gridCol w:w="119"/>
        <w:gridCol w:w="119"/>
        <w:gridCol w:w="266"/>
        <w:gridCol w:w="233"/>
        <w:gridCol w:w="752"/>
      </w:tblGrid>
      <w:tr>
        <w:trPr/>
        <w:tc>
          <w:tcPr>
            <w:tcW w:w="2161" w:type="dxa"/>
            <w:tcBorders/>
            <w:vAlign w:val="center"/>
          </w:tcPr>
          <w:p>
            <w:pPr>
              <w:pStyle w:val="TableContents"/>
              <w:bidi w:val="0"/>
              <w:spacing w:before="0" w:after="283"/>
              <w:jc w:val="left"/>
              <w:rPr>
                <w:sz w:val="4"/>
                <w:szCs w:val="4"/>
              </w:rPr>
            </w:pPr>
            <w:r>
              <w:rPr>
                <w:sz w:val="4"/>
                <w:szCs w:val="4"/>
              </w:rPr>
            </w:r>
          </w:p>
        </w:tc>
        <w:tc>
          <w:tcPr>
            <w:tcW w:w="1857" w:type="dxa"/>
            <w:tcBorders/>
            <w:vAlign w:val="center"/>
          </w:tcPr>
          <w:p>
            <w:pPr>
              <w:pStyle w:val="TableContents"/>
              <w:bidi w:val="0"/>
              <w:spacing w:before="0" w:after="283"/>
              <w:jc w:val="left"/>
              <w:rPr>
                <w:sz w:val="4"/>
                <w:szCs w:val="4"/>
              </w:rPr>
            </w:pPr>
            <w:r>
              <w:rPr>
                <w:sz w:val="4"/>
                <w:szCs w:val="4"/>
              </w:rPr>
            </w:r>
          </w:p>
        </w:tc>
        <w:tc>
          <w:tcPr>
            <w:tcW w:w="1828"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684"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684"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752" w:type="dxa"/>
            <w:tcBorders/>
            <w:vAlign w:val="center"/>
          </w:tcPr>
          <w:p>
            <w:pPr>
              <w:pStyle w:val="TableContents"/>
              <w:bidi w:val="0"/>
              <w:spacing w:before="0" w:after="283"/>
              <w:jc w:val="left"/>
              <w:rPr>
                <w:sz w:val="4"/>
                <w:szCs w:val="4"/>
              </w:rPr>
            </w:pPr>
            <w:r>
              <w:rPr>
                <w:sz w:val="4"/>
                <w:szCs w:val="4"/>
              </w:rPr>
            </w:r>
          </w:p>
        </w:tc>
      </w:tr>
      <w:tr>
        <w:trPr/>
        <w:tc>
          <w:tcPr>
            <w:tcW w:w="5846" w:type="dxa"/>
            <w:gridSpan w:val="3"/>
            <w:tcBorders/>
            <w:shd w:fill="F4423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9" w:type="dxa"/>
            <w:gridSpan w:val="15"/>
            <w:tcBorders/>
            <w:shd w:fill="F44238" w:val="clear"/>
            <w:tcMar>
              <w:top w:w="0" w:type="dxa"/>
              <w:left w:w="0" w:type="dxa"/>
              <w:bottom w:w="0" w:type="dxa"/>
              <w:right w:w="0" w:type="dxa"/>
            </w:tcMar>
            <w:vAlign w:val="center"/>
          </w:tcPr>
          <w:p>
            <w:pPr>
              <w:pStyle w:val="TableContents"/>
              <w:bidi w:val="0"/>
              <w:spacing w:lineRule="auto" w:line="240" w:before="0" w:after="283"/>
              <w:jc w:val="center"/>
              <w:rPr>
                <w:rFonts w:ascii="Lato;sans-serif" w:hAnsi="Lato;sans-serif"/>
                <w:b/>
                <w:color w:val="FFFFFF"/>
                <w:sz w:val="20"/>
              </w:rPr>
            </w:pPr>
            <w:r>
              <w:rPr>
                <w:rFonts w:ascii="Lato;sans-serif" w:hAnsi="Lato;sans-serif"/>
                <w:b/>
                <w:color w:val="FFFFFF"/>
                <w:sz w:val="20"/>
              </w:rPr>
              <w:t>Year Ended December 31,</w:t>
            </w:r>
          </w:p>
        </w:tc>
      </w:tr>
      <w:tr>
        <w:trPr/>
        <w:tc>
          <w:tcPr>
            <w:tcW w:w="5846" w:type="dxa"/>
            <w:gridSpan w:val="3"/>
            <w:tcBorders/>
            <w:shd w:fill="F44238" w:val="clear"/>
            <w:tcMar>
              <w:top w:w="0" w:type="dxa"/>
              <w:left w:w="0" w:type="dxa"/>
              <w:bottom w:w="0" w:type="dxa"/>
              <w:right w:w="0" w:type="dxa"/>
            </w:tcMar>
            <w:vAlign w:val="center"/>
          </w:tcPr>
          <w:p>
            <w:pPr>
              <w:pStyle w:val="TableContents"/>
              <w:bidi w:val="0"/>
              <w:spacing w:lineRule="auto" w:line="240" w:before="0" w:after="0"/>
              <w:jc w:val="left"/>
              <w:rPr>
                <w:rFonts w:ascii="Lato;sans-serif" w:hAnsi="Lato;sans-serif"/>
                <w:b w:val="false"/>
                <w:i/>
                <w:color w:val="FFFFFF"/>
                <w:sz w:val="16"/>
              </w:rPr>
            </w:pPr>
            <w:r>
              <w:rPr>
                <w:rFonts w:ascii="Lato;sans-serif" w:hAnsi="Lato;sans-serif"/>
                <w:b w:val="false"/>
                <w:i/>
                <w:color w:val="FFFFFF"/>
                <w:sz w:val="16"/>
              </w:rPr>
              <w:t>($ in millions)</w:t>
            </w:r>
          </w:p>
        </w:tc>
        <w:tc>
          <w:tcPr>
            <w:tcW w:w="1197" w:type="dxa"/>
            <w:gridSpan w:val="3"/>
            <w:tcBorders/>
            <w:shd w:fill="F44238" w:val="clear"/>
            <w:tcMar>
              <w:top w:w="0" w:type="dxa"/>
              <w:left w:w="0" w:type="dxa"/>
              <w:bottom w:w="0" w:type="dxa"/>
              <w:right w:w="0" w:type="dxa"/>
            </w:tcMar>
            <w:vAlign w:val="center"/>
          </w:tcPr>
          <w:p>
            <w:pPr>
              <w:pStyle w:val="TableContents"/>
              <w:bidi w:val="0"/>
              <w:spacing w:lineRule="auto" w:line="240" w:before="0" w:after="283"/>
              <w:jc w:val="center"/>
              <w:rPr>
                <w:rFonts w:ascii="Lato;sans-serif" w:hAnsi="Lato;sans-serif"/>
                <w:b/>
                <w:color w:val="FFFFFF"/>
                <w:sz w:val="20"/>
              </w:rPr>
            </w:pPr>
            <w:r>
              <w:rPr>
                <w:rFonts w:ascii="Lato;sans-serif" w:hAnsi="Lato;sans-serif"/>
                <w:b/>
                <w:color w:val="FFFFFF"/>
                <w:sz w:val="20"/>
              </w:rPr>
              <w:t>2025</w:t>
            </w:r>
          </w:p>
        </w:tc>
        <w:tc>
          <w:tcPr>
            <w:tcW w:w="357" w:type="dxa"/>
            <w:gridSpan w:val="3"/>
            <w:tcBorders/>
            <w:shd w:fill="F4423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3"/>
            <w:tcBorders/>
            <w:shd w:fill="F44238" w:val="clear"/>
            <w:tcMar>
              <w:top w:w="0" w:type="dxa"/>
              <w:left w:w="0" w:type="dxa"/>
              <w:bottom w:w="0" w:type="dxa"/>
              <w:right w:w="0" w:type="dxa"/>
            </w:tcMar>
            <w:vAlign w:val="center"/>
          </w:tcPr>
          <w:p>
            <w:pPr>
              <w:pStyle w:val="TableContents"/>
              <w:bidi w:val="0"/>
              <w:spacing w:lineRule="auto" w:line="240" w:before="0" w:after="0"/>
              <w:jc w:val="center"/>
              <w:rPr>
                <w:rFonts w:ascii="Lato;sans-serif" w:hAnsi="Lato;sans-serif"/>
                <w:b/>
                <w:color w:val="FFFFFF"/>
                <w:sz w:val="20"/>
              </w:rPr>
            </w:pPr>
            <w:r>
              <w:rPr>
                <w:rFonts w:ascii="Lato;sans-serif" w:hAnsi="Lato;sans-serif"/>
                <w:b/>
                <w:color w:val="FFFFFF"/>
                <w:sz w:val="20"/>
              </w:rPr>
              <w:t>2024</w:t>
            </w:r>
          </w:p>
        </w:tc>
        <w:tc>
          <w:tcPr>
            <w:tcW w:w="357" w:type="dxa"/>
            <w:gridSpan w:val="3"/>
            <w:tcBorders/>
            <w:shd w:fill="F4423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1" w:type="dxa"/>
            <w:gridSpan w:val="3"/>
            <w:tcBorders/>
            <w:shd w:fill="F44238" w:val="clear"/>
            <w:tcMar>
              <w:top w:w="0" w:type="dxa"/>
              <w:left w:w="0" w:type="dxa"/>
              <w:bottom w:w="0" w:type="dxa"/>
              <w:right w:w="0" w:type="dxa"/>
            </w:tcMar>
            <w:vAlign w:val="center"/>
          </w:tcPr>
          <w:p>
            <w:pPr>
              <w:pStyle w:val="TableContents"/>
              <w:bidi w:val="0"/>
              <w:spacing w:lineRule="auto" w:line="240" w:before="0" w:after="0"/>
              <w:jc w:val="center"/>
              <w:rPr>
                <w:rFonts w:ascii="Lato;sans-serif" w:hAnsi="Lato;sans-serif"/>
                <w:b/>
                <w:color w:val="FFFFFF"/>
                <w:sz w:val="20"/>
              </w:rPr>
            </w:pPr>
            <w:r>
              <w:rPr>
                <w:rFonts w:ascii="Lato;sans-serif" w:hAnsi="Lato;sans-serif"/>
                <w:b/>
                <w:color w:val="FFFFFF"/>
                <w:sz w:val="20"/>
              </w:rPr>
              <w:t>2023</w:t>
            </w:r>
          </w:p>
        </w:tc>
      </w:tr>
      <w:tr>
        <w:trPr/>
        <w:tc>
          <w:tcPr>
            <w:tcW w:w="58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color w:val="000000"/>
                <w:sz w:val="20"/>
              </w:rPr>
            </w:pPr>
            <w:r>
              <w:rPr>
                <w:rFonts w:ascii="Lato;sans-serif" w:hAnsi="Lato;sans-serif"/>
                <w:b/>
                <w:color w:val="000000"/>
                <w:sz w:val="20"/>
              </w:rPr>
              <w:t>Revenue (GAAP)</w:t>
            </w:r>
          </w:p>
        </w:tc>
        <w:tc>
          <w:tcPr>
            <w:tcW w:w="266"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Lato;sans-serif" w:hAnsi="Lato;sans-serif"/>
                <w:b/>
                <w:color w:val="000000"/>
                <w:sz w:val="20"/>
              </w:rPr>
            </w:pPr>
            <w:r>
              <w:rPr>
                <w:rFonts w:ascii="Lato;sans-serif" w:hAnsi="Lato;sans-serif"/>
                <w:b/>
                <w:color w:val="000000"/>
                <w:sz w:val="20"/>
              </w:rPr>
              <w:t>$</w:t>
            </w:r>
          </w:p>
        </w:tc>
        <w:tc>
          <w:tcPr>
            <w:tcW w:w="931" w:type="dxa"/>
            <w:gridSpan w:val="2"/>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Lato;sans-serif" w:hAnsi="Lato;sans-serif"/>
                <w:b/>
                <w:color w:val="000000"/>
                <w:sz w:val="20"/>
              </w:rPr>
            </w:pPr>
            <w:r>
              <w:rPr>
                <w:rFonts w:ascii="Lato;sans-serif" w:hAnsi="Lato;sans-serif"/>
                <w:b/>
                <w:color w:val="000000"/>
                <w:sz w:val="20"/>
              </w:rPr>
              <w:t>1,249.5</w:t>
            </w:r>
          </w:p>
        </w:tc>
        <w:tc>
          <w:tcPr>
            <w:tcW w:w="35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Lato;sans-serif" w:hAnsi="Lato;sans-serif"/>
                <w:b/>
                <w:color w:val="000000"/>
                <w:sz w:val="20"/>
              </w:rPr>
            </w:pPr>
            <w:r>
              <w:rPr>
                <w:rFonts w:ascii="Lato;sans-serif" w:hAnsi="Lato;sans-serif"/>
                <w:b/>
                <w:color w:val="000000"/>
                <w:sz w:val="20"/>
              </w:rPr>
              <w:t>$</w:t>
            </w:r>
          </w:p>
        </w:tc>
        <w:tc>
          <w:tcPr>
            <w:tcW w:w="931" w:type="dxa"/>
            <w:gridSpan w:val="2"/>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Lato;sans-serif" w:hAnsi="Lato;sans-serif"/>
                <w:b/>
                <w:color w:val="000000"/>
                <w:sz w:val="20"/>
              </w:rPr>
            </w:pPr>
            <w:r>
              <w:rPr>
                <w:rFonts w:ascii="Lato;sans-serif" w:hAnsi="Lato;sans-serif"/>
                <w:b/>
                <w:color w:val="000000"/>
                <w:sz w:val="20"/>
              </w:rPr>
              <w:t>1,214.3</w:t>
            </w:r>
          </w:p>
        </w:tc>
        <w:tc>
          <w:tcPr>
            <w:tcW w:w="35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Lato;sans-serif" w:hAnsi="Lato;sans-serif"/>
                <w:b/>
                <w:color w:val="000000"/>
                <w:sz w:val="20"/>
              </w:rPr>
            </w:pPr>
            <w:r>
              <w:rPr>
                <w:rFonts w:ascii="Lato;sans-serif" w:hAnsi="Lato;sans-serif"/>
                <w:b/>
                <w:color w:val="000000"/>
                <w:sz w:val="20"/>
              </w:rPr>
              <w:t>$</w:t>
            </w:r>
          </w:p>
        </w:tc>
        <w:tc>
          <w:tcPr>
            <w:tcW w:w="985" w:type="dxa"/>
            <w:gridSpan w:val="2"/>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Lato;sans-serif" w:hAnsi="Lato;sans-serif"/>
                <w:b/>
                <w:color w:val="000000"/>
                <w:sz w:val="20"/>
              </w:rPr>
            </w:pPr>
            <w:r>
              <w:rPr>
                <w:rFonts w:ascii="Lato;sans-serif" w:hAnsi="Lato;sans-serif"/>
                <w:b/>
                <w:color w:val="000000"/>
                <w:sz w:val="20"/>
              </w:rPr>
              <w:t>1,239.5</w:t>
            </w:r>
          </w:p>
        </w:tc>
      </w:tr>
      <w:tr>
        <w:trPr/>
        <w:tc>
          <w:tcPr>
            <w:tcW w:w="5846"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20"/>
              </w:rPr>
            </w:pPr>
            <w:r>
              <w:rPr>
                <w:rFonts w:ascii="Lato;sans-serif" w:hAnsi="Lato;sans-serif"/>
                <w:b w:val="false"/>
                <w:color w:val="000000"/>
                <w:sz w:val="20"/>
              </w:rPr>
              <w:t>Impact of fair value adjustments to acquired unearned revenue</w:t>
            </w:r>
          </w:p>
        </w:tc>
        <w:tc>
          <w:tcPr>
            <w:tcW w:w="1197"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5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5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1"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20"/>
              </w:rPr>
            </w:pPr>
            <w:r>
              <w:rPr>
                <w:rFonts w:ascii="Lato;sans-serif" w:hAnsi="Lato;sans-serif"/>
                <w:b w:val="false"/>
                <w:color w:val="000000"/>
                <w:sz w:val="20"/>
              </w:rPr>
              <w:t>0.2</w:t>
            </w:r>
          </w:p>
        </w:tc>
      </w:tr>
      <w:tr>
        <w:trPr/>
        <w:tc>
          <w:tcPr>
            <w:tcW w:w="58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color w:val="000000"/>
                <w:sz w:val="20"/>
              </w:rPr>
            </w:pPr>
            <w:r>
              <w:rPr>
                <w:rFonts w:ascii="Lato;sans-serif" w:hAnsi="Lato;sans-serif"/>
                <w:b/>
                <w:color w:val="000000"/>
                <w:sz w:val="20"/>
              </w:rPr>
              <w:t>Revenue for adjusted operating margin calculation (Non-GAAP)</w:t>
            </w:r>
          </w:p>
        </w:tc>
        <w:tc>
          <w:tcPr>
            <w:tcW w:w="266"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Lato;sans-serif" w:hAnsi="Lato;sans-serif"/>
                <w:b/>
                <w:color w:val="000000"/>
                <w:sz w:val="20"/>
              </w:rPr>
            </w:pPr>
            <w:r>
              <w:rPr>
                <w:rFonts w:ascii="Lato;sans-serif" w:hAnsi="Lato;sans-serif"/>
                <w:b/>
                <w:color w:val="000000"/>
                <w:sz w:val="20"/>
              </w:rPr>
              <w:t>$</w:t>
            </w:r>
          </w:p>
        </w:tc>
        <w:tc>
          <w:tcPr>
            <w:tcW w:w="931"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Lato;sans-serif" w:hAnsi="Lato;sans-serif"/>
                <w:b/>
                <w:color w:val="000000"/>
                <w:sz w:val="20"/>
              </w:rPr>
            </w:pPr>
            <w:r>
              <w:rPr>
                <w:rFonts w:ascii="Lato;sans-serif" w:hAnsi="Lato;sans-serif"/>
                <w:b/>
                <w:color w:val="000000"/>
                <w:sz w:val="20"/>
              </w:rPr>
              <w:t>1,249.5</w:t>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Lato;sans-serif" w:hAnsi="Lato;sans-serif"/>
                <w:b/>
                <w:color w:val="000000"/>
                <w:sz w:val="20"/>
              </w:rPr>
            </w:pPr>
            <w:r>
              <w:rPr>
                <w:rFonts w:ascii="Lato;sans-serif" w:hAnsi="Lato;sans-serif"/>
                <w:b/>
                <w:color w:val="000000"/>
                <w:sz w:val="20"/>
              </w:rPr>
              <w:t>$</w:t>
            </w:r>
          </w:p>
        </w:tc>
        <w:tc>
          <w:tcPr>
            <w:tcW w:w="931"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Lato;sans-serif" w:hAnsi="Lato;sans-serif"/>
                <w:b/>
                <w:color w:val="000000"/>
                <w:sz w:val="20"/>
              </w:rPr>
            </w:pPr>
            <w:r>
              <w:rPr>
                <w:rFonts w:ascii="Lato;sans-serif" w:hAnsi="Lato;sans-serif"/>
                <w:b/>
                <w:color w:val="000000"/>
                <w:sz w:val="20"/>
              </w:rPr>
              <w:t>1,214.3</w:t>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Lato;sans-serif" w:hAnsi="Lato;sans-serif"/>
                <w:b/>
                <w:color w:val="000000"/>
                <w:sz w:val="20"/>
              </w:rPr>
            </w:pPr>
            <w:r>
              <w:rPr>
                <w:rFonts w:ascii="Lato;sans-serif" w:hAnsi="Lato;sans-serif"/>
                <w:b/>
                <w:color w:val="000000"/>
                <w:sz w:val="20"/>
              </w:rPr>
              <w:t>$</w:t>
            </w:r>
          </w:p>
        </w:tc>
        <w:tc>
          <w:tcPr>
            <w:tcW w:w="985"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Lato;sans-serif" w:hAnsi="Lato;sans-serif"/>
                <w:b/>
                <w:color w:val="000000"/>
                <w:sz w:val="20"/>
              </w:rPr>
            </w:pPr>
            <w:r>
              <w:rPr>
                <w:rFonts w:ascii="Lato;sans-serif" w:hAnsi="Lato;sans-serif"/>
                <w:b/>
                <w:color w:val="000000"/>
                <w:sz w:val="20"/>
              </w:rPr>
              <w:t>1,239.7</w:t>
            </w:r>
          </w:p>
        </w:tc>
      </w:tr>
      <w:tr>
        <w:trPr/>
        <w:tc>
          <w:tcPr>
            <w:tcW w:w="5846"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3"/>
            <w:tcBorders>
              <w:top w:val="doub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3"/>
            <w:tcBorders>
              <w:top w:val="doub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1" w:type="dxa"/>
            <w:gridSpan w:val="3"/>
            <w:tcBorders>
              <w:top w:val="doub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color w:val="000000"/>
                <w:sz w:val="20"/>
              </w:rPr>
            </w:pPr>
            <w:r>
              <w:rPr>
                <w:rFonts w:ascii="Lato;sans-serif" w:hAnsi="Lato;sans-serif"/>
                <w:b/>
                <w:color w:val="000000"/>
                <w:sz w:val="20"/>
              </w:rPr>
              <w:t>Operating Income Margin (GAAP)</w:t>
            </w:r>
          </w:p>
        </w:tc>
        <w:tc>
          <w:tcPr>
            <w:tcW w:w="5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Lato;sans-serif" w:hAnsi="Lato;sans-serif"/>
                <w:b/>
                <w:color w:val="000000"/>
                <w:sz w:val="20"/>
              </w:rPr>
              <w:t>18</w:t>
            </w:r>
            <w:r>
              <w:rPr>
                <w:color w:val="000000"/>
              </w:rPr>
              <w:t> </w:t>
            </w:r>
          </w:p>
        </w:tc>
        <w:tc>
          <w:tcPr>
            <w:tcW w:w="68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color w:val="000000"/>
                <w:sz w:val="20"/>
              </w:rPr>
            </w:pPr>
            <w:r>
              <w:rPr>
                <w:rFonts w:ascii="Lato;sans-serif" w:hAnsi="Lato;sans-serif"/>
                <w:b/>
                <w:color w:val="000000"/>
                <w:sz w:val="20"/>
              </w:rPr>
              <w:t>%</w:t>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Lato;sans-serif" w:hAnsi="Lato;sans-serif"/>
                <w:b/>
                <w:color w:val="000000"/>
                <w:sz w:val="20"/>
              </w:rPr>
              <w:t>8</w:t>
            </w:r>
            <w:r>
              <w:rPr>
                <w:color w:val="000000"/>
              </w:rPr>
              <w:t> </w:t>
            </w:r>
          </w:p>
        </w:tc>
        <w:tc>
          <w:tcPr>
            <w:tcW w:w="68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color w:val="000000"/>
                <w:sz w:val="20"/>
              </w:rPr>
            </w:pPr>
            <w:r>
              <w:rPr>
                <w:rFonts w:ascii="Lato;sans-serif" w:hAnsi="Lato;sans-serif"/>
                <w:b/>
                <w:color w:val="000000"/>
                <w:sz w:val="20"/>
              </w:rPr>
              <w:t>%</w:t>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Lato;sans-serif" w:hAnsi="Lato;sans-serif"/>
                <w:b/>
                <w:color w:val="000000"/>
                <w:sz w:val="20"/>
              </w:rPr>
              <w:t>21</w:t>
            </w:r>
            <w:r>
              <w:rPr>
                <w:color w:val="000000"/>
              </w:rPr>
              <w:t> </w:t>
            </w:r>
          </w:p>
        </w:tc>
        <w:tc>
          <w:tcPr>
            <w:tcW w:w="75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color w:val="000000"/>
                <w:sz w:val="20"/>
              </w:rPr>
            </w:pPr>
            <w:r>
              <w:rPr>
                <w:rFonts w:ascii="Lato;sans-serif" w:hAnsi="Lato;sans-serif"/>
                <w:b/>
                <w:color w:val="000000"/>
                <w:sz w:val="20"/>
              </w:rPr>
              <w:t>%</w:t>
            </w:r>
          </w:p>
        </w:tc>
      </w:tr>
      <w:tr>
        <w:trPr/>
        <w:tc>
          <w:tcPr>
            <w:tcW w:w="5846"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color w:val="000000"/>
                <w:sz w:val="20"/>
              </w:rPr>
            </w:pPr>
            <w:r>
              <w:rPr>
                <w:rFonts w:ascii="Lato;sans-serif" w:hAnsi="Lato;sans-serif"/>
                <w:b/>
                <w:color w:val="000000"/>
                <w:sz w:val="20"/>
              </w:rPr>
              <w:t>Adjusted Operating Income Margin (Non-GAAP)</w:t>
            </w:r>
          </w:p>
        </w:tc>
        <w:tc>
          <w:tcPr>
            <w:tcW w:w="513"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pPr>
            <w:r>
              <w:rPr>
                <w:rFonts w:ascii="Lato;sans-serif" w:hAnsi="Lato;sans-serif"/>
                <w:b/>
                <w:color w:val="000000"/>
                <w:sz w:val="20"/>
              </w:rPr>
              <w:t>36</w:t>
            </w:r>
            <w:r>
              <w:rPr>
                <w:color w:val="000000"/>
              </w:rPr>
              <w:t> </w:t>
            </w:r>
          </w:p>
        </w:tc>
        <w:tc>
          <w:tcPr>
            <w:tcW w:w="684"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color w:val="000000"/>
                <w:sz w:val="20"/>
              </w:rPr>
            </w:pPr>
            <w:r>
              <w:rPr>
                <w:rFonts w:ascii="Lato;sans-serif" w:hAnsi="Lato;sans-serif"/>
                <w:b/>
                <w:color w:val="000000"/>
                <w:sz w:val="20"/>
              </w:rPr>
              <w:t>%</w:t>
            </w:r>
          </w:p>
        </w:tc>
        <w:tc>
          <w:tcPr>
            <w:tcW w:w="35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pPr>
            <w:r>
              <w:rPr>
                <w:rFonts w:ascii="Lato;sans-serif" w:hAnsi="Lato;sans-serif"/>
                <w:b/>
                <w:color w:val="000000"/>
                <w:sz w:val="20"/>
              </w:rPr>
              <w:t>35</w:t>
            </w:r>
            <w:r>
              <w:rPr>
                <w:color w:val="000000"/>
              </w:rPr>
              <w:t> </w:t>
            </w:r>
          </w:p>
        </w:tc>
        <w:tc>
          <w:tcPr>
            <w:tcW w:w="684"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color w:val="000000"/>
                <w:sz w:val="20"/>
              </w:rPr>
            </w:pPr>
            <w:r>
              <w:rPr>
                <w:rFonts w:ascii="Lato;sans-serif" w:hAnsi="Lato;sans-serif"/>
                <w:b/>
                <w:color w:val="000000"/>
                <w:sz w:val="20"/>
              </w:rPr>
              <w:t>%</w:t>
            </w:r>
          </w:p>
        </w:tc>
        <w:tc>
          <w:tcPr>
            <w:tcW w:w="35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9"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pPr>
            <w:r>
              <w:rPr>
                <w:rFonts w:ascii="Lato;sans-serif" w:hAnsi="Lato;sans-serif"/>
                <w:b/>
                <w:color w:val="000000"/>
                <w:sz w:val="20"/>
              </w:rPr>
              <w:t>40</w:t>
            </w:r>
            <w:r>
              <w:rPr>
                <w:color w:val="000000"/>
              </w:rPr>
              <w:t> </w:t>
            </w:r>
          </w:p>
        </w:tc>
        <w:tc>
          <w:tcPr>
            <w:tcW w:w="752"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color w:val="000000"/>
                <w:sz w:val="20"/>
              </w:rPr>
            </w:pPr>
            <w:r>
              <w:rPr>
                <w:rFonts w:ascii="Lato;sans-serif" w:hAnsi="Lato;sans-serif"/>
                <w:b/>
                <w:color w:val="000000"/>
                <w:sz w:val="20"/>
              </w:rPr>
              <w:t>%</w:t>
            </w:r>
          </w:p>
        </w:tc>
      </w:tr>
    </w:tbl>
    <w:p>
      <w:pPr>
        <w:pStyle w:val="TextBody"/>
        <w:bidi w:val="0"/>
        <w:spacing w:lineRule="auto" w:line="288" w:before="120" w:after="120"/>
        <w:jc w:val="both"/>
        <w:rPr>
          <w:rFonts w:ascii="Lato;sans-serif" w:hAnsi="Lato;sans-serif"/>
          <w:b/>
          <w:color w:val="000000"/>
          <w:sz w:val="20"/>
        </w:rPr>
      </w:pPr>
      <w:r>
        <w:rPr>
          <w:rFonts w:ascii="Lato;sans-serif" w:hAnsi="Lato;sans-serif"/>
          <w:b/>
          <w:color w:val="000000"/>
          <w:sz w:val="20"/>
        </w:rPr>
        <w:t>Reconciliation from GAAP Operating Cash Flow to Unlevered Free Cash Flow (FY 2025)</w:t>
      </w:r>
    </w:p>
    <w:tbl>
      <w:tblPr>
        <w:tblW w:w="7161" w:type="dxa"/>
        <w:jc w:val="left"/>
        <w:tblInd w:w="0" w:type="dxa"/>
        <w:tblLayout w:type="fixed"/>
        <w:tblCellMar>
          <w:top w:w="28" w:type="dxa"/>
          <w:left w:w="28" w:type="dxa"/>
          <w:bottom w:w="28" w:type="dxa"/>
          <w:right w:w="28" w:type="dxa"/>
        </w:tblCellMar>
      </w:tblPr>
      <w:tblGrid>
        <w:gridCol w:w="2166"/>
        <w:gridCol w:w="1907"/>
        <w:gridCol w:w="1912"/>
        <w:gridCol w:w="241"/>
        <w:gridCol w:w="781"/>
        <w:gridCol w:w="154"/>
      </w:tblGrid>
      <w:tr>
        <w:trPr/>
        <w:tc>
          <w:tcPr>
            <w:tcW w:w="2166" w:type="dxa"/>
            <w:tcBorders/>
            <w:vAlign w:val="center"/>
          </w:tcPr>
          <w:p>
            <w:pPr>
              <w:pStyle w:val="TableContents"/>
              <w:bidi w:val="0"/>
              <w:spacing w:before="0" w:after="283"/>
              <w:jc w:val="left"/>
              <w:rPr>
                <w:sz w:val="4"/>
                <w:szCs w:val="4"/>
              </w:rPr>
            </w:pPr>
            <w:r>
              <w:rPr>
                <w:sz w:val="4"/>
                <w:szCs w:val="4"/>
              </w:rPr>
            </w:r>
          </w:p>
        </w:tc>
        <w:tc>
          <w:tcPr>
            <w:tcW w:w="1907" w:type="dxa"/>
            <w:tcBorders/>
            <w:vAlign w:val="center"/>
          </w:tcPr>
          <w:p>
            <w:pPr>
              <w:pStyle w:val="TableContents"/>
              <w:bidi w:val="0"/>
              <w:spacing w:before="0" w:after="283"/>
              <w:jc w:val="left"/>
              <w:rPr>
                <w:sz w:val="4"/>
                <w:szCs w:val="4"/>
              </w:rPr>
            </w:pPr>
            <w:r>
              <w:rPr>
                <w:sz w:val="4"/>
                <w:szCs w:val="4"/>
              </w:rPr>
            </w:r>
          </w:p>
        </w:tc>
        <w:tc>
          <w:tcPr>
            <w:tcW w:w="1912"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985" w:type="dxa"/>
            <w:gridSpan w:val="3"/>
            <w:tcBorders/>
            <w:shd w:fill="F44238" w:val="clear"/>
            <w:tcMar>
              <w:top w:w="0" w:type="dxa"/>
              <w:left w:w="0" w:type="dxa"/>
              <w:bottom w:w="0" w:type="dxa"/>
              <w:right w:w="0" w:type="dxa"/>
            </w:tcMar>
            <w:vAlign w:val="center"/>
          </w:tcPr>
          <w:p>
            <w:pPr>
              <w:pStyle w:val="TableContents"/>
              <w:bidi w:val="0"/>
              <w:spacing w:lineRule="auto" w:line="240" w:before="0" w:after="0"/>
              <w:jc w:val="left"/>
              <w:rPr>
                <w:rFonts w:ascii="Lato;sans-serif" w:hAnsi="Lato;sans-serif"/>
                <w:b w:val="false"/>
                <w:i/>
                <w:color w:val="FFFFFF"/>
                <w:sz w:val="16"/>
              </w:rPr>
            </w:pPr>
            <w:r>
              <w:rPr>
                <w:rFonts w:ascii="Lato;sans-serif" w:hAnsi="Lato;sans-serif"/>
                <w:b w:val="false"/>
                <w:i/>
                <w:color w:val="FFFFFF"/>
                <w:sz w:val="16"/>
              </w:rPr>
              <w:t>($ in millions)</w:t>
            </w:r>
          </w:p>
        </w:tc>
        <w:tc>
          <w:tcPr>
            <w:tcW w:w="1176" w:type="dxa"/>
            <w:gridSpan w:val="3"/>
            <w:tcBorders/>
            <w:shd w:fill="F44238" w:val="clear"/>
            <w:tcMar>
              <w:top w:w="0" w:type="dxa"/>
              <w:left w:w="0" w:type="dxa"/>
              <w:bottom w:w="0" w:type="dxa"/>
              <w:right w:w="0" w:type="dxa"/>
            </w:tcMar>
            <w:vAlign w:val="center"/>
          </w:tcPr>
          <w:p>
            <w:pPr>
              <w:pStyle w:val="TableContents"/>
              <w:bidi w:val="0"/>
              <w:spacing w:lineRule="auto" w:line="240" w:before="0" w:after="0"/>
              <w:jc w:val="center"/>
              <w:rPr>
                <w:rFonts w:ascii="Lato;sans-serif" w:hAnsi="Lato;sans-serif"/>
                <w:b/>
                <w:color w:val="FFFFFF"/>
                <w:sz w:val="20"/>
              </w:rPr>
            </w:pPr>
            <w:r>
              <w:rPr>
                <w:rFonts w:ascii="Lato;sans-serif" w:hAnsi="Lato;sans-serif"/>
                <w:b/>
                <w:color w:val="FFFFFF"/>
                <w:sz w:val="20"/>
              </w:rPr>
              <w:t>FY 2025</w:t>
            </w:r>
          </w:p>
        </w:tc>
      </w:tr>
      <w:tr>
        <w:trPr/>
        <w:tc>
          <w:tcPr>
            <w:tcW w:w="598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Lato;sans-serif" w:hAnsi="Lato;sans-serif"/>
                <w:b/>
                <w:color w:val="000000"/>
                <w:sz w:val="20"/>
              </w:rPr>
            </w:pPr>
            <w:r>
              <w:rPr>
                <w:rFonts w:ascii="Lato;sans-serif" w:hAnsi="Lato;sans-serif"/>
                <w:b/>
                <w:color w:val="000000"/>
                <w:sz w:val="20"/>
              </w:rPr>
              <w:t>Net cash provided by operating activities (GAAP)</w:t>
            </w:r>
          </w:p>
        </w:tc>
        <w:tc>
          <w:tcPr>
            <w:tcW w:w="241"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Lato;sans-serif" w:hAnsi="Lato;sans-serif"/>
                <w:b/>
                <w:color w:val="000000"/>
                <w:sz w:val="20"/>
              </w:rPr>
            </w:pPr>
            <w:r>
              <w:rPr>
                <w:rFonts w:ascii="Lato;sans-serif" w:hAnsi="Lato;sans-serif"/>
                <w:b/>
                <w:color w:val="000000"/>
                <w:sz w:val="20"/>
              </w:rPr>
              <w:t>$</w:t>
            </w:r>
          </w:p>
        </w:tc>
        <w:tc>
          <w:tcPr>
            <w:tcW w:w="781"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Lato;sans-serif" w:hAnsi="Lato;sans-serif"/>
                <w:b/>
                <w:color w:val="000000"/>
                <w:sz w:val="20"/>
              </w:rPr>
              <w:t>465.4</w:t>
            </w:r>
            <w:r>
              <w:rPr>
                <w:color w:val="000000"/>
              </w:rPr>
              <w:t> </w:t>
            </w:r>
          </w:p>
        </w:tc>
        <w:tc>
          <w:tcPr>
            <w:tcW w:w="154"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85"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20"/>
              </w:rPr>
            </w:pPr>
            <w:r>
              <w:rPr>
                <w:rFonts w:ascii="Lato;sans-serif" w:hAnsi="Lato;sans-serif"/>
                <w:b w:val="false"/>
                <w:color w:val="000000"/>
                <w:sz w:val="20"/>
              </w:rPr>
              <w:t>Purchases of property and equipment and other assets</w:t>
            </w:r>
          </w:p>
        </w:tc>
        <w:tc>
          <w:tcPr>
            <w:tcW w:w="102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20"/>
              </w:rPr>
            </w:pPr>
            <w:r>
              <w:rPr>
                <w:rFonts w:ascii="Lato;sans-serif" w:hAnsi="Lato;sans-serif"/>
                <w:b w:val="false"/>
                <w:color w:val="000000"/>
                <w:sz w:val="20"/>
              </w:rPr>
              <w:t>(76.1)</w:t>
            </w:r>
          </w:p>
        </w:tc>
        <w:tc>
          <w:tcPr>
            <w:tcW w:w="15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20"/>
              </w:rPr>
            </w:pPr>
            <w:r>
              <w:rPr>
                <w:rFonts w:ascii="Lato;sans-serif" w:hAnsi="Lato;sans-serif"/>
                <w:b w:val="false"/>
                <w:color w:val="000000"/>
                <w:sz w:val="20"/>
              </w:rPr>
              <w:t>Interest paid in cash</w:t>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20"/>
              </w:rPr>
            </w:pPr>
            <w:r>
              <w:rPr>
                <w:rFonts w:ascii="Lato;sans-serif" w:hAnsi="Lato;sans-serif"/>
                <w:b w:val="false"/>
                <w:color w:val="000000"/>
                <w:sz w:val="20"/>
              </w:rPr>
              <w:t>45.8 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85"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20"/>
              </w:rPr>
            </w:pPr>
            <w:r>
              <w:rPr>
                <w:rFonts w:ascii="Lato;sans-serif" w:hAnsi="Lato;sans-serif"/>
                <w:b w:val="false"/>
                <w:color w:val="000000"/>
                <w:sz w:val="20"/>
              </w:rPr>
              <w:t>Restructuring and transaction-related expenses paid in cash</w:t>
            </w:r>
          </w:p>
        </w:tc>
        <w:tc>
          <w:tcPr>
            <w:tcW w:w="102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20"/>
              </w:rPr>
            </w:pPr>
            <w:r>
              <w:rPr>
                <w:rFonts w:ascii="Lato;sans-serif" w:hAnsi="Lato;sans-serif"/>
                <w:b w:val="false"/>
                <w:color w:val="000000"/>
                <w:sz w:val="20"/>
              </w:rPr>
              <w:t>15.5 </w:t>
            </w:r>
          </w:p>
        </w:tc>
        <w:tc>
          <w:tcPr>
            <w:tcW w:w="15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85"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r>
      <w:tr>
        <w:trPr/>
        <w:tc>
          <w:tcPr>
            <w:tcW w:w="598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Lato;sans-serif" w:hAnsi="Lato;sans-serif"/>
                <w:b w:val="false"/>
                <w:color w:val="000000"/>
                <w:sz w:val="20"/>
              </w:rPr>
            </w:pPr>
            <w:r>
              <w:rPr>
                <w:rFonts w:ascii="Lato;sans-serif" w:hAnsi="Lato;sans-serif"/>
                <w:b w:val="false"/>
                <w:color w:val="000000"/>
                <w:sz w:val="20"/>
              </w:rPr>
              <w:t>Litigation settlement payments</w:t>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20"/>
              </w:rPr>
            </w:pPr>
            <w:r>
              <w:rPr>
                <w:rFonts w:ascii="Lato;sans-serif" w:hAnsi="Lato;sans-serif"/>
                <w:b w:val="false"/>
                <w:color w:val="000000"/>
                <w:sz w:val="20"/>
              </w:rPr>
              <w:t>4.3 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85" w:type="dxa"/>
            <w:gridSpan w:val="3"/>
            <w:tcBorders/>
            <w:shd w:fill="DBDBDB" w:val="clear"/>
            <w:tcMar>
              <w:top w:w="0" w:type="dxa"/>
              <w:left w:w="0" w:type="dxa"/>
              <w:bottom w:w="0" w:type="dxa"/>
              <w:right w:w="0" w:type="dxa"/>
            </w:tcMar>
            <w:vAlign w:val="center"/>
          </w:tcPr>
          <w:p>
            <w:pPr>
              <w:pStyle w:val="TableContents"/>
              <w:bidi w:val="0"/>
              <w:spacing w:lineRule="auto" w:line="240" w:before="0" w:after="0"/>
              <w:jc w:val="left"/>
              <w:rPr>
                <w:rFonts w:ascii="Lato;sans-serif" w:hAnsi="Lato;sans-serif"/>
                <w:b/>
                <w:color w:val="000000"/>
                <w:sz w:val="20"/>
              </w:rPr>
            </w:pPr>
            <w:r>
              <w:rPr>
                <w:rFonts w:ascii="Lato;sans-serif" w:hAnsi="Lato;sans-serif"/>
                <w:b/>
                <w:color w:val="000000"/>
                <w:sz w:val="20"/>
              </w:rPr>
              <w:t>Unlevered Free Cash Flow (Non-GAAP)</w:t>
            </w:r>
          </w:p>
        </w:tc>
        <w:tc>
          <w:tcPr>
            <w:tcW w:w="241" w:type="dxa"/>
            <w:tcBorders>
              <w:top w:val="single" w:sz="4"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left"/>
              <w:rPr>
                <w:rFonts w:ascii="Lato;sans-serif" w:hAnsi="Lato;sans-serif"/>
                <w:b/>
                <w:color w:val="000000"/>
                <w:sz w:val="20"/>
              </w:rPr>
            </w:pPr>
            <w:r>
              <w:rPr>
                <w:rFonts w:ascii="Lato;sans-serif" w:hAnsi="Lato;sans-serif"/>
                <w:b/>
                <w:color w:val="000000"/>
                <w:sz w:val="20"/>
              </w:rPr>
              <w:t>$</w:t>
            </w:r>
          </w:p>
        </w:tc>
        <w:tc>
          <w:tcPr>
            <w:tcW w:w="781" w:type="dxa"/>
            <w:tcBorders>
              <w:top w:val="single" w:sz="4"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right"/>
              <w:rPr/>
            </w:pPr>
            <w:r>
              <w:rPr>
                <w:rFonts w:ascii="Lato;sans-serif" w:hAnsi="Lato;sans-serif"/>
                <w:b/>
                <w:color w:val="000000"/>
                <w:sz w:val="20"/>
              </w:rPr>
              <w:t>454.9</w:t>
            </w:r>
            <w:r>
              <w:rPr>
                <w:color w:val="000000"/>
              </w:rPr>
              <w:t> </w:t>
            </w:r>
          </w:p>
        </w:tc>
        <w:tc>
          <w:tcPr>
            <w:tcW w:w="154" w:type="dxa"/>
            <w:tcBorders>
              <w:top w:val="single" w:sz="4"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pPr>
      <w:r>
        <w:rPr>
          <w:rFonts w:ascii="Lato;sans-serif" w:hAnsi="Lato;sans-serif"/>
          <w:b w:val="false"/>
          <w:color w:val="000000"/>
          <w:sz w:val="13"/>
        </w:rPr>
        <w:t>2</w:t>
      </w:r>
      <w:r>
        <w:rPr>
          <w:color w:val="000000"/>
        </w:rPr>
        <w:t xml:space="preserve"> </w:t>
      </w:r>
      <w:r>
        <w:rPr>
          <w:rFonts w:ascii="Lato;sans-serif" w:hAnsi="Lato;sans-serif"/>
          <w:b w:val="false"/>
          <w:color w:val="000000"/>
          <w:sz w:val="20"/>
        </w:rPr>
        <w:t>NTD: Subject to ongoing discussion re: presentation, including with respect to the definitions of FCF under the 2024 and 2025 PSU awards.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8">
                <wp:simplePos x="0" y="0"/>
                <wp:positionH relativeFrom="character">
                  <wp:align>left</wp:align>
                </wp:positionH>
                <wp:positionV relativeFrom="line">
                  <wp:posOffset>635</wp:posOffset>
                </wp:positionV>
                <wp:extent cx="6480175" cy="352425"/>
                <wp:effectExtent l="0" t="0" r="0" b="0"/>
                <wp:wrapNone/>
                <wp:docPr id="115" name="Frame98"/>
                <a:graphic xmlns:a="http://schemas.openxmlformats.org/drawingml/2006/main">
                  <a:graphicData uri="http://schemas.microsoft.com/office/word/2010/wordprocessingShape">
                    <wps:wsp>
                      <wps:cNvSpPr txBox="1"/>
                      <wps:spPr>
                        <a:xfrm>
                          <a:off x="0" y="0"/>
                          <a:ext cx="6480175" cy="352425"/>
                        </a:xfrm>
                        <a:prstGeom prst="rect"/>
                        <a:solidFill>
                          <a:srgbClr val="FFFFFF"/>
                        </a:solidFill>
                      </wps:spPr>
                      <wps:txbx>
                        <w:txbxContent>
                          <w:p>
                            <w:pPr>
                              <w:pStyle w:val="TextBody"/>
                              <w:bidi w:val="0"/>
                              <w:spacing w:lineRule="auto" w:line="288" w:before="0" w:after="0"/>
                              <w:jc w:val="center"/>
                              <w:rPr>
                                <w:rFonts w:ascii="Lato;sans-serif" w:hAnsi="Lato;sans-serif"/>
                                <w:b w:val="false"/>
                                <w:color w:val="000000"/>
                                <w:sz w:val="20"/>
                              </w:rPr>
                            </w:pPr>
                            <w:r>
                              <w:rPr>
                                <w:rFonts w:ascii="Lato;sans-serif" w:hAnsi="Lato;sans-serif"/>
                                <w:b w:val="false"/>
                                <w:color w:val="000000"/>
                                <w:sz w:val="20"/>
                              </w:rPr>
                              <w:t>92</w:t>
                            </w:r>
                          </w:p>
                          <w:p>
                            <w:pPr>
                              <w:pStyle w:val="TextBody"/>
                              <w:bidi w:val="0"/>
                              <w:spacing w:lineRule="auto" w:line="288" w:before="0" w:after="0"/>
                              <w:jc w:val="left"/>
                              <w:rPr>
                                <w:color w:val="000000"/>
                              </w:rPr>
                            </w:pPr>
                            <w:r>
                              <w:rPr>
                                <w:color w:val="000000"/>
                              </w:rPr>
                              <w:t>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Lato;sans-serif" w:hAnsi="Lato;sans-serif"/>
                          <w:b w:val="false"/>
                          <w:color w:val="000000"/>
                          <w:sz w:val="20"/>
                        </w:rPr>
                      </w:pPr>
                      <w:r>
                        <w:rPr>
                          <w:rFonts w:ascii="Lato;sans-serif" w:hAnsi="Lato;sans-serif"/>
                          <w:b w:val="false"/>
                          <w:color w:val="000000"/>
                          <w:sz w:val="20"/>
                        </w:rPr>
                        <w:t>92</w:t>
                      </w:r>
                    </w:p>
                    <w:p>
                      <w:pPr>
                        <w:pStyle w:val="TextBody"/>
                        <w:bidi w:val="0"/>
                        <w:spacing w:lineRule="auto" w:line="288" w:before="0" w:after="0"/>
                        <w:jc w:val="left"/>
                        <w:rPr>
                          <w:color w:val="000000"/>
                        </w:rPr>
                      </w:pPr>
                      <w:r>
                        <w:rPr>
                          <w:color w:val="000000"/>
                        </w:rPr>
                        <w:t>        </w:t>
                      </w:r>
                    </w:p>
                  </w:txbxContent>
                </v:textbox>
                <w10:wrap type="none"/>
              </v:rect>
            </w:pict>
          </mc:Fallback>
        </mc:AlternateContent>
      </w:r>
    </w:p>
    <w:p>
      <w:pPr>
        <w:pStyle w:val="TextBody"/>
        <w:bidi w:val="0"/>
        <w:spacing w:before="0" w:after="0"/>
        <w:jc w:val="left"/>
        <w:rPr/>
      </w:pPr>
      <w:r>
        <w:rPr/>
      </w:r>
    </w:p>
    <w:p>
      <w:pPr>
        <w:pStyle w:val="TextBody"/>
        <w:bidi w:val="0"/>
        <w:spacing w:before="0" w:after="0"/>
        <w:jc w:val="both"/>
        <w:rPr/>
      </w:pPr>
      <w:r>
        <w:rPr/>
      </w:r>
    </w:p>
    <w:tbl>
      <w:tblPr>
        <w:tblW w:w="10205" w:type="dxa"/>
        <w:jc w:val="left"/>
        <w:tblInd w:w="0" w:type="dxa"/>
        <w:tblLayout w:type="fixed"/>
        <w:tblCellMar>
          <w:top w:w="28" w:type="dxa"/>
          <w:left w:w="28" w:type="dxa"/>
          <w:bottom w:w="28" w:type="dxa"/>
          <w:right w:w="28" w:type="dxa"/>
        </w:tblCellMar>
      </w:tblPr>
      <w:tblGrid>
        <w:gridCol w:w="3297"/>
        <w:gridCol w:w="2900"/>
        <w:gridCol w:w="2906"/>
        <w:gridCol w:w="241"/>
        <w:gridCol w:w="706"/>
        <w:gridCol w:w="155"/>
      </w:tblGrid>
      <w:tr>
        <w:trPr/>
        <w:tc>
          <w:tcPr>
            <w:tcW w:w="3297" w:type="dxa"/>
            <w:tcBorders/>
            <w:vAlign w:val="center"/>
          </w:tcPr>
          <w:p>
            <w:pPr>
              <w:pStyle w:val="TableContents"/>
              <w:bidi w:val="0"/>
              <w:spacing w:before="0" w:after="283"/>
              <w:jc w:val="left"/>
              <w:rPr>
                <w:sz w:val="4"/>
                <w:szCs w:val="4"/>
              </w:rPr>
            </w:pPr>
            <w:r>
              <w:rPr>
                <w:sz w:val="4"/>
                <w:szCs w:val="4"/>
              </w:rPr>
            </w:r>
          </w:p>
        </w:tc>
        <w:tc>
          <w:tcPr>
            <w:tcW w:w="2900" w:type="dxa"/>
            <w:tcBorders/>
            <w:vAlign w:val="center"/>
          </w:tcPr>
          <w:p>
            <w:pPr>
              <w:pStyle w:val="TableContents"/>
              <w:bidi w:val="0"/>
              <w:spacing w:before="0" w:after="283"/>
              <w:jc w:val="left"/>
              <w:rPr>
                <w:sz w:val="4"/>
                <w:szCs w:val="4"/>
              </w:rPr>
            </w:pPr>
            <w:r>
              <w:rPr>
                <w:sz w:val="4"/>
                <w:szCs w:val="4"/>
              </w:rPr>
            </w:r>
          </w:p>
        </w:tc>
        <w:tc>
          <w:tcPr>
            <w:tcW w:w="290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9103" w:type="dxa"/>
            <w:gridSpan w:val="3"/>
            <w:tcBorders/>
            <w:shd w:fill="F44238"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color w:val="FFFFFF"/>
                <w:sz w:val="20"/>
              </w:rPr>
            </w:pPr>
            <w:r>
              <w:rPr>
                <w:rFonts w:ascii="Lato;sans-serif" w:hAnsi="Lato;sans-serif"/>
                <w:b/>
                <w:color w:val="FFFFFF"/>
                <w:sz w:val="20"/>
              </w:rPr>
              <w:t>Reconciliation to Adjusted Free Cash Flow Per Share with respect to the 2024 PSUs</w:t>
            </w:r>
          </w:p>
        </w:tc>
        <w:tc>
          <w:tcPr>
            <w:tcW w:w="1102" w:type="dxa"/>
            <w:gridSpan w:val="3"/>
            <w:tcBorders/>
            <w:shd w:fill="F4423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103" w:type="dxa"/>
            <w:gridSpan w:val="3"/>
            <w:tcBorders/>
            <w:shd w:fill="F44238"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i/>
                <w:color w:val="FFFFFF"/>
                <w:sz w:val="16"/>
              </w:rPr>
            </w:pPr>
            <w:r>
              <w:rPr>
                <w:rFonts w:ascii="Lato;sans-serif" w:hAnsi="Lato;sans-serif"/>
                <w:b w:val="false"/>
                <w:i/>
                <w:color w:val="FFFFFF"/>
                <w:sz w:val="16"/>
              </w:rPr>
              <w:t>($ in millions, other than per share data)</w:t>
            </w:r>
          </w:p>
        </w:tc>
        <w:tc>
          <w:tcPr>
            <w:tcW w:w="1102" w:type="dxa"/>
            <w:gridSpan w:val="3"/>
            <w:tcBorders/>
            <w:shd w:fill="F44238" w:val="clear"/>
            <w:tcMar>
              <w:top w:w="0" w:type="dxa"/>
              <w:left w:w="0" w:type="dxa"/>
              <w:bottom w:w="0" w:type="dxa"/>
              <w:right w:w="0" w:type="dxa"/>
            </w:tcMar>
            <w:vAlign w:val="center"/>
          </w:tcPr>
          <w:p>
            <w:pPr>
              <w:pStyle w:val="TableContents"/>
              <w:bidi w:val="0"/>
              <w:spacing w:lineRule="auto" w:line="240" w:before="0" w:after="0"/>
              <w:jc w:val="center"/>
              <w:rPr>
                <w:rFonts w:ascii="Lato;sans-serif" w:hAnsi="Lato;sans-serif"/>
                <w:b/>
                <w:color w:val="FFFFFF"/>
                <w:sz w:val="20"/>
              </w:rPr>
            </w:pPr>
            <w:r>
              <w:rPr>
                <w:rFonts w:ascii="Lato;sans-serif" w:hAnsi="Lato;sans-serif"/>
                <w:b/>
                <w:color w:val="FFFFFF"/>
                <w:sz w:val="20"/>
              </w:rPr>
              <w:t>FY 2025</w:t>
            </w:r>
          </w:p>
        </w:tc>
      </w:tr>
      <w:tr>
        <w:trPr/>
        <w:tc>
          <w:tcPr>
            <w:tcW w:w="9103" w:type="dxa"/>
            <w:gridSpan w:val="3"/>
            <w:tcBorders/>
            <w:shd w:fill="DBDBDB" w:val="clear"/>
            <w:tcMar>
              <w:top w:w="0" w:type="dxa"/>
              <w:left w:w="0" w:type="dxa"/>
              <w:bottom w:w="0" w:type="dxa"/>
              <w:right w:w="0" w:type="dxa"/>
            </w:tcMar>
            <w:vAlign w:val="center"/>
          </w:tcPr>
          <w:p>
            <w:pPr>
              <w:pStyle w:val="TableContents"/>
              <w:bidi w:val="0"/>
              <w:spacing w:lineRule="auto" w:line="240" w:before="0" w:after="0"/>
              <w:jc w:val="left"/>
              <w:rPr>
                <w:rFonts w:ascii="Lato;sans-serif" w:hAnsi="Lato;sans-serif"/>
                <w:b/>
                <w:color w:val="000000"/>
                <w:sz w:val="20"/>
              </w:rPr>
            </w:pPr>
            <w:r>
              <w:rPr>
                <w:rFonts w:ascii="Lato;sans-serif" w:hAnsi="Lato;sans-serif"/>
                <w:b/>
                <w:color w:val="000000"/>
                <w:sz w:val="20"/>
              </w:rPr>
              <w:t>Net cash provided by operating activities (GAAP)</w:t>
            </w:r>
          </w:p>
        </w:tc>
        <w:tc>
          <w:tcPr>
            <w:tcW w:w="947" w:type="dxa"/>
            <w:gridSpan w:val="2"/>
            <w:tcBorders>
              <w:top w:val="single" w:sz="4"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20"/>
              </w:rPr>
            </w:pPr>
            <w:r>
              <w:rPr>
                <w:rFonts w:ascii="Lato;sans-serif" w:hAnsi="Lato;sans-serif"/>
                <w:b w:val="false"/>
                <w:color w:val="000000"/>
                <w:sz w:val="20"/>
              </w:rPr>
              <w:t>465.4 </w:t>
            </w:r>
          </w:p>
        </w:tc>
        <w:tc>
          <w:tcPr>
            <w:tcW w:w="155" w:type="dxa"/>
            <w:tcBorders>
              <w:top w:val="single" w:sz="4"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1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20"/>
              </w:rPr>
            </w:pPr>
            <w:r>
              <w:rPr>
                <w:rFonts w:ascii="Lato;sans-serif" w:hAnsi="Lato;sans-serif"/>
                <w:b w:val="false"/>
                <w:color w:val="000000"/>
                <w:sz w:val="20"/>
              </w:rPr>
              <w:t>Less: Purchases of property and equipment and other assets</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20"/>
              </w:rPr>
            </w:pPr>
            <w:r>
              <w:rPr>
                <w:rFonts w:ascii="Lato;sans-serif" w:hAnsi="Lato;sans-serif"/>
                <w:b w:val="false"/>
                <w:color w:val="000000"/>
                <w:sz w:val="20"/>
              </w:rPr>
              <w:t>(76.1)</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103"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20"/>
              </w:rPr>
            </w:pPr>
            <w:r>
              <w:rPr>
                <w:rFonts w:ascii="Lato;sans-serif" w:hAnsi="Lato;sans-serif"/>
                <w:b w:val="false"/>
                <w:color w:val="000000"/>
                <w:sz w:val="20"/>
              </w:rPr>
              <w:t>Free Cash Flow (Non-GAAP)</w:t>
            </w:r>
          </w:p>
        </w:tc>
        <w:tc>
          <w:tcPr>
            <w:tcW w:w="241" w:type="dxa"/>
            <w:tcBorders>
              <w:top w:val="single" w:sz="4"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20"/>
              </w:rPr>
            </w:pPr>
            <w:r>
              <w:rPr>
                <w:rFonts w:ascii="Lato;sans-serif" w:hAnsi="Lato;sans-serif"/>
                <w:b w:val="false"/>
                <w:color w:val="000000"/>
                <w:sz w:val="20"/>
              </w:rPr>
              <w:t>$</w:t>
            </w:r>
          </w:p>
        </w:tc>
        <w:tc>
          <w:tcPr>
            <w:tcW w:w="706" w:type="dxa"/>
            <w:tcBorders>
              <w:top w:val="single" w:sz="4"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20"/>
              </w:rPr>
            </w:pPr>
            <w:r>
              <w:rPr>
                <w:rFonts w:ascii="Lato;sans-serif" w:hAnsi="Lato;sans-serif"/>
                <w:b w:val="false"/>
                <w:color w:val="000000"/>
                <w:sz w:val="20"/>
              </w:rPr>
              <w:t>389.3 </w:t>
            </w:r>
          </w:p>
        </w:tc>
        <w:tc>
          <w:tcPr>
            <w:tcW w:w="155" w:type="dxa"/>
            <w:tcBorders>
              <w:top w:val="single" w:sz="4"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1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20"/>
              </w:rPr>
            </w:pPr>
            <w:r>
              <w:rPr>
                <w:rFonts w:ascii="Lato;sans-serif" w:hAnsi="Lato;sans-serif"/>
                <w:b w:val="false"/>
                <w:color w:val="000000"/>
                <w:sz w:val="20"/>
              </w:rPr>
              <w:t>Adjusted Weighted Average Shares Outstanding (after giving effect to share repurchases)</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20"/>
              </w:rPr>
            </w:pPr>
            <w:r>
              <w:rPr>
                <w:rFonts w:ascii="Lato;sans-serif" w:hAnsi="Lato;sans-serif"/>
                <w:b w:val="false"/>
                <w:color w:val="000000"/>
                <w:sz w:val="20"/>
              </w:rPr>
              <w:t>360.8 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103"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color w:val="000000"/>
                <w:sz w:val="20"/>
              </w:rPr>
            </w:pPr>
            <w:r>
              <w:rPr>
                <w:rFonts w:ascii="Lato;sans-serif" w:hAnsi="Lato;sans-serif"/>
                <w:b/>
                <w:color w:val="000000"/>
                <w:sz w:val="20"/>
              </w:rPr>
              <w:t>Adjusted Free Cash Flow Per Share</w:t>
            </w:r>
          </w:p>
        </w:tc>
        <w:tc>
          <w:tcPr>
            <w:tcW w:w="241" w:type="dxa"/>
            <w:tcBorders>
              <w:top w:val="single" w:sz="4"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left"/>
              <w:rPr>
                <w:rFonts w:ascii="Lato;sans-serif" w:hAnsi="Lato;sans-serif"/>
                <w:b/>
                <w:color w:val="000000"/>
                <w:sz w:val="20"/>
              </w:rPr>
            </w:pPr>
            <w:r>
              <w:rPr>
                <w:rFonts w:ascii="Lato;sans-serif" w:hAnsi="Lato;sans-serif"/>
                <w:b/>
                <w:color w:val="000000"/>
                <w:sz w:val="20"/>
              </w:rPr>
              <w:t>$</w:t>
            </w:r>
          </w:p>
        </w:tc>
        <w:tc>
          <w:tcPr>
            <w:tcW w:w="706" w:type="dxa"/>
            <w:tcBorders>
              <w:top w:val="single" w:sz="4"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right"/>
              <w:rPr/>
            </w:pPr>
            <w:r>
              <w:rPr>
                <w:rFonts w:ascii="Lato;sans-serif" w:hAnsi="Lato;sans-serif"/>
                <w:b/>
                <w:color w:val="000000"/>
                <w:sz w:val="20"/>
              </w:rPr>
              <w:t>1.08</w:t>
            </w:r>
            <w:r>
              <w:rPr>
                <w:color w:val="000000"/>
              </w:rPr>
              <w:t> </w:t>
            </w:r>
          </w:p>
        </w:tc>
        <w:tc>
          <w:tcPr>
            <w:tcW w:w="155" w:type="dxa"/>
            <w:tcBorders>
              <w:top w:val="single" w:sz="4"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tbl>
      <w:tblPr>
        <w:tblW w:w="8031" w:type="dxa"/>
        <w:jc w:val="left"/>
        <w:tblInd w:w="0" w:type="dxa"/>
        <w:tblLayout w:type="fixed"/>
        <w:tblCellMar>
          <w:top w:w="28" w:type="dxa"/>
          <w:left w:w="28" w:type="dxa"/>
          <w:bottom w:w="28" w:type="dxa"/>
          <w:right w:w="28" w:type="dxa"/>
        </w:tblCellMar>
      </w:tblPr>
      <w:tblGrid>
        <w:gridCol w:w="2483"/>
        <w:gridCol w:w="2184"/>
        <w:gridCol w:w="2188"/>
        <w:gridCol w:w="241"/>
        <w:gridCol w:w="781"/>
        <w:gridCol w:w="154"/>
      </w:tblGrid>
      <w:tr>
        <w:trPr/>
        <w:tc>
          <w:tcPr>
            <w:tcW w:w="2483" w:type="dxa"/>
            <w:tcBorders/>
            <w:vAlign w:val="center"/>
          </w:tcPr>
          <w:p>
            <w:pPr>
              <w:pStyle w:val="TableContents"/>
              <w:bidi w:val="0"/>
              <w:spacing w:before="0" w:after="283"/>
              <w:jc w:val="left"/>
              <w:rPr>
                <w:sz w:val="4"/>
                <w:szCs w:val="4"/>
              </w:rPr>
            </w:pPr>
            <w:r>
              <w:rPr>
                <w:sz w:val="4"/>
                <w:szCs w:val="4"/>
              </w:rPr>
            </w:r>
          </w:p>
        </w:tc>
        <w:tc>
          <w:tcPr>
            <w:tcW w:w="2184" w:type="dxa"/>
            <w:tcBorders/>
            <w:vAlign w:val="center"/>
          </w:tcPr>
          <w:p>
            <w:pPr>
              <w:pStyle w:val="TableContents"/>
              <w:bidi w:val="0"/>
              <w:spacing w:before="0" w:after="283"/>
              <w:jc w:val="left"/>
              <w:rPr>
                <w:sz w:val="4"/>
                <w:szCs w:val="4"/>
              </w:rPr>
            </w:pPr>
            <w:r>
              <w:rPr>
                <w:sz w:val="4"/>
                <w:szCs w:val="4"/>
              </w:rPr>
            </w:r>
          </w:p>
        </w:tc>
        <w:tc>
          <w:tcPr>
            <w:tcW w:w="2188"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855" w:type="dxa"/>
            <w:gridSpan w:val="3"/>
            <w:tcBorders/>
            <w:shd w:fill="F44238" w:val="clear"/>
            <w:tcMar>
              <w:top w:w="0" w:type="dxa"/>
              <w:left w:w="0" w:type="dxa"/>
              <w:bottom w:w="0" w:type="dxa"/>
              <w:right w:w="0" w:type="dxa"/>
            </w:tcMar>
            <w:vAlign w:val="center"/>
          </w:tcPr>
          <w:p>
            <w:pPr>
              <w:pStyle w:val="TableContents"/>
              <w:bidi w:val="0"/>
              <w:spacing w:lineRule="auto" w:line="240" w:before="0" w:after="0"/>
              <w:jc w:val="left"/>
              <w:rPr>
                <w:rFonts w:ascii="Lato;sans-serif" w:hAnsi="Lato;sans-serif"/>
                <w:b/>
                <w:color w:val="FFFFFF"/>
                <w:sz w:val="20"/>
              </w:rPr>
            </w:pPr>
            <w:r>
              <w:rPr>
                <w:rFonts w:ascii="Lato;sans-serif" w:hAnsi="Lato;sans-serif"/>
                <w:b/>
                <w:color w:val="FFFFFF"/>
                <w:sz w:val="20"/>
              </w:rPr>
              <w:t>Reconciliation to Adjusted Levered Free Cash Flow Per Share</w:t>
            </w:r>
          </w:p>
        </w:tc>
        <w:tc>
          <w:tcPr>
            <w:tcW w:w="1176" w:type="dxa"/>
            <w:gridSpan w:val="3"/>
            <w:tcBorders/>
            <w:shd w:fill="F4423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55" w:type="dxa"/>
            <w:gridSpan w:val="3"/>
            <w:tcBorders/>
            <w:shd w:fill="F44238" w:val="clear"/>
            <w:tcMar>
              <w:top w:w="0" w:type="dxa"/>
              <w:left w:w="0" w:type="dxa"/>
              <w:bottom w:w="0" w:type="dxa"/>
              <w:right w:w="0" w:type="dxa"/>
            </w:tcMar>
            <w:vAlign w:val="center"/>
          </w:tcPr>
          <w:p>
            <w:pPr>
              <w:pStyle w:val="TableContents"/>
              <w:bidi w:val="0"/>
              <w:spacing w:lineRule="auto" w:line="240" w:before="0" w:after="0"/>
              <w:jc w:val="left"/>
              <w:rPr>
                <w:rFonts w:ascii="Lato;sans-serif" w:hAnsi="Lato;sans-serif"/>
                <w:b w:val="false"/>
                <w:i/>
                <w:color w:val="FFFFFF"/>
                <w:sz w:val="16"/>
              </w:rPr>
            </w:pPr>
            <w:r>
              <w:rPr>
                <w:rFonts w:ascii="Lato;sans-serif" w:hAnsi="Lato;sans-serif"/>
                <w:b w:val="false"/>
                <w:i/>
                <w:color w:val="FFFFFF"/>
                <w:sz w:val="16"/>
              </w:rPr>
              <w:t>($ in millions, other than per share data)</w:t>
            </w:r>
          </w:p>
        </w:tc>
        <w:tc>
          <w:tcPr>
            <w:tcW w:w="1176" w:type="dxa"/>
            <w:gridSpan w:val="3"/>
            <w:tcBorders/>
            <w:shd w:fill="F44238" w:val="clear"/>
            <w:tcMar>
              <w:top w:w="0" w:type="dxa"/>
              <w:left w:w="0" w:type="dxa"/>
              <w:bottom w:w="0" w:type="dxa"/>
              <w:right w:w="0" w:type="dxa"/>
            </w:tcMar>
            <w:vAlign w:val="center"/>
          </w:tcPr>
          <w:p>
            <w:pPr>
              <w:pStyle w:val="TableContents"/>
              <w:bidi w:val="0"/>
              <w:spacing w:lineRule="auto" w:line="240" w:before="0" w:after="0"/>
              <w:jc w:val="center"/>
              <w:rPr>
                <w:rFonts w:ascii="Lato;sans-serif" w:hAnsi="Lato;sans-serif"/>
                <w:b/>
                <w:color w:val="FFFFFF"/>
                <w:sz w:val="20"/>
              </w:rPr>
            </w:pPr>
            <w:r>
              <w:rPr>
                <w:rFonts w:ascii="Lato;sans-serif" w:hAnsi="Lato;sans-serif"/>
                <w:b/>
                <w:color w:val="FFFFFF"/>
                <w:sz w:val="20"/>
              </w:rPr>
              <w:t>FY 2025</w:t>
            </w:r>
          </w:p>
        </w:tc>
      </w:tr>
      <w:tr>
        <w:trPr/>
        <w:tc>
          <w:tcPr>
            <w:tcW w:w="6855"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color w:val="000000"/>
                <w:sz w:val="20"/>
              </w:rPr>
            </w:pPr>
            <w:r>
              <w:rPr>
                <w:rFonts w:ascii="Lato;sans-serif" w:hAnsi="Lato;sans-serif"/>
                <w:b/>
                <w:color w:val="000000"/>
                <w:sz w:val="20"/>
              </w:rPr>
              <w:t>Unlevered Free Cash Flow (Non-GAAP)</w:t>
            </w:r>
          </w:p>
        </w:tc>
        <w:tc>
          <w:tcPr>
            <w:tcW w:w="241" w:type="dxa"/>
            <w:tcBorders>
              <w:top w:val="single" w:sz="4"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Lato;sans-serif" w:hAnsi="Lato;sans-serif"/>
                <w:b/>
                <w:color w:val="000000"/>
                <w:sz w:val="20"/>
              </w:rPr>
            </w:pPr>
            <w:r>
              <w:rPr>
                <w:rFonts w:ascii="Lato;sans-serif" w:hAnsi="Lato;sans-serif"/>
                <w:b/>
                <w:color w:val="000000"/>
                <w:sz w:val="20"/>
              </w:rPr>
              <w:t>$</w:t>
            </w:r>
          </w:p>
        </w:tc>
        <w:tc>
          <w:tcPr>
            <w:tcW w:w="781" w:type="dxa"/>
            <w:tcBorders>
              <w:top w:val="single" w:sz="4"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pPr>
            <w:r>
              <w:rPr>
                <w:rFonts w:ascii="Lato;sans-serif" w:hAnsi="Lato;sans-serif"/>
                <w:b/>
                <w:color w:val="000000"/>
                <w:sz w:val="20"/>
              </w:rPr>
              <w:t>454.9</w:t>
            </w:r>
            <w:r>
              <w:rPr>
                <w:color w:val="000000"/>
              </w:rPr>
              <w:t> </w:t>
            </w:r>
          </w:p>
        </w:tc>
        <w:tc>
          <w:tcPr>
            <w:tcW w:w="154" w:type="dxa"/>
            <w:tcBorders>
              <w:top w:val="single" w:sz="4"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20"/>
              </w:rPr>
            </w:pPr>
            <w:r>
              <w:rPr>
                <w:rFonts w:ascii="Lato;sans-serif" w:hAnsi="Lato;sans-serif"/>
                <w:b w:val="false"/>
                <w:color w:val="000000"/>
                <w:sz w:val="20"/>
              </w:rPr>
              <w:t>Less: Interest paid in cash</w:t>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20"/>
              </w:rPr>
            </w:pPr>
            <w:r>
              <w:rPr>
                <w:rFonts w:ascii="Lato;sans-serif" w:hAnsi="Lato;sans-serif"/>
                <w:b w:val="false"/>
                <w:color w:val="000000"/>
                <w:sz w:val="20"/>
              </w:rPr>
              <w:t>45.8 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55"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20"/>
              </w:rPr>
            </w:pPr>
            <w:r>
              <w:rPr>
                <w:rFonts w:ascii="Lato;sans-serif" w:hAnsi="Lato;sans-serif"/>
                <w:b w:val="false"/>
                <w:color w:val="000000"/>
                <w:sz w:val="20"/>
              </w:rPr>
              <w:t>Levered Free Cash Flow (Non-GAAP)</w:t>
            </w:r>
          </w:p>
        </w:tc>
        <w:tc>
          <w:tcPr>
            <w:tcW w:w="241" w:type="dxa"/>
            <w:tcBorders>
              <w:top w:val="single" w:sz="4"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20"/>
              </w:rPr>
            </w:pPr>
            <w:r>
              <w:rPr>
                <w:rFonts w:ascii="Lato;sans-serif" w:hAnsi="Lato;sans-serif"/>
                <w:b w:val="false"/>
                <w:color w:val="000000"/>
                <w:sz w:val="20"/>
              </w:rPr>
              <w:t>$</w:t>
            </w:r>
          </w:p>
        </w:tc>
        <w:tc>
          <w:tcPr>
            <w:tcW w:w="781" w:type="dxa"/>
            <w:tcBorders>
              <w:top w:val="single" w:sz="4"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20"/>
              </w:rPr>
            </w:pPr>
            <w:r>
              <w:rPr>
                <w:rFonts w:ascii="Lato;sans-serif" w:hAnsi="Lato;sans-serif"/>
                <w:b w:val="false"/>
                <w:color w:val="000000"/>
                <w:sz w:val="20"/>
              </w:rPr>
              <w:t>409.1 </w:t>
            </w:r>
          </w:p>
        </w:tc>
        <w:tc>
          <w:tcPr>
            <w:tcW w:w="154" w:type="dxa"/>
            <w:tcBorders>
              <w:top w:val="single" w:sz="4"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55"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r>
      <w:tr>
        <w:trPr/>
        <w:tc>
          <w:tcPr>
            <w:tcW w:w="68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color w:val="000000"/>
                <w:sz w:val="20"/>
              </w:rPr>
            </w:pPr>
            <w:r>
              <w:rPr>
                <w:rFonts w:ascii="Lato;sans-serif" w:hAnsi="Lato;sans-serif"/>
                <w:b/>
                <w:color w:val="000000"/>
                <w:sz w:val="20"/>
              </w:rPr>
              <w:t>Weighted Average Shares Outstanding</w:t>
            </w:r>
          </w:p>
        </w:tc>
        <w:tc>
          <w:tcPr>
            <w:tcW w:w="1022"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Lato;sans-serif" w:hAnsi="Lato;sans-serif"/>
                <w:b/>
                <w:color w:val="000000"/>
                <w:sz w:val="20"/>
              </w:rPr>
              <w:t>340.0</w:t>
            </w:r>
            <w:r>
              <w:rPr>
                <w:color w:val="000000"/>
              </w:rPr>
              <w:t> </w:t>
            </w:r>
          </w:p>
        </w:tc>
        <w:tc>
          <w:tcPr>
            <w:tcW w:w="154"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55"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color w:val="000000"/>
                <w:sz w:val="20"/>
              </w:rPr>
            </w:pPr>
            <w:r>
              <w:rPr>
                <w:rFonts w:ascii="Lato;sans-serif" w:hAnsi="Lato;sans-serif"/>
                <w:b/>
                <w:color w:val="000000"/>
                <w:sz w:val="20"/>
              </w:rPr>
              <w:t>Adjusted Levered Free Cash Flow Per Share</w:t>
            </w:r>
          </w:p>
        </w:tc>
        <w:tc>
          <w:tcPr>
            <w:tcW w:w="241" w:type="dxa"/>
            <w:tcBorders>
              <w:top w:val="doub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left"/>
              <w:rPr>
                <w:rFonts w:ascii="Lato;sans-serif" w:hAnsi="Lato;sans-serif"/>
                <w:b/>
                <w:color w:val="000000"/>
                <w:sz w:val="20"/>
              </w:rPr>
            </w:pPr>
            <w:r>
              <w:rPr>
                <w:rFonts w:ascii="Lato;sans-serif" w:hAnsi="Lato;sans-serif"/>
                <w:b/>
                <w:color w:val="000000"/>
                <w:sz w:val="20"/>
              </w:rPr>
              <w:t>$</w:t>
            </w:r>
          </w:p>
        </w:tc>
        <w:tc>
          <w:tcPr>
            <w:tcW w:w="781" w:type="dxa"/>
            <w:tcBorders>
              <w:top w:val="doub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right"/>
              <w:rPr/>
            </w:pPr>
            <w:r>
              <w:rPr>
                <w:rFonts w:ascii="Lato;sans-serif" w:hAnsi="Lato;sans-serif"/>
                <w:b/>
                <w:color w:val="000000"/>
                <w:sz w:val="20"/>
              </w:rPr>
              <w:t>1.20</w:t>
            </w:r>
            <w:r>
              <w:rPr>
                <w:color w:val="000000"/>
              </w:rPr>
              <w:t> </w:t>
            </w:r>
          </w:p>
        </w:tc>
        <w:tc>
          <w:tcPr>
            <w:tcW w:w="154" w:type="dxa"/>
            <w:tcBorders>
              <w:top w:val="doub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9">
                <wp:simplePos x="0" y="0"/>
                <wp:positionH relativeFrom="character">
                  <wp:align>left</wp:align>
                </wp:positionH>
                <wp:positionV relativeFrom="line">
                  <wp:posOffset>635</wp:posOffset>
                </wp:positionV>
                <wp:extent cx="6480175" cy="352425"/>
                <wp:effectExtent l="0" t="0" r="0" b="0"/>
                <wp:wrapNone/>
                <wp:docPr id="116" name="Frame99"/>
                <a:graphic xmlns:a="http://schemas.openxmlformats.org/drawingml/2006/main">
                  <a:graphicData uri="http://schemas.microsoft.com/office/word/2010/wordprocessingShape">
                    <wps:wsp>
                      <wps:cNvSpPr txBox="1"/>
                      <wps:spPr>
                        <a:xfrm>
                          <a:off x="0" y="0"/>
                          <a:ext cx="6480175" cy="352425"/>
                        </a:xfrm>
                        <a:prstGeom prst="rect"/>
                        <a:solidFill>
                          <a:srgbClr val="FFFFFF"/>
                        </a:solidFill>
                      </wps:spPr>
                      <wps:txbx>
                        <w:txbxContent>
                          <w:p>
                            <w:pPr>
                              <w:pStyle w:val="TextBody"/>
                              <w:bidi w:val="0"/>
                              <w:spacing w:lineRule="auto" w:line="288" w:before="0" w:after="0"/>
                              <w:jc w:val="center"/>
                              <w:rPr>
                                <w:rFonts w:ascii="Lato;sans-serif" w:hAnsi="Lato;sans-serif"/>
                                <w:b w:val="false"/>
                                <w:color w:val="000000"/>
                                <w:sz w:val="20"/>
                              </w:rPr>
                            </w:pPr>
                            <w:r>
                              <w:rPr>
                                <w:rFonts w:ascii="Lato;sans-serif" w:hAnsi="Lato;sans-serif"/>
                                <w:b w:val="false"/>
                                <w:color w:val="000000"/>
                                <w:sz w:val="20"/>
                              </w:rPr>
                              <w:t>93</w:t>
                            </w:r>
                          </w:p>
                          <w:p>
                            <w:pPr>
                              <w:pStyle w:val="TextBody"/>
                              <w:bidi w:val="0"/>
                              <w:spacing w:lineRule="auto" w:line="288" w:before="0" w:after="0"/>
                              <w:jc w:val="left"/>
                              <w:rPr>
                                <w:color w:val="000000"/>
                              </w:rPr>
                            </w:pPr>
                            <w:r>
                              <w:rPr>
                                <w:color w:val="000000"/>
                              </w:rPr>
                              <w:t>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Lato;sans-serif" w:hAnsi="Lato;sans-serif"/>
                          <w:b w:val="false"/>
                          <w:color w:val="000000"/>
                          <w:sz w:val="20"/>
                        </w:rPr>
                      </w:pPr>
                      <w:r>
                        <w:rPr>
                          <w:rFonts w:ascii="Lato;sans-serif" w:hAnsi="Lato;sans-serif"/>
                          <w:b w:val="false"/>
                          <w:color w:val="000000"/>
                          <w:sz w:val="20"/>
                        </w:rPr>
                        <w:t>93</w:t>
                      </w:r>
                    </w:p>
                    <w:p>
                      <w:pPr>
                        <w:pStyle w:val="TextBody"/>
                        <w:bidi w:val="0"/>
                        <w:spacing w:lineRule="auto" w:line="288" w:before="0" w:after="0"/>
                        <w:jc w:val="left"/>
                        <w:rPr>
                          <w:color w:val="000000"/>
                        </w:rPr>
                      </w:pPr>
                      <w:r>
                        <w:rPr>
                          <w:color w:val="000000"/>
                        </w:rPr>
                        <w:t>        </w:t>
                      </w:r>
                    </w:p>
                  </w:txbxContent>
                </v:textbox>
                <w10:wrap type="none"/>
              </v:rect>
            </w:pict>
          </mc:Fallback>
        </mc:AlternateContent>
      </w:r>
    </w:p>
    <w:p>
      <w:pPr>
        <w:pStyle w:val="TextBody"/>
        <w:bidi w:val="0"/>
        <w:spacing w:before="0" w:after="0"/>
        <w:jc w:val="left"/>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drawing>
          <wp:inline distT="0" distB="0" distL="0" distR="0">
            <wp:extent cx="5943600" cy="7686675"/>
            <wp:effectExtent l="0" t="0" r="0" b="0"/>
            <wp:docPr id="117"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7" name="Image18" descr=""/>
                    <pic:cNvPicPr>
                      <a:picLocks noChangeAspect="1" noChangeArrowheads="1"/>
                    </pic:cNvPicPr>
                  </pic:nvPicPr>
                  <pic:blipFill>
                    <a:blip r:embed="rId19"/>
                    <a:stretch>
                      <a:fillRect/>
                    </a:stretch>
                  </pic:blipFill>
                  <pic:spPr bwMode="auto">
                    <a:xfrm>
                      <a:off x="0" y="0"/>
                      <a:ext cx="5943600" cy="7686675"/>
                    </a:xfrm>
                    <a:prstGeom prst="rect">
                      <a:avLst/>
                    </a:prstGeom>
                  </pic:spPr>
                </pic:pic>
              </a:graphicData>
            </a:graphic>
          </wp:inline>
        </w:drawing>
      </w:r>
      <w:bookmarkStart w:id="17" w:name="i-18"/>
      <w:bookmarkEnd w:id="17"/>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0">
                <wp:simplePos x="0" y="0"/>
                <wp:positionH relativeFrom="character">
                  <wp:align>left</wp:align>
                </wp:positionH>
                <wp:positionV relativeFrom="line">
                  <wp:posOffset>635</wp:posOffset>
                </wp:positionV>
                <wp:extent cx="6480175" cy="175260"/>
                <wp:effectExtent l="0" t="0" r="0" b="0"/>
                <wp:wrapNone/>
                <wp:docPr id="118" name="Frame10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center"/>
        <w:rPr/>
      </w:pPr>
      <w:r>
        <w:rPr/>
      </w:r>
    </w:p>
    <w:p>
      <w:pPr>
        <w:pStyle w:val="TextBody"/>
        <w:bidi w:val="0"/>
        <w:spacing w:before="0" w:after="0"/>
        <w:jc w:val="center"/>
        <w:rPr/>
      </w:pPr>
      <w:r>
        <w:rPr/>
        <w:drawing>
          <wp:inline distT="0" distB="0" distL="0" distR="0">
            <wp:extent cx="5943600" cy="7686675"/>
            <wp:effectExtent l="0" t="0" r="0" b="0"/>
            <wp:docPr id="1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9" name="Image19" descr=""/>
                    <pic:cNvPicPr>
                      <a:picLocks noChangeAspect="1" noChangeArrowheads="1"/>
                    </pic:cNvPicPr>
                  </pic:nvPicPr>
                  <pic:blipFill>
                    <a:blip r:embed="rId20"/>
                    <a:stretch>
                      <a:fillRect/>
                    </a:stretch>
                  </pic:blipFill>
                  <pic:spPr bwMode="auto">
                    <a:xfrm>
                      <a:off x="0" y="0"/>
                      <a:ext cx="5943600" cy="7686675"/>
                    </a:xfrm>
                    <a:prstGeom prst="rect">
                      <a:avLst/>
                    </a:prstGeom>
                  </pic:spPr>
                </pic:pic>
              </a:graphicData>
            </a:graphic>
          </wp:inline>
        </w:drawing>
      </w:r>
      <w:bookmarkStart w:id="18" w:name="i-19"/>
      <w:bookmarkEnd w:id="18"/>
    </w:p>
    <w:p>
      <w:pPr>
        <w:pStyle w:val="TextBody"/>
        <w:bidi w:val="0"/>
        <w:jc w:val="center"/>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121">
                <wp:simplePos x="0" y="0"/>
                <wp:positionH relativeFrom="character">
                  <wp:align>left</wp:align>
                </wp:positionH>
                <wp:positionV relativeFrom="line">
                  <wp:posOffset>635</wp:posOffset>
                </wp:positionV>
                <wp:extent cx="6480175" cy="175260"/>
                <wp:effectExtent l="0" t="0" r="0" b="0"/>
                <wp:wrapNone/>
                <wp:docPr id="120" name="Frame10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Lato Black">
    <w:altName w:val="sans-serif"/>
    <w:charset w:val="01"/>
    <w:family w:val="auto"/>
    <w:pitch w:val="default"/>
  </w:font>
  <w:font w:name="Lato">
    <w:altName w:val="sans-serif"/>
    <w:charset w:val="01"/>
    <w:family w:val="auto"/>
    <w:pitch w:val="default"/>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1.jpeg"/><Relationship Id="rId6" Type="http://schemas.openxmlformats.org/officeDocument/2006/relationships/image" Target="media/image4.jpeg"/><Relationship Id="rId7" Type="http://schemas.openxmlformats.org/officeDocument/2006/relationships/image" Target="media/image5.jpeg"/><Relationship Id="rId8" Type="http://schemas.openxmlformats.org/officeDocument/2006/relationships/image" Target="media/image6.jpeg"/><Relationship Id="rId9" Type="http://schemas.openxmlformats.org/officeDocument/2006/relationships/image" Target="media/image7.jpeg"/><Relationship Id="rId10" Type="http://schemas.openxmlformats.org/officeDocument/2006/relationships/image" Target="media/image8.jpeg"/><Relationship Id="rId11" Type="http://schemas.openxmlformats.org/officeDocument/2006/relationships/image" Target="media/image9.jpeg"/><Relationship Id="rId12" Type="http://schemas.openxmlformats.org/officeDocument/2006/relationships/image" Target="media/image10.jpeg"/><Relationship Id="rId13" Type="http://schemas.openxmlformats.org/officeDocument/2006/relationships/image" Target="media/image11.jpeg"/><Relationship Id="rId14" Type="http://schemas.openxmlformats.org/officeDocument/2006/relationships/image" Target="media/image12.jpeg"/><Relationship Id="rId15" Type="http://schemas.openxmlformats.org/officeDocument/2006/relationships/image" Target="media/image13.jpeg"/><Relationship Id="rId16" Type="http://schemas.openxmlformats.org/officeDocument/2006/relationships/image" Target="media/image14.jpeg"/><Relationship Id="rId17" Type="http://schemas.openxmlformats.org/officeDocument/2006/relationships/image" Target="media/image15.jpeg"/><Relationship Id="rId18" Type="http://schemas.openxmlformats.org/officeDocument/2006/relationships/image" Target="media/image3.jpeg"/><Relationship Id="rId19" Type="http://schemas.openxmlformats.org/officeDocument/2006/relationships/image" Target="media/image16.jpeg"/><Relationship Id="rId20" Type="http://schemas.openxmlformats.org/officeDocument/2006/relationships/image" Target="media/image17.jpeg"/><Relationship Id="rId21" Type="http://schemas.openxmlformats.org/officeDocument/2006/relationships/fontTable" Target="fontTable.xml"/><Relationship Id="rId22"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6</Pages>
  <Words>45242</Words>
  <Characters>250248</Characters>
  <CharactersWithSpaces>293981</CharactersWithSpaces>
  <Paragraphs>2898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