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652780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678180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82550</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92710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54"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(Mark One)</w:t>
      </w:r>
    </w:p>
    <w:p>
      <w:pPr>
        <w:spacing w:after="0" w:line="111" w:lineRule="exact"/>
        <w:rPr>
          <w:sz w:val="24"/>
          <w:szCs w:val="24"/>
          <w:color w:val="auto"/>
        </w:rPr>
      </w:pPr>
    </w:p>
    <w:p>
      <w:pPr>
        <w:ind w:left="680" w:hanging="356"/>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680" w:hanging="356"/>
        <w:spacing w:after="0"/>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60"/>
          </w:cols>
          <w:pgMar w:left="320" w:top="1190" w:right="319" w:bottom="1440" w:gutter="0" w:footer="0" w:header="0"/>
        </w:sectPr>
      </w:pPr>
    </w:p>
    <w:p>
      <w:pPr>
        <w:spacing w:after="0" w:line="123"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For the transition period from</w:t>
      </w:r>
    </w:p>
    <w:p>
      <w:pPr>
        <w:spacing w:after="0" w:line="22" w:lineRule="exact"/>
        <w:rPr>
          <w:sz w:val="24"/>
          <w:szCs w:val="24"/>
          <w:color w:val="auto"/>
        </w:rPr>
      </w:pPr>
    </w:p>
    <w:p>
      <w:pPr>
        <w:ind w:left="4080"/>
        <w:spacing w:after="0"/>
        <w:rPr>
          <w:sz w:val="20"/>
          <w:szCs w:val="20"/>
          <w:color w:val="auto"/>
        </w:rPr>
      </w:pPr>
      <w:r>
        <w:rPr>
          <w:rFonts w:ascii="Arial" w:cs="Arial" w:eastAsia="Arial" w:hAnsi="Arial"/>
          <w:sz w:val="15"/>
          <w:szCs w:val="15"/>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101600</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440" w:lineRule="exact"/>
        <w:rPr>
          <w:sz w:val="24"/>
          <w:szCs w:val="24"/>
          <w:color w:val="auto"/>
        </w:rPr>
      </w:pPr>
    </w:p>
    <w:p>
      <w:pPr>
        <w:sectPr>
          <w:pgSz w:w="11900" w:h="16838" w:orient="portrait"/>
          <w:cols w:equalWidth="0" w:num="2">
            <w:col w:w="6820" w:space="40"/>
            <w:col w:w="4400"/>
          </w:cols>
          <w:pgMar w:left="320" w:top="1190" w:right="319" w:bottom="1440" w:gutter="0" w:footer="0" w:header="0"/>
          <w:type w:val="continuous"/>
        </w:sectPr>
      </w:pP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389"/>
        </w:trPr>
        <w:tc>
          <w:tcPr>
            <w:tcW w:w="3500" w:type="dxa"/>
            <w:vAlign w:val="bottom"/>
          </w:tcPr>
          <w:p>
            <w:pPr>
              <w:spacing w:after="0"/>
              <w:rPr>
                <w:sz w:val="24"/>
                <w:szCs w:val="24"/>
                <w:color w:val="auto"/>
              </w:rPr>
            </w:pPr>
          </w:p>
        </w:tc>
        <w:tc>
          <w:tcPr>
            <w:tcW w:w="4360" w:type="dxa"/>
            <w:vAlign w:val="bottom"/>
            <w:gridSpan w:val="7"/>
          </w:tcPr>
          <w:p>
            <w:pPr>
              <w:jc w:val="center"/>
              <w:ind w:right="100"/>
              <w:spacing w:after="0"/>
              <w:rPr>
                <w:sz w:val="20"/>
                <w:szCs w:val="20"/>
                <w:color w:val="auto"/>
              </w:rPr>
            </w:pPr>
            <w:r>
              <w:rPr>
                <w:rFonts w:ascii="Arial" w:cs="Arial" w:eastAsia="Arial" w:hAnsi="Arial"/>
                <w:sz w:val="32"/>
                <w:szCs w:val="32"/>
                <w:b w:val="1"/>
                <w:bCs w:val="1"/>
                <w:color w:val="auto"/>
                <w:w w:val="88"/>
              </w:rPr>
              <w:t>ZoomInfo Technologies Inc.</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vMerge w:val="restart"/>
          </w:tcPr>
          <w:p>
            <w:pPr>
              <w:jc w:val="center"/>
              <w:ind w:left="170"/>
              <w:spacing w:after="0"/>
              <w:rPr>
                <w:sz w:val="20"/>
                <w:szCs w:val="20"/>
                <w:color w:val="auto"/>
              </w:rPr>
            </w:pPr>
            <w:r>
              <w:rPr>
                <w:rFonts w:ascii="Arial" w:cs="Arial" w:eastAsia="Arial" w:hAnsi="Arial"/>
                <w:sz w:val="14"/>
                <w:szCs w:val="14"/>
                <w:b w:val="1"/>
                <w:bCs w:val="1"/>
                <w:color w:val="auto"/>
                <w:w w:val="94"/>
              </w:rPr>
              <w:t>Delaware</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0" w:type="dxa"/>
            <w:vAlign w:val="bottom"/>
            <w:vMerge w:val="restart"/>
          </w:tcPr>
          <w:p>
            <w:pPr>
              <w:jc w:val="right"/>
              <w:ind w:right="1491"/>
              <w:spacing w:after="0"/>
              <w:rPr>
                <w:sz w:val="20"/>
                <w:szCs w:val="20"/>
                <w:color w:val="auto"/>
              </w:rPr>
            </w:pPr>
            <w:r>
              <w:rPr>
                <w:rFonts w:ascii="Arial" w:cs="Arial" w:eastAsia="Arial" w:hAnsi="Arial"/>
                <w:sz w:val="14"/>
                <w:szCs w:val="14"/>
                <w:b w:val="1"/>
                <w:bCs w:val="1"/>
                <w:color w:val="auto"/>
              </w:rPr>
              <w:t>87-3037521</w:t>
            </w:r>
          </w:p>
        </w:tc>
        <w:tc>
          <w:tcPr>
            <w:tcW w:w="0" w:type="dxa"/>
            <w:vAlign w:val="bottom"/>
          </w:tcPr>
          <w:p>
            <w:pPr>
              <w:spacing w:after="0"/>
              <w:rPr>
                <w:sz w:val="1"/>
                <w:szCs w:val="1"/>
                <w:color w:val="auto"/>
              </w:rPr>
            </w:pPr>
          </w:p>
        </w:tc>
      </w:tr>
      <w:tr>
        <w:trPr>
          <w:trHeight w:val="340"/>
        </w:trPr>
        <w:tc>
          <w:tcPr>
            <w:tcW w:w="3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500" w:type="dxa"/>
            <w:vAlign w:val="bottom"/>
          </w:tcPr>
          <w:p>
            <w:pPr>
              <w:jc w:val="center"/>
              <w:ind w:left="190"/>
              <w:spacing w:after="0"/>
              <w:rPr>
                <w:sz w:val="20"/>
                <w:szCs w:val="20"/>
                <w:color w:val="auto"/>
              </w:rPr>
            </w:pPr>
            <w:r>
              <w:rPr>
                <w:rFonts w:ascii="Arial" w:cs="Arial" w:eastAsia="Arial" w:hAnsi="Arial"/>
                <w:sz w:val="14"/>
                <w:szCs w:val="14"/>
                <w:b w:val="1"/>
                <w:bCs w:val="1"/>
                <w:color w:val="auto"/>
                <w:w w:val="91"/>
              </w:rPr>
              <w:t>(State or other jurisdiction of</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tcPr>
          <w:p>
            <w:pPr>
              <w:jc w:val="center"/>
              <w:ind w:right="311"/>
              <w:spacing w:after="0"/>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4"/>
        </w:trPr>
        <w:tc>
          <w:tcPr>
            <w:tcW w:w="3500" w:type="dxa"/>
            <w:vAlign w:val="bottom"/>
          </w:tcPr>
          <w:p>
            <w:pPr>
              <w:jc w:val="center"/>
              <w:ind w:left="190"/>
              <w:spacing w:after="0"/>
              <w:rPr>
                <w:sz w:val="20"/>
                <w:szCs w:val="20"/>
                <w:color w:val="auto"/>
              </w:rPr>
            </w:pPr>
            <w:r>
              <w:rPr>
                <w:rFonts w:ascii="Arial" w:cs="Arial" w:eastAsia="Arial" w:hAnsi="Arial"/>
                <w:sz w:val="14"/>
                <w:szCs w:val="14"/>
                <w:b w:val="1"/>
                <w:bCs w:val="1"/>
                <w:color w:val="auto"/>
                <w:w w:val="92"/>
              </w:rPr>
              <w:t>incorporation or organization)</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tcPr>
          <w:p>
            <w:pPr>
              <w:jc w:val="center"/>
              <w:ind w:right="311"/>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52"/>
        </w:trPr>
        <w:tc>
          <w:tcPr>
            <w:tcW w:w="3500" w:type="dxa"/>
            <w:vAlign w:val="bottom"/>
          </w:tcPr>
          <w:p>
            <w:pPr>
              <w:jc w:val="center"/>
              <w:ind w:left="510"/>
              <w:spacing w:after="0"/>
              <w:rPr>
                <w:sz w:val="20"/>
                <w:szCs w:val="20"/>
                <w:color w:val="auto"/>
              </w:rPr>
            </w:pPr>
            <w:r>
              <w:rPr>
                <w:rFonts w:ascii="Arial" w:cs="Arial" w:eastAsia="Arial" w:hAnsi="Arial"/>
                <w:sz w:val="14"/>
                <w:szCs w:val="14"/>
                <w:b w:val="1"/>
                <w:bCs w:val="1"/>
                <w:color w:val="auto"/>
                <w:w w:val="90"/>
              </w:rPr>
              <w:t>805 Broadway Street, Suite 900</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4"/>
        </w:trPr>
        <w:tc>
          <w:tcPr>
            <w:tcW w:w="3500" w:type="dxa"/>
            <w:vAlign w:val="bottom"/>
          </w:tcPr>
          <w:p>
            <w:pPr>
              <w:jc w:val="center"/>
              <w:ind w:left="490"/>
              <w:spacing w:after="0"/>
              <w:rPr>
                <w:sz w:val="20"/>
                <w:szCs w:val="20"/>
                <w:color w:val="auto"/>
              </w:rPr>
            </w:pPr>
            <w:r>
              <w:rPr>
                <w:rFonts w:ascii="Arial" w:cs="Arial" w:eastAsia="Arial" w:hAnsi="Arial"/>
                <w:sz w:val="14"/>
                <w:szCs w:val="14"/>
                <w:b w:val="1"/>
                <w:bCs w:val="1"/>
                <w:color w:val="auto"/>
                <w:w w:val="89"/>
              </w:rPr>
              <w:t>Vancouver, Washington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491"/>
              <w:spacing w:after="0"/>
              <w:rPr>
                <w:sz w:val="20"/>
                <w:szCs w:val="20"/>
                <w:color w:val="auto"/>
              </w:rPr>
            </w:pPr>
            <w:r>
              <w:rPr>
                <w:rFonts w:ascii="Arial" w:cs="Arial" w:eastAsia="Arial" w:hAnsi="Arial"/>
                <w:sz w:val="14"/>
                <w:szCs w:val="14"/>
                <w:b w:val="1"/>
                <w:bCs w:val="1"/>
                <w:color w:val="auto"/>
              </w:rPr>
              <w:t>98660</w:t>
            </w:r>
          </w:p>
        </w:tc>
        <w:tc>
          <w:tcPr>
            <w:tcW w:w="0" w:type="dxa"/>
            <w:vAlign w:val="bottom"/>
          </w:tcPr>
          <w:p>
            <w:pPr>
              <w:spacing w:after="0"/>
              <w:rPr>
                <w:sz w:val="1"/>
                <w:szCs w:val="1"/>
                <w:color w:val="auto"/>
              </w:rPr>
            </w:pPr>
          </w:p>
        </w:tc>
      </w:tr>
      <w:tr>
        <w:trPr>
          <w:trHeight w:val="384"/>
        </w:trPr>
        <w:tc>
          <w:tcPr>
            <w:tcW w:w="3500" w:type="dxa"/>
            <w:vAlign w:val="bottom"/>
          </w:tcPr>
          <w:p>
            <w:pPr>
              <w:jc w:val="center"/>
              <w:ind w:left="510"/>
              <w:spacing w:after="0"/>
              <w:rPr>
                <w:sz w:val="20"/>
                <w:szCs w:val="20"/>
                <w:color w:val="auto"/>
              </w:rPr>
            </w:pPr>
            <w:r>
              <w:rPr>
                <w:rFonts w:ascii="Arial" w:cs="Arial" w:eastAsia="Arial" w:hAnsi="Arial"/>
                <w:sz w:val="14"/>
                <w:szCs w:val="14"/>
                <w:color w:val="auto"/>
                <w:w w:val="93"/>
              </w:rPr>
              <w:t>(Address of principal executive offices)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351"/>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3100" w:type="dxa"/>
            <w:vAlign w:val="bottom"/>
            <w:gridSpan w:val="4"/>
          </w:tcPr>
          <w:p>
            <w:pPr>
              <w:jc w:val="right"/>
              <w:ind w:right="305"/>
              <w:spacing w:after="0"/>
              <w:rPr>
                <w:sz w:val="20"/>
                <w:szCs w:val="20"/>
                <w:color w:val="auto"/>
              </w:rPr>
            </w:pPr>
            <w:r>
              <w:rPr>
                <w:rFonts w:ascii="Arial" w:cs="Arial" w:eastAsia="Arial" w:hAnsi="Arial"/>
                <w:sz w:val="14"/>
                <w:szCs w:val="14"/>
                <w:b w:val="1"/>
                <w:bCs w:val="1"/>
                <w:color w:val="auto"/>
              </w:rPr>
              <w:t>(800) 914-1220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6"/>
          </w:tcPr>
          <w:p>
            <w:pPr>
              <w:jc w:val="center"/>
              <w:ind w:right="60"/>
              <w:spacing w:after="0"/>
              <w:rPr>
                <w:sz w:val="20"/>
                <w:szCs w:val="20"/>
                <w:color w:val="auto"/>
              </w:rPr>
            </w:pPr>
            <w:r>
              <w:rPr>
                <w:rFonts w:ascii="Arial" w:cs="Arial" w:eastAsia="Arial" w:hAnsi="Arial"/>
                <w:sz w:val="14"/>
                <w:szCs w:val="14"/>
                <w:color w:val="auto"/>
                <w:w w:val="91"/>
              </w:rPr>
              <w:t>(Registrant’s telephone number, including area code)</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500" w:type="dxa"/>
            <w:vAlign w:val="bottom"/>
            <w:vMerge w:val="restart"/>
          </w:tcPr>
          <w:p>
            <w:pPr>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350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2"/>
                <w:szCs w:val="12"/>
                <w:b w:val="1"/>
                <w:bCs w:val="1"/>
                <w:color w:val="auto"/>
              </w:rPr>
              <w:t>Title of Each Class</w:t>
            </w:r>
          </w:p>
        </w:tc>
        <w:tc>
          <w:tcPr>
            <w:tcW w:w="2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Borders>
              <w:right w:val="single" w:sz="8" w:color="auto"/>
            </w:tcBorders>
            <w:gridSpan w:val="3"/>
          </w:tcPr>
          <w:p>
            <w:pPr>
              <w:jc w:val="center"/>
              <w:ind w:right="1080"/>
              <w:spacing w:after="0"/>
              <w:rPr>
                <w:sz w:val="20"/>
                <w:szCs w:val="20"/>
                <w:color w:val="auto"/>
              </w:rPr>
            </w:pPr>
            <w:r>
              <w:rPr>
                <w:rFonts w:ascii="Arial" w:cs="Arial" w:eastAsia="Arial" w:hAnsi="Arial"/>
                <w:sz w:val="12"/>
                <w:szCs w:val="12"/>
                <w:b w:val="1"/>
                <w:bCs w:val="1"/>
                <w:color w:val="auto"/>
                <w:w w:val="92"/>
              </w:rPr>
              <w:t>Trading Symbol(s)</w:t>
            </w:r>
          </w:p>
        </w:tc>
        <w:tc>
          <w:tcPr>
            <w:tcW w:w="340" w:type="dxa"/>
            <w:vAlign w:val="bottom"/>
          </w:tcPr>
          <w:p>
            <w:pPr>
              <w:spacing w:after="0"/>
              <w:rPr>
                <w:sz w:val="14"/>
                <w:szCs w:val="14"/>
                <w:color w:val="auto"/>
              </w:rPr>
            </w:pPr>
          </w:p>
        </w:tc>
        <w:tc>
          <w:tcPr>
            <w:tcW w:w="3400" w:type="dxa"/>
            <w:vAlign w:val="bottom"/>
            <w:tcBorders>
              <w:right w:val="single" w:sz="8" w:color="auto"/>
            </w:tcBorders>
          </w:tcPr>
          <w:p>
            <w:pPr>
              <w:jc w:val="center"/>
              <w:ind w:right="311"/>
              <w:spacing w:after="0"/>
              <w:rPr>
                <w:sz w:val="20"/>
                <w:szCs w:val="20"/>
                <w:color w:val="auto"/>
              </w:rPr>
            </w:pPr>
            <w:r>
              <w:rPr>
                <w:rFonts w:ascii="Arial" w:cs="Arial" w:eastAsia="Arial" w:hAnsi="Arial"/>
                <w:sz w:val="12"/>
                <w:szCs w:val="12"/>
                <w:b w:val="1"/>
                <w:bCs w:val="1"/>
                <w:color w:val="auto"/>
                <w:w w:val="90"/>
              </w:rPr>
              <w:t>Name of each exchange on which registered</w:t>
            </w:r>
          </w:p>
        </w:tc>
        <w:tc>
          <w:tcPr>
            <w:tcW w:w="0" w:type="dxa"/>
            <w:vAlign w:val="bottom"/>
          </w:tcPr>
          <w:p>
            <w:pPr>
              <w:spacing w:after="0"/>
              <w:rPr>
                <w:sz w:val="1"/>
                <w:szCs w:val="1"/>
                <w:color w:val="auto"/>
              </w:rPr>
            </w:pPr>
          </w:p>
        </w:tc>
      </w:tr>
      <w:tr>
        <w:trPr>
          <w:trHeight w:val="30"/>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00" w:type="dxa"/>
            <w:vAlign w:val="bottom"/>
            <w:tcBorders>
              <w:left w:val="single" w:sz="8" w:color="auto"/>
            </w:tcBorders>
          </w:tcPr>
          <w:p>
            <w:pPr>
              <w:jc w:val="center"/>
              <w:ind w:left="190"/>
              <w:spacing w:after="0"/>
              <w:rPr>
                <w:sz w:val="20"/>
                <w:szCs w:val="20"/>
                <w:color w:val="auto"/>
              </w:rPr>
            </w:pPr>
            <w:r>
              <w:rPr>
                <w:rFonts w:ascii="Arial" w:cs="Arial" w:eastAsia="Arial" w:hAnsi="Arial"/>
                <w:sz w:val="14"/>
                <w:szCs w:val="14"/>
                <w:color w:val="auto"/>
                <w:w w:val="89"/>
              </w:rPr>
              <w:t>Common Stock, par value $0.01 per share</w:t>
            </w:r>
          </w:p>
        </w:tc>
        <w:tc>
          <w:tcPr>
            <w:tcW w:w="26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tcBorders>
              <w:right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9"/>
              </w:rPr>
              <w:t>ZI</w:t>
            </w:r>
          </w:p>
        </w:tc>
        <w:tc>
          <w:tcPr>
            <w:tcW w:w="340" w:type="dxa"/>
            <w:vAlign w:val="bottom"/>
          </w:tcPr>
          <w:p>
            <w:pPr>
              <w:spacing w:after="0"/>
              <w:rPr>
                <w:sz w:val="20"/>
                <w:szCs w:val="20"/>
                <w:color w:val="auto"/>
              </w:rPr>
            </w:pPr>
          </w:p>
        </w:tc>
        <w:tc>
          <w:tcPr>
            <w:tcW w:w="3400" w:type="dxa"/>
            <w:vAlign w:val="bottom"/>
            <w:tcBorders>
              <w:right w:val="single" w:sz="8" w:color="auto"/>
            </w:tcBorders>
          </w:tcPr>
          <w:p>
            <w:pPr>
              <w:jc w:val="center"/>
              <w:ind w:right="311"/>
              <w:spacing w:after="0"/>
              <w:rPr>
                <w:sz w:val="20"/>
                <w:szCs w:val="20"/>
                <w:color w:val="auto"/>
              </w:rPr>
            </w:pPr>
            <w:r>
              <w:rPr>
                <w:rFonts w:ascii="Arial" w:cs="Arial" w:eastAsia="Arial" w:hAnsi="Arial"/>
                <w:sz w:val="14"/>
                <w:szCs w:val="14"/>
                <w:color w:val="auto"/>
                <w:w w:val="92"/>
              </w:rPr>
              <w:t>The Nasdaq Stock Market LLC</w:t>
            </w:r>
          </w:p>
        </w:tc>
        <w:tc>
          <w:tcPr>
            <w:tcW w:w="0" w:type="dxa"/>
            <w:vAlign w:val="bottom"/>
          </w:tcPr>
          <w:p>
            <w:pPr>
              <w:spacing w:after="0"/>
              <w:rPr>
                <w:sz w:val="1"/>
                <w:szCs w:val="1"/>
                <w:color w:val="auto"/>
              </w:rPr>
            </w:pPr>
          </w:p>
        </w:tc>
      </w:tr>
      <w:tr>
        <w:trPr>
          <w:trHeight w:val="27"/>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4"/>
          <w:szCs w:val="24"/>
          <w:color w:val="auto"/>
        </w:rPr>
      </w:pPr>
    </w:p>
    <w:p>
      <w:pPr>
        <w:jc w:val="both"/>
        <w:ind w:right="20" w:firstLine="318"/>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jc w:val="both"/>
        <w:ind w:right="20" w:firstLine="318"/>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jc w:val="both"/>
        <w:ind w:right="20" w:firstLine="318"/>
        <w:spacing w:after="0" w:line="28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6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6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5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300" w:type="dxa"/>
            <w:vAlign w:val="bottom"/>
          </w:tcPr>
          <w:p>
            <w:pPr>
              <w:ind w:left="3560"/>
              <w:spacing w:after="0"/>
              <w:rPr>
                <w:sz w:val="20"/>
                <w:szCs w:val="20"/>
                <w:color w:val="auto"/>
              </w:rPr>
            </w:pPr>
            <w:r>
              <w:rPr>
                <w:rFonts w:ascii="Arial" w:cs="Arial" w:eastAsia="Arial" w:hAnsi="Arial"/>
                <w:sz w:val="14"/>
                <w:szCs w:val="14"/>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2" w:lineRule="exact"/>
        <w:rPr>
          <w:sz w:val="24"/>
          <w:szCs w:val="24"/>
          <w:color w:val="auto"/>
        </w:rPr>
      </w:pPr>
    </w:p>
    <w:p>
      <w:pPr>
        <w:ind w:right="20" w:firstLine="318"/>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4" w:lineRule="exact"/>
        <w:rPr>
          <w:sz w:val="24"/>
          <w:szCs w:val="24"/>
          <w:color w:val="auto"/>
        </w:rPr>
      </w:pPr>
    </w:p>
    <w:p>
      <w:pPr>
        <w:ind w:left="320"/>
        <w:spacing w:after="0" w:line="150" w:lineRule="exact"/>
        <w:tabs>
          <w:tab w:leader="none" w:pos="7300" w:val="left"/>
        </w:tabs>
        <w:rPr>
          <w:sz w:val="20"/>
          <w:szCs w:val="20"/>
          <w:color w:val="auto"/>
        </w:rPr>
      </w:pPr>
      <w:r>
        <w:rPr>
          <w:rFonts w:ascii="Arial" w:cs="Arial" w:eastAsia="Arial" w:hAnsi="Arial"/>
          <w:sz w:val="13"/>
          <w:szCs w:val="13"/>
          <w:color w:val="auto"/>
        </w:rPr>
        <w:t xml:space="preserve">Indicate by check mark whether the registrant is a shell company (as defined by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118110</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October 21, 2022, there were 403,657,009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990600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641350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60"/>
          </w:cols>
          <w:pgMar w:left="320" w:top="1190" w:right="319" w:bottom="1440" w:gutter="0" w:footer="0" w:header="0"/>
          <w:type w:val="continuous"/>
        </w:sectPr>
      </w:pPr>
    </w:p>
    <w:bookmarkStart w:id="1" w:name="page2"/>
    <w:bookmarkEnd w:id="1"/>
    <w:p>
      <w:pPr>
        <w:spacing w:after="0" w:line="11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Quarterly Report on Form 10-Q</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8"/>
        </w:trPr>
        <w:tc>
          <w:tcPr>
            <w:tcW w:w="640" w:type="dxa"/>
            <w:vAlign w:val="bottom"/>
            <w:vMerge w:val="restart"/>
          </w:tcPr>
          <w:p>
            <w:pPr>
              <w:spacing w:after="0"/>
              <w:rPr>
                <w:sz w:val="20"/>
                <w:szCs w:val="20"/>
                <w:color w:val="auto"/>
              </w:rPr>
            </w:pPr>
            <w:r>
              <w:rPr>
                <w:rFonts w:ascii="Arial" w:cs="Arial" w:eastAsia="Arial" w:hAnsi="Arial"/>
                <w:sz w:val="18"/>
                <w:szCs w:val="18"/>
                <w:color w:val="0000FF"/>
                <w:w w:val="87"/>
              </w:rPr>
              <w:t>Glossary</w:t>
            </w:r>
          </w:p>
        </w:tc>
        <w:tc>
          <w:tcPr>
            <w:tcW w:w="9800" w:type="dxa"/>
            <w:vAlign w:val="bottom"/>
            <w:gridSpan w:val="23"/>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40" w:type="dxa"/>
            <w:vAlign w:val="bottom"/>
            <w:tcBorders>
              <w:bottom w:val="single" w:sz="8" w:color="0000FF"/>
            </w:tcBorders>
            <w:vMerge w:val="continue"/>
          </w:tcPr>
          <w:p>
            <w:pPr>
              <w:spacing w:after="0"/>
              <w:rPr>
                <w:sz w:val="15"/>
                <w:szCs w:val="15"/>
                <w:color w:val="auto"/>
              </w:rPr>
            </w:pPr>
          </w:p>
        </w:tc>
        <w:tc>
          <w:tcPr>
            <w:tcW w:w="9800" w:type="dxa"/>
            <w:vAlign w:val="bottom"/>
            <w:gridSpan w:val="23"/>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4"/>
                <w:szCs w:val="14"/>
                <w:color w:val="0000FF"/>
              </w:rPr>
              <w:t>ii</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sz w:val="20"/>
                <w:szCs w:val="20"/>
                <w:color w:val="auto"/>
              </w:rPr>
            </w:pPr>
            <w:r>
              <w:rPr>
                <w:rFonts w:ascii="Arial" w:cs="Arial" w:eastAsia="Arial" w:hAnsi="Arial"/>
                <w:sz w:val="18"/>
                <w:szCs w:val="18"/>
                <w:color w:val="0000FF"/>
              </w:rPr>
              <w:t>Cautionary Statement Regarding Forward-Looking Statements</w:t>
            </w:r>
          </w:p>
        </w:tc>
        <w:tc>
          <w:tcPr>
            <w:tcW w:w="360" w:type="dxa"/>
            <w:vAlign w:val="bottom"/>
          </w:tcPr>
          <w:p>
            <w:pPr>
              <w:spacing w:after="0"/>
              <w:rPr>
                <w:sz w:val="21"/>
                <w:szCs w:val="21"/>
                <w:color w:val="auto"/>
              </w:rPr>
            </w:pPr>
          </w:p>
        </w:tc>
        <w:tc>
          <w:tcPr>
            <w:tcW w:w="420" w:type="dxa"/>
            <w:vAlign w:val="bottom"/>
            <w:gridSpan w:val="2"/>
          </w:tcPr>
          <w:p>
            <w:pPr>
              <w:jc w:val="center"/>
              <w:ind w:right="340"/>
              <w:spacing w:after="0"/>
              <w:rPr>
                <w:sz w:val="20"/>
                <w:szCs w:val="20"/>
                <w:color w:val="auto"/>
              </w:rPr>
            </w:pPr>
            <w:r>
              <w:rPr>
                <w:rFonts w:ascii="Arial" w:cs="Arial" w:eastAsia="Arial" w:hAnsi="Arial"/>
                <w:sz w:val="14"/>
                <w:szCs w:val="14"/>
                <w:color w:val="0000FF"/>
                <w:w w:val="78"/>
              </w:rPr>
              <w:t>iv</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9"/>
          </w:tcPr>
          <w:p>
            <w:pPr>
              <w:jc w:val="center"/>
              <w:ind w:right="3400"/>
              <w:spacing w:after="0"/>
              <w:rPr>
                <w:sz w:val="20"/>
                <w:szCs w:val="20"/>
                <w:color w:val="auto"/>
              </w:rPr>
            </w:pPr>
            <w:r>
              <w:rPr>
                <w:rFonts w:ascii="Arial" w:cs="Arial" w:eastAsia="Arial" w:hAnsi="Arial"/>
                <w:sz w:val="18"/>
                <w:szCs w:val="18"/>
                <w:color w:val="0000FF"/>
                <w:w w:val="96"/>
              </w:rPr>
              <w:t>PART I - FINANCIAL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160" w:type="dxa"/>
            <w:vAlign w:val="bottom"/>
            <w:gridSpan w:val="15"/>
          </w:tcPr>
          <w:p>
            <w:pPr>
              <w:spacing w:after="0"/>
              <w:rPr>
                <w:sz w:val="20"/>
                <w:szCs w:val="20"/>
                <w:color w:val="auto"/>
              </w:rPr>
            </w:pPr>
            <w:r>
              <w:rPr>
                <w:rFonts w:ascii="Arial" w:cs="Arial" w:eastAsia="Arial" w:hAnsi="Arial"/>
                <w:sz w:val="18"/>
                <w:szCs w:val="18"/>
                <w:color w:val="0000FF"/>
              </w:rPr>
              <w:t>Item 1. Financial Statements</w:t>
            </w:r>
          </w:p>
        </w:tc>
        <w:tc>
          <w:tcPr>
            <w:tcW w:w="2880" w:type="dxa"/>
            <w:vAlign w:val="bottom"/>
            <w:tcBorders>
              <w:top w:val="single" w:sz="8" w:color="0000FF"/>
            </w:tcBorders>
            <w:gridSpan w:val="8"/>
          </w:tcPr>
          <w:p>
            <w:pPr>
              <w:spacing w:after="0"/>
              <w:rPr>
                <w:sz w:val="21"/>
                <w:szCs w:val="21"/>
                <w:color w:val="auto"/>
              </w:rPr>
            </w:pPr>
          </w:p>
        </w:tc>
        <w:tc>
          <w:tcPr>
            <w:tcW w:w="3400" w:type="dxa"/>
            <w:vAlign w:val="bottom"/>
          </w:tcPr>
          <w:p>
            <w:pPr>
              <w:spacing w:after="0"/>
              <w:rPr>
                <w:sz w:val="21"/>
                <w:szCs w:val="21"/>
                <w:color w:val="auto"/>
              </w:rPr>
            </w:pPr>
          </w:p>
        </w:tc>
        <w:tc>
          <w:tcPr>
            <w:tcW w:w="440" w:type="dxa"/>
            <w:vAlign w:val="bottom"/>
            <w:gridSpan w:val="2"/>
          </w:tcPr>
          <w:p>
            <w:pPr>
              <w:jc w:val="center"/>
              <w:ind w:left="253"/>
              <w:spacing w:after="0"/>
              <w:rPr>
                <w:sz w:val="20"/>
                <w:szCs w:val="20"/>
                <w:color w:val="auto"/>
              </w:rPr>
            </w:pPr>
            <w:r>
              <w:rPr>
                <w:rFonts w:ascii="Arial" w:cs="Arial" w:eastAsia="Arial" w:hAnsi="Arial"/>
                <w:sz w:val="18"/>
                <w:szCs w:val="18"/>
                <w:color w:val="0000FF"/>
                <w:w w:val="99"/>
              </w:rPr>
              <w:t>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2"/>
          </w:tcPr>
          <w:p>
            <w:pPr>
              <w:spacing w:after="0"/>
              <w:rPr>
                <w:sz w:val="20"/>
                <w:szCs w:val="20"/>
                <w:color w:val="auto"/>
              </w:rPr>
            </w:pPr>
            <w:r>
              <w:rPr>
                <w:rFonts w:ascii="Arial" w:cs="Arial" w:eastAsia="Arial" w:hAnsi="Arial"/>
                <w:sz w:val="18"/>
                <w:szCs w:val="18"/>
                <w:color w:val="0000FF"/>
              </w:rPr>
              <w:t>Condensed Consolidated Balance Sheets</w:t>
            </w:r>
          </w:p>
        </w:tc>
        <w:tc>
          <w:tcPr>
            <w:tcW w:w="440" w:type="dxa"/>
            <w:vAlign w:val="bottom"/>
            <w:gridSpan w:val="2"/>
          </w:tcPr>
          <w:p>
            <w:pPr>
              <w:jc w:val="center"/>
              <w:ind w:left="253"/>
              <w:spacing w:after="0"/>
              <w:rPr>
                <w:sz w:val="20"/>
                <w:szCs w:val="20"/>
                <w:color w:val="auto"/>
              </w:rPr>
            </w:pPr>
            <w:r>
              <w:rPr>
                <w:rFonts w:ascii="Arial" w:cs="Arial" w:eastAsia="Arial" w:hAnsi="Arial"/>
                <w:sz w:val="18"/>
                <w:szCs w:val="18"/>
                <w:color w:val="0000FF"/>
                <w:w w:val="99"/>
              </w:rPr>
              <w:t>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11"/>
          </w:tcPr>
          <w:p>
            <w:pPr>
              <w:spacing w:after="0"/>
              <w:rPr>
                <w:sz w:val="20"/>
                <w:szCs w:val="20"/>
                <w:color w:val="auto"/>
              </w:rPr>
            </w:pPr>
            <w:r>
              <w:rPr>
                <w:rFonts w:ascii="Arial" w:cs="Arial" w:eastAsia="Arial" w:hAnsi="Arial"/>
                <w:sz w:val="18"/>
                <w:szCs w:val="18"/>
                <w:color w:val="0000FF"/>
                <w:w w:val="88"/>
              </w:rPr>
              <w:t>Consolidated Statements of Operations</w:t>
            </w:r>
          </w:p>
        </w:tc>
        <w:tc>
          <w:tcPr>
            <w:tcW w:w="6960" w:type="dxa"/>
            <w:vAlign w:val="bottom"/>
            <w:gridSpan w:val="11"/>
          </w:tcPr>
          <w:p>
            <w:pPr>
              <w:spacing w:after="0"/>
              <w:rPr>
                <w:sz w:val="21"/>
                <w:szCs w:val="21"/>
                <w:color w:val="auto"/>
              </w:rPr>
            </w:pPr>
          </w:p>
        </w:tc>
        <w:tc>
          <w:tcPr>
            <w:tcW w:w="440" w:type="dxa"/>
            <w:vAlign w:val="bottom"/>
            <w:gridSpan w:val="2"/>
          </w:tcPr>
          <w:p>
            <w:pPr>
              <w:jc w:val="center"/>
              <w:ind w:left="253"/>
              <w:spacing w:after="0"/>
              <w:rPr>
                <w:sz w:val="20"/>
                <w:szCs w:val="20"/>
                <w:color w:val="auto"/>
              </w:rPr>
            </w:pPr>
            <w:r>
              <w:rPr>
                <w:rFonts w:ascii="Arial" w:cs="Arial" w:eastAsia="Arial" w:hAnsi="Arial"/>
                <w:sz w:val="18"/>
                <w:szCs w:val="18"/>
                <w:color w:val="0000FF"/>
                <w:w w:val="99"/>
              </w:rPr>
              <w:t>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18"/>
          </w:tcPr>
          <w:p>
            <w:pPr>
              <w:spacing w:after="0"/>
              <w:rPr>
                <w:sz w:val="20"/>
                <w:szCs w:val="20"/>
                <w:color w:val="auto"/>
              </w:rPr>
            </w:pPr>
            <w:r>
              <w:rPr>
                <w:rFonts w:ascii="Arial" w:cs="Arial" w:eastAsia="Arial" w:hAnsi="Arial"/>
                <w:sz w:val="18"/>
                <w:szCs w:val="18"/>
                <w:color w:val="0000FF"/>
                <w:w w:val="88"/>
              </w:rPr>
              <w:t>Consolidated Statements of Comprehensive Income (Loss)</w:t>
            </w:r>
          </w:p>
        </w:tc>
        <w:tc>
          <w:tcPr>
            <w:tcW w:w="5580" w:type="dxa"/>
            <w:vAlign w:val="bottom"/>
            <w:gridSpan w:val="4"/>
          </w:tcPr>
          <w:p>
            <w:pPr>
              <w:spacing w:after="0"/>
              <w:rPr>
                <w:sz w:val="21"/>
                <w:szCs w:val="21"/>
                <w:color w:val="auto"/>
              </w:rPr>
            </w:pPr>
          </w:p>
        </w:tc>
        <w:tc>
          <w:tcPr>
            <w:tcW w:w="440" w:type="dxa"/>
            <w:vAlign w:val="bottom"/>
            <w:gridSpan w:val="2"/>
          </w:tcPr>
          <w:p>
            <w:pPr>
              <w:jc w:val="center"/>
              <w:ind w:left="253"/>
              <w:spacing w:after="0"/>
              <w:rPr>
                <w:sz w:val="20"/>
                <w:szCs w:val="20"/>
                <w:color w:val="auto"/>
              </w:rPr>
            </w:pPr>
            <w:r>
              <w:rPr>
                <w:rFonts w:ascii="Arial" w:cs="Arial" w:eastAsia="Arial" w:hAnsi="Arial"/>
                <w:sz w:val="18"/>
                <w:szCs w:val="18"/>
                <w:color w:val="0000FF"/>
                <w:w w:val="99"/>
              </w:rPr>
              <w:t>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18"/>
          </w:tcPr>
          <w:p>
            <w:pPr>
              <w:spacing w:after="0"/>
              <w:rPr>
                <w:sz w:val="20"/>
                <w:szCs w:val="20"/>
                <w:color w:val="auto"/>
              </w:rPr>
            </w:pPr>
            <w:r>
              <w:rPr>
                <w:rFonts w:ascii="Arial" w:cs="Arial" w:eastAsia="Arial" w:hAnsi="Arial"/>
                <w:sz w:val="18"/>
                <w:szCs w:val="18"/>
                <w:color w:val="0000FF"/>
                <w:w w:val="94"/>
              </w:rPr>
              <w:t>Consolidated Statements of Changes in Equity (Deficit)</w:t>
            </w:r>
          </w:p>
        </w:tc>
        <w:tc>
          <w:tcPr>
            <w:tcW w:w="5580" w:type="dxa"/>
            <w:vAlign w:val="bottom"/>
            <w:gridSpan w:val="4"/>
          </w:tcPr>
          <w:p>
            <w:pPr>
              <w:spacing w:after="0"/>
              <w:rPr>
                <w:sz w:val="21"/>
                <w:szCs w:val="21"/>
                <w:color w:val="auto"/>
              </w:rPr>
            </w:pPr>
          </w:p>
        </w:tc>
        <w:tc>
          <w:tcPr>
            <w:tcW w:w="440" w:type="dxa"/>
            <w:vAlign w:val="bottom"/>
            <w:gridSpan w:val="2"/>
          </w:tcPr>
          <w:p>
            <w:pPr>
              <w:jc w:val="center"/>
              <w:ind w:left="253"/>
              <w:spacing w:after="0"/>
              <w:rPr>
                <w:sz w:val="20"/>
                <w:szCs w:val="20"/>
                <w:color w:val="auto"/>
              </w:rPr>
            </w:pPr>
            <w:r>
              <w:rPr>
                <w:rFonts w:ascii="Arial" w:cs="Arial" w:eastAsia="Arial" w:hAnsi="Arial"/>
                <w:sz w:val="18"/>
                <w:szCs w:val="18"/>
                <w:color w:val="0000FF"/>
                <w:w w:val="99"/>
              </w:rPr>
              <w:t>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gridSpan w:val="16"/>
          </w:tcPr>
          <w:p>
            <w:pPr>
              <w:spacing w:after="0"/>
              <w:rPr>
                <w:sz w:val="20"/>
                <w:szCs w:val="20"/>
                <w:color w:val="auto"/>
              </w:rPr>
            </w:pPr>
            <w:r>
              <w:rPr>
                <w:rFonts w:ascii="Arial" w:cs="Arial" w:eastAsia="Arial" w:hAnsi="Arial"/>
                <w:sz w:val="18"/>
                <w:szCs w:val="18"/>
                <w:color w:val="0000FF"/>
              </w:rPr>
              <w:t>Consolidated Statements of Cash Flows</w:t>
            </w:r>
          </w:p>
        </w:tc>
        <w:tc>
          <w:tcPr>
            <w:tcW w:w="5840" w:type="dxa"/>
            <w:vAlign w:val="bottom"/>
            <w:gridSpan w:val="6"/>
          </w:tcPr>
          <w:p>
            <w:pPr>
              <w:spacing w:after="0"/>
              <w:rPr>
                <w:sz w:val="21"/>
                <w:szCs w:val="21"/>
                <w:color w:val="auto"/>
              </w:rPr>
            </w:pPr>
          </w:p>
        </w:tc>
        <w:tc>
          <w:tcPr>
            <w:tcW w:w="440" w:type="dxa"/>
            <w:vAlign w:val="bottom"/>
            <w:gridSpan w:val="2"/>
          </w:tcPr>
          <w:p>
            <w:pPr>
              <w:jc w:val="center"/>
              <w:ind w:left="253"/>
              <w:spacing w:after="0"/>
              <w:rPr>
                <w:sz w:val="20"/>
                <w:szCs w:val="20"/>
                <w:color w:val="auto"/>
              </w:rPr>
            </w:pPr>
            <w:r>
              <w:rPr>
                <w:rFonts w:ascii="Arial" w:cs="Arial" w:eastAsia="Arial" w:hAnsi="Arial"/>
                <w:sz w:val="18"/>
                <w:szCs w:val="18"/>
                <w:color w:val="0000FF"/>
                <w:w w:val="99"/>
              </w:rPr>
              <w:t>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7"/>
              </w:rPr>
              <w:t>Notes to the Consolidated Financial Statements</w:t>
            </w:r>
          </w:p>
        </w:tc>
        <w:tc>
          <w:tcPr>
            <w:tcW w:w="6420" w:type="dxa"/>
            <w:vAlign w:val="bottom"/>
            <w:gridSpan w:val="10"/>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45"/>
        </w:trPr>
        <w:tc>
          <w:tcPr>
            <w:tcW w:w="4860" w:type="dxa"/>
            <w:vAlign w:val="bottom"/>
            <w:tcBorders>
              <w:top w:val="single" w:sz="8" w:color="0000FF"/>
              <w:bottom w:val="single" w:sz="8" w:color="0000FF"/>
            </w:tcBorders>
            <w:gridSpan w:val="20"/>
          </w:tcPr>
          <w:p>
            <w:pPr>
              <w:spacing w:after="0"/>
              <w:rPr>
                <w:sz w:val="20"/>
                <w:szCs w:val="20"/>
                <w:color w:val="auto"/>
              </w:rPr>
            </w:pPr>
            <w:r>
              <w:rPr>
                <w:rFonts w:ascii="Arial" w:cs="Arial" w:eastAsia="Arial" w:hAnsi="Arial"/>
                <w:sz w:val="18"/>
                <w:szCs w:val="18"/>
                <w:color w:val="0000FF"/>
                <w:w w:val="90"/>
              </w:rPr>
              <w:t>Item 3. Quantitative and Qualitative Disclosures About Market Risk</w:t>
            </w:r>
          </w:p>
        </w:tc>
        <w:tc>
          <w:tcPr>
            <w:tcW w:w="2000" w:type="dxa"/>
            <w:vAlign w:val="bottom"/>
            <w:tcBorders>
              <w:top w:val="single" w:sz="8" w:color="0000FF"/>
            </w:tcBorders>
          </w:tcPr>
          <w:p>
            <w:pPr>
              <w:spacing w:after="0"/>
              <w:rPr>
                <w:sz w:val="21"/>
                <w:szCs w:val="21"/>
                <w:color w:val="auto"/>
              </w:rPr>
            </w:pPr>
          </w:p>
        </w:tc>
        <w:tc>
          <w:tcPr>
            <w:tcW w:w="358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76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sz w:val="20"/>
                <w:szCs w:val="20"/>
                <w:color w:val="auto"/>
              </w:rPr>
            </w:pPr>
            <w:r>
              <w:rPr>
                <w:rFonts w:ascii="Arial" w:cs="Arial" w:eastAsia="Arial" w:hAnsi="Arial"/>
                <w:sz w:val="18"/>
                <w:szCs w:val="18"/>
                <w:color w:val="0000FF"/>
              </w:rPr>
              <w:t>Item 4. Controls and Procedures</w:t>
            </w: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77</w:t>
            </w:r>
          </w:p>
        </w:tc>
        <w:tc>
          <w:tcPr>
            <w:tcW w:w="0" w:type="dxa"/>
            <w:vAlign w:val="bottom"/>
          </w:tcPr>
          <w:p>
            <w:pPr>
              <w:spacing w:after="0"/>
              <w:rPr>
                <w:sz w:val="1"/>
                <w:szCs w:val="1"/>
                <w:color w:val="auto"/>
              </w:rPr>
            </w:pPr>
          </w:p>
        </w:tc>
      </w:tr>
      <w:tr>
        <w:trPr>
          <w:trHeight w:val="245"/>
        </w:trPr>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tcBorders>
              <w:bottom w:val="single" w:sz="8" w:color="0000FF"/>
            </w:tcBorders>
            <w:gridSpan w:val="6"/>
          </w:tcPr>
          <w:p>
            <w:pPr>
              <w:jc w:val="center"/>
              <w:spacing w:after="0"/>
              <w:rPr>
                <w:sz w:val="20"/>
                <w:szCs w:val="20"/>
                <w:color w:val="auto"/>
              </w:rPr>
            </w:pPr>
            <w:r>
              <w:rPr>
                <w:rFonts w:ascii="Arial" w:cs="Arial" w:eastAsia="Arial" w:hAnsi="Arial"/>
                <w:sz w:val="18"/>
                <w:szCs w:val="18"/>
                <w:color w:val="0000FF"/>
                <w:w w:val="94"/>
              </w:rPr>
              <w:t>PART II - OTHER INFORMATION</w:t>
            </w:r>
          </w:p>
        </w:tc>
        <w:tc>
          <w:tcPr>
            <w:tcW w:w="35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8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7"/>
              </w:rPr>
              <w:t>Item 1. Legal Proceedings</w:t>
            </w:r>
          </w:p>
        </w:tc>
        <w:tc>
          <w:tcPr>
            <w:tcW w:w="8580" w:type="dxa"/>
            <w:vAlign w:val="bottom"/>
            <w:gridSpan w:val="16"/>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78</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sz w:val="20"/>
                <w:szCs w:val="20"/>
                <w:color w:val="auto"/>
              </w:rPr>
            </w:pPr>
            <w:r>
              <w:rPr>
                <w:rFonts w:ascii="Arial" w:cs="Arial" w:eastAsia="Arial" w:hAnsi="Arial"/>
                <w:sz w:val="18"/>
                <w:szCs w:val="18"/>
                <w:color w:val="0000FF"/>
              </w:rPr>
              <w:t>Item 1A. Risk Factors</w:t>
            </w: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78</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8"/>
              </w:rPr>
              <w:t>Item 2. Unregistered Sales of Equity Securities and Use of Proceeds</w:t>
            </w:r>
          </w:p>
        </w:tc>
        <w:tc>
          <w:tcPr>
            <w:tcW w:w="562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78</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sz w:val="20"/>
                <w:szCs w:val="20"/>
                <w:color w:val="auto"/>
              </w:rPr>
            </w:pPr>
            <w:r>
              <w:rPr>
                <w:rFonts w:ascii="Arial" w:cs="Arial" w:eastAsia="Arial" w:hAnsi="Arial"/>
                <w:sz w:val="18"/>
                <w:szCs w:val="18"/>
                <w:color w:val="0000FF"/>
              </w:rPr>
              <w:t>Item 3. Defaults Upon Senior Securities</w:t>
            </w: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78</w:t>
            </w:r>
          </w:p>
        </w:tc>
        <w:tc>
          <w:tcPr>
            <w:tcW w:w="0" w:type="dxa"/>
            <w:vAlign w:val="bottom"/>
          </w:tcPr>
          <w:p>
            <w:pPr>
              <w:spacing w:after="0"/>
              <w:rPr>
                <w:sz w:val="1"/>
                <w:szCs w:val="1"/>
                <w:color w:val="auto"/>
              </w:rPr>
            </w:pPr>
          </w:p>
        </w:tc>
      </w:tr>
      <w:tr>
        <w:trPr>
          <w:trHeight w:val="245"/>
        </w:trPr>
        <w:tc>
          <w:tcPr>
            <w:tcW w:w="28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Item 4. Mine Safety Disclosures</w:t>
            </w:r>
          </w:p>
        </w:tc>
        <w:tc>
          <w:tcPr>
            <w:tcW w:w="7620" w:type="dxa"/>
            <w:vAlign w:val="bottom"/>
            <w:gridSpan w:val="13"/>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78</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8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0"/>
              </w:rPr>
              <w:t>Item 5. Other Information</w:t>
            </w:r>
          </w:p>
        </w:tc>
        <w:tc>
          <w:tcPr>
            <w:tcW w:w="440" w:type="dxa"/>
            <w:vAlign w:val="bottom"/>
            <w:tcBorders>
              <w:top w:val="single" w:sz="8" w:color="0000FF"/>
            </w:tcBorders>
            <w:gridSpan w:val="3"/>
          </w:tcPr>
          <w:p>
            <w:pPr>
              <w:spacing w:after="0"/>
              <w:rPr>
                <w:sz w:val="21"/>
                <w:szCs w:val="21"/>
                <w:color w:val="auto"/>
              </w:rPr>
            </w:pPr>
          </w:p>
        </w:tc>
        <w:tc>
          <w:tcPr>
            <w:tcW w:w="8160" w:type="dxa"/>
            <w:vAlign w:val="bottom"/>
            <w:gridSpan w:val="1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79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1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Item 6. Exhibits</w:t>
            </w:r>
          </w:p>
        </w:tc>
        <w:tc>
          <w:tcPr>
            <w:tcW w:w="9300" w:type="dxa"/>
            <w:vAlign w:val="bottom"/>
            <w:gridSpan w:val="19"/>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80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sz w:val="20"/>
                <w:szCs w:val="20"/>
                <w:color w:val="auto"/>
              </w:rPr>
            </w:pPr>
            <w:r>
              <w:rPr>
                <w:rFonts w:ascii="Arial" w:cs="Arial" w:eastAsia="Arial" w:hAnsi="Arial"/>
                <w:sz w:val="18"/>
                <w:szCs w:val="18"/>
                <w:color w:val="0000FF"/>
              </w:rPr>
              <w:t>Signatures</w:t>
            </w: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81</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GLOSSARY</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used in this quarterly report on Form 10-Q (this “</w:t>
      </w:r>
      <w:r>
        <w:rPr>
          <w:rFonts w:ascii="Arial" w:cs="Arial" w:eastAsia="Arial" w:hAnsi="Arial"/>
          <w:sz w:val="15"/>
          <w:szCs w:val="15"/>
          <w:u w:val="single" w:color="auto"/>
          <w:color w:val="auto"/>
        </w:rPr>
        <w:t>Form 10-Q</w:t>
      </w:r>
      <w:r>
        <w:rPr>
          <w:rFonts w:ascii="Arial" w:cs="Arial" w:eastAsia="Arial" w:hAnsi="Arial"/>
          <w:sz w:val="15"/>
          <w:szCs w:val="15"/>
          <w:color w:val="auto"/>
        </w:rPr>
        <w:t>”), the terms identified below have the meanings specified below unless otherwise noted or the context indicates otherwise. 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98" w:lineRule="exact"/>
        <w:rPr>
          <w:sz w:val="20"/>
          <w:szCs w:val="20"/>
          <w:color w:val="auto"/>
        </w:rPr>
      </w:pPr>
    </w:p>
    <w:p>
      <w:pPr>
        <w:ind w:left="640" w:hanging="316"/>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Form 10-K</w:t>
      </w:r>
      <w:r>
        <w:rPr>
          <w:rFonts w:ascii="Arial" w:cs="Arial" w:eastAsia="Arial" w:hAnsi="Arial"/>
          <w:sz w:val="18"/>
          <w:szCs w:val="18"/>
          <w:color w:val="auto"/>
        </w:rPr>
        <w:t>” refers to the Annual Report on Form 10-K of ZoomInfo Technologies Inc. for the fiscal year ended December 31, 2021 as filed with the SEC on February 24, 2022.</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“AOCI”</w:t>
      </w:r>
      <w:r>
        <w:rPr>
          <w:rFonts w:ascii="Arial" w:cs="Arial" w:eastAsia="Arial" w:hAnsi="Arial"/>
          <w:sz w:val="18"/>
          <w:szCs w:val="18"/>
          <w:color w:val="auto"/>
        </w:rPr>
        <w:t xml:space="preserve"> refers to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on our Condensed Consolidated Balance Sheets.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Blocker Companies</w:t>
      </w:r>
      <w:r>
        <w:rPr>
          <w:rFonts w:ascii="Arial" w:cs="Arial" w:eastAsia="Arial" w:hAnsi="Arial"/>
          <w:sz w:val="15"/>
          <w:szCs w:val="15"/>
          <w:color w:val="auto"/>
        </w:rPr>
        <w:t>” refers to certain of our Pre-IPO OpCo Unitholders that are taxable as corporations for U.S. federal income tax purposes.</w:t>
      </w:r>
    </w:p>
    <w:p>
      <w:pPr>
        <w:spacing w:after="0" w:line="41" w:lineRule="exact"/>
        <w:rPr>
          <w:rFonts w:ascii="Arial" w:cs="Arial" w:eastAsia="Arial" w:hAnsi="Arial"/>
          <w:sz w:val="15"/>
          <w:szCs w:val="15"/>
          <w:color w:val="auto"/>
        </w:rPr>
      </w:pPr>
    </w:p>
    <w:p>
      <w:pPr>
        <w:ind w:left="640" w:hanging="316"/>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Mergers</w:t>
      </w:r>
      <w:r>
        <w:rPr>
          <w:rFonts w:ascii="Arial" w:cs="Arial" w:eastAsia="Arial" w:hAnsi="Arial"/>
          <w:sz w:val="18"/>
          <w:szCs w:val="18"/>
          <w:color w:val="auto"/>
        </w:rPr>
        <w:t>” refers to the mergers described under “Reorganization Transactions” in Note 1 to our unaudited consolidated financial statements included in Part I, Item 1 of this Form 10-Q.</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Carlyle</w:t>
      </w:r>
      <w:r>
        <w:rPr>
          <w:rFonts w:ascii="Arial" w:cs="Arial" w:eastAsia="Arial" w:hAnsi="Arial"/>
          <w:sz w:val="18"/>
          <w:szCs w:val="18"/>
          <w:color w:val="auto"/>
        </w:rPr>
        <w:t>” refers to investment funds associated with The Carlyle Group.</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P Units</w:t>
      </w:r>
      <w:r>
        <w:rPr>
          <w:rFonts w:ascii="Arial" w:cs="Arial" w:eastAsia="Arial" w:hAnsi="Arial"/>
          <w:sz w:val="18"/>
          <w:szCs w:val="18"/>
          <w:color w:val="auto"/>
        </w:rPr>
        <w:t>” refers to Class P Units (including, without limitation, any indirectly held Class P Units) of ZoomInfo OpCo.</w:t>
      </w:r>
    </w:p>
    <w:p>
      <w:pPr>
        <w:spacing w:after="0" w:line="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Option</w:t>
      </w:r>
      <w:r>
        <w:rPr>
          <w:rFonts w:ascii="Arial" w:cs="Arial" w:eastAsia="Arial" w:hAnsi="Arial"/>
          <w:sz w:val="18"/>
          <w:szCs w:val="18"/>
          <w:color w:val="auto"/>
        </w:rPr>
        <w:t>” refers to an award granted under Section 7 of the 2020 Omnibus Incentive Plan.</w:t>
      </w:r>
    </w:p>
    <w:p>
      <w:pPr>
        <w:spacing w:after="0" w:line="18" w:lineRule="exact"/>
        <w:rPr>
          <w:rFonts w:ascii="Arial" w:cs="Arial" w:eastAsia="Arial" w:hAnsi="Arial"/>
          <w:sz w:val="18"/>
          <w:szCs w:val="18"/>
          <w:color w:val="auto"/>
        </w:rPr>
      </w:pPr>
    </w:p>
    <w:p>
      <w:pPr>
        <w:ind w:left="640" w:hanging="316"/>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Class P Unitholders</w:t>
      </w:r>
      <w:r>
        <w:rPr>
          <w:rFonts w:ascii="Arial" w:cs="Arial" w:eastAsia="Arial" w:hAnsi="Arial"/>
          <w:sz w:val="18"/>
          <w:szCs w:val="18"/>
          <w:color w:val="auto"/>
        </w:rPr>
        <w:t>” refers to certain Pre-IPO Owners who continued to hold Class P Units following the consummation of the Reorganization Transactions and the IPO.</w:t>
      </w: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Members</w:t>
      </w:r>
      <w:r>
        <w:rPr>
          <w:rFonts w:ascii="Arial" w:cs="Arial" w:eastAsia="Arial" w:hAnsi="Arial"/>
          <w:sz w:val="18"/>
          <w:szCs w:val="18"/>
          <w:color w:val="auto"/>
        </w:rPr>
        <w:t>” refers to Pre-IPO Owners who continued to hold HoldCo Units or OpCo Units following the Reorganization Transactions and the IPO.</w:t>
      </w:r>
    </w:p>
    <w:p>
      <w:pPr>
        <w:spacing w:after="0" w:line="1" w:lineRule="exact"/>
        <w:rPr>
          <w:rFonts w:ascii="Arial" w:cs="Arial" w:eastAsia="Arial" w:hAnsi="Arial"/>
          <w:sz w:val="18"/>
          <w:szCs w:val="18"/>
          <w:color w:val="auto"/>
        </w:rPr>
      </w:pPr>
    </w:p>
    <w:p>
      <w:pPr>
        <w:ind w:left="640" w:hanging="316"/>
        <w:spacing w:after="0" w:line="296"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Customers</w:t>
      </w:r>
      <w:r>
        <w:rPr>
          <w:rFonts w:ascii="Arial" w:cs="Arial" w:eastAsia="Arial" w:hAnsi="Arial"/>
          <w:sz w:val="15"/>
          <w:szCs w:val="15"/>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Tax Receivable Agreement</w:t>
      </w:r>
      <w:r>
        <w:rPr>
          <w:rFonts w:ascii="Arial" w:cs="Arial" w:eastAsia="Arial" w:hAnsi="Arial"/>
          <w:sz w:val="18"/>
          <w:szCs w:val="18"/>
          <w:color w:val="auto"/>
        </w:rPr>
        <w:t>” refers to the tax receivable agreement entered into with certain Pre-IPO OpCo Unitholders.</w:t>
      </w:r>
    </w:p>
    <w:p>
      <w:pPr>
        <w:spacing w:after="0" w:line="1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refers to Henry Schuck, our Chief Executive Officer, and Kirk Brown.</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Units</w:t>
      </w:r>
      <w:r>
        <w:rPr>
          <w:rFonts w:ascii="Arial" w:cs="Arial" w:eastAsia="Arial" w:hAnsi="Arial"/>
          <w:sz w:val="18"/>
          <w:szCs w:val="18"/>
          <w:color w:val="auto"/>
        </w:rPr>
        <w:t>” refers to the class of units of ZoomInfo HoldCo.</w:t>
      </w:r>
    </w:p>
    <w:p>
      <w:pPr>
        <w:spacing w:after="0" w:line="6" w:lineRule="exact"/>
        <w:rPr>
          <w:rFonts w:ascii="Arial" w:cs="Arial" w:eastAsia="Arial" w:hAnsi="Arial"/>
          <w:sz w:val="18"/>
          <w:szCs w:val="18"/>
          <w:color w:val="auto"/>
        </w:rPr>
      </w:pPr>
    </w:p>
    <w:p>
      <w:pPr>
        <w:ind w:left="640" w:hanging="316"/>
        <w:spacing w:after="0" w:line="26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w:t>
      </w:r>
      <w:r>
        <w:rPr>
          <w:rFonts w:ascii="Arial" w:cs="Arial" w:eastAsia="Arial" w:hAnsi="Arial"/>
          <w:sz w:val="18"/>
          <w:szCs w:val="18"/>
          <w:color w:val="auto"/>
        </w:rPr>
        <w:t>” and “</w:t>
      </w:r>
      <w:r>
        <w:rPr>
          <w:rFonts w:ascii="Arial" w:cs="Arial" w:eastAsia="Arial" w:hAnsi="Arial"/>
          <w:sz w:val="18"/>
          <w:szCs w:val="18"/>
          <w:u w:val="single" w:color="auto"/>
          <w:color w:val="auto"/>
        </w:rPr>
        <w:t>HSKB I</w:t>
      </w:r>
      <w:r>
        <w:rPr>
          <w:rFonts w:ascii="Arial" w:cs="Arial" w:eastAsia="Arial" w:hAnsi="Arial"/>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jc w:val="both"/>
        <w:ind w:left="640" w:hanging="316"/>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 II</w:t>
      </w:r>
      <w:r>
        <w:rPr>
          <w:rFonts w:ascii="Arial" w:cs="Arial" w:eastAsia="Arial" w:hAnsi="Arial"/>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ZoomInfo Technologies Inc.</w:t>
      </w:r>
    </w:p>
    <w:p>
      <w:pPr>
        <w:spacing w:after="0" w:line="6" w:lineRule="exact"/>
        <w:rPr>
          <w:rFonts w:ascii="Arial" w:cs="Arial" w:eastAsia="Arial" w:hAnsi="Arial"/>
          <w:sz w:val="18"/>
          <w:szCs w:val="18"/>
          <w:color w:val="auto"/>
        </w:rPr>
      </w:pPr>
    </w:p>
    <w:p>
      <w:pPr>
        <w:ind w:left="640" w:hanging="316"/>
        <w:spacing w:after="0" w:line="26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LTIP Units</w:t>
      </w:r>
      <w:r>
        <w:rPr>
          <w:rFonts w:ascii="Arial" w:cs="Arial" w:eastAsia="Arial" w:hAnsi="Arial"/>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Units</w:t>
      </w:r>
      <w:r>
        <w:rPr>
          <w:rFonts w:ascii="Arial" w:cs="Arial" w:eastAsia="Arial" w:hAnsi="Arial"/>
          <w:sz w:val="18"/>
          <w:szCs w:val="18"/>
          <w:color w:val="auto"/>
        </w:rPr>
        <w:t>” refers to the class of units of ZoomInfo OpCo and does not include Class P Units.</w:t>
      </w:r>
    </w:p>
    <w:p>
      <w:pPr>
        <w:spacing w:after="0" w:line="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Pre-Acquisition ZI</w:t>
      </w:r>
      <w:r>
        <w:rPr>
          <w:rFonts w:ascii="Arial" w:cs="Arial" w:eastAsia="Arial" w:hAnsi="Arial"/>
          <w:sz w:val="18"/>
          <w:szCs w:val="18"/>
          <w:color w:val="auto"/>
        </w:rPr>
        <w:t>” refers to Zoom Information Inc.</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Pre-IPO Blocker Holders</w:t>
      </w:r>
      <w:r>
        <w:rPr>
          <w:rFonts w:ascii="Arial" w:cs="Arial" w:eastAsia="Arial" w:hAnsi="Arial"/>
          <w:sz w:val="15"/>
          <w:szCs w:val="15"/>
          <w:color w:val="auto"/>
        </w:rPr>
        <w:t>” refers to the Pre-IPO Owners that held their interests in us through the Blocker Companies immediately prior to the IPO.</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HoldCo Unitholders</w:t>
      </w:r>
      <w:r>
        <w:rPr>
          <w:rFonts w:ascii="Arial" w:cs="Arial" w:eastAsia="Arial" w:hAnsi="Arial"/>
          <w:sz w:val="18"/>
          <w:szCs w:val="18"/>
          <w:color w:val="auto"/>
        </w:rPr>
        <w:t>” refers to the Pre-IPO Owners that held HoldCo Units immediately prior to the IPO.</w:t>
      </w:r>
    </w:p>
    <w:p>
      <w:pPr>
        <w:spacing w:after="0" w:line="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OpCo Unitholders</w:t>
      </w:r>
      <w:r>
        <w:rPr>
          <w:rFonts w:ascii="Arial" w:cs="Arial" w:eastAsia="Arial" w:hAnsi="Arial"/>
          <w:sz w:val="18"/>
          <w:szCs w:val="18"/>
          <w:color w:val="auto"/>
        </w:rPr>
        <w:t>” refers to the Pre-IPO Owners that held OpCo Units immediately prior to the IPO.</w:t>
      </w:r>
    </w:p>
    <w:p>
      <w:pPr>
        <w:spacing w:after="0" w:line="1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Owners</w:t>
      </w:r>
      <w:r>
        <w:rPr>
          <w:rFonts w:ascii="Arial" w:cs="Arial" w:eastAsia="Arial" w:hAnsi="Arial"/>
          <w:sz w:val="18"/>
          <w:szCs w:val="18"/>
          <w:color w:val="auto"/>
        </w:rPr>
        <w:t>” refers collectively to the Sponsors, the Founders, and the management and other equity holders who were the owners of ZoomInfo OpCo immediately prior to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Tax Receivable Agreement</w:t>
      </w:r>
      <w:r>
        <w:rPr>
          <w:rFonts w:ascii="Arial" w:cs="Arial" w:eastAsia="Arial" w:hAnsi="Arial"/>
          <w:sz w:val="18"/>
          <w:szCs w:val="18"/>
          <w:color w:val="auto"/>
        </w:rPr>
        <w:t>” refers to the tax receivable agreement entered into with the Pre-IPO Blocker Holders.</w:t>
      </w:r>
    </w:p>
    <w:p>
      <w:pPr>
        <w:spacing w:after="0" w:line="18" w:lineRule="exact"/>
        <w:rPr>
          <w:rFonts w:ascii="Arial" w:cs="Arial" w:eastAsia="Arial" w:hAnsi="Arial"/>
          <w:sz w:val="18"/>
          <w:szCs w:val="18"/>
          <w:color w:val="auto"/>
        </w:rPr>
      </w:pPr>
    </w:p>
    <w:p>
      <w:pPr>
        <w:ind w:left="640" w:hanging="316"/>
        <w:spacing w:after="0" w:line="25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refers to the transactions described under “Reorganization Transactions” in Note 1 to our unaudited consolidated financial statements included in Part I, Item 1 of this Form 10-Q.</w:t>
      </w:r>
    </w:p>
    <w:p>
      <w:pPr>
        <w:jc w:val="both"/>
        <w:ind w:left="640" w:hanging="316"/>
        <w:spacing w:after="0" w:line="25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refers to our common stock, subject to certain specified restrictions (which may include, without limitation, a requirement that the recipient remain continuously employed or provide continuous services for a specified period of time), granted under Section 8 of the 2020 Omnibus Incentive Plan.</w:t>
      </w:r>
    </w:p>
    <w:p>
      <w:pPr>
        <w:jc w:val="both"/>
        <w:ind w:left="640" w:hanging="316"/>
        <w:spacing w:after="0" w:line="266"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or “</w:t>
      </w:r>
      <w:r>
        <w:rPr>
          <w:rFonts w:ascii="Arial" w:cs="Arial" w:eastAsia="Arial" w:hAnsi="Arial"/>
          <w:sz w:val="17"/>
          <w:szCs w:val="17"/>
          <w:u w:val="single" w:color="auto"/>
          <w:color w:val="auto"/>
        </w:rPr>
        <w:t>RSU</w:t>
      </w:r>
      <w:r>
        <w:rPr>
          <w:rFonts w:ascii="Arial" w:cs="Arial" w:eastAsia="Arial" w:hAnsi="Arial"/>
          <w:sz w:val="17"/>
          <w:szCs w:val="17"/>
          <w:color w:val="auto"/>
        </w:rPr>
        <w:t>” refers to an unfunded and unsecured promise to deliver shares of our common stock, cash, other securities or other property, subject to certain restrictions (which may include, without limitation, a requirement that the recipient remain continuously employed or provide continuous services for a specified period of time), granted under Section 8 of the 2020 Omnibus Incentive Plan.</w:t>
      </w:r>
    </w:p>
    <w:p>
      <w:pPr>
        <w:spacing w:after="0" w:line="1"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refers to the Securities and Exchange Commission.</w:t>
      </w:r>
    </w:p>
    <w:p>
      <w:pPr>
        <w:spacing w:after="0" w:line="1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refers to the Securities Act of 1933, as amended.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refers collectively to TA Associates, Carlyle, and investment funds associated with 22C Capital LLC and its predecessor.</w:t>
      </w:r>
    </w:p>
    <w:p>
      <w:pPr>
        <w:spacing w:after="0" w:line="6"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 Associates</w:t>
      </w:r>
      <w:r>
        <w:rPr>
          <w:rFonts w:ascii="Arial" w:cs="Arial" w:eastAsia="Arial" w:hAnsi="Arial"/>
          <w:sz w:val="18"/>
          <w:szCs w:val="18"/>
          <w:color w:val="auto"/>
        </w:rPr>
        <w:t>” refers to investment funds associated with TA Associates.</w:t>
      </w:r>
    </w:p>
    <w:p>
      <w:pPr>
        <w:spacing w:after="0" w:line="18" w:lineRule="exact"/>
        <w:rPr>
          <w:rFonts w:ascii="Arial" w:cs="Arial" w:eastAsia="Arial" w:hAnsi="Arial"/>
          <w:sz w:val="18"/>
          <w:szCs w:val="18"/>
          <w:color w:val="auto"/>
        </w:rPr>
      </w:pPr>
    </w:p>
    <w:p>
      <w:pPr>
        <w:ind w:left="640" w:hanging="316"/>
        <w:spacing w:after="0" w:line="25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Agreements</w:t>
      </w:r>
      <w:r>
        <w:rPr>
          <w:rFonts w:ascii="Arial" w:cs="Arial" w:eastAsia="Arial" w:hAnsi="Arial"/>
          <w:sz w:val="18"/>
          <w:szCs w:val="18"/>
          <w:color w:val="auto"/>
        </w:rPr>
        <w:t>” or “</w:t>
      </w:r>
      <w:r>
        <w:rPr>
          <w:rFonts w:ascii="Arial" w:cs="Arial" w:eastAsia="Arial" w:hAnsi="Arial"/>
          <w:sz w:val="18"/>
          <w:szCs w:val="18"/>
          <w:u w:val="single" w:color="auto"/>
          <w:color w:val="auto"/>
        </w:rPr>
        <w:t>TRA</w:t>
      </w:r>
      <w:r>
        <w:rPr>
          <w:rFonts w:ascii="Arial" w:cs="Arial" w:eastAsia="Arial" w:hAnsi="Arial"/>
          <w:sz w:val="18"/>
          <w:szCs w:val="18"/>
          <w:color w:val="auto"/>
        </w:rPr>
        <w:t>” refers collectively to the Exchange Tax Receivable Agreement and the Reorganization Tax Receivable Agreement.</w:t>
      </w:r>
    </w:p>
    <w:p>
      <w:pPr>
        <w:ind w:left="640" w:hanging="316"/>
        <w:spacing w:after="0" w:line="26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HoldCo</w:t>
      </w:r>
      <w:r>
        <w:rPr>
          <w:rFonts w:ascii="Arial" w:cs="Arial" w:eastAsia="Arial" w:hAnsi="Arial"/>
          <w:sz w:val="18"/>
          <w:szCs w:val="18"/>
          <w:color w:val="auto"/>
        </w:rPr>
        <w:t>” refers to ZoomInfo Intermediate Holdings LLC, a Delaware limited liability company, and a direct subsidiary of ZoomInfo Technologies Inc.</w:t>
      </w:r>
    </w:p>
    <w:p>
      <w:pPr>
        <w:ind w:left="640" w:hanging="316"/>
        <w:spacing w:after="0" w:line="26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OpCo</w:t>
      </w:r>
      <w:r>
        <w:rPr>
          <w:rFonts w:ascii="Arial" w:cs="Arial" w:eastAsia="Arial" w:hAnsi="Arial"/>
          <w:sz w:val="18"/>
          <w:szCs w:val="18"/>
          <w:color w:val="auto"/>
        </w:rPr>
        <w:t>” refers to ZoomInfo Holdings LLC (formerly known as DiscoverOrg Holdings, LLC), a Delaware limited liability company, and a direct subsidiary of ZoomInfo HoldCo and indirect subsidiary of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0"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14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3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our forward-looking statements, including forward-looking statements contained in this Quarterly Report on Form 10-Q:</w:t>
      </w:r>
    </w:p>
    <w:p>
      <w:pPr>
        <w:spacing w:after="0" w:line="128" w:lineRule="exact"/>
        <w:rPr>
          <w:sz w:val="20"/>
          <w:szCs w:val="20"/>
          <w:color w:val="auto"/>
        </w:rPr>
      </w:pPr>
    </w:p>
    <w:p>
      <w:pPr>
        <w:ind w:left="640" w:hanging="316"/>
        <w:spacing w:after="0" w:line="280"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COVID-19 pandemic, including the global economic uncertainty and measures taken in response, could materially impact our business and future results of operations;</w:t>
      </w:r>
    </w:p>
    <w:p>
      <w:pPr>
        <w:spacing w:after="0" w:line="113"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larger well-funded companies may shift their existing business models to become more competitive with us;</w:t>
      </w:r>
    </w:p>
    <w:p>
      <w:pPr>
        <w:spacing w:after="0" w:line="164"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unable to provide or adapt our platform for changes in laws and regulations or public perception, or changes in the enforcement of such laws, relating to data privacy, which could impact our ability to efficiently gather, process, update and/or provide some or all of the information we currently provide or the ability of our customers and users to use some or all of our products and services;</w:t>
      </w:r>
    </w:p>
    <w:p>
      <w:pPr>
        <w:spacing w:after="0" w:line="118"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competition from companies that more effectively cater to our customers by offering more tailored products or platforms at lower costs;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general economic and market conditions may reduce spending on sales and marketing, which could harm our revenue, results of operations and cash flows;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demand for sales and marketing subscription platforms could negatively impact our business;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improve our technology and keep up with new processes for data collection, organization, and cleansing, competing products and services could surpass ours;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provide a highly accurate, reliable, and comprehensive platform moving forward, which could cause a reduction in demand for our products and services;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third-party systems that we do not control to integrate with our system and we may be unable to continue to support integration;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unable to attract new customers and expand existing subscriptions, which could harm our revenue growth and profitability;</w:t>
      </w:r>
    </w:p>
    <w:p>
      <w:pPr>
        <w:spacing w:after="0" w:line="175"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in participation in our contributory network or increased opt-out rates could lead to a deterioration in the depth, breadth, and accuracy of our platform;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search engine algorithms and dynamics could negatively affect traffic to our website;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protect and maintain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 attacks and security vulnerabilities could result in serious harm to our reputation, business, and financial condition;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third-parties could use our products and services in a manner that is unlawful or contrary to our values;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successfully integrate acquired businesses, services, databases, and technologies into our operations, which could have an adverse effect on our business;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unsuccessful in selling our products or retaining our customers if the quality of our customer service falters;</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indebtedness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to our stockholders agreement have special rights and interests that may conflict with ours or yours in the future;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other factors described under “Risk Factors” in Part I, Item 1A of our 2021 Form 10-K, and in other reports we file from time to time with the SEC.</w:t>
      </w:r>
    </w:p>
    <w:p>
      <w:pPr>
        <w:spacing w:after="0" w:line="18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rPr>
              <w:t>PART I - FINANCIAL INFORMATION</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1"/>
        </w:trPr>
        <w:tc>
          <w:tcPr>
            <w:tcW w:w="9280" w:type="dxa"/>
            <w:vAlign w:val="bottom"/>
            <w:gridSpan w:val="8"/>
          </w:tcPr>
          <w:p>
            <w:pPr>
              <w:spacing w:after="0"/>
              <w:rPr>
                <w:sz w:val="20"/>
                <w:szCs w:val="20"/>
                <w:color w:val="auto"/>
              </w:rPr>
            </w:pPr>
            <w:r>
              <w:rPr>
                <w:rFonts w:ascii="Arial" w:cs="Arial" w:eastAsia="Arial" w:hAnsi="Arial"/>
                <w:sz w:val="18"/>
                <w:szCs w:val="18"/>
                <w:b w:val="1"/>
                <w:bCs w:val="1"/>
                <w:color w:val="auto"/>
              </w:rPr>
              <w:t>ITEM 1. FINANCIAL STATEMENTS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9"/>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9"/>
              </w:rPr>
              <w:t>INDEX TO FINANCIAL STATEMENTS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76"/>
        </w:trPr>
        <w:tc>
          <w:tcPr>
            <w:tcW w:w="9280" w:type="dxa"/>
            <w:vAlign w:val="bottom"/>
            <w:gridSpan w:val="8"/>
          </w:tcPr>
          <w:p>
            <w:pPr>
              <w:ind w:left="380"/>
              <w:spacing w:after="0"/>
              <w:rPr>
                <w:sz w:val="20"/>
                <w:szCs w:val="20"/>
                <w:color w:val="auto"/>
              </w:rPr>
            </w:pPr>
            <w:r>
              <w:rPr>
                <w:rFonts w:ascii="Arial" w:cs="Arial" w:eastAsia="Arial" w:hAnsi="Arial"/>
                <w:sz w:val="18"/>
                <w:szCs w:val="18"/>
                <w:b w:val="1"/>
                <w:bCs w:val="1"/>
                <w:color w:val="auto"/>
              </w:rPr>
              <w:t>Unaudited Consolidated Financial Statements of ZoomInfo Technologies Inc. and Subsidiaries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1"/>
        </w:trPr>
        <w:tc>
          <w:tcPr>
            <w:tcW w:w="560" w:type="dxa"/>
            <w:vAlign w:val="bottom"/>
          </w:tcPr>
          <w:p>
            <w:pPr>
              <w:spacing w:after="0"/>
              <w:rPr>
                <w:sz w:val="24"/>
                <w:szCs w:val="24"/>
                <w:color w:val="auto"/>
              </w:rPr>
            </w:pPr>
          </w:p>
        </w:tc>
        <w:tc>
          <w:tcPr>
            <w:tcW w:w="2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Condensed Consolidated Balance Sheets</w:t>
            </w:r>
          </w:p>
        </w:tc>
        <w:tc>
          <w:tcPr>
            <w:tcW w:w="5840" w:type="dxa"/>
            <w:vAlign w:val="bottom"/>
            <w:gridSpan w:val="4"/>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24"/>
                <w:szCs w:val="24"/>
                <w:color w:val="auto"/>
              </w:rPr>
            </w:pPr>
          </w:p>
        </w:tc>
      </w:tr>
      <w:tr>
        <w:trPr>
          <w:trHeight w:val="245"/>
        </w:trPr>
        <w:tc>
          <w:tcPr>
            <w:tcW w:w="560" w:type="dxa"/>
            <w:vAlign w:val="bottom"/>
          </w:tcPr>
          <w:p>
            <w:pPr>
              <w:spacing w:after="0"/>
              <w:rPr>
                <w:sz w:val="21"/>
                <w:szCs w:val="21"/>
                <w:color w:val="auto"/>
              </w:rPr>
            </w:pPr>
          </w:p>
        </w:tc>
        <w:tc>
          <w:tcPr>
            <w:tcW w:w="27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Consolidated Statements of Operations</w:t>
            </w:r>
          </w:p>
        </w:tc>
        <w:tc>
          <w:tcPr>
            <w:tcW w:w="5960" w:type="dxa"/>
            <w:vAlign w:val="bottom"/>
            <w:gridSpan w:val="6"/>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21"/>
                <w:szCs w:val="21"/>
                <w:color w:val="auto"/>
              </w:rPr>
            </w:pPr>
          </w:p>
        </w:tc>
      </w:tr>
      <w:tr>
        <w:trPr>
          <w:trHeight w:val="245"/>
        </w:trPr>
        <w:tc>
          <w:tcPr>
            <w:tcW w:w="560" w:type="dxa"/>
            <w:vAlign w:val="bottom"/>
          </w:tcPr>
          <w:p>
            <w:pPr>
              <w:spacing w:after="0"/>
              <w:rPr>
                <w:sz w:val="21"/>
                <w:szCs w:val="21"/>
                <w:color w:val="auto"/>
              </w:rPr>
            </w:pPr>
          </w:p>
        </w:tc>
        <w:tc>
          <w:tcPr>
            <w:tcW w:w="41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Consolidated Statements of Comprehensive Income (Loss)</w:t>
            </w:r>
          </w:p>
        </w:tc>
        <w:tc>
          <w:tcPr>
            <w:tcW w:w="45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21"/>
                <w:szCs w:val="21"/>
                <w:color w:val="auto"/>
              </w:rPr>
            </w:pPr>
          </w:p>
        </w:tc>
      </w:tr>
      <w:tr>
        <w:trPr>
          <w:trHeight w:val="245"/>
        </w:trPr>
        <w:tc>
          <w:tcPr>
            <w:tcW w:w="560" w:type="dxa"/>
            <w:vAlign w:val="bottom"/>
          </w:tcPr>
          <w:p>
            <w:pPr>
              <w:spacing w:after="0"/>
              <w:rPr>
                <w:sz w:val="21"/>
                <w:szCs w:val="21"/>
                <w:color w:val="auto"/>
              </w:rPr>
            </w:pPr>
          </w:p>
        </w:tc>
        <w:tc>
          <w:tcPr>
            <w:tcW w:w="39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Changes in Equity (Deficit)</w:t>
            </w:r>
          </w:p>
        </w:tc>
        <w:tc>
          <w:tcPr>
            <w:tcW w:w="4780" w:type="dxa"/>
            <w:vAlign w:val="bottom"/>
            <w:gridSpan w:val="2"/>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21"/>
                <w:szCs w:val="21"/>
                <w:color w:val="auto"/>
              </w:rPr>
            </w:pPr>
          </w:p>
        </w:tc>
      </w:tr>
      <w:tr>
        <w:trPr>
          <w:trHeight w:val="245"/>
        </w:trPr>
        <w:tc>
          <w:tcPr>
            <w:tcW w:w="560" w:type="dxa"/>
            <w:vAlign w:val="bottom"/>
          </w:tcPr>
          <w:p>
            <w:pPr>
              <w:spacing w:after="0"/>
              <w:rPr>
                <w:sz w:val="21"/>
                <w:szCs w:val="21"/>
                <w:color w:val="auto"/>
              </w:rPr>
            </w:pPr>
          </w:p>
        </w:tc>
        <w:tc>
          <w:tcPr>
            <w:tcW w:w="872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w:t>
            </w:r>
          </w:p>
        </w:tc>
        <w:tc>
          <w:tcPr>
            <w:tcW w:w="1980" w:type="dxa"/>
            <w:vAlign w:val="bottom"/>
            <w:gridSpan w:val="3"/>
          </w:tcPr>
          <w:p>
            <w:pPr>
              <w:jc w:val="center"/>
              <w:ind w:left="1712"/>
              <w:spacing w:after="0"/>
              <w:rPr>
                <w:sz w:val="20"/>
                <w:szCs w:val="20"/>
                <w:color w:val="auto"/>
              </w:rPr>
            </w:pPr>
            <w:r>
              <w:rPr>
                <w:rFonts w:ascii="Arial" w:cs="Arial" w:eastAsia="Arial" w:hAnsi="Arial"/>
                <w:sz w:val="18"/>
                <w:szCs w:val="18"/>
                <w:color w:val="0000FF"/>
                <w:w w:val="99"/>
              </w:rPr>
              <w:t>9</w:t>
            </w:r>
          </w:p>
        </w:tc>
      </w:tr>
      <w:tr>
        <w:trPr>
          <w:trHeight w:val="20"/>
        </w:trPr>
        <w:tc>
          <w:tcPr>
            <w:tcW w:w="56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8720" w:type="dxa"/>
            <w:vAlign w:val="bottom"/>
            <w:gridSpan w:val="7"/>
          </w:tcPr>
          <w:p>
            <w:pPr>
              <w:spacing w:after="0"/>
              <w:rPr>
                <w:sz w:val="20"/>
                <w:szCs w:val="20"/>
                <w:color w:val="auto"/>
              </w:rPr>
            </w:pPr>
            <w:r>
              <w:rPr>
                <w:rFonts w:ascii="Arial" w:cs="Arial" w:eastAsia="Arial" w:hAnsi="Arial"/>
                <w:sz w:val="18"/>
                <w:szCs w:val="18"/>
                <w:color w:val="0000FF"/>
              </w:rPr>
              <w:t>Notes to the Consolidated Financial Statements</w:t>
            </w:r>
          </w:p>
        </w:tc>
        <w:tc>
          <w:tcPr>
            <w:tcW w:w="1980" w:type="dxa"/>
            <w:vAlign w:val="bottom"/>
            <w:gridSpan w:val="3"/>
          </w:tcPr>
          <w:p>
            <w:pPr>
              <w:jc w:val="center"/>
              <w:ind w:left="1712"/>
              <w:spacing w:after="0"/>
              <w:rPr>
                <w:sz w:val="20"/>
                <w:szCs w:val="20"/>
                <w:color w:val="auto"/>
              </w:rPr>
            </w:pPr>
            <w:r>
              <w:rPr>
                <w:rFonts w:ascii="Arial" w:cs="Arial" w:eastAsia="Arial" w:hAnsi="Arial"/>
                <w:sz w:val="18"/>
                <w:szCs w:val="18"/>
                <w:color w:val="0000FF"/>
                <w:w w:val="89"/>
              </w:rPr>
              <w:t>11</w:t>
            </w:r>
          </w:p>
        </w:tc>
      </w:tr>
      <w:tr>
        <w:trPr>
          <w:trHeight w:val="20"/>
        </w:trPr>
        <w:tc>
          <w:tcPr>
            <w:tcW w:w="56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20" w:type="dxa"/>
            <w:vAlign w:val="bottom"/>
          </w:tcPr>
          <w:p>
            <w:pPr>
              <w:spacing w:after="0"/>
              <w:rPr>
                <w:sz w:val="15"/>
                <w:szCs w:val="15"/>
                <w:color w:val="auto"/>
              </w:rPr>
            </w:pPr>
          </w:p>
        </w:tc>
        <w:tc>
          <w:tcPr>
            <w:tcW w:w="3800" w:type="dxa"/>
            <w:vAlign w:val="bottom"/>
            <w:gridSpan w:val="2"/>
          </w:tcPr>
          <w:p>
            <w:pPr>
              <w:jc w:val="right"/>
              <w:ind w:right="1720"/>
              <w:spacing w:after="0"/>
              <w:rPr>
                <w:sz w:val="20"/>
                <w:szCs w:val="20"/>
                <w:color w:val="auto"/>
              </w:rPr>
            </w:pPr>
            <w:r>
              <w:rPr>
                <w:rFonts w:ascii="Arial" w:cs="Arial" w:eastAsia="Arial" w:hAnsi="Arial"/>
                <w:sz w:val="14"/>
                <w:szCs w:val="14"/>
                <w:i w:val="1"/>
                <w:iCs w:val="1"/>
                <w:color w:val="auto"/>
              </w:rPr>
              <w:t>(in millions, except share data)</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24"/>
                <w:szCs w:val="2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8"/>
        </w:trPr>
        <w:tc>
          <w:tcPr>
            <w:tcW w:w="44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4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8"/>
        </w:trPr>
        <w:tc>
          <w:tcPr>
            <w:tcW w:w="44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20"/>
                <w:szCs w:val="20"/>
                <w:color w:val="auto"/>
              </w:rPr>
            </w:pPr>
          </w:p>
        </w:tc>
        <w:tc>
          <w:tcPr>
            <w:tcW w:w="132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3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1"/>
        </w:trPr>
        <w:tc>
          <w:tcPr>
            <w:tcW w:w="442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8"/>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42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20"/>
              <w:spacing w:after="0"/>
              <w:rPr>
                <w:sz w:val="20"/>
                <w:szCs w:val="20"/>
                <w:color w:val="auto"/>
              </w:rPr>
            </w:pPr>
            <w:r>
              <w:rPr>
                <w:rFonts w:ascii="Arial" w:cs="Arial" w:eastAsia="Arial" w:hAnsi="Arial"/>
                <w:sz w:val="18"/>
                <w:szCs w:val="18"/>
                <w:color w:val="auto"/>
              </w:rPr>
              <w:t>Restricted cash, non-current</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7"/>
        </w:trPr>
        <w:tc>
          <w:tcPr>
            <w:tcW w:w="4420" w:type="dxa"/>
            <w:vAlign w:val="bottom"/>
          </w:tcPr>
          <w:p>
            <w:pPr>
              <w:ind w:left="240"/>
              <w:spacing w:after="0"/>
              <w:rPr>
                <w:sz w:val="20"/>
                <w:szCs w:val="20"/>
                <w:color w:val="auto"/>
              </w:rPr>
            </w:pPr>
            <w:r>
              <w:rPr>
                <w:rFonts w:ascii="Arial" w:cs="Arial" w:eastAsia="Arial" w:hAnsi="Arial"/>
                <w:sz w:val="18"/>
                <w:szCs w:val="18"/>
                <w:color w:val="auto"/>
              </w:rPr>
              <w:t>Operating lease right-of-use assets, net</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4,116.0</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w w:val="96"/>
              </w:rPr>
              <w:t>Deferred costs and other assets, net of current portion</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8"/>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4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Permanent Equity</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Unearned revenue, current portion</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tax receivable agreements liability</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126"/>
        </w:trPr>
        <w:tc>
          <w:tcPr>
            <w:tcW w:w="44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 net of current portion</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w w:val="96"/>
              </w:rPr>
              <w:t>Tax receivable agreements liability, net of current portion</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3,046.0</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8"/>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4,855.0</w:t>
            </w:r>
          </w:p>
        </w:tc>
        <w:tc>
          <w:tcPr>
            <w:tcW w:w="0" w:type="dxa"/>
            <w:vAlign w:val="bottom"/>
          </w:tcPr>
          <w:p>
            <w:pPr>
              <w:spacing w:after="0"/>
              <w:rPr>
                <w:sz w:val="1"/>
                <w:szCs w:val="1"/>
                <w:color w:val="auto"/>
              </w:rPr>
            </w:pPr>
          </w:p>
        </w:tc>
      </w:tr>
      <w:tr>
        <w:trPr>
          <w:trHeight w:val="139"/>
        </w:trPr>
        <w:tc>
          <w:tcPr>
            <w:tcW w:w="4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Equity:</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Class A common stock, par value $0.01</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1,871.6</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31"/>
        </w:trPr>
        <w:tc>
          <w:tcPr>
            <w:tcW w:w="442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3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2,196.3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1,997.9</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42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420" w:type="dxa"/>
            <w:vAlign w:val="bottom"/>
          </w:tcPr>
          <w:p>
            <w:pPr>
              <w:ind w:left="460"/>
              <w:spacing w:after="0"/>
              <w:rPr>
                <w:sz w:val="20"/>
                <w:szCs w:val="20"/>
                <w:color w:val="auto"/>
              </w:rPr>
            </w:pPr>
            <w:r>
              <w:rPr>
                <w:rFonts w:ascii="Arial" w:cs="Arial" w:eastAsia="Arial" w:hAnsi="Arial"/>
                <w:sz w:val="18"/>
                <w:szCs w:val="18"/>
                <w:color w:val="auto"/>
              </w:rPr>
              <w:t>Total liabilities and permanent equity</w:t>
            </w:r>
          </w:p>
        </w:tc>
        <w:tc>
          <w:tcPr>
            <w:tcW w:w="3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7,059.2</w:t>
            </w:r>
          </w:p>
        </w:tc>
        <w:tc>
          <w:tcPr>
            <w:tcW w:w="120" w:type="dxa"/>
            <w:vAlign w:val="bottom"/>
          </w:tcPr>
          <w:p>
            <w:pPr>
              <w:spacing w:after="0"/>
              <w:rPr>
                <w:sz w:val="22"/>
                <w:szCs w:val="22"/>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6,852.9</w:t>
            </w: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4420" w:type="dxa"/>
            <w:vAlign w:val="bottom"/>
            <w:vMerge w:val="continue"/>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firstLine="6"/>
        <w:spacing w:after="0" w:line="267" w:lineRule="auto"/>
        <w:tabs>
          <w:tab w:leader="none" w:pos="205"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Condensed Consolidated Balance Sheet as of December 31, 2021 has been derived from the audited consolidated financial statements at that date but does not include all of the information and footnotes required by generally accepted accounting principles for complete financial statements.</w:t>
      </w:r>
    </w:p>
    <w:p>
      <w:pPr>
        <w:sectPr>
          <w:pgSz w:w="11900" w:h="16838" w:orient="portrait"/>
          <w:cols w:equalWidth="0" w:num="1">
            <w:col w:w="11240"/>
          </w:cols>
          <w:pgMar w:left="320" w:top="121" w:right="339" w:bottom="973" w:gutter="0" w:footer="0" w:header="0"/>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973"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180"/>
        </w:trPr>
        <w:tc>
          <w:tcPr>
            <w:tcW w:w="7240" w:type="dxa"/>
            <w:vAlign w:val="bottom"/>
            <w:gridSpan w:val="5"/>
          </w:tcPr>
          <w:p>
            <w:pPr>
              <w:ind w:left="4040"/>
              <w:spacing w:after="0"/>
              <w:rPr>
                <w:sz w:val="20"/>
                <w:szCs w:val="20"/>
                <w:color w:val="auto"/>
              </w:rPr>
            </w:pPr>
            <w:r>
              <w:rPr>
                <w:rFonts w:ascii="Arial" w:cs="Arial" w:eastAsia="Arial" w:hAnsi="Arial"/>
                <w:sz w:val="14"/>
                <w:szCs w:val="14"/>
                <w:i w:val="1"/>
                <w:iCs w:val="1"/>
                <w:color w:val="auto"/>
              </w:rPr>
              <w:t>(in millions, except per share amounts; unaudited)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700" w:type="dxa"/>
            <w:vAlign w:val="bottom"/>
          </w:tcPr>
          <w:p>
            <w:pPr>
              <w:spacing w:after="0"/>
              <w:rPr>
                <w:sz w:val="24"/>
                <w:szCs w:val="24"/>
                <w:color w:val="auto"/>
              </w:rPr>
            </w:pPr>
          </w:p>
        </w:tc>
        <w:tc>
          <w:tcPr>
            <w:tcW w:w="31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24"/>
                <w:szCs w:val="24"/>
                <w:color w:val="auto"/>
              </w:rPr>
            </w:pPr>
          </w:p>
        </w:tc>
        <w:tc>
          <w:tcPr>
            <w:tcW w:w="27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287.6</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Cost of service:</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7"/>
        </w:trPr>
        <w:tc>
          <w:tcPr>
            <w:tcW w:w="4700" w:type="dxa"/>
            <w:vAlign w:val="bottom"/>
          </w:tcPr>
          <w:p>
            <w:pPr>
              <w:ind w:left="240"/>
              <w:spacing w:after="0"/>
              <w:rPr>
                <w:sz w:val="20"/>
                <w:szCs w:val="20"/>
                <w:color w:val="auto"/>
              </w:rPr>
            </w:pPr>
            <w:r>
              <w:rPr>
                <w:rFonts w:ascii="Arial" w:cs="Arial" w:eastAsia="Arial" w:hAnsi="Arial"/>
                <w:sz w:val="18"/>
                <w:szCs w:val="18"/>
                <w:color w:val="auto"/>
              </w:rPr>
              <w:t>Amortization of acquired technology</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239.4</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65"/>
        </w:trPr>
        <w:tc>
          <w:tcPr>
            <w:tcW w:w="4700" w:type="dxa"/>
            <w:vAlign w:val="bottom"/>
          </w:tcPr>
          <w:p>
            <w:pPr>
              <w:ind w:left="2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9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65"/>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8"/>
        </w:trPr>
        <w:tc>
          <w:tcPr>
            <w:tcW w:w="4700" w:type="dxa"/>
            <w:vAlign w:val="bottom"/>
          </w:tcPr>
          <w:p>
            <w:pPr>
              <w:ind w:left="220"/>
              <w:spacing w:after="0"/>
              <w:rPr>
                <w:sz w:val="20"/>
                <w:szCs w:val="20"/>
                <w:color w:val="auto"/>
              </w:rPr>
            </w:pPr>
            <w:r>
              <w:rPr>
                <w:rFonts w:ascii="Arial" w:cs="Arial" w:eastAsia="Arial" w:hAnsi="Arial"/>
                <w:sz w:val="18"/>
                <w:szCs w:val="18"/>
                <w:color w:val="auto"/>
              </w:rPr>
              <w:t>Amortization of other acquired intangibles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Restructuring and transaction-related expenses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1"/>
        </w:trPr>
        <w:tc>
          <w:tcPr>
            <w:tcW w:w="470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187.6</w:t>
            </w:r>
          </w:p>
        </w:tc>
        <w:tc>
          <w:tcPr>
            <w:tcW w:w="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7"/>
        </w:trPr>
        <w:tc>
          <w:tcPr>
            <w:tcW w:w="470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debt modification and extinguishment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8"/>
        </w:trPr>
        <w:tc>
          <w:tcPr>
            <w:tcW w:w="47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income (loss)</w:t>
            </w: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1"/>
        </w:trPr>
        <w:tc>
          <w:tcPr>
            <w:tcW w:w="4700" w:type="dxa"/>
            <w:vAlign w:val="bottom"/>
          </w:tcPr>
          <w:p>
            <w:pPr>
              <w:ind w:left="20"/>
              <w:spacing w:after="0"/>
              <w:rPr>
                <w:sz w:val="20"/>
                <w:szCs w:val="20"/>
                <w:color w:val="auto"/>
              </w:rPr>
            </w:pPr>
            <w:r>
              <w:rPr>
                <w:rFonts w:ascii="Arial" w:cs="Arial" w:eastAsia="Arial" w:hAnsi="Arial"/>
                <w:sz w:val="18"/>
                <w:szCs w:val="18"/>
                <w:color w:val="auto"/>
                <w:w w:val="94"/>
              </w:rPr>
              <w:t>Less: Net income (loss) attributable to noncontrolling interests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1"/>
              </w:rPr>
              <w:t>Net income (loss) attributable to ZoomInfo Technologies</w:t>
            </w:r>
          </w:p>
        </w:tc>
        <w:tc>
          <w:tcPr>
            <w:tcW w:w="960" w:type="dxa"/>
            <w:vAlign w:val="bottom"/>
            <w:vMerge w:val="restart"/>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Inc.</w:t>
            </w: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5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income (loss) per share of Class A and Class C common</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5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20"/>
                <w:szCs w:val="20"/>
                <w:color w:val="auto"/>
              </w:rPr>
            </w:pP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8"/>
        </w:trPr>
        <w:tc>
          <w:tcPr>
            <w:tcW w:w="47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58"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30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4"/>
          </w:tcPr>
          <w:p>
            <w:pPr>
              <w:jc w:val="right"/>
              <w:ind w:right="40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8"/>
        </w:trPr>
        <w:tc>
          <w:tcPr>
            <w:tcW w:w="43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1"/>
        </w:trPr>
        <w:tc>
          <w:tcPr>
            <w:tcW w:w="430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2021</w:t>
            </w:r>
          </w:p>
        </w:tc>
      </w:tr>
      <w:tr>
        <w:trPr>
          <w:trHeight w:val="38"/>
        </w:trPr>
        <w:tc>
          <w:tcPr>
            <w:tcW w:w="43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000" w:type="dxa"/>
            <w:vAlign w:val="bottom"/>
            <w:tcBorders>
              <w:bottom w:val="single" w:sz="8" w:color="CCEEFF"/>
            </w:tcBorders>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88"/>
        </w:trPr>
        <w:tc>
          <w:tcPr>
            <w:tcW w:w="43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ind w:right="9"/>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38"/>
        </w:trPr>
        <w:tc>
          <w:tcPr>
            <w:tcW w:w="4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5"/>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88"/>
        </w:trPr>
        <w:tc>
          <w:tcPr>
            <w:tcW w:w="43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ind w:right="9"/>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37"/>
        </w:trPr>
        <w:tc>
          <w:tcPr>
            <w:tcW w:w="43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millions;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5"/>
                <w:szCs w:val="15"/>
                <w:color w:val="auto"/>
              </w:rPr>
            </w:pPr>
          </w:p>
        </w:tc>
        <w:tc>
          <w:tcPr>
            <w:tcW w:w="30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64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38"/>
        </w:trPr>
        <w:tc>
          <w:tcPr>
            <w:tcW w:w="5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8"/>
        </w:trPr>
        <w:tc>
          <w:tcPr>
            <w:tcW w:w="5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5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8"/>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8"/>
        </w:trPr>
        <w:tc>
          <w:tcPr>
            <w:tcW w:w="5360" w:type="dxa"/>
            <w:vAlign w:val="bottom"/>
          </w:tcPr>
          <w:p>
            <w:pPr>
              <w:ind w:left="220"/>
              <w:spacing w:after="0"/>
              <w:rPr>
                <w:sz w:val="20"/>
                <w:szCs w:val="20"/>
                <w:color w:val="auto"/>
              </w:rPr>
            </w:pPr>
            <w:r>
              <w:rPr>
                <w:rFonts w:ascii="Arial" w:cs="Arial" w:eastAsia="Arial" w:hAnsi="Arial"/>
                <w:sz w:val="18"/>
                <w:szCs w:val="18"/>
                <w:color w:val="auto"/>
              </w:rPr>
              <w:t>Realized (gain) loss on settlement of cash flow hedges</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Amortization of deferred losses related to the dedesignated Interest Rate</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Swap</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1"/>
        </w:trPr>
        <w:tc>
          <w:tcPr>
            <w:tcW w:w="5360" w:type="dxa"/>
            <w:vAlign w:val="bottom"/>
          </w:tcPr>
          <w:p>
            <w:pPr>
              <w:ind w:left="440"/>
              <w:spacing w:after="0"/>
              <w:rPr>
                <w:sz w:val="20"/>
                <w:szCs w:val="20"/>
                <w:color w:val="auto"/>
              </w:rPr>
            </w:pPr>
            <w:r>
              <w:rPr>
                <w:rFonts w:ascii="Arial" w:cs="Arial" w:eastAsia="Arial" w:hAnsi="Arial"/>
                <w:sz w:val="18"/>
                <w:szCs w:val="18"/>
                <w:color w:val="auto"/>
              </w:rPr>
              <w:t>Other comprehensive income (loss) before tax</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8"/>
        </w:trPr>
        <w:tc>
          <w:tcPr>
            <w:tcW w:w="5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Tax effect</w:t>
            </w: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1"/>
        </w:trPr>
        <w:tc>
          <w:tcPr>
            <w:tcW w:w="5360" w:type="dxa"/>
            <w:vAlign w:val="bottom"/>
          </w:tcPr>
          <w:p>
            <w:pPr>
              <w:ind w:left="440"/>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8"/>
        </w:trPr>
        <w:tc>
          <w:tcPr>
            <w:tcW w:w="5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6"/>
        </w:trPr>
        <w:tc>
          <w:tcPr>
            <w:tcW w:w="5360" w:type="dxa"/>
            <w:vAlign w:val="bottom"/>
          </w:tcPr>
          <w:p>
            <w:pPr>
              <w:ind w:left="240"/>
              <w:spacing w:after="0"/>
              <w:rPr>
                <w:sz w:val="20"/>
                <w:szCs w:val="20"/>
                <w:color w:val="auto"/>
              </w:rPr>
            </w:pPr>
            <w:r>
              <w:rPr>
                <w:rFonts w:ascii="Arial" w:cs="Arial" w:eastAsia="Arial" w:hAnsi="Arial"/>
                <w:sz w:val="18"/>
                <w:szCs w:val="18"/>
                <w:color w:val="auto"/>
                <w:w w:val="98"/>
              </w:rPr>
              <w:t>Less: Comprehensive income (loss) attributable to noncontrolling</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9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8"/>
        </w:trPr>
        <w:tc>
          <w:tcPr>
            <w:tcW w:w="5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w w:val="90"/>
              </w:rPr>
              <w:t>Comprehensive income (loss) attributable to ZoomInfo Technologies</w:t>
            </w:r>
          </w:p>
        </w:tc>
        <w:tc>
          <w:tcPr>
            <w:tcW w:w="920" w:type="dxa"/>
            <w:vAlign w:val="bottom"/>
            <w:vMerge w:val="restart"/>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w:t>
            </w: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4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Changes in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5"/>
                <w:szCs w:val="15"/>
                <w:color w:val="auto"/>
              </w:rPr>
            </w:pPr>
          </w:p>
        </w:tc>
        <w:tc>
          <w:tcPr>
            <w:tcW w:w="2320" w:type="dxa"/>
            <w:vAlign w:val="bottom"/>
            <w:gridSpan w:val="5"/>
          </w:tcPr>
          <w:p>
            <w:pPr>
              <w:ind w:left="180"/>
              <w:spacing w:after="0"/>
              <w:rPr>
                <w:sz w:val="20"/>
                <w:szCs w:val="20"/>
                <w:color w:val="auto"/>
              </w:rPr>
            </w:pPr>
            <w:r>
              <w:rPr>
                <w:rFonts w:ascii="Arial" w:cs="Arial" w:eastAsia="Arial" w:hAnsi="Arial"/>
                <w:sz w:val="14"/>
                <w:szCs w:val="14"/>
                <w:b w:val="1"/>
                <w:bCs w:val="1"/>
                <w:color w:val="auto"/>
              </w:rPr>
              <w:t>New ZoomInfo Common Stock</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3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Additional paid-</w:t>
            </w:r>
          </w:p>
        </w:tc>
        <w:tc>
          <w:tcPr>
            <w:tcW w:w="180" w:type="dxa"/>
            <w:vAlign w:val="bottom"/>
          </w:tcPr>
          <w:p>
            <w:pPr>
              <w:spacing w:after="0"/>
              <w:rPr>
                <w:sz w:val="3"/>
                <w:szCs w:val="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 capital</w:t>
            </w: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38"/>
        </w:trPr>
        <w:tc>
          <w:tcPr>
            <w:tcW w:w="43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403,315,989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1,871.6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1,997.9</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Issuance of Class A common stock upon vesting of RSUs</w:t>
            </w:r>
          </w:p>
        </w:tc>
        <w:tc>
          <w:tcPr>
            <w:tcW w:w="1080" w:type="dxa"/>
            <w:vAlign w:val="bottom"/>
          </w:tcPr>
          <w:p>
            <w:pPr>
              <w:jc w:val="right"/>
              <w:spacing w:after="0"/>
              <w:rPr>
                <w:sz w:val="20"/>
                <w:szCs w:val="20"/>
                <w:color w:val="auto"/>
              </w:rPr>
            </w:pPr>
            <w:r>
              <w:rPr>
                <w:rFonts w:ascii="Arial" w:cs="Arial" w:eastAsia="Arial" w:hAnsi="Arial"/>
                <w:sz w:val="14"/>
                <w:szCs w:val="14"/>
                <w:color w:val="auto"/>
              </w:rPr>
              <w:t>187,659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4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Shares withheld related to net share settlement and other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(80,067)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14,790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38"/>
        </w:trPr>
        <w:tc>
          <w:tcPr>
            <w:tcW w:w="4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Forfeitures / cancellations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(43,210)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38"/>
        </w:trPr>
        <w:tc>
          <w:tcPr>
            <w:tcW w:w="4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Equity-based compensation</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38"/>
        </w:trPr>
        <w:tc>
          <w:tcPr>
            <w:tcW w:w="43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403,395,161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2,059.4</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Issuance of Class A common stock upon vesting of RSUs</w:t>
            </w:r>
          </w:p>
        </w:tc>
        <w:tc>
          <w:tcPr>
            <w:tcW w:w="1080" w:type="dxa"/>
            <w:vAlign w:val="bottom"/>
          </w:tcPr>
          <w:p>
            <w:pPr>
              <w:jc w:val="right"/>
              <w:spacing w:after="0"/>
              <w:rPr>
                <w:sz w:val="20"/>
                <w:szCs w:val="20"/>
                <w:color w:val="auto"/>
              </w:rPr>
            </w:pPr>
            <w:r>
              <w:rPr>
                <w:rFonts w:ascii="Arial" w:cs="Arial" w:eastAsia="Arial" w:hAnsi="Arial"/>
                <w:sz w:val="14"/>
                <w:szCs w:val="14"/>
                <w:color w:val="auto"/>
              </w:rPr>
              <w:t>233,923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4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Shares withheld related to net share settlement and other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(75,351)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13,714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38"/>
        </w:trPr>
        <w:tc>
          <w:tcPr>
            <w:tcW w:w="4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Forfeitures / cancellations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(111,789)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38"/>
        </w:trPr>
        <w:tc>
          <w:tcPr>
            <w:tcW w:w="4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Equity-based compensation</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38"/>
        </w:trPr>
        <w:tc>
          <w:tcPr>
            <w:tcW w:w="43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403,455,658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2,123.9</w:t>
            </w:r>
          </w:p>
        </w:tc>
        <w:tc>
          <w:tcPr>
            <w:tcW w:w="0" w:type="dxa"/>
            <w:vAlign w:val="bottom"/>
          </w:tcPr>
          <w:p>
            <w:pPr>
              <w:spacing w:after="0"/>
              <w:rPr>
                <w:sz w:val="1"/>
                <w:szCs w:val="1"/>
                <w:color w:val="auto"/>
              </w:rPr>
            </w:pPr>
          </w:p>
        </w:tc>
      </w:tr>
      <w:tr>
        <w:trPr>
          <w:trHeight w:val="38"/>
        </w:trPr>
        <w:tc>
          <w:tcPr>
            <w:tcW w:w="43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Changes in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 (continued)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5"/>
                <w:szCs w:val="15"/>
                <w:color w:val="auto"/>
              </w:rPr>
            </w:pPr>
          </w:p>
        </w:tc>
        <w:tc>
          <w:tcPr>
            <w:tcW w:w="2320" w:type="dxa"/>
            <w:vAlign w:val="bottom"/>
            <w:gridSpan w:val="5"/>
          </w:tcPr>
          <w:p>
            <w:pPr>
              <w:ind w:left="180"/>
              <w:spacing w:after="0"/>
              <w:rPr>
                <w:sz w:val="20"/>
                <w:szCs w:val="20"/>
                <w:color w:val="auto"/>
              </w:rPr>
            </w:pPr>
            <w:r>
              <w:rPr>
                <w:rFonts w:ascii="Arial" w:cs="Arial" w:eastAsia="Arial" w:hAnsi="Arial"/>
                <w:sz w:val="14"/>
                <w:szCs w:val="14"/>
                <w:b w:val="1"/>
                <w:bCs w:val="1"/>
                <w:color w:val="auto"/>
              </w:rPr>
              <w:t>New ZoomInfo Common Stock</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3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Additional paid-</w:t>
            </w:r>
          </w:p>
        </w:tc>
        <w:tc>
          <w:tcPr>
            <w:tcW w:w="180" w:type="dxa"/>
            <w:vAlign w:val="bottom"/>
          </w:tcPr>
          <w:p>
            <w:pPr>
              <w:spacing w:after="0"/>
              <w:rPr>
                <w:sz w:val="3"/>
                <w:szCs w:val="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 capital</w:t>
            </w: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38"/>
        </w:trPr>
        <w:tc>
          <w:tcPr>
            <w:tcW w:w="43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403,455,658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1,954.1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2,123.9</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Issuance of Class A common stock upon vesting of RSUs</w:t>
            </w:r>
          </w:p>
        </w:tc>
        <w:tc>
          <w:tcPr>
            <w:tcW w:w="1080" w:type="dxa"/>
            <w:vAlign w:val="bottom"/>
          </w:tcPr>
          <w:p>
            <w:pPr>
              <w:jc w:val="right"/>
              <w:spacing w:after="0"/>
              <w:rPr>
                <w:sz w:val="20"/>
                <w:szCs w:val="20"/>
                <w:color w:val="auto"/>
              </w:rPr>
            </w:pPr>
            <w:r>
              <w:rPr>
                <w:rFonts w:ascii="Arial" w:cs="Arial" w:eastAsia="Arial" w:hAnsi="Arial"/>
                <w:sz w:val="14"/>
                <w:szCs w:val="14"/>
                <w:color w:val="auto"/>
              </w:rPr>
              <w:t>399,979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4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Shares withheld related to net share settlement and other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(114,629)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27,715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38"/>
        </w:trPr>
        <w:tc>
          <w:tcPr>
            <w:tcW w:w="4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Forfeitures / cancellations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(111,395)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38"/>
        </w:trPr>
        <w:tc>
          <w:tcPr>
            <w:tcW w:w="4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8"/>
        </w:trPr>
        <w:tc>
          <w:tcPr>
            <w:tcW w:w="4360" w:type="dxa"/>
            <w:vAlign w:val="bottom"/>
          </w:tcPr>
          <w:p>
            <w:pPr>
              <w:ind w:left="120"/>
              <w:spacing w:after="0"/>
              <w:rPr>
                <w:sz w:val="20"/>
                <w:szCs w:val="20"/>
                <w:color w:val="auto"/>
              </w:rPr>
            </w:pPr>
            <w:r>
              <w:rPr>
                <w:rFonts w:ascii="Arial" w:cs="Arial" w:eastAsia="Arial" w:hAnsi="Arial"/>
                <w:sz w:val="14"/>
                <w:szCs w:val="14"/>
                <w:color w:val="auto"/>
              </w:rPr>
              <w:t>Equity-based compensation</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38"/>
        </w:trPr>
        <w:tc>
          <w:tcPr>
            <w:tcW w:w="43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403,657,328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1,997.7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color w:val="auto"/>
        </w:rPr>
        <w:t>Consolidated Statements of Changes in Equity (Deficit)</w:t>
      </w:r>
    </w:p>
    <w:p>
      <w:pPr>
        <w:spacing w:after="0" w:line="67"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(in millions, except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5"/>
          </w:tcPr>
          <w:p>
            <w:pPr>
              <w:ind w:left="180"/>
              <w:spacing w:after="0"/>
              <w:rPr>
                <w:sz w:val="20"/>
                <w:szCs w:val="20"/>
                <w:color w:val="auto"/>
              </w:rPr>
            </w:pPr>
            <w:r>
              <w:rPr>
                <w:rFonts w:ascii="Arial" w:cs="Arial" w:eastAsia="Arial" w:hAnsi="Arial"/>
                <w:sz w:val="14"/>
                <w:szCs w:val="14"/>
                <w:b w:val="1"/>
                <w:bCs w:val="1"/>
                <w:color w:val="auto"/>
              </w:rPr>
              <w:t>New ZoomInfo</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Old ZoomInfo</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5"/>
          </w:tcPr>
          <w:p>
            <w:pPr>
              <w:ind w:left="1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Class A</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Class A</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Class B</w:t>
            </w: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Class B</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C</w:t>
            </w:r>
          </w:p>
        </w:tc>
        <w:tc>
          <w:tcPr>
            <w:tcW w:w="72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Class C</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100" w:type="dxa"/>
            <w:vAlign w:val="bottom"/>
          </w:tcPr>
          <w:p>
            <w:pPr>
              <w:spacing w:after="0"/>
              <w:rPr>
                <w:sz w:val="13"/>
                <w:szCs w:val="13"/>
                <w:color w:val="auto"/>
              </w:rPr>
            </w:pPr>
          </w:p>
        </w:tc>
        <w:tc>
          <w:tcPr>
            <w:tcW w:w="50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20" w:type="dxa"/>
            <w:vAlign w:val="bottom"/>
            <w:tcBorders>
              <w:right w:val="single" w:sz="8" w:color="auto"/>
            </w:tcBorders>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paid-in</w:t>
            </w:r>
          </w:p>
        </w:tc>
        <w:tc>
          <w:tcPr>
            <w:tcW w:w="7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5"/>
                <w:szCs w:val="15"/>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38"/>
        </w:trPr>
        <w:tc>
          <w:tcPr>
            <w:tcW w:w="146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Balance, December</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31, 2020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87,697,381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216,652,704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86,123,230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939.6</w:t>
            </w: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Effect of LLC Unit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Exchanges</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14,500,582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(9,776,683)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3"/>
              </w:rPr>
              <w:t>(0.1)</w:t>
            </w: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(3,869,894)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Class A</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4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common stock upon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vesting of RSUs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20,439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Shares withheld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460" w:type="dxa"/>
            <w:vAlign w:val="bottom"/>
          </w:tcPr>
          <w:p>
            <w:pPr>
              <w:ind w:left="120"/>
              <w:spacing w:after="0" w:line="159" w:lineRule="exact"/>
              <w:rPr>
                <w:sz w:val="20"/>
                <w:szCs w:val="20"/>
                <w:color w:val="auto"/>
              </w:rPr>
            </w:pPr>
            <w:r>
              <w:rPr>
                <w:rFonts w:ascii="Arial" w:cs="Arial" w:eastAsia="Arial" w:hAnsi="Arial"/>
                <w:sz w:val="14"/>
                <w:szCs w:val="14"/>
                <w:color w:val="auto"/>
              </w:rPr>
              <w:t>related to net share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settlement and other</w:t>
            </w:r>
          </w:p>
        </w:tc>
        <w:tc>
          <w:tcPr>
            <w:tcW w:w="740" w:type="dxa"/>
            <w:vAlign w:val="bottom"/>
          </w:tcPr>
          <w:p>
            <w:pPr>
              <w:jc w:val="right"/>
              <w:spacing w:after="0"/>
              <w:rPr>
                <w:sz w:val="20"/>
                <w:szCs w:val="20"/>
                <w:color w:val="auto"/>
              </w:rPr>
            </w:pPr>
            <w:r>
              <w:rPr>
                <w:rFonts w:ascii="Arial" w:cs="Arial" w:eastAsia="Arial" w:hAnsi="Arial"/>
                <w:sz w:val="14"/>
                <w:szCs w:val="14"/>
                <w:color w:val="auto"/>
              </w:rPr>
              <w:t>(30,936)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options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24,758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Forfeitures /</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cancellations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(7,852)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income (loss)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w w:val="98"/>
              </w:rPr>
              <w:t>Other comprehensive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income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Paid and accrued tax</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distributions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Equity-based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38"/>
        </w:trPr>
        <w:tc>
          <w:tcPr>
            <w:tcW w:w="146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Balance at March 31,</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102,212,224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206,868,169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82,253,336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946.9</w:t>
            </w: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Effect of LLC Unit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Exchanges</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19,514,930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3"/>
              </w:rPr>
              <w:t>(15,259,859)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3"/>
              </w:rPr>
              <w:t>(0.2)</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(4,040,025)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Class A</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4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common stock upon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vesting of RSUs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123,729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Shares withheld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460" w:type="dxa"/>
            <w:vAlign w:val="bottom"/>
          </w:tcPr>
          <w:p>
            <w:pPr>
              <w:ind w:left="120"/>
              <w:spacing w:after="0" w:line="159" w:lineRule="exact"/>
              <w:rPr>
                <w:sz w:val="20"/>
                <w:szCs w:val="20"/>
                <w:color w:val="auto"/>
              </w:rPr>
            </w:pPr>
            <w:r>
              <w:rPr>
                <w:rFonts w:ascii="Arial" w:cs="Arial" w:eastAsia="Arial" w:hAnsi="Arial"/>
                <w:sz w:val="14"/>
                <w:szCs w:val="14"/>
                <w:color w:val="auto"/>
              </w:rPr>
              <w:t>related to net share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settlement and other</w:t>
            </w:r>
          </w:p>
        </w:tc>
        <w:tc>
          <w:tcPr>
            <w:tcW w:w="740" w:type="dxa"/>
            <w:vAlign w:val="bottom"/>
          </w:tcPr>
          <w:p>
            <w:pPr>
              <w:jc w:val="right"/>
              <w:spacing w:after="0"/>
              <w:rPr>
                <w:sz w:val="20"/>
                <w:szCs w:val="20"/>
                <w:color w:val="auto"/>
              </w:rPr>
            </w:pPr>
            <w:r>
              <w:rPr>
                <w:rFonts w:ascii="Arial" w:cs="Arial" w:eastAsia="Arial" w:hAnsi="Arial"/>
                <w:sz w:val="14"/>
                <w:szCs w:val="14"/>
                <w:color w:val="auto"/>
              </w:rPr>
              <w:t>(14,333)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options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11,056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Forfeitures /</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cancellations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(32,424)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income (loss)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w w:val="98"/>
              </w:rPr>
              <w:t>Other comprehensive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income</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Paid and accrued tax</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distributions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Equity-based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38"/>
        </w:trPr>
        <w:tc>
          <w:tcPr>
            <w:tcW w:w="146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Balance at June 30,</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121,847,606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191,575,886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78,213,311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991.7</w:t>
            </w:r>
          </w:p>
        </w:tc>
        <w:tc>
          <w:tcPr>
            <w:tcW w:w="0" w:type="dxa"/>
            <w:vAlign w:val="bottom"/>
          </w:tcPr>
          <w:p>
            <w:pPr>
              <w:spacing w:after="0"/>
              <w:rPr>
                <w:sz w:val="1"/>
                <w:szCs w:val="1"/>
                <w:color w:val="auto"/>
              </w:rPr>
            </w:pPr>
          </w:p>
        </w:tc>
      </w:tr>
      <w:tr>
        <w:trPr>
          <w:trHeight w:val="38"/>
        </w:trPr>
        <w:tc>
          <w:tcPr>
            <w:tcW w:w="14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tcBorders>
              <w:right w:val="single" w:sz="8" w:color="auto"/>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color w:val="auto"/>
        </w:rPr>
        <w:t>Consolidated Statements of Changes in Equity (Deficit)</w:t>
      </w:r>
    </w:p>
    <w:p>
      <w:pPr>
        <w:spacing w:after="0" w:line="67"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(in millions, except share data) (continued)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5"/>
          </w:tcPr>
          <w:p>
            <w:pPr>
              <w:ind w:left="160"/>
              <w:spacing w:after="0"/>
              <w:rPr>
                <w:sz w:val="20"/>
                <w:szCs w:val="20"/>
                <w:color w:val="auto"/>
              </w:rPr>
            </w:pPr>
            <w:r>
              <w:rPr>
                <w:rFonts w:ascii="Arial" w:cs="Arial" w:eastAsia="Arial" w:hAnsi="Arial"/>
                <w:sz w:val="14"/>
                <w:szCs w:val="14"/>
                <w:b w:val="1"/>
                <w:bCs w:val="1"/>
                <w:color w:val="auto"/>
              </w:rPr>
              <w:t>New ZoomInfo</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Old ZoomInfo</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5"/>
          </w:tcPr>
          <w:p>
            <w:pPr>
              <w:ind w:left="1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Class A</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Class A</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Class B</w:t>
            </w: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Class B</w:t>
            </w: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Class C</w:t>
            </w:r>
          </w:p>
        </w:tc>
        <w:tc>
          <w:tcPr>
            <w:tcW w:w="72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Class C</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100" w:type="dxa"/>
            <w:vAlign w:val="bottom"/>
          </w:tcPr>
          <w:p>
            <w:pPr>
              <w:spacing w:after="0"/>
              <w:rPr>
                <w:sz w:val="13"/>
                <w:szCs w:val="13"/>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20" w:type="dxa"/>
            <w:vAlign w:val="bottom"/>
            <w:tcBorders>
              <w:right w:val="single" w:sz="8" w:color="auto"/>
            </w:tcBorders>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paid-in</w:t>
            </w:r>
          </w:p>
        </w:tc>
        <w:tc>
          <w:tcPr>
            <w:tcW w:w="7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2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5"/>
                <w:szCs w:val="15"/>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38"/>
        </w:trPr>
        <w:tc>
          <w:tcPr>
            <w:tcW w:w="13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Balance at June 30,</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121,847,606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191,575,886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78,213,311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991.7</w:t>
            </w: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Effect of LLC Unit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Exchanges</w:t>
            </w:r>
          </w:p>
        </w:tc>
        <w:tc>
          <w:tcPr>
            <w:tcW w:w="740" w:type="dxa"/>
            <w:vAlign w:val="bottom"/>
          </w:tcPr>
          <w:p>
            <w:pPr>
              <w:jc w:val="right"/>
              <w:spacing w:after="0"/>
              <w:rPr>
                <w:sz w:val="20"/>
                <w:szCs w:val="20"/>
                <w:color w:val="auto"/>
              </w:rPr>
            </w:pPr>
            <w:r>
              <w:rPr>
                <w:rFonts w:ascii="Arial" w:cs="Arial" w:eastAsia="Arial" w:hAnsi="Arial"/>
                <w:sz w:val="14"/>
                <w:szCs w:val="14"/>
                <w:color w:val="auto"/>
                <w:w w:val="89"/>
              </w:rPr>
              <w:t>252,796,919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4"/>
              </w:rPr>
              <w:t>(168,693,583)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7"/>
              </w:rPr>
              <w:t>(1.7)</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0"/>
              </w:rPr>
              <w:t>(78,213,311)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1,222.5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860.5</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Effect of</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3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reorganization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transaction</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Issuance of Class A</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380" w:type="dxa"/>
            <w:vAlign w:val="bottom"/>
          </w:tcPr>
          <w:p>
            <w:pPr>
              <w:ind w:left="120"/>
              <w:spacing w:after="0" w:line="159" w:lineRule="exact"/>
              <w:rPr>
                <w:sz w:val="20"/>
                <w:szCs w:val="20"/>
                <w:color w:val="auto"/>
              </w:rPr>
            </w:pPr>
            <w:r>
              <w:rPr>
                <w:rFonts w:ascii="Arial" w:cs="Arial" w:eastAsia="Arial" w:hAnsi="Arial"/>
                <w:sz w:val="14"/>
                <w:szCs w:val="14"/>
                <w:color w:val="auto"/>
              </w:rPr>
              <w:t>common stock</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120"/>
              <w:spacing w:after="0"/>
              <w:rPr>
                <w:sz w:val="20"/>
                <w:szCs w:val="20"/>
                <w:color w:val="auto"/>
              </w:rPr>
            </w:pPr>
            <w:r>
              <w:rPr>
                <w:rFonts w:ascii="Arial" w:cs="Arial" w:eastAsia="Arial" w:hAnsi="Arial"/>
                <w:sz w:val="14"/>
                <w:szCs w:val="14"/>
                <w:color w:val="auto"/>
              </w:rPr>
              <w:t>upon vesting of</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RSUs</w:t>
            </w:r>
          </w:p>
        </w:tc>
        <w:tc>
          <w:tcPr>
            <w:tcW w:w="740" w:type="dxa"/>
            <w:vAlign w:val="bottom"/>
          </w:tcPr>
          <w:p>
            <w:pPr>
              <w:jc w:val="right"/>
              <w:spacing w:after="0"/>
              <w:rPr>
                <w:sz w:val="20"/>
                <w:szCs w:val="20"/>
                <w:color w:val="auto"/>
              </w:rPr>
            </w:pPr>
            <w:r>
              <w:rPr>
                <w:rFonts w:ascii="Arial" w:cs="Arial" w:eastAsia="Arial" w:hAnsi="Arial"/>
                <w:sz w:val="14"/>
                <w:szCs w:val="14"/>
                <w:color w:val="auto"/>
              </w:rPr>
              <w:t>147,368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 withheld</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3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related to net share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settlement and</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(68,803)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Exercise of stock</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28,705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Forfeitures /</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cancellations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Registered offering</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costs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income (loss)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Other</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380" w:type="dxa"/>
            <w:vAlign w:val="bottom"/>
          </w:tcPr>
          <w:p>
            <w:pPr>
              <w:ind w:left="120"/>
              <w:spacing w:after="0" w:line="159" w:lineRule="exact"/>
              <w:rPr>
                <w:sz w:val="20"/>
                <w:szCs w:val="20"/>
                <w:color w:val="auto"/>
              </w:rPr>
            </w:pPr>
            <w:r>
              <w:rPr>
                <w:rFonts w:ascii="Arial" w:cs="Arial" w:eastAsia="Arial" w:hAnsi="Arial"/>
                <w:sz w:val="14"/>
                <w:szCs w:val="14"/>
                <w:color w:val="auto"/>
              </w:rPr>
              <w:t>comprehensive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income</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Paid and accrued</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tax distributions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Equity-based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38"/>
        </w:trPr>
        <w:tc>
          <w:tcPr>
            <w:tcW w:w="13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Balance at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374,751,795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22,879,022</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1,808.9</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1,834.7</w:t>
            </w:r>
          </w:p>
        </w:tc>
        <w:tc>
          <w:tcPr>
            <w:tcW w:w="0" w:type="dxa"/>
            <w:vAlign w:val="bottom"/>
          </w:tcPr>
          <w:p>
            <w:pPr>
              <w:spacing w:after="0"/>
              <w:rPr>
                <w:sz w:val="1"/>
                <w:szCs w:val="1"/>
                <w:color w:val="auto"/>
              </w:rPr>
            </w:pPr>
          </w:p>
        </w:tc>
      </w:tr>
      <w:tr>
        <w:trPr>
          <w:trHeight w:val="209"/>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2021</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2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Pr>
          <w:p>
            <w:pPr>
              <w:spacing w:after="0"/>
              <w:rPr>
                <w:sz w:val="15"/>
                <w:szCs w:val="15"/>
                <w:color w:val="auto"/>
              </w:rPr>
            </w:pPr>
          </w:p>
        </w:tc>
      </w:tr>
      <w:tr>
        <w:trPr>
          <w:trHeight w:val="38"/>
        </w:trPr>
        <w:tc>
          <w:tcPr>
            <w:tcW w:w="80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0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r>
      <w:tr>
        <w:trPr>
          <w:trHeight w:val="38"/>
        </w:trPr>
        <w:tc>
          <w:tcPr>
            <w:tcW w:w="80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9"/>
                <w:szCs w:val="19"/>
                <w:color w:val="auto"/>
              </w:rPr>
            </w:pP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48"/>
        </w:trPr>
        <w:tc>
          <w:tcPr>
            <w:tcW w:w="8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discounts and issuance costs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Amortization of deferred commissions costs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Asset impairments</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Loss on debt modification and extinguishment</w:t>
            </w:r>
          </w:p>
        </w:tc>
        <w:tc>
          <w:tcPr>
            <w:tcW w:w="9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consideration valuation adjustments</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Equity-based compensation expense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Tax receivable agreement remeasurement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bad debt expense</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costs and other assets, net of current portion</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Income tax receivable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Unearned revenue</w:t>
            </w: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25"/>
        </w:trPr>
        <w:tc>
          <w:tcPr>
            <w:tcW w:w="80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operating activities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w:t>
            </w:r>
          </w:p>
        </w:tc>
      </w:tr>
      <w:tr>
        <w:trPr>
          <w:trHeight w:val="185"/>
        </w:trPr>
        <w:tc>
          <w:tcPr>
            <w:tcW w:w="8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(119.8)</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Maturities of short-term investments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Purchases of property and equipment and other assets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(717.5)</w:t>
            </w:r>
          </w:p>
        </w:tc>
      </w:tr>
      <w:tr>
        <w:trPr>
          <w:trHeight w:val="225"/>
        </w:trPr>
        <w:tc>
          <w:tcPr>
            <w:tcW w:w="80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(739.4)</w:t>
            </w:r>
          </w:p>
        </w:tc>
      </w:tr>
      <w:tr>
        <w:trPr>
          <w:trHeight w:val="186"/>
        </w:trPr>
        <w:tc>
          <w:tcPr>
            <w:tcW w:w="8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deferred consideration</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Proceeds from debt</w:t>
            </w:r>
          </w:p>
        </w:tc>
        <w:tc>
          <w:tcPr>
            <w:tcW w:w="9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6"/>
              </w:rPr>
              <w:t>1,071.8</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debt</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(581.4)</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Payments of debt issuance and modification costs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equity issuance costs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Tax receivable agreement payments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distributions</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25"/>
        </w:trPr>
        <w:tc>
          <w:tcPr>
            <w:tcW w:w="80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financing activities</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442.9</w:t>
            </w:r>
          </w:p>
        </w:tc>
      </w:tr>
      <w:tr>
        <w:trPr>
          <w:trHeight w:val="186"/>
        </w:trPr>
        <w:tc>
          <w:tcPr>
            <w:tcW w:w="8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4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12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271.0</w:t>
            </w:r>
          </w:p>
        </w:tc>
      </w:tr>
      <w:tr>
        <w:trPr>
          <w:trHeight w:val="232"/>
        </w:trPr>
        <w:tc>
          <w:tcPr>
            <w:tcW w:w="80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412.4</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72"/>
        </w:trPr>
        <w:tc>
          <w:tcPr>
            <w:tcW w:w="8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8"/>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r>
      <w:tr>
        <w:trPr>
          <w:trHeight w:val="232"/>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Restricted cash, non-current</w:t>
            </w: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57"/>
        </w:trPr>
        <w:tc>
          <w:tcPr>
            <w:tcW w:w="8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cash, cash equivalents, and restricted cash</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6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695"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unaudited) (continued)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4"/>
          </w:tcPr>
          <w:p>
            <w:pPr>
              <w:jc w:val="right"/>
              <w:ind w:right="462"/>
              <w:spacing w:after="0"/>
              <w:rPr>
                <w:sz w:val="20"/>
                <w:szCs w:val="20"/>
                <w:color w:val="auto"/>
              </w:rPr>
            </w:pPr>
            <w:r>
              <w:rPr>
                <w:rFonts w:ascii="Arial" w:cs="Arial" w:eastAsia="Arial" w:hAnsi="Arial"/>
                <w:sz w:val="14"/>
                <w:szCs w:val="14"/>
                <w:b w:val="1"/>
                <w:bCs w:val="1"/>
                <w:color w:val="auto"/>
              </w:rPr>
              <w:t>Nine Months Ended September 30,</w:t>
            </w:r>
          </w:p>
        </w:tc>
      </w:tr>
      <w:tr>
        <w:trPr>
          <w:trHeight w:val="38"/>
        </w:trPr>
        <w:tc>
          <w:tcPr>
            <w:tcW w:w="8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8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r>
      <w:tr>
        <w:trPr>
          <w:trHeight w:val="38"/>
        </w:trPr>
        <w:tc>
          <w:tcPr>
            <w:tcW w:w="8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40" w:type="dxa"/>
            <w:vAlign w:val="bottom"/>
          </w:tcPr>
          <w:p>
            <w:pPr>
              <w:ind w:left="340"/>
              <w:spacing w:after="0"/>
              <w:rPr>
                <w:sz w:val="20"/>
                <w:szCs w:val="20"/>
                <w:color w:val="auto"/>
              </w:rPr>
            </w:pPr>
            <w:r>
              <w:rPr>
                <w:rFonts w:ascii="Arial" w:cs="Arial" w:eastAsia="Arial" w:hAnsi="Arial"/>
                <w:sz w:val="16"/>
                <w:szCs w:val="16"/>
                <w:color w:val="auto"/>
              </w:rPr>
              <w:t>Interest paid in cash</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48"/>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taxes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199"/>
        </w:trPr>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040" w:type="dxa"/>
            <w:vAlign w:val="bottom"/>
          </w:tcPr>
          <w:p>
            <w:pPr>
              <w:ind w:left="340"/>
              <w:spacing w:after="0"/>
              <w:rPr>
                <w:sz w:val="20"/>
                <w:szCs w:val="20"/>
                <w:color w:val="auto"/>
              </w:rPr>
            </w:pPr>
            <w:r>
              <w:rPr>
                <w:rFonts w:ascii="Arial" w:cs="Arial" w:eastAsia="Arial" w:hAnsi="Arial"/>
                <w:sz w:val="16"/>
                <w:szCs w:val="16"/>
                <w:color w:val="auto"/>
              </w:rPr>
              <w:t>Deferred variable consideration from acquisition of a business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and equipment included in accounts payable and accrued expenses and other current liabilities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20"/>
        </w:trPr>
        <w:tc>
          <w:tcPr>
            <w:tcW w:w="8040" w:type="dxa"/>
            <w:vAlign w:val="bottom"/>
          </w:tcPr>
          <w:p>
            <w:pPr>
              <w:ind w:left="340"/>
              <w:spacing w:after="0"/>
              <w:rPr>
                <w:sz w:val="20"/>
                <w:szCs w:val="20"/>
                <w:color w:val="auto"/>
              </w:rPr>
            </w:pPr>
            <w:r>
              <w:rPr>
                <w:rFonts w:ascii="Arial" w:cs="Arial" w:eastAsia="Arial" w:hAnsi="Arial"/>
                <w:sz w:val="16"/>
                <w:szCs w:val="16"/>
                <w:color w:val="auto"/>
              </w:rPr>
              <w:t>Estimated business combination consideration receivable (see Note 4)</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auto"/>
        </w:rPr>
        <w:t>ZoomInfo Technologies Inc.</w:t>
      </w:r>
    </w:p>
    <w:p>
      <w:pPr>
        <w:spacing w:after="0" w:line="2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millions, except share/unit data and per share/unit amounts, unless otherwise noted)</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0000FF"/>
                <w:w w:val="86"/>
              </w:rPr>
              <w:t>Note 1</w:t>
            </w:r>
          </w:p>
        </w:tc>
        <w:tc>
          <w:tcPr>
            <w:tcW w:w="80" w:type="dxa"/>
            <w:vAlign w:val="bottom"/>
          </w:tcPr>
          <w:p>
            <w:pPr>
              <w:spacing w:after="0"/>
              <w:rPr>
                <w:sz w:val="17"/>
                <w:szCs w:val="17"/>
                <w:color w:val="auto"/>
              </w:rPr>
            </w:pP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Organization and Background</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12</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2</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Basis of Presentation and Summary of Significant Accounting Policies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14</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3</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Revenue from Contracts with Customers</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23</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4</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Business Combinations</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25</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5</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Cash, Cash Equivalents, and Short-term Investments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29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6</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Property and Equipment</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30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7</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Goodwill and Acquired Intangible Assets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31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8</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Financing Arrangements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32</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Arial" w:cs="Arial" w:eastAsia="Arial" w:hAnsi="Arial"/>
                <w:sz w:val="18"/>
                <w:szCs w:val="18"/>
                <w:color w:val="0000FF"/>
                <w:w w:val="86"/>
              </w:rPr>
              <w:t>Note 9</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Derivatives and Hedging Activities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34</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10</w:t>
            </w: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Fair Value</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36</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11</w:t>
            </w: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Commitments and Contingencies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38</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12</w:t>
            </w: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Noncontrolling Interest</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39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13</w:t>
            </w: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Earnings Per Share</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39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14</w:t>
            </w: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Leases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42</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15</w:t>
            </w: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Equity-Based Compensation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44</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5300" w:type="dxa"/>
            <w:vAlign w:val="bottom"/>
            <w:tcBorders>
              <w:left w:val="single" w:sz="8" w:color="0000FF"/>
            </w:tcBorders>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16</w:t>
            </w: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Tax Receivable Agreements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51</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Arial" w:cs="Arial" w:eastAsia="Arial" w:hAnsi="Arial"/>
                <w:sz w:val="18"/>
                <w:szCs w:val="18"/>
                <w:color w:val="0000FF"/>
                <w:w w:val="85"/>
              </w:rPr>
              <w:t>Note 17</w:t>
            </w:r>
          </w:p>
        </w:tc>
        <w:tc>
          <w:tcPr>
            <w:tcW w:w="7920" w:type="dxa"/>
            <w:vAlign w:val="bottom"/>
            <w:gridSpan w:val="17"/>
          </w:tcPr>
          <w:p>
            <w:pPr>
              <w:ind w:left="640"/>
              <w:spacing w:after="0"/>
              <w:rPr>
                <w:sz w:val="20"/>
                <w:szCs w:val="20"/>
                <w:color w:val="auto"/>
              </w:rPr>
            </w:pPr>
            <w:r>
              <w:rPr>
                <w:rFonts w:ascii="Arial" w:cs="Arial" w:eastAsia="Arial" w:hAnsi="Arial"/>
                <w:sz w:val="18"/>
                <w:szCs w:val="18"/>
                <w:color w:val="0000FF"/>
              </w:rPr>
              <w:t>Income Taxes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0000FF"/>
              </w:rPr>
              <w:t>51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80"/>
          </w:cols>
          <w:pgMar w:left="320" w:top="122" w:right="29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ZoomInfo Technologies Inc., through its operating subsidiaries provides a go-to-market intelligence and engagement platform for sales and marketing teams.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 Following the consummation of the Holding Company Reorganization, ZoomInfo OpCo became a direct subsidiary of ZoomInfo Technologies Inc. and ZoomInfo Intermediate Inc.</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headquarters are located in Vancouver, WA, and we have additional offices throughout the United States, and in Israel, Canada, the United Kingdom, and India.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connection with the IPO, the Company completed the following transactions (“Reorganization Transactions”):</w:t>
      </w:r>
    </w:p>
    <w:p>
      <w:pPr>
        <w:spacing w:after="0" w:line="164"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ZoomInfo OpCo effected a four—for—one reverse unit split;</w:t>
      </w:r>
    </w:p>
    <w:p>
      <w:pPr>
        <w:spacing w:after="0" w:line="164" w:lineRule="exact"/>
        <w:rPr>
          <w:rFonts w:ascii="Arial" w:cs="Arial" w:eastAsia="Arial" w:hAnsi="Arial"/>
          <w:sz w:val="18"/>
          <w:szCs w:val="18"/>
          <w:color w:val="auto"/>
        </w:rPr>
      </w:pPr>
    </w:p>
    <w:p>
      <w:pPr>
        <w:jc w:val="both"/>
        <w:ind w:left="640" w:hanging="316"/>
        <w:spacing w:after="0" w:line="249"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our Class A common stock in the IPO;</w:t>
      </w:r>
    </w:p>
    <w:p>
      <w:pPr>
        <w:spacing w:after="0" w:line="142"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35"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Reorganization Transactions and the IPO, ZoomInfo Technologies Inc. entered into two tax receivable agreements. Refer to Note 16 - Tax Receivable Agreements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Simplification Transactions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 Corporate Structure and Multi-Class Voting Structure Elimination</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1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After the consummation of the Holding Company Reorganization, the only class of common stock of the New ZoomInfo remaining issued and outstanding was the Class A common stock and all shares of Class B common stock were cancelled, and all shares of Class C common stock were converted to Class A common stock. In May 2022, following approval by the Company’s stockholders, the Company further amended and restated its Amended and Restated Certification of Incorporation to eliminate the multiple classes of common stock and to rename the Company’s Class A common stock as “Common Stock.”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has been condensed or omitted pursuant to those rules and regulations. The financial statements included in this report should be read in conjunction with the Company’s audited financial statements for the year ended December 31, 2021.</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results of operations for the three and nine months ended September 30, 2022 are not necessarily indicative of the operating results that may be expected for the full fiscal year ending December 31, 2022 or any future period.</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accompanying unaudited consolidated financial statements contain all adjustments necessary for a fair statement of financial position as of September 30, 2022, and results of operations for the three and nine months ended September 30, 2022 and 2021, and cash flows for the nine months ended September 30, 2022 and 2021. The Condensed Consolidated Balance Sheet as of December 31, 2021 was derived from the audited consolidated balance sheet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Effective May 23, 2022, the Company’s Class A common stock was renamed as “Common Stock.” All references within this document to Class A common stock for periods subsequent to May 23, 2022, and, where the context requires, references within this document to Class A common stock for periods prior to May 23, 2022, have been updated for the renaming.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consolidated financial statements include the accounts of ZoomInfo Technologies Inc. and its subsidiaries. All significant intercompany transactions and balances have been eliminated in consolidation.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64"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on our Condensed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Level 3 - Unobservable inputs that are supported by little or no market activity, including the Company’s own assumptions in determining fair value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inputs or methodology used for valuing financial assets and liabilities are not necessarily an indication of the risk associated with investing in them.</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6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and nine months ended September 30, 2022 and 2021, or accounted for more than 10% of accounts receivable as of September 30, 2022 and December 31, 2021. Long-lived assets located outside of the United States were immaterial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Contract Assets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Accounts receivable is comprised of invoices of revenue, net of allowance for credit losses, and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credit losses is immaterial as of September 30, 2022 and December 31, 2021.</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years to ten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Arial" w:cs="Arial" w:eastAsia="Arial" w:hAnsi="Arial"/>
          <w:sz w:val="18"/>
          <w:szCs w:val="18"/>
          <w:i w:val="1"/>
          <w:iCs w:val="1"/>
          <w:color w:val="auto"/>
        </w:rPr>
        <w:t>Deferred costs and other assets, net of current portion</w:t>
      </w:r>
      <w:r>
        <w:rPr>
          <w:rFonts w:ascii="Arial" w:cs="Arial" w:eastAsia="Arial" w:hAnsi="Arial"/>
          <w:sz w:val="18"/>
          <w:szCs w:val="18"/>
          <w:color w:val="auto"/>
        </w:rPr>
        <w:t xml:space="preserve"> on our Condensed Consolidated Balance Sheets. Deferred sales commissions are amortized on a straight-line basis over the estimated period of benefit from the customer relationship which we have determined to be one and three years for renewals and new clients, respectively. We determined the period of benefit by taking into consideration our customer contracts, our technology, and other factors. Amortization expense is included in </w:t>
      </w:r>
      <w:r>
        <w:rPr>
          <w:rFonts w:ascii="Arial" w:cs="Arial" w:eastAsia="Arial" w:hAnsi="Arial"/>
          <w:sz w:val="18"/>
          <w:szCs w:val="18"/>
          <w:i w:val="1"/>
          <w:iCs w:val="1"/>
          <w:color w:val="auto"/>
        </w:rPr>
        <w:t>Sales and marketing</w:t>
      </w:r>
      <w:r>
        <w:rPr>
          <w:rFonts w:ascii="Arial" w:cs="Arial" w:eastAsia="Arial" w:hAnsi="Arial"/>
          <w:sz w:val="18"/>
          <w:szCs w:val="18"/>
          <w:color w:val="auto"/>
        </w:rPr>
        <w:t xml:space="preserve"> expense on our Consolidated Statements of Operations.</w:t>
      </w:r>
    </w:p>
    <w:p>
      <w:pPr>
        <w:spacing w:after="0" w:line="1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Commissions payable at September 30, 2022 were $28.9 million, of which the current portion of $26.7 million was included in </w:t>
      </w:r>
      <w:r>
        <w:rPr>
          <w:rFonts w:ascii="Arial" w:cs="Arial" w:eastAsia="Arial" w:hAnsi="Arial"/>
          <w:sz w:val="17"/>
          <w:szCs w:val="17"/>
          <w:i w:val="1"/>
          <w:iCs w:val="1"/>
          <w:color w:val="auto"/>
        </w:rPr>
        <w:t>Accrued expenses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current liabilities </w:t>
      </w:r>
      <w:r>
        <w:rPr>
          <w:rFonts w:ascii="Arial" w:cs="Arial" w:eastAsia="Arial" w:hAnsi="Arial"/>
          <w:sz w:val="17"/>
          <w:szCs w:val="17"/>
          <w:color w:val="auto"/>
        </w:rPr>
        <w:t>on our Condensed Consolidated Balance Sheets, and the long-term portion of $2.2 million was included in</w:t>
      </w:r>
      <w:r>
        <w:rPr>
          <w:rFonts w:ascii="Arial" w:cs="Arial" w:eastAsia="Arial" w:hAnsi="Arial"/>
          <w:sz w:val="17"/>
          <w:szCs w:val="17"/>
          <w:i w:val="1"/>
          <w:iCs w:val="1"/>
          <w:color w:val="auto"/>
        </w:rPr>
        <w:t xml:space="preserve"> Other long-term liabilities </w:t>
      </w:r>
      <w:r>
        <w:rPr>
          <w:rFonts w:ascii="Arial" w:cs="Arial" w:eastAsia="Arial" w:hAnsi="Arial"/>
          <w:sz w:val="17"/>
          <w:szCs w:val="17"/>
          <w:color w:val="auto"/>
        </w:rPr>
        <w:t xml:space="preserve">on our Condensed Consolidated Balance Sheets. Commissions payable at December 31, 2021 were $34.1 million, of which the current portion of $31.4 million was included 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on our Condensed Consolidated Balance Sheets, and the long-term portion of $2.7 million was included in </w:t>
      </w:r>
      <w:r>
        <w:rPr>
          <w:rFonts w:ascii="Arial" w:cs="Arial" w:eastAsia="Arial" w:hAnsi="Arial"/>
          <w:sz w:val="17"/>
          <w:szCs w:val="17"/>
          <w:i w:val="1"/>
          <w:iCs w:val="1"/>
          <w:color w:val="auto"/>
        </w:rPr>
        <w:t>Other long-term liabilities</w:t>
      </w:r>
      <w:r>
        <w:rPr>
          <w:rFonts w:ascii="Arial" w:cs="Arial" w:eastAsia="Arial" w:hAnsi="Arial"/>
          <w:sz w:val="17"/>
          <w:szCs w:val="17"/>
          <w:color w:val="auto"/>
        </w:rPr>
        <w:t xml:space="preserve"> on our Condensed Consolidated Balance Sheets.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Certain commissions are not capitalized as they do not represent incremental costs of obtaining a contract. Such commissions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The Company expenses advertising costs as incurred. Advertising expenses of $6.6 million and $21.7 million were recorded for the three and nine months ended September 30, 2022. Advertising expenses of $7.1 million and $15.7 million were recorded for the three and nine months ended September 30, 2021. Advertising expenses are included in </w:t>
      </w:r>
      <w:r>
        <w:rPr>
          <w:rFonts w:ascii="Arial" w:cs="Arial" w:eastAsia="Arial" w:hAnsi="Arial"/>
          <w:sz w:val="17"/>
          <w:szCs w:val="17"/>
          <w:i w:val="1"/>
          <w:iCs w:val="1"/>
          <w:color w:val="auto"/>
        </w:rPr>
        <w:t>Sales and marketing</w:t>
      </w:r>
      <w:r>
        <w:rPr>
          <w:rFonts w:ascii="Arial" w:cs="Arial" w:eastAsia="Arial" w:hAnsi="Arial"/>
          <w:sz w:val="17"/>
          <w:szCs w:val="17"/>
          <w:color w:val="auto"/>
        </w:rPr>
        <w:t xml:space="preserve"> on our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Transaction-Related Expenses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defines restructuring and transaction-related expenses as costs directly associated with restructuring,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expense is recorded when the employees are entitled to receive such benefits and the amount can be reasonably estimated. Transaction related bonuses and related employee retention costs are recognized over the relevant service period. Contract termination fees and penalties and other exit and disposal costs are generally recorded when incurred.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(refer to Note 7 - Goodwill and Acquired Intangible Assets).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three and nine month periods ended September 30, 2022 and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year ended December 31, 2021, we recorded impairment charges of $1.5 million to reduce the carrying value of our existing Waltham right-of-use asset and $1.2 million to reduce the carrying value of the related leasehold improvements to their respective fair values.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do not have any finance leases. Operating leases are recorded on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 term leases, defined as leases having an original lease term less than or equal to one year, are excluded from our right-of-use assets and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Arial" w:cs="Arial" w:eastAsia="Arial" w:hAnsi="Arial"/>
          <w:sz w:val="18"/>
          <w:szCs w:val="18"/>
          <w:i w:val="1"/>
          <w:iCs w:val="1"/>
          <w:color w:val="auto"/>
        </w:rPr>
        <w:t>Unearned revenue, current portion</w:t>
      </w:r>
      <w:r>
        <w:rPr>
          <w:rFonts w:ascii="Arial" w:cs="Arial" w:eastAsia="Arial" w:hAnsi="Arial"/>
          <w:sz w:val="18"/>
          <w:szCs w:val="18"/>
          <w:color w:val="auto"/>
        </w:rPr>
        <w:t xml:space="preserve"> and the remaining portion is included in </w:t>
      </w:r>
      <w:r>
        <w:rPr>
          <w:rFonts w:ascii="Arial" w:cs="Arial" w:eastAsia="Arial" w:hAnsi="Arial"/>
          <w:sz w:val="18"/>
          <w:szCs w:val="18"/>
          <w:i w:val="1"/>
          <w:iCs w:val="1"/>
          <w:color w:val="auto"/>
        </w:rPr>
        <w:t xml:space="preserve">Unearned revenue, net of current portion </w:t>
      </w:r>
      <w:r>
        <w:rPr>
          <w:rFonts w:ascii="Arial" w:cs="Arial" w:eastAsia="Arial" w:hAnsi="Arial"/>
          <w:sz w:val="18"/>
          <w:szCs w:val="18"/>
          <w:color w:val="auto"/>
        </w:rPr>
        <w:t>on our Condensed Consolidated Balance Sheets.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Condensed Consolidated Balance Sheets as a direct deduction from the carrying amount of the outstanding borrowings, consistent with debt discounts. However, the Company classifies the debt issuance costs related to its first lien revolving credit facility within </w:t>
      </w:r>
      <w:r>
        <w:rPr>
          <w:rFonts w:ascii="Arial" w:cs="Arial" w:eastAsia="Arial" w:hAnsi="Arial"/>
          <w:sz w:val="15"/>
          <w:szCs w:val="15"/>
          <w:i w:val="1"/>
          <w:iCs w:val="1"/>
          <w:color w:val="auto"/>
        </w:rPr>
        <w:t>Deferred costs and other assets, net of current portion</w:t>
      </w:r>
      <w:r>
        <w:rPr>
          <w:rFonts w:ascii="Arial" w:cs="Arial" w:eastAsia="Arial" w:hAnsi="Arial"/>
          <w:sz w:val="15"/>
          <w:szCs w:val="15"/>
          <w:color w:val="auto"/>
        </w:rPr>
        <w:t xml:space="preserve"> on our Condensed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Arial" w:cs="Arial" w:eastAsia="Arial" w:hAnsi="Arial"/>
          <w:sz w:val="15"/>
          <w:szCs w:val="15"/>
          <w:i w:val="1"/>
          <w:iCs w:val="1"/>
          <w:color w:val="auto"/>
        </w:rPr>
        <w:t>Loss on debt modification and extinguishment</w:t>
      </w:r>
      <w:r>
        <w:rPr>
          <w:rFonts w:ascii="Arial" w:cs="Arial" w:eastAsia="Arial" w:hAnsi="Arial"/>
          <w:sz w:val="15"/>
          <w:szCs w:val="15"/>
          <w:color w:val="auto"/>
        </w:rPr>
        <w: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on our Condensed Consolidated Balance Sheets under the captions </w:t>
      </w:r>
      <w:r>
        <w:rPr>
          <w:rFonts w:ascii="Arial" w:cs="Arial" w:eastAsia="Arial" w:hAnsi="Arial"/>
          <w:sz w:val="17"/>
          <w:szCs w:val="17"/>
          <w:i w:val="1"/>
          <w:iCs w:val="1"/>
          <w:color w:val="auto"/>
        </w:rPr>
        <w:t>Current portion of tax receivable agreements liability</w:t>
      </w:r>
      <w:r>
        <w:rPr>
          <w:rFonts w:ascii="Arial" w:cs="Arial" w:eastAsia="Arial" w:hAnsi="Arial"/>
          <w:sz w:val="17"/>
          <w:szCs w:val="17"/>
          <w:color w:val="auto"/>
        </w:rPr>
        <w:t xml:space="preserve"> and </w:t>
      </w:r>
      <w:r>
        <w:rPr>
          <w:rFonts w:ascii="Arial" w:cs="Arial" w:eastAsia="Arial" w:hAnsi="Arial"/>
          <w:sz w:val="17"/>
          <w:szCs w:val="17"/>
          <w:i w:val="1"/>
          <w:iCs w:val="1"/>
          <w:color w:val="auto"/>
        </w:rPr>
        <w:t>Tax receivable agreements liability, net of current portion,</w:t>
      </w:r>
      <w:r>
        <w:rPr>
          <w:rFonts w:ascii="Arial" w:cs="Arial" w:eastAsia="Arial" w:hAnsi="Arial"/>
          <w:sz w:val="17"/>
          <w:szCs w:val="17"/>
          <w:color w:val="auto"/>
        </w:rPr>
        <w:t xml:space="preserve"> respectively. Subsequent changes to the measurement of the TRA liability are recognized on our Consolidated Statements of Operations as a component of </w:t>
      </w:r>
      <w:r>
        <w:rPr>
          <w:rFonts w:ascii="Arial" w:cs="Arial" w:eastAsia="Arial" w:hAnsi="Arial"/>
          <w:sz w:val="17"/>
          <w:szCs w:val="17"/>
          <w:i w:val="1"/>
          <w:iCs w:val="1"/>
          <w:color w:val="auto"/>
        </w:rPr>
        <w:t>Other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expense, net</w:t>
      </w:r>
      <w:r>
        <w:rPr>
          <w:rFonts w:ascii="Arial" w:cs="Arial" w:eastAsia="Arial" w:hAnsi="Arial"/>
          <w:sz w:val="17"/>
          <w:szCs w:val="17"/>
          <w:color w:val="auto"/>
        </w:rPr>
        <w:t>. Refer to Note 16 - Tax Receivable Agreements for further details on the TRA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ZoomInfo Technologies Inc. and its direct subsidiary, ZoomInfo Intermediate Inc., are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on their share of earnings for U.S. federal and state income tax purposes. During the three months ended December 31, 2021, ZoomInfo Midco LLC, which is held by ZoomInfo Holdings LLC, made an election to be classified as a corporation for U.S. federal and state income tax purposes. ZoomInfo Midco LLC owns ZoomInfo Technologies LLC, our primary operating entity, among other entities. As such, under our tax elections, ZoomInfo Midco LLC is now subject to U.S. federal and state income tax as a result of our operations. Refer to Note 17 - Income Taxes for additional information regarding income taxes.</w:t>
      </w:r>
    </w:p>
    <w:p>
      <w:pPr>
        <w:spacing w:after="0" w:line="10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 periodically grants incentive awards to employees and non-employees, which generally vest over periods up to four years. Incentive awards may be in the form of various equity-based awards such as Restricted Stock and Restricted Stock Units, and Common Stock Options. Historically, the Company also granted awards in one of the Company’s legacy subsidiary partnerships and such awards were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was determined by reference to the closing price of our Class A common stock from the preceding trading day. The holders of profits interests had the right to participate in distributions of profits only in excess of the participation threshold. Previously awarded profits interests were converted into Restricted Stock awards in connection with the Holding Company Reorganization (refer to Note 1 - Organization and Background).</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Compensation expense related to the Company’s Employee Stock Purchase Plan is measured at the estimated fair value using the Black-Scholes option pricing model using the estimated number of awards as of the beginning of the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1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March 2020, the Financial Accounting Standards Board (“FASB”) issued Accounting Standards Update (“ASU”) 2020-04, which provides optional expedients and exceptions for applying U.S.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Derivatives and Hedging,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In January 2021, the FASB issued ASU 2021-01, Reference Rate Reform (Topic 848): Scope, to provide supplemental guidance and to further clarify the scope of the amended guidance. The standards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requires contract assets and contract liabilities acquired in a business combination to be recognized and measured in accordance with ASC 606, Revenue from Contracts with Customers, as if the acquirer had originated the contract. The Update is intended to improve the accounting for acquired revenue contracts with customers in a business combination, related to the recognition of an acquired contract liability, and to payment terms and their effect on subsequent revenue recognized by the acquirer. The amendment also provides certain practical expedients when applying the guidance. ASU 2021-08 is effective for interim and annual periods beginning after December 15, 2022, on a prospective basis, with early adoption permitted. The company has elected to early adopt this standard, effective January 1, 2022. The adoption of this guidance did not have a material impact on our financial position, results of operations and cash flows.</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The amendments in ASU 2019-12 introduce the following new guidance: (1) provides a policy election to not allocate consolidated income taxes when a member of a consolidated tax return is not subject to income tax; and (2) provides guidance to evaluate whether a step-up in tax basis of goodwill relates to a business combination in which book goodwill was recognized or a separate transaction. The amendments in ASU 2019-12 make changes to the following current guidance: (1) making an intraperiod allocation if there is a loss in continuing operations and a gain outside of continuing operations; (2) determining when a deferred tax liability is recognized after an investor in a foreign entity transitions to or from the equity method of accounting; (3) accounting for tax law changes and year-to-date losses in interim periods; and (4) determining how to apply the income tax guidance to franchise taxes that are partially based on income. ASU 2019-12 is effective for public business entities' fiscal years, including interim periods within those fiscal years, beginning after December 15, 2020, with early adoption permitted. During Q3 2021, the Company liquidated Insent, creating a step-up in the tax basis separate from the acquisition. In accordance with ASU 2019-12, the Company recorded a deferred tax asset on this step-up in tax basis. The additional deferred tax asset recognized as of December 31, 2021 was $6.3 million as a result of the adoption of this standard.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comprised the following service offerings: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5"/>
                <w:szCs w:val="15"/>
                <w:color w:val="auto"/>
              </w:rPr>
            </w:pPr>
          </w:p>
        </w:tc>
        <w:tc>
          <w:tcPr>
            <w:tcW w:w="340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38"/>
        </w:trPr>
        <w:tc>
          <w:tcPr>
            <w:tcW w:w="3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4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71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jc w:val="right"/>
              <w:ind w:right="71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7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8"/>
        </w:trPr>
        <w:tc>
          <w:tcPr>
            <w:tcW w:w="3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38"/>
        </w:trPr>
        <w:tc>
          <w:tcPr>
            <w:tcW w:w="3440" w:type="dxa"/>
            <w:vAlign w:val="bottom"/>
          </w:tcPr>
          <w:p>
            <w:pPr>
              <w:ind w:left="20"/>
              <w:spacing w:after="0"/>
              <w:rPr>
                <w:sz w:val="20"/>
                <w:szCs w:val="20"/>
                <w:color w:val="auto"/>
              </w:rPr>
            </w:pPr>
            <w:r>
              <w:rPr>
                <w:rFonts w:ascii="Arial" w:cs="Arial" w:eastAsia="Arial" w:hAnsi="Arial"/>
                <w:sz w:val="18"/>
                <w:szCs w:val="18"/>
                <w:color w:val="auto"/>
              </w:rPr>
              <w:t>Usage-based</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8"/>
        </w:trPr>
        <w:tc>
          <w:tcPr>
            <w:tcW w:w="3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4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Usage-based revenue is comprised largely of email verification and intent-driven audience and targeting services,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revenue is comprised largely of implementation and professional services fees. We recognize other revenue as services are delivered.</w:t>
      </w:r>
    </w:p>
    <w:p>
      <w:pPr>
        <w:spacing w:after="0" w:line="1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Of the total revenue recognized in the three and nine months ended September 30, 2022, $60.9 million and $325.9 million were included in the unearned revenue balance as of December 31, 2021. Of the total revenue recognized in the three and nine months ended September 30, 2021, $37.8 million and $205.5 million were included in the unearned revenue balance as of December 31, 2020. Revenue recognized from performance obligations satisfied (or partially satisfied) in previous periods was not material.</w:t>
      </w:r>
    </w:p>
    <w:p>
      <w:pPr>
        <w:spacing w:after="0" w:line="13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Revenues derived from customers and partners located outside the United States, as determined based on the address provided by our customers and partners, accounted for approximately 13% and 11% of our total revenues for the three months ended September 30, 2022 and 2021, respectively. Revenues derived from customers and partners located outside the United States, as determined based on the address provided by our customers and partners, accounted for approximately 12% and 11% of our total revenues for the nine months ended September 30, 2022 and 2021, respectively. Contracts denominated in currencies other than U.S. Dollar were not material for the three and nine months ended September 30, 2022 and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Unearned Revenue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As of September 30, 2022 and December 31, 2021, the Company had contract assets of $4.7 million and $3.7 million, respectively, which are recorded as current assets within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on our Condensed Consolidated Balance Sheets. As of September 30, 2022 and December 31, 2021, the Company had unearned revenue of $381.2 million and $364.2 million, respectively.</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45 months.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Recognized within one</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3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year</w:t>
            </w:r>
          </w:p>
        </w:tc>
        <w:tc>
          <w:tcPr>
            <w:tcW w:w="26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Pr>
          <w:p>
            <w:pPr>
              <w:spacing w:after="0"/>
              <w:rPr>
                <w:sz w:val="16"/>
                <w:szCs w:val="16"/>
                <w:color w:val="auto"/>
              </w:rPr>
            </w:pPr>
          </w:p>
        </w:tc>
        <w:tc>
          <w:tcPr>
            <w:tcW w:w="1200" w:type="dxa"/>
            <w:vAlign w:val="bottom"/>
          </w:tcPr>
          <w:p>
            <w:pPr>
              <w:jc w:val="right"/>
              <w:ind w:right="5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September 30, 2022</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756.9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221.9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0" w:type="dxa"/>
            <w:vAlign w:val="bottom"/>
          </w:tcPr>
          <w:p>
            <w:pPr>
              <w:spacing w:after="0"/>
              <w:rPr>
                <w:sz w:val="1"/>
                <w:szCs w:val="1"/>
                <w:color w:val="auto"/>
              </w:rPr>
            </w:pPr>
          </w:p>
        </w:tc>
      </w:tr>
      <w:tr>
        <w:trPr>
          <w:trHeight w:val="28"/>
        </w:trPr>
        <w:tc>
          <w:tcPr>
            <w:tcW w:w="6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April 2022, the Company acquired all the outstanding equity interests of Comparably, Inc. (“Comparably”) and acquired substantially all the assets and certain specified liabilities of Dogpatch Advisors, LLC (“Dogpatch”) (collectively, the “2022 Acquired Companies”) for a total purchase consideration of $150.6 million in cash and $10.0 million in convertible notes receivable. As part of the acquisitions, the Company issued 448,740 restricted stock units at a total grant date fair value of $26.8 million and could be required to issue additional equity awards up to a maximum value of $3.7 million based on the attainment of certain revenue thresholds and the continued employment of acquired employees. The acquisition of Comparably provides ZoomInfo with unique proprietary data to further build TalentOS into a best-in-class talent platform by enriching recruiter search options and providing recruiters with access to millions of quality candidates and employer brand solutions. We acquired Dogpatch Advisors to launch ZoomInfo Labs, a new go-to-market thought leadership team, driving go-to-market data analysis, product enhancements and strategy for our enterprise customers. Dogpatch is a go-to-market consultancy with expertise in scaling revenue teams and building modern sales and marketing systems. The purchase accounting for the 2022 Acquired Companies transactions is not yet finalized.</w:t>
      </w:r>
    </w:p>
    <w:p>
      <w:pPr>
        <w:spacing w:after="0" w:line="12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has included the financial results of the 2022 Acquired Companies in the consolidated financial statements from each date of acquisition. Due to the integration of the 2022 Acquired Companies into the operations of ZoomInfo, the Company cannot practicably determine the contribution of the 2022 Acquired Companies to consolidated net earnings. Transaction costs associated with each acquisition were not material.</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Preliminary Fair Value</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Measurement Period</w:t>
            </w:r>
          </w:p>
        </w:tc>
        <w:tc>
          <w:tcPr>
            <w:tcW w:w="15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7"/>
              </w:rPr>
              <w:t>Adjusted Fair Value at</w:t>
            </w:r>
          </w:p>
        </w:tc>
      </w:tr>
      <w:tr>
        <w:trPr>
          <w:trHeight w:val="184"/>
        </w:trPr>
        <w:tc>
          <w:tcPr>
            <w:tcW w:w="6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at Acquisition Date</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5"/>
                <w:szCs w:val="15"/>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Acquisition Date</w:t>
            </w:r>
          </w:p>
        </w:tc>
      </w:tr>
      <w:tr>
        <w:trPr>
          <w:trHeight w:val="38"/>
        </w:trPr>
        <w:tc>
          <w:tcPr>
            <w:tcW w:w="6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8"/>
        </w:trPr>
        <w:tc>
          <w:tcPr>
            <w:tcW w:w="6320" w:type="dxa"/>
            <w:vAlign w:val="bottom"/>
            <w:tcBorders>
              <w:bottom w:val="single" w:sz="8" w:color="CCEEFF"/>
            </w:tcBorders>
            <w:shd w:val="clear" w:color="auto" w:fill="CCEEFF"/>
          </w:tcPr>
          <w:p>
            <w:pPr>
              <w:jc w:val="right"/>
              <w:ind w:right="5852"/>
              <w:spacing w:after="0"/>
              <w:rPr>
                <w:sz w:val="20"/>
                <w:szCs w:val="20"/>
                <w:color w:val="auto"/>
              </w:rPr>
            </w:pPr>
            <w:r>
              <w:rPr>
                <w:rFonts w:ascii="Arial" w:cs="Arial" w:eastAsia="Arial" w:hAnsi="Arial"/>
                <w:sz w:val="18"/>
                <w:szCs w:val="18"/>
                <w:color w:val="auto"/>
                <w:w w:val="85"/>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38"/>
        </w:trPr>
        <w:tc>
          <w:tcPr>
            <w:tcW w:w="6320" w:type="dxa"/>
            <w:vAlign w:val="bottom"/>
          </w:tcPr>
          <w:p>
            <w:pPr>
              <w:jc w:val="right"/>
              <w:ind w:right="3992"/>
              <w:spacing w:after="0"/>
              <w:rPr>
                <w:sz w:val="20"/>
                <w:szCs w:val="20"/>
                <w:color w:val="auto"/>
              </w:rPr>
            </w:pPr>
            <w:r>
              <w:rPr>
                <w:rFonts w:ascii="Arial" w:cs="Arial" w:eastAsia="Arial" w:hAnsi="Arial"/>
                <w:sz w:val="18"/>
                <w:szCs w:val="18"/>
                <w:color w:val="auto"/>
                <w:w w:val="89"/>
              </w:rPr>
              <w:t>Conversion of Note Receivable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6320" w:type="dxa"/>
            <w:vAlign w:val="bottom"/>
            <w:tcBorders>
              <w:bottom w:val="single" w:sz="8" w:color="CCEEFF"/>
            </w:tcBorders>
            <w:shd w:val="clear" w:color="auto" w:fill="CCEEFF"/>
          </w:tcPr>
          <w:p>
            <w:pPr>
              <w:jc w:val="right"/>
              <w:ind w:right="3972"/>
              <w:spacing w:after="0"/>
              <w:rPr>
                <w:sz w:val="20"/>
                <w:szCs w:val="20"/>
                <w:color w:val="auto"/>
              </w:rPr>
            </w:pPr>
            <w:r>
              <w:rPr>
                <w:rFonts w:ascii="Arial" w:cs="Arial" w:eastAsia="Arial" w:hAnsi="Arial"/>
                <w:sz w:val="18"/>
                <w:szCs w:val="18"/>
                <w:color w:val="auto"/>
                <w:w w:val="96"/>
              </w:rPr>
              <w:t>Total purchase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aggregate fair values of the assets acquired and liabilities assumed, as of the dates of the acquisition for the 2022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Acquired Companies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Preliminary Fair Value</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Measurement Period</w:t>
            </w:r>
          </w:p>
        </w:tc>
        <w:tc>
          <w:tcPr>
            <w:tcW w:w="15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Adjusted Fair Value at</w:t>
            </w:r>
          </w:p>
        </w:tc>
      </w:tr>
      <w:tr>
        <w:trPr>
          <w:trHeight w:val="184"/>
        </w:trPr>
        <w:tc>
          <w:tcPr>
            <w:tcW w:w="6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at Acquisition Date</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5"/>
                <w:szCs w:val="15"/>
                <w:color w:val="auto"/>
              </w:rPr>
            </w:pPr>
          </w:p>
        </w:tc>
        <w:tc>
          <w:tcPr>
            <w:tcW w:w="136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Acquisition Date</w:t>
            </w:r>
          </w:p>
        </w:tc>
      </w:tr>
      <w:tr>
        <w:trPr>
          <w:trHeight w:val="38"/>
        </w:trPr>
        <w:tc>
          <w:tcPr>
            <w:tcW w:w="6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1"/>
        </w:trPr>
        <w:tc>
          <w:tcPr>
            <w:tcW w:w="6320" w:type="dxa"/>
            <w:vAlign w:val="bottom"/>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31"/>
        </w:trPr>
        <w:tc>
          <w:tcPr>
            <w:tcW w:w="6320" w:type="dxa"/>
            <w:vAlign w:val="bottom"/>
          </w:tcPr>
          <w:p>
            <w:pPr>
              <w:ind w:left="240"/>
              <w:spacing w:after="0"/>
              <w:rPr>
                <w:sz w:val="20"/>
                <w:szCs w:val="20"/>
                <w:color w:val="auto"/>
              </w:rPr>
            </w:pPr>
            <w:r>
              <w:rPr>
                <w:rFonts w:ascii="Arial" w:cs="Arial" w:eastAsia="Arial" w:hAnsi="Arial"/>
                <w:sz w:val="18"/>
                <w:szCs w:val="18"/>
                <w:color w:val="auto"/>
              </w:rPr>
              <w:t>Total consideration</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Acquired</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1"/>
        </w:trPr>
        <w:tc>
          <w:tcPr>
            <w:tcW w:w="632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w w:val="93"/>
              </w:rPr>
              <w:t>Cash paid (refunds received) for 2021 acquisitions in 2022 (see "2021 Acquisitions")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paid for acquisitions in 2022</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8"/>
        </w:trPr>
        <w:tc>
          <w:tcPr>
            <w:tcW w:w="6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in the Comparably acquisition may be subject to change as additional information is received regarding working capital balances at the acquisition date, and the values of the identifiable intangible assets.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Preliminary Fair Value</w:t>
            </w:r>
          </w:p>
        </w:tc>
        <w:tc>
          <w:tcPr>
            <w:tcW w:w="12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Period</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7"/>
              </w:rPr>
              <w:t>Adjusted Fair Value at</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r>
      <w:tr>
        <w:trPr>
          <w:trHeight w:val="184"/>
        </w:trPr>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at Acquisition Date</w:t>
            </w:r>
          </w:p>
        </w:tc>
        <w:tc>
          <w:tcPr>
            <w:tcW w:w="120" w:type="dxa"/>
            <w:vAlign w:val="bottom"/>
          </w:tcPr>
          <w:p>
            <w:pPr>
              <w:spacing w:after="0"/>
              <w:rPr>
                <w:sz w:val="15"/>
                <w:szCs w:val="15"/>
                <w:color w:val="auto"/>
              </w:rPr>
            </w:pPr>
          </w:p>
        </w:tc>
        <w:tc>
          <w:tcPr>
            <w:tcW w:w="1560" w:type="dxa"/>
            <w:vAlign w:val="bottom"/>
            <w:gridSpan w:val="2"/>
          </w:tcPr>
          <w:p>
            <w:pPr>
              <w:ind w:left="28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5"/>
                <w:szCs w:val="15"/>
                <w:color w:val="auto"/>
              </w:rPr>
            </w:pPr>
          </w:p>
        </w:tc>
        <w:tc>
          <w:tcPr>
            <w:tcW w:w="138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Acquisition Date</w:t>
            </w: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51"/>
        </w:trPr>
        <w:tc>
          <w:tcPr>
            <w:tcW w:w="46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5.8 years</w:t>
            </w: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9.0 years</w:t>
            </w:r>
          </w:p>
        </w:tc>
      </w:tr>
      <w:tr>
        <w:trPr>
          <w:trHeight w:val="28"/>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 / Trademarks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8.0 years</w:t>
            </w:r>
          </w:p>
        </w:tc>
      </w:tr>
      <w:tr>
        <w:trPr>
          <w:trHeight w:val="231"/>
        </w:trPr>
        <w:tc>
          <w:tcPr>
            <w:tcW w:w="46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8"/>
        </w:trPr>
        <w:tc>
          <w:tcPr>
            <w:tcW w:w="4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nine months ended September 30, 2022 is expected to be deductible for U.S. income tax purposes.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 forma information related to the acquisitions has not been presented as the impact was not material to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During the twelve months ended December 31, 2021, the Company consummated the following acquisitions (collectively, “2021 Acquired Companies”) which have been accounted for as business combinations under ASC Topic 805.</w:t>
      </w:r>
    </w:p>
    <w:p>
      <w:pPr>
        <w:spacing w:after="0" w:line="128" w:lineRule="exact"/>
        <w:rPr>
          <w:sz w:val="20"/>
          <w:szCs w:val="20"/>
          <w:color w:val="auto"/>
        </w:rPr>
      </w:pPr>
    </w:p>
    <w:p>
      <w:pPr>
        <w:jc w:val="both"/>
        <w:ind w:left="640" w:hanging="316"/>
        <w:spacing w:after="0" w:line="318" w:lineRule="auto"/>
        <w:tabs>
          <w:tab w:leader="none" w:pos="635"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June 2021, the Company acquired all of the outstanding equity interests of Insent, Inc. (“Insent”) for total purchase consideration of $34.0 million, consisting of $32.9 million in cash and estimated deferred purchase consideration of $1.1 million. The purchase accounting for this transaction has been finalized. As part of the acquisition, the Company issued 36,118 RSUs, at a total grant date fair value of $2.4 million, and agreed to pay $2.0 million of incentive compensation to acquired employees, subject to continued employment, to be recognized in the post-combination periods.</w:t>
      </w:r>
    </w:p>
    <w:p>
      <w:pPr>
        <w:spacing w:after="0" w:line="92" w:lineRule="exact"/>
        <w:rPr>
          <w:rFonts w:ascii="Arial" w:cs="Arial" w:eastAsia="Arial" w:hAnsi="Arial"/>
          <w:sz w:val="15"/>
          <w:szCs w:val="15"/>
          <w:color w:val="auto"/>
        </w:rPr>
      </w:pPr>
    </w:p>
    <w:p>
      <w:pPr>
        <w:jc w:val="both"/>
        <w:ind w:left="640" w:hanging="316"/>
        <w:spacing w:after="0" w:line="303" w:lineRule="auto"/>
        <w:tabs>
          <w:tab w:leader="none" w:pos="635"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In July 2021, the Company acquired substantially all of the net assets of AffectLayer, Inc. (d/b/a Chorus.ai) (“Chorus.ai”). At the time of purchase, the Company reserved a portion of cash transferred to settle the Seller’s estimated tax liability arising from the sale of Chorus.ai’s net assets. The Seller has since completed the final determination of its tax liability, resulting in a refund to the Company of approximately $33.9 million in cash, which was received in the fourth quarter of 2021 and previously included in the </w:t>
      </w:r>
      <w:r>
        <w:rPr>
          <w:rFonts w:ascii="Arial" w:cs="Arial" w:eastAsia="Arial" w:hAnsi="Arial"/>
          <w:sz w:val="15"/>
          <w:szCs w:val="15"/>
          <w:i w:val="1"/>
          <w:iCs w:val="1"/>
          <w:color w:val="auto"/>
        </w:rPr>
        <w:t>Prepaid expenses and other current assets</w:t>
      </w:r>
      <w:r>
        <w:rPr>
          <w:rFonts w:ascii="Arial" w:cs="Arial" w:eastAsia="Arial" w:hAnsi="Arial"/>
          <w:sz w:val="15"/>
          <w:szCs w:val="15"/>
          <w:color w:val="auto"/>
        </w:rPr>
        <w:t xml:space="preserve"> balance. After adjustment for this refund, purchase consideration transferred for the assets of Chorus.ai is $547.4 million in cash. The total purchase consideration includes $31.8 million attributable to certain unvested options issued by Chorus.ai that were accelerated in contemplation of the acquisition by ZoomInfo. The purchase accounting for this transaction has been finalized. As part of the acquisition, the Company issued 572,921 RSUs that replaced previously unvested equity in Chorus.ai or were issued as incremental incentive grants at a total grant date fair value of $30.3 million, and agreed to pay $6.0 million of compensation to acquired employees, subject to continued employment, to be recognized in the post-combination periods.</w:t>
      </w:r>
    </w:p>
    <w:p>
      <w:pPr>
        <w:spacing w:after="0" w:line="107" w:lineRule="exact"/>
        <w:rPr>
          <w:rFonts w:ascii="Arial" w:cs="Arial" w:eastAsia="Arial" w:hAnsi="Arial"/>
          <w:sz w:val="15"/>
          <w:szCs w:val="15"/>
          <w:color w:val="auto"/>
        </w:rPr>
      </w:pPr>
    </w:p>
    <w:p>
      <w:pPr>
        <w:jc w:val="both"/>
        <w:ind w:left="640" w:hanging="316"/>
        <w:spacing w:after="0" w:line="250"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September 2021, the Company acquired substantially all of the net assets of RingLead, Inc. (“RingLead”) for total purchase consideration of $116.0 million, consisting of $114.9 million in cash and estimated deferred purchase consideration of $1.1 million. The purchase accounting for this transaction has been finalized. As part of the acquisition, the Company issued 42,854 replacement RSUs, at a total grant date fair value of $2.8 million and agreed to pay $3.7 million of incentive compensation to acquired employees, subject to continued employment, to be recognized in the post-combination periods.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included the financial results of the 2021 Acquired Companies in the consolidated financial statements from each date of acquisition. During the twelve months ended December 31, 2021, the 2021 Acquired Companies contributed $13.2 million to revenue. Due to the integration of the 2021 Acquired Companies into the operations of ZoomInfo, the Company cannot practicably determine the contribution of the 2021 Acquired Companies to consolidated net earnings. Transaction costs associated with each acquisition were not material.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Preliminary Fair Value</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Measurement Period</w:t>
            </w:r>
          </w:p>
        </w:tc>
        <w:tc>
          <w:tcPr>
            <w:tcW w:w="15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7"/>
              </w:rPr>
              <w:t>Adjusted Fair Value at</w:t>
            </w:r>
          </w:p>
        </w:tc>
      </w:tr>
      <w:tr>
        <w:trPr>
          <w:trHeight w:val="184"/>
        </w:trPr>
        <w:tc>
          <w:tcPr>
            <w:tcW w:w="6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at Acquisition Date</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5"/>
                <w:szCs w:val="15"/>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Acquisition Date</w:t>
            </w:r>
          </w:p>
        </w:tc>
      </w:tr>
      <w:tr>
        <w:trPr>
          <w:trHeight w:val="38"/>
        </w:trPr>
        <w:tc>
          <w:tcPr>
            <w:tcW w:w="6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695.2</w:t>
            </w:r>
          </w:p>
        </w:tc>
      </w:tr>
      <w:tr>
        <w:trPr>
          <w:trHeight w:val="238"/>
        </w:trPr>
        <w:tc>
          <w:tcPr>
            <w:tcW w:w="6320" w:type="dxa"/>
            <w:vAlign w:val="bottom"/>
          </w:tcPr>
          <w:p>
            <w:pPr>
              <w:ind w:left="20"/>
              <w:spacing w:after="0"/>
              <w:rPr>
                <w:sz w:val="20"/>
                <w:szCs w:val="20"/>
                <w:color w:val="auto"/>
              </w:rPr>
            </w:pPr>
            <w:r>
              <w:rPr>
                <w:rFonts w:ascii="Arial" w:cs="Arial" w:eastAsia="Arial" w:hAnsi="Arial"/>
                <w:sz w:val="18"/>
                <w:szCs w:val="18"/>
                <w:color w:val="auto"/>
              </w:rPr>
              <w:t>Deferred purchase consideration</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6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purchase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aggregate fair values of the assets acquired and liabilities assumed, as of the dates of the acquisition for the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Acquired Companies, as adjusted in the fourth quarter of 2021 and the first quarter of 2022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Preliminary Fair Value</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Measurement Period</w:t>
            </w:r>
          </w:p>
        </w:tc>
        <w:tc>
          <w:tcPr>
            <w:tcW w:w="15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Adjusted Fair Value at</w:t>
            </w:r>
          </w:p>
        </w:tc>
      </w:tr>
      <w:tr>
        <w:trPr>
          <w:trHeight w:val="184"/>
        </w:trPr>
        <w:tc>
          <w:tcPr>
            <w:tcW w:w="6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at Acquisition Date</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5"/>
                <w:szCs w:val="15"/>
                <w:color w:val="auto"/>
              </w:rPr>
            </w:pPr>
          </w:p>
        </w:tc>
        <w:tc>
          <w:tcPr>
            <w:tcW w:w="136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Acquisition Date</w:t>
            </w:r>
          </w:p>
        </w:tc>
      </w:tr>
      <w:tr>
        <w:trPr>
          <w:trHeight w:val="38"/>
        </w:trPr>
        <w:tc>
          <w:tcPr>
            <w:tcW w:w="6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8"/>
        </w:trPr>
        <w:tc>
          <w:tcPr>
            <w:tcW w:w="63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1"/>
        </w:trPr>
        <w:tc>
          <w:tcPr>
            <w:tcW w:w="6320" w:type="dxa"/>
            <w:vAlign w:val="bottom"/>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r>
      <w:tr>
        <w:trPr>
          <w:trHeight w:val="231"/>
        </w:trPr>
        <w:tc>
          <w:tcPr>
            <w:tcW w:w="6320" w:type="dxa"/>
            <w:vAlign w:val="bottom"/>
          </w:tcPr>
          <w:p>
            <w:pPr>
              <w:ind w:left="240"/>
              <w:spacing w:after="0"/>
              <w:rPr>
                <w:sz w:val="20"/>
                <w:szCs w:val="20"/>
                <w:color w:val="auto"/>
              </w:rPr>
            </w:pPr>
            <w:r>
              <w:rPr>
                <w:rFonts w:ascii="Arial" w:cs="Arial" w:eastAsia="Arial" w:hAnsi="Arial"/>
                <w:sz w:val="18"/>
                <w:szCs w:val="18"/>
                <w:color w:val="auto"/>
              </w:rPr>
              <w:t>Total consideration</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697.4</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refund from Chorus.ai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320" w:type="dxa"/>
            <w:vAlign w:val="bottom"/>
          </w:tcPr>
          <w:p>
            <w:pPr>
              <w:ind w:left="340"/>
              <w:spacing w:after="0"/>
              <w:rPr>
                <w:sz w:val="20"/>
                <w:szCs w:val="20"/>
                <w:color w:val="auto"/>
              </w:rPr>
            </w:pPr>
            <w:r>
              <w:rPr>
                <w:rFonts w:ascii="Arial" w:cs="Arial" w:eastAsia="Arial" w:hAnsi="Arial"/>
                <w:sz w:val="18"/>
                <w:szCs w:val="18"/>
                <w:color w:val="auto"/>
              </w:rPr>
              <w:t>Deferred consideration</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Accruals from adjustments to working capital balances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8"/>
        </w:trPr>
        <w:tc>
          <w:tcPr>
            <w:tcW w:w="6320" w:type="dxa"/>
            <w:vAlign w:val="bottom"/>
          </w:tcPr>
          <w:p>
            <w:pPr>
              <w:ind w:left="340"/>
              <w:spacing w:after="0"/>
              <w:rPr>
                <w:sz w:val="20"/>
                <w:szCs w:val="20"/>
                <w:color w:val="auto"/>
              </w:rPr>
            </w:pPr>
            <w:r>
              <w:rPr>
                <w:rFonts w:ascii="Arial" w:cs="Arial" w:eastAsia="Arial" w:hAnsi="Arial"/>
                <w:sz w:val="18"/>
                <w:szCs w:val="18"/>
                <w:color w:val="auto"/>
              </w:rPr>
              <w:t>Accruals from adjustments to tax liabilities</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acquired</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1"/>
        </w:trPr>
        <w:tc>
          <w:tcPr>
            <w:tcW w:w="632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681.8</w:t>
            </w:r>
          </w:p>
        </w:tc>
      </w:tr>
      <w:tr>
        <w:trPr>
          <w:trHeight w:val="28"/>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8"/>
        </w:trPr>
        <w:tc>
          <w:tcPr>
            <w:tcW w:w="6320" w:type="dxa"/>
            <w:vAlign w:val="bottom"/>
          </w:tcPr>
          <w:p>
            <w:pPr>
              <w:ind w:left="20"/>
              <w:spacing w:after="0"/>
              <w:rPr>
                <w:sz w:val="20"/>
                <w:szCs w:val="20"/>
                <w:color w:val="auto"/>
              </w:rPr>
            </w:pPr>
            <w:r>
              <w:rPr>
                <w:rFonts w:ascii="Arial" w:cs="Arial" w:eastAsia="Arial" w:hAnsi="Arial"/>
                <w:sz w:val="18"/>
                <w:szCs w:val="18"/>
                <w:color w:val="auto"/>
              </w:rPr>
              <w:t>Cash paid (received) for acquisitions in 2021</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683.9</w:t>
            </w:r>
          </w:p>
        </w:tc>
      </w:tr>
      <w:tr>
        <w:trPr>
          <w:trHeight w:val="27"/>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(received) for acquisitions in 2022</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Preliminary Fair Value</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Measurement Period</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7"/>
              </w:rPr>
              <w:t>Adjusted Fair Value at</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r>
      <w:tr>
        <w:trPr>
          <w:trHeight w:val="184"/>
        </w:trPr>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at Acquisition Date</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5"/>
                <w:szCs w:val="15"/>
                <w:color w:val="auto"/>
              </w:rPr>
            </w:pPr>
          </w:p>
        </w:tc>
        <w:tc>
          <w:tcPr>
            <w:tcW w:w="138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Acquisition Date</w:t>
            </w: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51"/>
        </w:trPr>
        <w:tc>
          <w:tcPr>
            <w:tcW w:w="46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6.1 years</w:t>
            </w:r>
          </w:p>
        </w:tc>
      </w:tr>
      <w:tr>
        <w:trPr>
          <w:trHeight w:val="28"/>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7.7 years</w:t>
            </w:r>
          </w:p>
        </w:tc>
      </w:tr>
      <w:tr>
        <w:trPr>
          <w:trHeight w:val="258"/>
        </w:trPr>
        <w:tc>
          <w:tcPr>
            <w:tcW w:w="464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twelve months ended December 31, 2021 is expected to be deductible for U.S.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 for the 2021 Acquisitions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following table presents the unaudited pro forma results for the years ended December 31, 2021 and 2020. The unaudited pro forma financial information combines the results of operations of the 2021 Acquired Companies and ZoomInfo as though each of the acquisitions had been completed on January 1, 2020. The pro forma information is presented for informational purposes only and is not indicative of the results of operations that would have been achieved if the acquisitions had taken place at such time. The unaudited pro forma results presented below primarily include adjustments for amortization of identifiable intangible assets, the valuation of deferred revenue assumed in the acquisitions (“the deferred revenue write-down”), interest expense, aggregate transaction expenses and transaction success bonuses of $12.6 million, equity-based compensation, and related tax effects of the adjustments: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3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738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jc w:val="right"/>
              <w:ind w:right="71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00" w:type="dxa"/>
            <w:vAlign w:val="bottom"/>
            <w:tcBorders>
              <w:bottom w:val="single" w:sz="8" w:color="CCEEFF"/>
            </w:tcBorders>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7"/>
              </w:rPr>
              <w:t>490.6</w:t>
            </w:r>
          </w:p>
        </w:tc>
        <w:tc>
          <w:tcPr>
            <w:tcW w:w="0" w:type="dxa"/>
            <w:vAlign w:val="bottom"/>
          </w:tcPr>
          <w:p>
            <w:pPr>
              <w:spacing w:after="0"/>
              <w:rPr>
                <w:sz w:val="1"/>
                <w:szCs w:val="1"/>
                <w:color w:val="auto"/>
              </w:rPr>
            </w:pP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0"/>
                <w:szCs w:val="20"/>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660"/>
              <w:spacing w:after="0"/>
              <w:rPr>
                <w:sz w:val="20"/>
                <w:szCs w:val="20"/>
                <w:color w:val="auto"/>
              </w:rPr>
            </w:pPr>
            <w:r>
              <w:rPr>
                <w:rFonts w:ascii="Arial" w:cs="Arial" w:eastAsia="Arial" w:hAnsi="Arial"/>
                <w:sz w:val="18"/>
                <w:szCs w:val="18"/>
                <w:color w:val="auto"/>
                <w:w w:val="93"/>
              </w:rPr>
              <w:t>(78.8)</w:t>
            </w:r>
          </w:p>
        </w:tc>
        <w:tc>
          <w:tcPr>
            <w:tcW w:w="0" w:type="dxa"/>
            <w:vAlign w:val="bottom"/>
          </w:tcPr>
          <w:p>
            <w:pPr>
              <w:spacing w:after="0"/>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short-term investments consisted of the following as of September 30,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Estimated Fair Value</w:t>
            </w:r>
          </w:p>
        </w:tc>
      </w:tr>
      <w:tr>
        <w:trPr>
          <w:trHeight w:val="28"/>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38"/>
        </w:trPr>
        <w:tc>
          <w:tcPr>
            <w:tcW w:w="5560" w:type="dxa"/>
            <w:vAlign w:val="bottom"/>
          </w:tcPr>
          <w:p>
            <w:pPr>
              <w:ind w:left="22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112.8</w:t>
            </w:r>
          </w:p>
        </w:tc>
      </w:tr>
      <w:tr>
        <w:trPr>
          <w:trHeight w:val="28"/>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5"/>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38"/>
        </w:trPr>
        <w:tc>
          <w:tcPr>
            <w:tcW w:w="556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151.5</w:t>
            </w:r>
          </w:p>
        </w:tc>
      </w:tr>
      <w:tr>
        <w:trPr>
          <w:trHeight w:val="28"/>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Money market mutual funds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38"/>
        </w:trPr>
        <w:tc>
          <w:tcPr>
            <w:tcW w:w="5560" w:type="dxa"/>
            <w:vAlign w:val="bottom"/>
          </w:tcPr>
          <w:p>
            <w:pPr>
              <w:ind w:left="440"/>
              <w:spacing w:after="0"/>
              <w:rPr>
                <w:sz w:val="20"/>
                <w:szCs w:val="20"/>
                <w:color w:val="auto"/>
              </w:rPr>
            </w:pPr>
            <w:r>
              <w:rPr>
                <w:rFonts w:ascii="Arial" w:cs="Arial" w:eastAsia="Arial" w:hAnsi="Arial"/>
                <w:sz w:val="18"/>
                <w:szCs w:val="18"/>
                <w:color w:val="auto"/>
              </w:rPr>
              <w:t>Total cash equivalents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293.5</w:t>
            </w:r>
          </w:p>
        </w:tc>
      </w:tr>
      <w:tr>
        <w:trPr>
          <w:trHeight w:val="28"/>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r>
      <w:tr>
        <w:trPr>
          <w:trHeight w:val="218"/>
        </w:trPr>
        <w:tc>
          <w:tcPr>
            <w:tcW w:w="55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7"/>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8"/>
        </w:trPr>
        <w:tc>
          <w:tcPr>
            <w:tcW w:w="5560" w:type="dxa"/>
            <w:vAlign w:val="bottom"/>
          </w:tcPr>
          <w:p>
            <w:pPr>
              <w:ind w:left="320"/>
              <w:spacing w:after="0"/>
              <w:rPr>
                <w:sz w:val="20"/>
                <w:szCs w:val="20"/>
                <w:color w:val="auto"/>
              </w:rPr>
            </w:pPr>
            <w:r>
              <w:rPr>
                <w:rFonts w:ascii="Arial" w:cs="Arial" w:eastAsia="Arial" w:hAnsi="Arial"/>
                <w:sz w:val="18"/>
                <w:szCs w:val="18"/>
                <w:color w:val="auto"/>
              </w:rPr>
              <w:t>Securities guaranteed by U.S. government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5"/>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governmental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1"/>
        </w:trPr>
        <w:tc>
          <w:tcPr>
            <w:tcW w:w="5560" w:type="dxa"/>
            <w:vAlign w:val="bottom"/>
          </w:tcPr>
          <w:p>
            <w:pPr>
              <w:ind w:left="44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8"/>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short-term investments consisted of the following as of December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28"/>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7"/>
        </w:trPr>
        <w:tc>
          <w:tcPr>
            <w:tcW w:w="556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8"/>
        </w:trPr>
        <w:tc>
          <w:tcPr>
            <w:tcW w:w="5560" w:type="dxa"/>
            <w:vAlign w:val="bottom"/>
          </w:tcPr>
          <w:p>
            <w:pPr>
              <w:ind w:left="320"/>
              <w:spacing w:after="0"/>
              <w:rPr>
                <w:sz w:val="20"/>
                <w:szCs w:val="20"/>
                <w:color w:val="auto"/>
              </w:rPr>
            </w:pPr>
            <w:r>
              <w:rPr>
                <w:rFonts w:ascii="Arial" w:cs="Arial" w:eastAsia="Arial" w:hAnsi="Arial"/>
                <w:sz w:val="18"/>
                <w:szCs w:val="18"/>
                <w:color w:val="auto"/>
              </w:rPr>
              <w:t>Money market mutual funds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8"/>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1"/>
        </w:trPr>
        <w:tc>
          <w:tcPr>
            <w:tcW w:w="5560" w:type="dxa"/>
            <w:vAlign w:val="bottom"/>
          </w:tcPr>
          <w:p>
            <w:pPr>
              <w:ind w:left="3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8"/>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8"/>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8"/>
        </w:trPr>
        <w:tc>
          <w:tcPr>
            <w:tcW w:w="5560" w:type="dxa"/>
            <w:vAlign w:val="bottom"/>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Refer to Note 10 - Fair Value for further information regarding the fair value of our financial instruments.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unrealized losses on our available-for sale securities were immaterial at September 30, 2022 and December 31, 2021.</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cost and estimated fair value of the securities classified as short-term investments based on stated effective maturities as of September 30, 2022 and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60" w:type="dxa"/>
            <w:vAlign w:val="bottom"/>
            <w:gridSpan w:val="5"/>
          </w:tcPr>
          <w:p>
            <w:pPr>
              <w:ind w:left="1080"/>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60" w:type="dxa"/>
            <w:vAlign w:val="bottom"/>
            <w:gridSpan w:val="6"/>
          </w:tcPr>
          <w:p>
            <w:pPr>
              <w:jc w:val="right"/>
              <w:ind w:right="72"/>
              <w:spacing w:after="0"/>
              <w:rPr>
                <w:sz w:val="20"/>
                <w:szCs w:val="20"/>
                <w:color w:val="auto"/>
              </w:rPr>
            </w:pPr>
            <w:r>
              <w:rPr>
                <w:rFonts w:ascii="Arial" w:cs="Arial" w:eastAsia="Arial" w:hAnsi="Arial"/>
                <w:sz w:val="14"/>
                <w:szCs w:val="14"/>
                <w:b w:val="1"/>
                <w:bCs w:val="1"/>
                <w:color w:val="auto"/>
              </w:rPr>
              <w:t>December 31, 2021</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4"/>
                <w:szCs w:val="14"/>
                <w:b w:val="1"/>
                <w:bCs w:val="1"/>
                <w:color w:val="auto"/>
              </w:rPr>
              <w:t>Estimated Fair Value</w:t>
            </w:r>
          </w:p>
        </w:tc>
        <w:tc>
          <w:tcPr>
            <w:tcW w:w="300" w:type="dxa"/>
            <w:vAlign w:val="bottom"/>
          </w:tcPr>
          <w:p>
            <w:pPr>
              <w:spacing w:after="0"/>
              <w:rPr>
                <w:sz w:val="18"/>
                <w:szCs w:val="18"/>
                <w:color w:val="auto"/>
              </w:rPr>
            </w:pPr>
          </w:p>
        </w:tc>
        <w:tc>
          <w:tcPr>
            <w:tcW w:w="1620" w:type="dxa"/>
            <w:vAlign w:val="bottom"/>
            <w:gridSpan w:val="2"/>
          </w:tcPr>
          <w:p>
            <w:pPr>
              <w:jc w:val="right"/>
              <w:ind w:right="403"/>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2"/>
              </w:rPr>
              <w:t>Estimated Fair Value</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18.4</w:t>
            </w:r>
          </w:p>
        </w:tc>
        <w:tc>
          <w:tcPr>
            <w:tcW w:w="42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gridSpan w:val="2"/>
          </w:tcPr>
          <w:p>
            <w:pPr>
              <w:ind w:left="124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Note 6 - Property and Equipment</w:t>
            </w: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260" w:type="dxa"/>
            <w:vAlign w:val="bottom"/>
            <w:gridSpan w:val="4"/>
          </w:tcPr>
          <w:p>
            <w:pPr>
              <w:ind w:left="320"/>
              <w:spacing w:after="0"/>
              <w:rPr>
                <w:sz w:val="20"/>
                <w:szCs w:val="20"/>
                <w:color w:val="auto"/>
              </w:rPr>
            </w:pPr>
            <w:r>
              <w:rPr>
                <w:rFonts w:ascii="Arial" w:cs="Arial" w:eastAsia="Arial" w:hAnsi="Arial"/>
                <w:sz w:val="18"/>
                <w:szCs w:val="18"/>
                <w:color w:val="auto"/>
                <w:w w:val="95"/>
              </w:rPr>
              <w:t>The Company’s fixed assets consist of the following (in millions):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5"/>
        </w:trPr>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2"/>
          </w:tcPr>
          <w:p>
            <w:pPr>
              <w:ind w:left="12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7"/>
        </w:trPr>
        <w:tc>
          <w:tcPr>
            <w:tcW w:w="32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7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78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8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8"/>
        </w:trPr>
        <w:tc>
          <w:tcPr>
            <w:tcW w:w="32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8"/>
        </w:trPr>
        <w:tc>
          <w:tcPr>
            <w:tcW w:w="3220" w:type="dxa"/>
            <w:vAlign w:val="bottom"/>
          </w:tcPr>
          <w:p>
            <w:pPr>
              <w:ind w:left="20"/>
              <w:spacing w:after="0"/>
              <w:rPr>
                <w:sz w:val="20"/>
                <w:szCs w:val="20"/>
                <w:color w:val="auto"/>
              </w:rPr>
            </w:pPr>
            <w:r>
              <w:rPr>
                <w:rFonts w:ascii="Arial" w:cs="Arial" w:eastAsia="Arial" w:hAnsi="Arial"/>
                <w:sz w:val="18"/>
                <w:szCs w:val="18"/>
                <w:color w:val="auto"/>
              </w:rPr>
              <w:t>Internal use developed software</w:t>
            </w: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8"/>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1"/>
        </w:trPr>
        <w:tc>
          <w:tcPr>
            <w:tcW w:w="3220" w:type="dxa"/>
            <w:vAlign w:val="bottom"/>
          </w:tcPr>
          <w:p>
            <w:pPr>
              <w:ind w:left="220"/>
              <w:spacing w:after="0"/>
              <w:rPr>
                <w:sz w:val="20"/>
                <w:szCs w:val="20"/>
                <w:color w:val="auto"/>
              </w:rPr>
            </w:pPr>
            <w:r>
              <w:rPr>
                <w:rFonts w:ascii="Arial" w:cs="Arial" w:eastAsia="Arial" w:hAnsi="Arial"/>
                <w:sz w:val="18"/>
                <w:szCs w:val="18"/>
                <w:color w:val="auto"/>
              </w:rPr>
              <w:t>Property and equipment, gross</w:t>
            </w: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8"/>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58"/>
        </w:trPr>
        <w:tc>
          <w:tcPr>
            <w:tcW w:w="322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50.2</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During the fiscal year ending December 31, 2021, in relation to our Waltham office relocation, we recorded an impairment charge of $2.7 million, comprised of $1.5 million relating to the operating lease right-of-use asset, and $1.2 million relating to the leasehold improvements. We also recorded accelerated depreciation of furniture and fixtures of $2.1 million. These charges were recognized within </w:t>
      </w:r>
      <w:r>
        <w:rPr>
          <w:rFonts w:ascii="Arial" w:cs="Arial" w:eastAsia="Arial" w:hAnsi="Arial"/>
          <w:sz w:val="18"/>
          <w:szCs w:val="18"/>
          <w:i w:val="1"/>
          <w:iCs w:val="1"/>
          <w:color w:val="auto"/>
        </w:rPr>
        <w:t>Restructuring and transaction-related expenses</w:t>
      </w:r>
      <w:r>
        <w:rPr>
          <w:rFonts w:ascii="Arial" w:cs="Arial" w:eastAsia="Arial" w:hAnsi="Arial"/>
          <w:sz w:val="18"/>
          <w:szCs w:val="18"/>
          <w:color w:val="auto"/>
        </w:rPr>
        <w:t xml:space="preserve"> on our Consolidated Statements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Depreciation expense was $4.8 million and $2.9 million for the three months ended September 30, 2022 and 2021, respectively. Depreciation expense was $12.9 million and $10.4 million for the nine months ended September 30, 2022 and 2021,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consisted of the following as of September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59"/>
        </w:trPr>
        <w:tc>
          <w:tcPr>
            <w:tcW w:w="4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Amortization Period in</w:t>
            </w:r>
          </w:p>
        </w:tc>
        <w:tc>
          <w:tcPr>
            <w:tcW w:w="0" w:type="dxa"/>
            <w:vAlign w:val="bottom"/>
          </w:tcPr>
          <w:p>
            <w:pPr>
              <w:spacing w:after="0"/>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7"/>
                <w:szCs w:val="17"/>
                <w:color w:val="auto"/>
              </w:rPr>
            </w:pPr>
          </w:p>
        </w:tc>
        <w:tc>
          <w:tcPr>
            <w:tcW w:w="1180" w:type="dxa"/>
            <w:vAlign w:val="bottom"/>
          </w:tcPr>
          <w:p>
            <w:pPr>
              <w:jc w:val="right"/>
              <w:ind w:right="594"/>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4"/>
        </w:trPr>
        <w:tc>
          <w:tcPr>
            <w:tcW w:w="4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jc w:val="right"/>
              <w:ind w:right="35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Brand portfolio</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8"/>
        </w:trPr>
        <w:tc>
          <w:tcPr>
            <w:tcW w:w="4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40" w:type="dxa"/>
            <w:vAlign w:val="bottom"/>
          </w:tcPr>
          <w:p>
            <w:pPr>
              <w:jc w:val="right"/>
              <w:ind w:right="35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Amortization expense was $17.9 million and $16.1 million for the three months ended September 30, 2022 and 2021, respectively. Amortization expense was $52.3 million and $39.2 million for the nine months ended September 30, 2022 and 2021, respectively.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0" w:type="dxa"/>
            <w:vAlign w:val="bottom"/>
          </w:tcPr>
          <w:p>
            <w:pPr>
              <w:ind w:left="320"/>
              <w:spacing w:after="0"/>
              <w:rPr>
                <w:sz w:val="20"/>
                <w:szCs w:val="20"/>
                <w:color w:val="auto"/>
              </w:rPr>
            </w:pPr>
            <w:r>
              <w:rPr>
                <w:rFonts w:ascii="Arial" w:cs="Arial" w:eastAsia="Arial" w:hAnsi="Arial"/>
                <w:sz w:val="18"/>
                <w:szCs w:val="18"/>
                <w:color w:val="auto"/>
              </w:rPr>
              <w:t>The following summarized changes to the Company’s goodwill (in millions):</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86"/>
        </w:trPr>
        <w:tc>
          <w:tcPr>
            <w:tcW w:w="9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5"/>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1,575.1</w:t>
            </w:r>
          </w:p>
        </w:tc>
      </w:tr>
      <w:tr>
        <w:trPr>
          <w:trHeight w:val="238"/>
        </w:trPr>
        <w:tc>
          <w:tcPr>
            <w:tcW w:w="9600" w:type="dxa"/>
            <w:vAlign w:val="bottom"/>
          </w:tcPr>
          <w:p>
            <w:pPr>
              <w:ind w:left="240"/>
              <w:spacing w:after="0"/>
              <w:rPr>
                <w:sz w:val="20"/>
                <w:szCs w:val="20"/>
                <w:color w:val="auto"/>
              </w:rPr>
            </w:pPr>
            <w:r>
              <w:rPr>
                <w:rFonts w:ascii="Arial" w:cs="Arial" w:eastAsia="Arial" w:hAnsi="Arial"/>
                <w:sz w:val="18"/>
                <w:szCs w:val="18"/>
                <w:color w:val="auto"/>
              </w:rPr>
              <w:t>Adjustments from 2021 acquisitions</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9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Goodwill from 2022 acquisitions</w:t>
            </w: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58"/>
        </w:trPr>
        <w:tc>
          <w:tcPr>
            <w:tcW w:w="960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1,696.3</w:t>
            </w:r>
          </w:p>
        </w:tc>
      </w:tr>
      <w:tr>
        <w:trPr>
          <w:trHeight w:val="20"/>
        </w:trPr>
        <w:tc>
          <w:tcPr>
            <w:tcW w:w="9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nine months ended September 30, 2022 or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2022 and December 31, 2021, the carrying values of the Company’s borrowings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38"/>
        </w:trPr>
        <w:tc>
          <w:tcPr>
            <w:tcW w:w="21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Instrument</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Date of Issuance</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Maturity Date</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Elected Interest Rate</w:t>
            </w: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18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5"/>
                <w:szCs w:val="15"/>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38"/>
        </w:trPr>
        <w:tc>
          <w:tcPr>
            <w:tcW w:w="2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First Lien Term Loan</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2026</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LIBOR + 3.00%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38"/>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First Lien Revolver</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November 2, 2025</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LIBOR + 2.00%</w:t>
            </w:r>
          </w:p>
        </w:tc>
        <w:tc>
          <w:tcPr>
            <w:tcW w:w="14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2, 2021</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2029</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3.875%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06"/>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Total Carrying Value of</w:t>
            </w: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8"/>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Less current portion</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Total Long Term Debt</w:t>
            </w: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Term Loan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February 2021, we used all of the net proceeds from issuance of the Senior Notes, along with cash on hand, to prepay $356.4 million aggregate principal amount of our first lien term loans outstanding under the First Lien Credit Agreement (the “Debt Prepayment”). Following the Debt Prepayment, $400.0 million aggregate principal amount of first lien term loans were outstanding under our First Lien Credit Agreement. In February 2021, we entered into an amendment to our First Lien Credit Agreement (the “Second Amendment”), pursuant to which the Company completed a repricing of its First Lien Term Loan Facility, which decreased the interest rate from LIBOR plus 3.75% per annum to LIBOR plus 3.00% per annum. The Company recognized $7.7 million in the twelve months ended December 31, 2021 within </w:t>
      </w:r>
      <w:r>
        <w:rPr>
          <w:rFonts w:ascii="Arial" w:cs="Arial" w:eastAsia="Arial" w:hAnsi="Arial"/>
          <w:sz w:val="17"/>
          <w:szCs w:val="17"/>
          <w:i w:val="1"/>
          <w:iCs w:val="1"/>
          <w:color w:val="auto"/>
        </w:rPr>
        <w:t>Loss on debt modification and extinguishment</w:t>
      </w:r>
      <w:r>
        <w:rPr>
          <w:rFonts w:ascii="Arial" w:cs="Arial" w:eastAsia="Arial" w:hAnsi="Arial"/>
          <w:sz w:val="17"/>
          <w:szCs w:val="17"/>
          <w:color w:val="auto"/>
        </w:rPr>
        <w:t xml:space="preserve"> on our Consolidated Statements of Operations, primarily comprised of the write-off of unamortized issuance costs associated with the Debt Prepayment.</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2021, we entered into an amendment to our existing First Lien Credit Agreement, that provided for the incurrence of an additional $200.0 million aggregate principal amount of additional term loans under our existing First Lien Credit Agreement.</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first lien term debt has a variable interest rate whereby the Company can elect to use a Base Rate or LIBOR plus an applicable rate. The applicable rate is 2.00% for Base Rate loans or 3.00% for LIBOR Based Loans. The effective interest rate on the first lien debt was 5.83% and 3.41% as of September 30, 2022 and December 31, 2021,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Revolving Credit Facility</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Pursuant to the Second Amendment to the First Lien Credit Agreement entered into in February 2021, the Company increased the aggregate commitments to $250.0 million under our first lien revolving credit facility. The Second Amendment also provided an extension of the maturity date of our first lien revolving credit facility to November 2025.</w:t>
      </w:r>
    </w:p>
    <w:p>
      <w:pPr>
        <w:spacing w:after="0" w:line="13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first lien revolving debt has a variable interest rate whereby the Company can elect to use a Base Rate or LIBOR plus an applicable rate. The applicable margin is 1.00% to 1.25% for Base Rate loans or 2.00% to 2.25% for LIBOR Based Loans, depending on the Company’s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In July 2021, the Company drew down $225.0 million under the revolving credit facility and then paid off the outstanding $225.0 million balance of the revolving credit facility with proceeds from the Credit Agreement Amendment and proceeds from the Senior Notes. The effective interest rate was 4.4% as of the repayment date. Immaterial debt issuance costs were incurred in connection with these entries into the revolving credit facility. These debt issuance costs are amortized into interest expense over the expected life of the arrangement. Unamortized debt issuance costs included in </w:t>
      </w:r>
      <w:r>
        <w:rPr>
          <w:rFonts w:ascii="Arial" w:cs="Arial" w:eastAsia="Arial" w:hAnsi="Arial"/>
          <w:sz w:val="15"/>
          <w:szCs w:val="15"/>
          <w:i w:val="1"/>
          <w:iCs w:val="1"/>
          <w:color w:val="auto"/>
        </w:rPr>
        <w:t>Deferred costs and other assets, net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current portion </w:t>
      </w:r>
      <w:r>
        <w:rPr>
          <w:rFonts w:ascii="Arial" w:cs="Arial" w:eastAsia="Arial" w:hAnsi="Arial"/>
          <w:sz w:val="15"/>
          <w:szCs w:val="15"/>
          <w:color w:val="auto"/>
        </w:rPr>
        <w:t>on our Condensed Consolidated Balance Sheets were immaterial as of September 30, 2022 and December 31,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28"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February 2021, ZoomInfo Technologies LLC and ZoomInfo Finance Corp., indirect subsidiaries of ZoomInfo Technologies Inc. (the “Issuers”), issued $350.0 million in aggregate principal amount of 3.875% Senior Notes due February 2029 to qualified institutional buyers pursuant to Rule 144A under the Securities Act of 1933, as amended. Interest on the Senior Notes is payable semi-annually in arrears beginning on August 1, 2021. The Issuers may redeem all or a part of the Notes at any time prior to February 1, 2024 at a price equal to the present value of the redemption price as of February 1, 2024, defined below, plus unaccrued and unpaid interest to February 1, 2024. In addition, beginning on February 1, 2024, the Issuers may redeem all or a part of the Notes at a redemption price equal to 101.938% of the principal amount redeemed. The redemption price decreases to 100.969% and 100.000% of the principal amount redeemed on February 1, 2025 and February 1, 2026, respectively. In addition, at any time prior to February 1, 2024, the Issuers may redeem up to 40% of the Notes from the proceeds of certain equity offerings at a redemption price equal to 103.875% of the principal amount of the Senior Notes,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July 2021, ZoomInfo Technologies LLC and ZoomInfo Finance Corp., indirect subsidiaries of ZoomInfo Technologies Inc., issued and sold $300.0 million in aggregate principal amount of additional 3.875% senior notes due in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We recognize derivative instruments and hedging activities on a gross basis as either assets or liabilities on our Condensed Consolidated Balance Sheets and measure them at fair value. Hedge accounting generally provides for the matching of the timing of gain or loss recognition on the hedging instrument with the earnings effect of the hedged forecasted transactions in a cash flow hedge. For derivatives designated as cash flow hedges, the change in the estimated fair value of the effective portion of the derivative is recognized in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 xml:space="preserve"> on our Condensed Consolidated Balance Sheets. To receive hedge accounting treatment, all hedging relationships are formally documented at the inception of the hedge, and the hedges must be highly effective in offsetting changes to future cash flows on hedged transactions. Gains and losses resulting from valuation adjustments on dedesignated portions of our derivative contract subsequent to dedesignation of hedge accounting are recorded within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on our Consolidated Statements of Operations. As it is not probable the forecasted transaction will not occur, the amounts in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 xml:space="preserve"> as of the date of dedesignation will be released based on our original forecast.</w:t>
      </w:r>
    </w:p>
    <w:p>
      <w:pPr>
        <w:spacing w:after="0" w:line="13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the first quarter of 2021, concurrent with the prepayment of $356.4 million aggregate principal amount of the first lien term loans outstanding under the First Lien Credit Agreement, we fully dedesignated the interest rate cap contract and partially dedesignated $100.0 million of the notional amount of one of the forward-starting interest rate swap contracts. In the third quarter of 2021, the Company redesignated $100.0 million of available notional of the partially dedesignated forward-starting interest rate swap contract and redesignated $100.0 million of available notional of the interest-rate cap contract in connection with the incurrence of an incremental $200.0 million of variable-rate debt under the First Lien Credit Agreement.</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the second quarter of 2022, two interest rate swap contracts in the notional amount of $350.0 million matured. Interest rate swaps in the notional amount of $500.0 million became effective in April 2022.</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In the third quarter of 2022, the Company sold $400.0 million of the notional amount of the interest rate cap contract which was not designated as an accounting hedge. We recognized a gain of $3.0 million, partially offset by the derecognition of $2.5 million of derivative assets, resulting from this sale within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on our Consolidated Statements of Operations.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2022, the Company had the following outstanding interest rate derivatives that were designated as cash flow hedges of interest rate risk ($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Interest Rate Derivatives</w:t>
            </w: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Notional Aggregate</w:t>
            </w: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4"/>
        </w:trPr>
        <w:tc>
          <w:tcPr>
            <w:tcW w:w="3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(Level 2)</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Instruments</w:t>
            </w:r>
          </w:p>
        </w:tc>
        <w:tc>
          <w:tcPr>
            <w:tcW w:w="20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Principal Amount</w:t>
            </w:r>
          </w:p>
        </w:tc>
        <w:tc>
          <w:tcPr>
            <w:tcW w:w="2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 Cap / Swap Rate</w:t>
            </w:r>
          </w:p>
        </w:tc>
        <w:tc>
          <w:tcPr>
            <w:tcW w:w="1780" w:type="dxa"/>
            <w:vAlign w:val="bottom"/>
          </w:tcPr>
          <w:p>
            <w:pPr>
              <w:jc w:val="right"/>
              <w:ind w:right="378"/>
              <w:spacing w:after="0"/>
              <w:rPr>
                <w:sz w:val="20"/>
                <w:szCs w:val="20"/>
                <w:color w:val="auto"/>
              </w:rPr>
            </w:pPr>
            <w:r>
              <w:rPr>
                <w:rFonts w:ascii="Arial" w:cs="Arial" w:eastAsia="Arial" w:hAnsi="Arial"/>
                <w:sz w:val="14"/>
                <w:szCs w:val="14"/>
                <w:b w:val="1"/>
                <w:bCs w:val="1"/>
                <w:color w:val="auto"/>
              </w:rPr>
              <w:t>Maturity Date</w:t>
            </w:r>
          </w:p>
        </w:tc>
      </w:tr>
      <w:tr>
        <w:trPr>
          <w:trHeight w:val="38"/>
        </w:trPr>
        <w:tc>
          <w:tcPr>
            <w:tcW w:w="3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38"/>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 contract</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One</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30, 2024</w:t>
            </w:r>
          </w:p>
        </w:tc>
      </w:tr>
      <w:tr>
        <w:trPr>
          <w:trHeight w:val="238"/>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Two</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0.370 %</w:t>
            </w:r>
          </w:p>
        </w:tc>
        <w:tc>
          <w:tcPr>
            <w:tcW w:w="1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January 30,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summarizes the fair value and presentation on our Condensed Consolidated Balance Sheets for derivatives as of September 30, 2022 and December 31, 2021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5"/>
          </w:tcPr>
          <w:p>
            <w:pPr>
              <w:ind w:left="480"/>
              <w:spacing w:after="0"/>
              <w:rPr>
                <w:sz w:val="20"/>
                <w:szCs w:val="20"/>
                <w:color w:val="auto"/>
              </w:rPr>
            </w:pPr>
            <w:r>
              <w:rPr>
                <w:rFonts w:ascii="Arial" w:cs="Arial" w:eastAsia="Arial" w:hAnsi="Arial"/>
                <w:sz w:val="14"/>
                <w:szCs w:val="14"/>
                <w:b w:val="1"/>
                <w:bCs w:val="1"/>
                <w:color w:val="auto"/>
              </w:rPr>
              <w:t>Fair Value of Derivative Instruments</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20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Instrument</w:t>
            </w:r>
          </w:p>
        </w:tc>
        <w:tc>
          <w:tcPr>
            <w:tcW w:w="22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360" w:type="dxa"/>
            <w:vAlign w:val="bottom"/>
            <w:gridSpan w:val="5"/>
          </w:tcPr>
          <w:p>
            <w:pPr>
              <w:ind w:left="92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5"/>
                <w:szCs w:val="15"/>
                <w:color w:val="auto"/>
              </w:rPr>
            </w:pPr>
          </w:p>
        </w:tc>
        <w:tc>
          <w:tcPr>
            <w:tcW w:w="3240" w:type="dxa"/>
            <w:vAlign w:val="bottom"/>
            <w:gridSpan w:val="4"/>
          </w:tcPr>
          <w:p>
            <w:pPr>
              <w:jc w:val="right"/>
              <w:ind w:right="107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38"/>
        </w:trPr>
        <w:tc>
          <w:tcPr>
            <w:tcW w:w="4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 Assets</w:t>
            </w:r>
          </w:p>
        </w:tc>
        <w:tc>
          <w:tcPr>
            <w:tcW w:w="14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Derivative Liabilities</w:t>
            </w:r>
          </w:p>
        </w:tc>
        <w:tc>
          <w:tcPr>
            <w:tcW w:w="22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 Assets</w:t>
            </w:r>
          </w:p>
        </w:tc>
        <w:tc>
          <w:tcPr>
            <w:tcW w:w="140" w:type="dxa"/>
            <w:vAlign w:val="bottom"/>
          </w:tcPr>
          <w:p>
            <w:pPr>
              <w:spacing w:after="0"/>
              <w:rPr>
                <w:sz w:val="15"/>
                <w:szCs w:val="15"/>
                <w:color w:val="auto"/>
              </w:rPr>
            </w:pPr>
          </w:p>
        </w:tc>
        <w:tc>
          <w:tcPr>
            <w:tcW w:w="15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Derivative Liabilities</w:t>
            </w:r>
          </w:p>
        </w:tc>
        <w:tc>
          <w:tcPr>
            <w:tcW w:w="0" w:type="dxa"/>
            <w:vAlign w:val="bottom"/>
          </w:tcPr>
          <w:p>
            <w:pPr>
              <w:spacing w:after="0"/>
              <w:rPr>
                <w:sz w:val="1"/>
                <w:szCs w:val="1"/>
                <w:color w:val="auto"/>
              </w:rPr>
            </w:pPr>
          </w:p>
        </w:tc>
      </w:tr>
      <w:tr>
        <w:trPr>
          <w:trHeight w:val="38"/>
        </w:trPr>
        <w:tc>
          <w:tcPr>
            <w:tcW w:w="40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20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(1)</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5"/>
        </w:trPr>
        <w:tc>
          <w:tcPr>
            <w:tcW w:w="4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(3)</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5"/>
        </w:trPr>
        <w:tc>
          <w:tcPr>
            <w:tcW w:w="4200" w:type="dxa"/>
            <w:vAlign w:val="bottom"/>
            <w:gridSpan w:val="2"/>
          </w:tcPr>
          <w:p>
            <w:pPr>
              <w:ind w:left="240"/>
              <w:spacing w:after="0"/>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(2)</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(3)</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gridSpan w:val="2"/>
          </w:tcPr>
          <w:p>
            <w:pPr>
              <w:ind w:left="240"/>
              <w:spacing w:after="0"/>
              <w:rPr>
                <w:sz w:val="20"/>
                <w:szCs w:val="20"/>
                <w:color w:val="auto"/>
              </w:rPr>
            </w:pPr>
            <w:r>
              <w:rPr>
                <w:rFonts w:ascii="Arial" w:cs="Arial" w:eastAsia="Arial" w:hAnsi="Arial"/>
                <w:sz w:val="18"/>
                <w:szCs w:val="18"/>
                <w:color w:val="auto"/>
              </w:rPr>
              <w:t>Forward-starting interest rate swap contracts</w:t>
            </w:r>
            <w:r>
              <w:rPr>
                <w:rFonts w:ascii="Arial" w:cs="Arial" w:eastAsia="Arial" w:hAnsi="Arial"/>
                <w:sz w:val="22"/>
                <w:szCs w:val="22"/>
                <w:color w:val="auto"/>
                <w:vertAlign w:val="superscript"/>
              </w:rPr>
              <w:t>(2)</w:t>
            </w:r>
          </w:p>
        </w:tc>
        <w:tc>
          <w:tcPr>
            <w:tcW w:w="2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r>
              <w:rPr>
                <w:rFonts w:ascii="Arial" w:cs="Arial" w:eastAsia="Arial" w:hAnsi="Arial"/>
                <w:sz w:val="22"/>
                <w:szCs w:val="22"/>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Total designated derivative fair value</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5"/>
        </w:trPr>
        <w:tc>
          <w:tcPr>
            <w:tcW w:w="42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undesignated derivative fair value</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8"/>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Total derivative fair value</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0" w:lineRule="exact"/>
        <w:rPr>
          <w:sz w:val="20"/>
          <w:szCs w:val="20"/>
          <w:color w:val="auto"/>
        </w:rPr>
      </w:pPr>
    </w:p>
    <w:p>
      <w:pPr>
        <w:ind w:left="200" w:hanging="194"/>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Accrued expenses and other current liabilities</w:t>
      </w:r>
      <w:r>
        <w:rPr>
          <w:rFonts w:ascii="Arial" w:cs="Arial" w:eastAsia="Arial" w:hAnsi="Arial"/>
          <w:sz w:val="14"/>
          <w:szCs w:val="14"/>
          <w:color w:val="auto"/>
        </w:rPr>
        <w:t xml:space="preserve"> on our Condensed Consolidated Balance Sheets.</w:t>
      </w:r>
    </w:p>
    <w:p>
      <w:pPr>
        <w:spacing w:after="0" w:line="6" w:lineRule="exact"/>
        <w:rPr>
          <w:rFonts w:ascii="Arial" w:cs="Arial" w:eastAsia="Arial" w:hAnsi="Arial"/>
          <w:sz w:val="14"/>
          <w:szCs w:val="14"/>
          <w:color w:val="auto"/>
        </w:rPr>
      </w:pPr>
    </w:p>
    <w:p>
      <w:pPr>
        <w:ind w:left="200" w:hanging="194"/>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Prepaid expenses and other current assets</w:t>
      </w:r>
      <w:r>
        <w:rPr>
          <w:rFonts w:ascii="Arial" w:cs="Arial" w:eastAsia="Arial" w:hAnsi="Arial"/>
          <w:sz w:val="14"/>
          <w:szCs w:val="14"/>
          <w:color w:val="auto"/>
        </w:rPr>
        <w:t xml:space="preserve"> on our Condensed Consolidated Balance Sheets.</w:t>
      </w:r>
    </w:p>
    <w:p>
      <w:pPr>
        <w:spacing w:after="0" w:line="11" w:lineRule="exact"/>
        <w:rPr>
          <w:rFonts w:ascii="Arial" w:cs="Arial" w:eastAsia="Arial" w:hAnsi="Arial"/>
          <w:sz w:val="14"/>
          <w:szCs w:val="14"/>
          <w:color w:val="auto"/>
        </w:rPr>
      </w:pPr>
    </w:p>
    <w:p>
      <w:pPr>
        <w:ind w:left="200" w:hanging="194"/>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Deferred costs and other assets, net of current portion</w:t>
      </w:r>
      <w:r>
        <w:rPr>
          <w:rFonts w:ascii="Arial" w:cs="Arial" w:eastAsia="Arial" w:hAnsi="Arial"/>
          <w:sz w:val="14"/>
          <w:szCs w:val="14"/>
          <w:color w:val="auto"/>
        </w:rPr>
        <w:t xml:space="preserve"> on our Condensed Consolidated Balance Sheets.</w:t>
      </w:r>
    </w:p>
    <w:p>
      <w:pPr>
        <w:spacing w:after="0" w:line="16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 change in fair value of any derivative instruments was recorded, net of income tax, in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on our Condensed Consolidated Balance Sheets to the extent the agreements were designated as effective hedges. In the period that the hedged item affects earnings, such as when interest payments are made on the Company’s variable-rate debt, we reclassify the related gain or loss on the interest rate swap cash flow hedges and any receipts on the cap to </w:t>
      </w:r>
      <w:r>
        <w:rPr>
          <w:rFonts w:ascii="Arial" w:cs="Arial" w:eastAsia="Arial" w:hAnsi="Arial"/>
          <w:sz w:val="15"/>
          <w:szCs w:val="15"/>
          <w:i w:val="1"/>
          <w:iCs w:val="1"/>
          <w:color w:val="auto"/>
        </w:rPr>
        <w:t>Interest expense, net</w:t>
      </w:r>
      <w:r>
        <w:rPr>
          <w:rFonts w:ascii="Arial" w:cs="Arial" w:eastAsia="Arial" w:hAnsi="Arial"/>
          <w:sz w:val="15"/>
          <w:szCs w:val="15"/>
          <w:color w:val="auto"/>
        </w:rPr>
        <w:t xml:space="preserve"> and as operating cash flows on our Consolidated Statements of Cash Flows in the period settled in cash. Income tax effects from changes in fair value of derivative instruments are recorded on our Consolidated Statements of Operations when the derivative instruments are settled. Over the next 12 months, we expect to reclassify approximately $19.9 million into interest income from AOCI.</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within the fair value hierarchy. We classify our corporate debt securities, securities guaranteed by U.S. government, and other governmental securities as Level 2 within the fair value hierarchy. The fair value of our first term lien debt and Senior Notes as of September 30, 2022 was $591.0 million and $526.5 million, respectively, based on observable market prices in less active markets and categorized as Level 2 within the fair value measurement framework.</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2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spacing w:after="0" w:line="5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(in millions) of our financial assets and (liabilities) was determined using the following inputs: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 at September 30, 2022</w:t>
            </w: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9"/>
                <w:szCs w:val="19"/>
                <w:color w:val="auto"/>
              </w:rPr>
            </w:pPr>
          </w:p>
        </w:tc>
        <w:tc>
          <w:tcPr>
            <w:tcW w:w="1240" w:type="dxa"/>
            <w:vAlign w:val="bottom"/>
          </w:tcPr>
          <w:p>
            <w:pPr>
              <w:jc w:val="right"/>
              <w:ind w:right="473"/>
              <w:spacing w:after="0"/>
              <w:rPr>
                <w:sz w:val="20"/>
                <w:szCs w:val="20"/>
                <w:color w:val="auto"/>
              </w:rPr>
            </w:pPr>
            <w:r>
              <w:rPr>
                <w:rFonts w:ascii="Arial" w:cs="Arial" w:eastAsia="Arial" w:hAnsi="Arial"/>
                <w:sz w:val="14"/>
                <w:szCs w:val="14"/>
                <w:b w:val="1"/>
                <w:bCs w:val="1"/>
                <w:color w:val="auto"/>
              </w:rPr>
              <w:t>Level 3</w:t>
            </w:r>
          </w:p>
        </w:tc>
      </w:tr>
      <w:tr>
        <w:trPr>
          <w:trHeight w:val="28"/>
        </w:trPr>
        <w:tc>
          <w:tcPr>
            <w:tcW w:w="6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6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8"/>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60" w:type="dxa"/>
            <w:vAlign w:val="bottom"/>
            <w:gridSpan w:val="3"/>
          </w:tcPr>
          <w:p>
            <w:pPr>
              <w:ind w:left="240"/>
              <w:spacing w:after="0"/>
              <w:rPr>
                <w:sz w:val="20"/>
                <w:szCs w:val="20"/>
                <w:color w:val="auto"/>
              </w:rPr>
            </w:pPr>
            <w:r>
              <w:rPr>
                <w:rFonts w:ascii="Arial" w:cs="Arial" w:eastAsia="Arial" w:hAnsi="Arial"/>
                <w:sz w:val="18"/>
                <w:szCs w:val="18"/>
                <w:color w:val="auto"/>
              </w:rPr>
              <w:t>Corporate debt securities</w:t>
            </w:r>
          </w:p>
        </w:tc>
        <w:tc>
          <w:tcPr>
            <w:tcW w:w="1060" w:type="dxa"/>
            <w:vAlign w:val="bottom"/>
            <w:gridSpan w:val="2"/>
          </w:tcPr>
          <w:p>
            <w:pPr>
              <w:jc w:val="right"/>
              <w:ind w:right="88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060" w:type="dxa"/>
            <w:vAlign w:val="bottom"/>
            <w:tcBorders>
              <w:bottom w:val="single" w:sz="8" w:color="CCEEFF"/>
            </w:tcBorders>
            <w:gridSpan w:val="2"/>
            <w:shd w:val="clear" w:color="auto" w:fill="CCEEFF"/>
          </w:tcPr>
          <w:p>
            <w:pPr>
              <w:jc w:val="right"/>
              <w:ind w:right="88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60" w:type="dxa"/>
            <w:vAlign w:val="bottom"/>
            <w:gridSpan w:val="3"/>
          </w:tcPr>
          <w:p>
            <w:pPr>
              <w:ind w:left="1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60" w:type="dxa"/>
            <w:vAlign w:val="bottom"/>
            <w:tcBorders>
              <w:bottom w:val="single" w:sz="8" w:color="CCEEFF"/>
            </w:tcBorders>
            <w:gridSpan w:val="2"/>
            <w:shd w:val="clear" w:color="auto" w:fill="CCEEFF"/>
          </w:tcPr>
          <w:p>
            <w:pPr>
              <w:jc w:val="right"/>
              <w:ind w:right="88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60" w:type="dxa"/>
            <w:vAlign w:val="bottom"/>
            <w:gridSpan w:val="3"/>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060" w:type="dxa"/>
            <w:vAlign w:val="bottom"/>
            <w:gridSpan w:val="2"/>
          </w:tcPr>
          <w:p>
            <w:pPr>
              <w:jc w:val="right"/>
              <w:ind w:right="88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 governmental securities</w:t>
            </w:r>
          </w:p>
        </w:tc>
        <w:tc>
          <w:tcPr>
            <w:tcW w:w="1060" w:type="dxa"/>
            <w:vAlign w:val="bottom"/>
            <w:tcBorders>
              <w:bottom w:val="single" w:sz="8" w:color="CCEEFF"/>
            </w:tcBorders>
            <w:gridSpan w:val="2"/>
            <w:shd w:val="clear" w:color="auto" w:fill="CCEEFF"/>
          </w:tcPr>
          <w:p>
            <w:pPr>
              <w:jc w:val="right"/>
              <w:ind w:right="88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60" w:type="dxa"/>
            <w:vAlign w:val="bottom"/>
            <w:gridSpan w:val="3"/>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060" w:type="dxa"/>
            <w:vAlign w:val="bottom"/>
            <w:tcBorders>
              <w:bottom w:val="single" w:sz="8" w:color="CCEEFF"/>
            </w:tcBorders>
            <w:gridSpan w:val="2"/>
            <w:shd w:val="clear" w:color="auto" w:fill="CCEEFF"/>
          </w:tcPr>
          <w:p>
            <w:pPr>
              <w:jc w:val="right"/>
              <w:ind w:right="88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60" w:type="dxa"/>
            <w:vAlign w:val="bottom"/>
            <w:gridSpan w:val="3"/>
          </w:tcPr>
          <w:p>
            <w:pPr>
              <w:ind w:left="240"/>
              <w:spacing w:after="0"/>
              <w:rPr>
                <w:sz w:val="20"/>
                <w:szCs w:val="20"/>
                <w:color w:val="auto"/>
              </w:rPr>
            </w:pPr>
            <w:r>
              <w:rPr>
                <w:rFonts w:ascii="Arial" w:cs="Arial" w:eastAsia="Arial" w:hAnsi="Arial"/>
                <w:sz w:val="18"/>
                <w:szCs w:val="18"/>
                <w:color w:val="auto"/>
              </w:rPr>
              <w:t>Interest rate swap contracts</w:t>
            </w:r>
          </w:p>
        </w:tc>
        <w:tc>
          <w:tcPr>
            <w:tcW w:w="1060" w:type="dxa"/>
            <w:vAlign w:val="bottom"/>
            <w:gridSpan w:val="2"/>
          </w:tcPr>
          <w:p>
            <w:pPr>
              <w:jc w:val="right"/>
              <w:ind w:right="88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260" w:type="dxa"/>
            <w:vAlign w:val="bottom"/>
            <w:gridSpan w:val="3"/>
          </w:tcPr>
          <w:p>
            <w:pPr>
              <w:ind w:left="240"/>
              <w:spacing w:after="0"/>
              <w:rPr>
                <w:sz w:val="20"/>
                <w:szCs w:val="20"/>
                <w:color w:val="auto"/>
              </w:rPr>
            </w:pPr>
            <w:r>
              <w:rPr>
                <w:rFonts w:ascii="Arial" w:cs="Arial" w:eastAsia="Arial" w:hAnsi="Arial"/>
                <w:sz w:val="18"/>
                <w:szCs w:val="18"/>
                <w:color w:val="auto"/>
              </w:rPr>
              <w:t>Interest rate cap contract</w:t>
            </w:r>
          </w:p>
        </w:tc>
        <w:tc>
          <w:tcPr>
            <w:tcW w:w="1060" w:type="dxa"/>
            <w:vAlign w:val="bottom"/>
            <w:gridSpan w:val="2"/>
          </w:tcPr>
          <w:p>
            <w:pPr>
              <w:jc w:val="right"/>
              <w:ind w:right="88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p>
        </w:tc>
        <w:tc>
          <w:tcPr>
            <w:tcW w:w="1060" w:type="dxa"/>
            <w:vAlign w:val="bottom"/>
            <w:tcBorders>
              <w:bottom w:val="single" w:sz="8" w:color="CCEEFF"/>
            </w:tcBorders>
            <w:gridSpan w:val="2"/>
            <w:shd w:val="clear" w:color="auto" w:fill="CCEEFF"/>
          </w:tcPr>
          <w:p>
            <w:pPr>
              <w:jc w:val="right"/>
              <w:ind w:right="88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16"/>
        </w:trPr>
        <w:tc>
          <w:tcPr>
            <w:tcW w:w="626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 at December 31, 2021</w:t>
            </w: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4"/>
                <w:szCs w:val="24"/>
                <w:color w:val="auto"/>
              </w:rPr>
            </w:pPr>
          </w:p>
        </w:tc>
        <w:tc>
          <w:tcPr>
            <w:tcW w:w="1240" w:type="dxa"/>
            <w:vAlign w:val="bottom"/>
          </w:tcPr>
          <w:p>
            <w:pPr>
              <w:jc w:val="right"/>
              <w:ind w:right="473"/>
              <w:spacing w:after="0"/>
              <w:rPr>
                <w:sz w:val="20"/>
                <w:szCs w:val="20"/>
                <w:color w:val="auto"/>
              </w:rPr>
            </w:pPr>
            <w:r>
              <w:rPr>
                <w:rFonts w:ascii="Arial" w:cs="Arial" w:eastAsia="Arial" w:hAnsi="Arial"/>
                <w:sz w:val="14"/>
                <w:szCs w:val="14"/>
                <w:b w:val="1"/>
                <w:bCs w:val="1"/>
                <w:color w:val="auto"/>
              </w:rPr>
              <w:t>Level 3</w:t>
            </w:r>
          </w:p>
        </w:tc>
      </w:tr>
      <w:tr>
        <w:trPr>
          <w:trHeight w:val="28"/>
        </w:trPr>
        <w:tc>
          <w:tcPr>
            <w:tcW w:w="6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6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8"/>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60" w:type="dxa"/>
            <w:vAlign w:val="bottom"/>
            <w:gridSpan w:val="3"/>
          </w:tcPr>
          <w:p>
            <w:pPr>
              <w:ind w:left="240"/>
              <w:spacing w:after="0"/>
              <w:rPr>
                <w:sz w:val="20"/>
                <w:szCs w:val="20"/>
                <w:color w:val="auto"/>
              </w:rPr>
            </w:pPr>
            <w:r>
              <w:rPr>
                <w:rFonts w:ascii="Arial" w:cs="Arial" w:eastAsia="Arial" w:hAnsi="Arial"/>
                <w:sz w:val="18"/>
                <w:szCs w:val="18"/>
                <w:color w:val="auto"/>
              </w:rPr>
              <w:t>Corporate debt securities</w:t>
            </w:r>
          </w:p>
        </w:tc>
        <w:tc>
          <w:tcPr>
            <w:tcW w:w="1060" w:type="dxa"/>
            <w:vAlign w:val="bottom"/>
            <w:gridSpan w:val="2"/>
          </w:tcPr>
          <w:p>
            <w:pPr>
              <w:jc w:val="right"/>
              <w:ind w:right="869"/>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060" w:type="dxa"/>
            <w:vAlign w:val="bottom"/>
            <w:tcBorders>
              <w:bottom w:val="single" w:sz="8" w:color="CCEEFF"/>
            </w:tcBorders>
            <w:gridSpan w:val="2"/>
            <w:shd w:val="clear" w:color="auto" w:fill="CCEEFF"/>
          </w:tcPr>
          <w:p>
            <w:pPr>
              <w:jc w:val="right"/>
              <w:ind w:right="86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60" w:type="dxa"/>
            <w:vAlign w:val="bottom"/>
            <w:gridSpan w:val="3"/>
          </w:tcPr>
          <w:p>
            <w:pPr>
              <w:ind w:left="1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60" w:type="dxa"/>
            <w:vAlign w:val="bottom"/>
            <w:tcBorders>
              <w:bottom w:val="single" w:sz="8" w:color="CCEEFF"/>
            </w:tcBorders>
            <w:gridSpan w:val="2"/>
            <w:shd w:val="clear" w:color="auto" w:fill="CCEEFF"/>
          </w:tcPr>
          <w:p>
            <w:pPr>
              <w:jc w:val="right"/>
              <w:ind w:right="86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60" w:type="dxa"/>
            <w:vAlign w:val="bottom"/>
            <w:gridSpan w:val="3"/>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060" w:type="dxa"/>
            <w:vAlign w:val="bottom"/>
            <w:tcBorders>
              <w:bottom w:val="single" w:sz="8" w:color="CCEEFF"/>
            </w:tcBorders>
            <w:gridSpan w:val="2"/>
            <w:shd w:val="clear" w:color="auto" w:fill="CCEEFF"/>
          </w:tcPr>
          <w:p>
            <w:pPr>
              <w:jc w:val="right"/>
              <w:ind w:right="86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60" w:type="dxa"/>
            <w:vAlign w:val="bottom"/>
            <w:gridSpan w:val="3"/>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060" w:type="dxa"/>
            <w:vAlign w:val="bottom"/>
            <w:tcBorders>
              <w:bottom w:val="single" w:sz="8" w:color="CCEEFF"/>
            </w:tcBorders>
            <w:gridSpan w:val="2"/>
            <w:shd w:val="clear" w:color="auto" w:fill="CCEEFF"/>
          </w:tcPr>
          <w:p>
            <w:pPr>
              <w:jc w:val="right"/>
              <w:ind w:right="86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60" w:type="dxa"/>
            <w:vAlign w:val="bottom"/>
            <w:gridSpan w:val="3"/>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060" w:type="dxa"/>
            <w:vAlign w:val="bottom"/>
            <w:gridSpan w:val="2"/>
          </w:tcPr>
          <w:p>
            <w:pPr>
              <w:jc w:val="right"/>
              <w:ind w:right="869"/>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60" w:type="dxa"/>
            <w:vAlign w:val="bottom"/>
            <w:gridSpan w:val="3"/>
          </w:tcPr>
          <w:p>
            <w:pPr>
              <w:ind w:left="120"/>
              <w:spacing w:after="0"/>
              <w:rPr>
                <w:sz w:val="20"/>
                <w:szCs w:val="20"/>
                <w:color w:val="auto"/>
              </w:rPr>
            </w:pPr>
            <w:r>
              <w:rPr>
                <w:rFonts w:ascii="Arial" w:cs="Arial" w:eastAsia="Arial" w:hAnsi="Arial"/>
                <w:sz w:val="18"/>
                <w:szCs w:val="18"/>
                <w:color w:val="auto"/>
              </w:rPr>
              <w:t>Derivative contracts: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060" w:type="dxa"/>
            <w:vAlign w:val="bottom"/>
            <w:tcBorders>
              <w:bottom w:val="single" w:sz="8" w:color="CCEEFF"/>
            </w:tcBorders>
            <w:gridSpan w:val="2"/>
            <w:shd w:val="clear" w:color="auto" w:fill="CCEEFF"/>
          </w:tcPr>
          <w:p>
            <w:pPr>
              <w:jc w:val="right"/>
              <w:ind w:right="86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60" w:type="dxa"/>
            <w:vAlign w:val="bottom"/>
            <w:gridSpan w:val="3"/>
          </w:tcPr>
          <w:p>
            <w:pPr>
              <w:ind w:left="240"/>
              <w:spacing w:after="0"/>
              <w:rPr>
                <w:sz w:val="20"/>
                <w:szCs w:val="20"/>
                <w:color w:val="auto"/>
              </w:rPr>
            </w:pPr>
            <w:r>
              <w:rPr>
                <w:rFonts w:ascii="Arial" w:cs="Arial" w:eastAsia="Arial" w:hAnsi="Arial"/>
                <w:sz w:val="18"/>
                <w:szCs w:val="18"/>
                <w:color w:val="auto"/>
              </w:rPr>
              <w:t>Interest rate swap contracts</w:t>
            </w:r>
          </w:p>
        </w:tc>
        <w:tc>
          <w:tcPr>
            <w:tcW w:w="1060" w:type="dxa"/>
            <w:vAlign w:val="bottom"/>
            <w:gridSpan w:val="2"/>
          </w:tcPr>
          <w:p>
            <w:pPr>
              <w:jc w:val="right"/>
              <w:ind w:right="869"/>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6"/>
        </w:trPr>
        <w:tc>
          <w:tcPr>
            <w:tcW w:w="61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38"/>
        </w:trPr>
        <w:tc>
          <w:tcPr>
            <w:tcW w:w="6260" w:type="dxa"/>
            <w:vAlign w:val="bottom"/>
            <w:gridSpan w:val="3"/>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8"/>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Impaired lease-related assets</w:t>
            </w:r>
          </w:p>
        </w:tc>
        <w:tc>
          <w:tcPr>
            <w:tcW w:w="1060" w:type="dxa"/>
            <w:vAlign w:val="bottom"/>
            <w:gridSpan w:val="2"/>
            <w:shd w:val="clear" w:color="auto" w:fill="CCEEFF"/>
          </w:tcPr>
          <w:p>
            <w:pPr>
              <w:jc w:val="right"/>
              <w:ind w:right="869"/>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8"/>
        </w:trPr>
        <w:tc>
          <w:tcPr>
            <w:tcW w:w="6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transfers between fair value measurements levels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Refer to Note 5 - Cash, Cash Equivalents, and Short-term Investments for further information regarding the fair value of our financial instruments. Refer to Note 9 - Derivatives and Hedging Activities for further information regarding the fair value of our derivative instruments. Refer to Note 15 - Leases, “recent leasing activity” of our 2021 Form 10-K for further information regarding the impairment of our Waltham operating lease.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September 30, 2022, we had additional outstanding non-cancelable purchase obligations with a term of 12 months or longer of $58.0 million over the corresponding amount disclosed in the audited financial statements in our 10-K for the year ended December 31, 2021, mainly related to third-party cloud hosting and software as a service arrangements. For information regarding financing-related obligations, refer to Note 8 - Financing Arrangements. For information regarding lease-related obligations, refer to Note 14 - Leases.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The Company has conducted an assessment of sales and use tax exposure in states where the Company has established nexus. Based on this assessment, the Company has recorded a liability for taxes owed and related penalties and interest in the amount of $3.3 million and $3.1 million at September 30, 2022 and December 31, 2021, respectively. This liability is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on our Condensed Consolidated Balance Sheets.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payments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acquisition of Dogpatch, the Company could be required to issue equity awards up to $3.7 million. Refer to Note 4 - Business Combinations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acquisition-related payments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acquisition of Insent, the Company expects to pay an additional $3.0 million in December 2022, of which $1.1 million represents deferred consideration. Refer to Note 4 - Business Combinations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it is not possible to provide an estimated amount of any loss or range of loss that may occur with respect to these matters, including without limitation the matters described below.</w:t>
      </w:r>
    </w:p>
    <w:p>
      <w:pPr>
        <w:spacing w:after="0" w:line="9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The Company intends to vigorously defend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The Company intends to vigorously defend against this lawsuit.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Noncontrolling Interest</w:t>
      </w:r>
    </w:p>
    <w:p>
      <w:pPr>
        <w:spacing w:after="0" w:line="17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ZoomInfo Technologies Inc. operates and controls all of the business and affairs, and consolidates the financial results through ZoomInfo OpCo and its subsidiaries, which conduct our business. Accordingly, ZoomInfo Technologies Inc. consolidates the financial results of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redemptions or direct exchanges of HoldCo Units or OpCo Units by Continuing Members resulted in a change in ownership and reduced or increased the amount recorded as </w:t>
      </w:r>
      <w:r>
        <w:rPr>
          <w:rFonts w:ascii="Arial" w:cs="Arial" w:eastAsia="Arial" w:hAnsi="Arial"/>
          <w:sz w:val="15"/>
          <w:szCs w:val="15"/>
          <w:i w:val="1"/>
          <w:iCs w:val="1"/>
          <w:color w:val="auto"/>
        </w:rPr>
        <w:t>Noncontrolling interests</w:t>
      </w:r>
      <w:r>
        <w:rPr>
          <w:rFonts w:ascii="Arial" w:cs="Arial" w:eastAsia="Arial" w:hAnsi="Arial"/>
          <w:sz w:val="15"/>
          <w:szCs w:val="15"/>
          <w:color w:val="auto"/>
        </w:rPr>
        <w:t xml:space="preserve"> and increased or decreased </w:t>
      </w:r>
      <w:r>
        <w:rPr>
          <w:rFonts w:ascii="Arial" w:cs="Arial" w:eastAsia="Arial" w:hAnsi="Arial"/>
          <w:sz w:val="15"/>
          <w:szCs w:val="15"/>
          <w:i w:val="1"/>
          <w:iCs w:val="1"/>
          <w:color w:val="auto"/>
        </w:rPr>
        <w:t>Additional paid-in capital</w:t>
      </w:r>
      <w:r>
        <w:rPr>
          <w:rFonts w:ascii="Arial" w:cs="Arial" w:eastAsia="Arial" w:hAnsi="Arial"/>
          <w:sz w:val="15"/>
          <w:szCs w:val="15"/>
          <w:color w:val="auto"/>
        </w:rPr>
        <w:t xml:space="preserve"> on our Condensed Consolidated Balance Sheets. During the third quarter of 2021, all remaining HoldCo Units held by Continuing Members were exchanged for shares in ZoomInfo Technologies Inc. followed by the merger of HoldCo into ZoomInfo Technologies Inc. During the fourth quarter of 2021, all remaining OpCo Units held by Continuing Members were converted into Class A shares in connection with the merger of ZoomInfo OpCo into a newly formed subsidiary of ZoomInfo Technologies, Inc.</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September 30, 2022, ZoomInfo Technologies Inc. held units resulting in an ownership interest of 100% in the consolidated subsidiaries.</w:t>
      </w:r>
    </w:p>
    <w:p>
      <w:pPr>
        <w:spacing w:after="0" w:line="1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holders of OpCo Units may be subject to U.S. federal, state and local income taxes on their proportionate share of any taxable income of ZoomInfo OpCo. Net profits and net losses of ZoomInfo OpCo will generally be allocated to its holders pro rata in accordance with the percentages of their respective limited liability company interests. The amended and restated limited liability company agreement of ZoomInfo OpCo provides for cash distributions (“tax distributions”) to the holders of OpCo Units and Class P Units. During the nine months ended September 30, 2021, the Company paid $19.9 million in tax distributions to the noncontrolling interest.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For the periods in which we had multiple classes of stock participating in earnings, we use the two-class method in calculating earnings per share. 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 As of the fourth quarter of 2021, as a result of the Holding Company Reorganization discussed in Note 1 - Organization and Background, the only remaining class of common stock issued and outstanding was the Class A common stock, and as such, the two-class method is not presented for subsequent periods. As previously discussed, in May 2022, following approval by the Company’s stockholders, the Company further amended and restated its Amended and Restated Certificate of Incorporation to eliminate the multiple classes of common stock and to rename the Company’s Class A common stock 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242424"/>
        </w:rPr>
        <w:t>The followin</w:t>
      </w:r>
      <w:r>
        <w:rPr>
          <w:rFonts w:ascii="Arial" w:cs="Arial" w:eastAsia="Arial" w:hAnsi="Arial"/>
          <w:sz w:val="18"/>
          <w:szCs w:val="18"/>
          <w:color w:val="000000"/>
        </w:rPr>
        <w:t>g table sets forth reconciliations of the numerators and denominators used (in millions) to compute basic and diluted earnings (los</w:t>
      </w:r>
      <w:r>
        <w:rPr>
          <w:rFonts w:ascii="Arial" w:cs="Arial" w:eastAsia="Arial" w:hAnsi="Arial"/>
          <w:sz w:val="18"/>
          <w:szCs w:val="18"/>
          <w:color w:val="242424"/>
        </w:rPr>
        <w:t>s) per share of Class A and Class C (as applicable) common stock for the three and nine months ended September 30, 2022 and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5"/>
                <w:szCs w:val="15"/>
                <w:color w:val="auto"/>
              </w:rPr>
            </w:pPr>
          </w:p>
        </w:tc>
        <w:tc>
          <w:tcPr>
            <w:tcW w:w="310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72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8"/>
        </w:trPr>
        <w:tc>
          <w:tcPr>
            <w:tcW w:w="51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1"/>
        </w:trPr>
        <w:tc>
          <w:tcPr>
            <w:tcW w:w="51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38"/>
        </w:trPr>
        <w:tc>
          <w:tcPr>
            <w:tcW w:w="5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center"/>
              <w:ind w:left="536"/>
              <w:spacing w:after="0"/>
              <w:rPr>
                <w:sz w:val="20"/>
                <w:szCs w:val="20"/>
                <w:color w:val="auto"/>
              </w:rPr>
            </w:pPr>
            <w:r>
              <w:rPr>
                <w:rFonts w:ascii="Arial" w:cs="Arial" w:eastAsia="Arial" w:hAnsi="Arial"/>
                <w:sz w:val="18"/>
                <w:szCs w:val="18"/>
                <w:color w:val="auto"/>
                <w:w w:val="93"/>
              </w:rPr>
              <w:t>(50.3)</w:t>
            </w:r>
          </w:p>
        </w:tc>
      </w:tr>
      <w:tr>
        <w:trPr>
          <w:trHeight w:val="28"/>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Net (income) loss attributable to noncontrolling interests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576"/>
              <w:spacing w:after="0"/>
              <w:rPr>
                <w:sz w:val="20"/>
                <w:szCs w:val="20"/>
                <w:color w:val="auto"/>
              </w:rPr>
            </w:pPr>
            <w:r>
              <w:rPr>
                <w:rFonts w:ascii="Arial" w:cs="Arial" w:eastAsia="Arial" w:hAnsi="Arial"/>
                <w:sz w:val="18"/>
                <w:szCs w:val="18"/>
                <w:color w:val="auto"/>
                <w:w w:val="91"/>
              </w:rPr>
              <w:t>22.2</w:t>
            </w:r>
          </w:p>
        </w:tc>
      </w:tr>
      <w:tr>
        <w:trPr>
          <w:trHeight w:val="231"/>
        </w:trPr>
        <w:tc>
          <w:tcPr>
            <w:tcW w:w="5140" w:type="dxa"/>
            <w:vAlign w:val="bottom"/>
          </w:tcPr>
          <w:p>
            <w:pPr>
              <w:ind w:left="20"/>
              <w:spacing w:after="0"/>
              <w:rPr>
                <w:sz w:val="20"/>
                <w:szCs w:val="20"/>
                <w:color w:val="auto"/>
              </w:rPr>
            </w:pPr>
            <w:r>
              <w:rPr>
                <w:rFonts w:ascii="Arial" w:cs="Arial" w:eastAsia="Arial" w:hAnsi="Arial"/>
                <w:sz w:val="18"/>
                <w:szCs w:val="18"/>
                <w:color w:val="auto"/>
              </w:rPr>
              <w:t>Net income (loss) attributable to ZoomInfo Technologies Inc.</w:t>
            </w:r>
          </w:p>
        </w:tc>
        <w:tc>
          <w:tcPr>
            <w:tcW w:w="960" w:type="dxa"/>
            <w:vAlign w:val="bottom"/>
            <w:tcBorders>
              <w:top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center"/>
              <w:ind w:left="536"/>
              <w:spacing w:after="0"/>
              <w:rPr>
                <w:sz w:val="20"/>
                <w:szCs w:val="20"/>
                <w:color w:val="auto"/>
              </w:rPr>
            </w:pPr>
            <w:r>
              <w:rPr>
                <w:rFonts w:ascii="Arial" w:cs="Arial" w:eastAsia="Arial" w:hAnsi="Arial"/>
                <w:sz w:val="18"/>
                <w:szCs w:val="18"/>
                <w:color w:val="auto"/>
                <w:w w:val="93"/>
              </w:rPr>
              <w:t>(28.1)</w:t>
            </w:r>
          </w:p>
        </w:tc>
      </w:tr>
      <w:tr>
        <w:trPr>
          <w:trHeight w:val="28"/>
        </w:trPr>
        <w:tc>
          <w:tcPr>
            <w:tcW w:w="5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tables set forth the computation of basic and diluted net income per share of Class A and Class C (as applicable) common stock (in millions, except share and per share amounts):</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jc w:val="center"/>
        <w:ind w:left="8040"/>
        <w:spacing w:after="0"/>
        <w:rPr>
          <w:sz w:val="20"/>
          <w:szCs w:val="20"/>
          <w:color w:val="auto"/>
        </w:rPr>
      </w:pPr>
      <w:r>
        <w:rPr>
          <w:rFonts w:ascii="Arial" w:cs="Arial" w:eastAsia="Arial" w:hAnsi="Arial"/>
          <w:sz w:val="12"/>
          <w:szCs w:val="12"/>
          <w:b w:val="1"/>
          <w:bCs w:val="1"/>
          <w:color w:val="auto"/>
        </w:rPr>
        <w:t>Three Months Ended</w:t>
      </w:r>
    </w:p>
    <w:p>
      <w:pPr>
        <w:spacing w:after="0" w:line="37" w:lineRule="exact"/>
        <w:rPr>
          <w:sz w:val="20"/>
          <w:szCs w:val="20"/>
          <w:color w:val="auto"/>
        </w:rPr>
      </w:pPr>
    </w:p>
    <w:p>
      <w:pPr>
        <w:jc w:val="center"/>
        <w:ind w:left="8040"/>
        <w:spacing w:after="0"/>
        <w:rPr>
          <w:sz w:val="20"/>
          <w:szCs w:val="20"/>
          <w:color w:val="auto"/>
        </w:rPr>
      </w:pPr>
      <w:r>
        <w:rPr>
          <w:rFonts w:ascii="Arial" w:cs="Arial" w:eastAsia="Arial" w:hAnsi="Arial"/>
          <w:sz w:val="13"/>
          <w:szCs w:val="13"/>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43815</wp:posOffset>
            </wp:positionV>
            <wp:extent cx="10433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66"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34860" cy="168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38100</wp:posOffset>
            </wp:positionV>
            <wp:extent cx="10433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00" w:hanging="13"/>
        <w:spacing w:after="0" w:line="356" w:lineRule="auto"/>
        <w:rPr>
          <w:sz w:val="20"/>
          <w:szCs w:val="20"/>
          <w:color w:val="auto"/>
        </w:rPr>
      </w:pPr>
      <w:r>
        <w:rPr>
          <w:rFonts w:ascii="Arial" w:cs="Arial" w:eastAsia="Arial" w:hAnsi="Arial"/>
          <w:sz w:val="12"/>
          <w:szCs w:val="12"/>
          <w:b w:val="1"/>
          <w:bCs w:val="1"/>
          <w:color w:val="auto"/>
        </w:rPr>
        <w:t>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-9525</wp:posOffset>
            </wp:positionV>
            <wp:extent cx="102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38100</wp:posOffset>
            </wp:positionV>
            <wp:extent cx="102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9320" w:space="520"/>
            <w:col w:w="1400"/>
          </w:cols>
          <w:pgMar w:left="320" w:top="122"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Basic net income (loss) per share attributable to common stockholders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8"/>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Allocation of net income (loss) attributable to ZoomInfo Technologies Inc.</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8"/>
        </w:trPr>
        <w:tc>
          <w:tcPr>
            <w:tcW w:w="786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number of shares of Common Stock outstanding</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401,961,947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401,093,021</w:t>
            </w:r>
          </w:p>
        </w:tc>
      </w:tr>
      <w:tr>
        <w:trPr>
          <w:trHeight w:val="231"/>
        </w:trPr>
        <w:tc>
          <w:tcPr>
            <w:tcW w:w="7860" w:type="dxa"/>
            <w:vAlign w:val="bottom"/>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4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8"/>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6"/>
        </w:trPr>
        <w:tc>
          <w:tcPr>
            <w:tcW w:w="78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38"/>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Diluted net income (loss) per share attributable to common stockholders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7860" w:type="dxa"/>
            <w:vAlign w:val="bottom"/>
          </w:tcPr>
          <w:p>
            <w:pPr>
              <w:ind w:left="240"/>
              <w:spacing w:after="0"/>
              <w:rPr>
                <w:sz w:val="20"/>
                <w:szCs w:val="20"/>
                <w:color w:val="auto"/>
              </w:rPr>
            </w:pPr>
            <w:r>
              <w:rPr>
                <w:rFonts w:ascii="Arial" w:cs="Arial" w:eastAsia="Arial" w:hAnsi="Arial"/>
                <w:sz w:val="18"/>
                <w:szCs w:val="18"/>
                <w:color w:val="auto"/>
              </w:rPr>
              <w:t>Allocation of undistributed earnings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401,961,947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401,093,021</w:t>
            </w:r>
          </w:p>
        </w:tc>
      </w:tr>
      <w:tr>
        <w:trPr>
          <w:trHeight w:val="28"/>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weighted-average effect of dilutive securities exchangeable for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7860" w:type="dxa"/>
            <w:vAlign w:val="bottom"/>
          </w:tcPr>
          <w:p>
            <w:pPr>
              <w:ind w:left="240"/>
              <w:spacing w:after="0"/>
              <w:rPr>
                <w:sz w:val="20"/>
                <w:szCs w:val="20"/>
                <w:color w:val="auto"/>
              </w:rPr>
            </w:pPr>
            <w:r>
              <w:rPr>
                <w:rFonts w:ascii="Arial" w:cs="Arial" w:eastAsia="Arial" w:hAnsi="Arial"/>
                <w:sz w:val="18"/>
                <w:szCs w:val="18"/>
                <w:color w:val="auto"/>
              </w:rPr>
              <w:t>Restricted Stock Awards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1,208,236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1,932,054</w:t>
            </w:r>
          </w:p>
        </w:tc>
      </w:tr>
      <w:tr>
        <w:trPr>
          <w:trHeight w:val="28"/>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 of Common Stock Options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207,917</w:t>
            </w:r>
          </w:p>
        </w:tc>
      </w:tr>
      <w:tr>
        <w:trPr>
          <w:trHeight w:val="238"/>
        </w:trPr>
        <w:tc>
          <w:tcPr>
            <w:tcW w:w="786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122,794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44,189</w:t>
            </w:r>
          </w:p>
        </w:tc>
      </w:tr>
      <w:tr>
        <w:trPr>
          <w:trHeight w:val="28"/>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6"/>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Weighted average shares of Common Stock outstanding used to calculate diluted net income (loss) per</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1"/>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share</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403,471,309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403,277,181</w:t>
            </w:r>
          </w:p>
        </w:tc>
      </w:tr>
      <w:tr>
        <w:trPr>
          <w:trHeight w:val="265"/>
        </w:trPr>
        <w:tc>
          <w:tcPr>
            <w:tcW w:w="7860" w:type="dxa"/>
            <w:vAlign w:val="bottom"/>
          </w:tcPr>
          <w:p>
            <w:pPr>
              <w:ind w:left="20"/>
              <w:spacing w:after="0"/>
              <w:rPr>
                <w:sz w:val="20"/>
                <w:szCs w:val="20"/>
                <w:color w:val="auto"/>
              </w:rPr>
            </w:pPr>
            <w:r>
              <w:rPr>
                <w:rFonts w:ascii="Arial" w:cs="Arial" w:eastAsia="Arial" w:hAnsi="Arial"/>
                <w:sz w:val="18"/>
                <w:szCs w:val="18"/>
                <w:color w:val="auto"/>
              </w:rPr>
              <w:t>Diluted net income (loss) per share attributable to common stockholders</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5"/>
                <w:szCs w:val="15"/>
                <w:color w:val="auto"/>
              </w:rPr>
            </w:pPr>
          </w:p>
        </w:tc>
        <w:tc>
          <w:tcPr>
            <w:tcW w:w="2800" w:type="dxa"/>
            <w:vAlign w:val="bottom"/>
            <w:gridSpan w:val="6"/>
          </w:tcPr>
          <w:p>
            <w:pPr>
              <w:ind w:left="100"/>
              <w:spacing w:after="0"/>
              <w:rPr>
                <w:sz w:val="20"/>
                <w:szCs w:val="20"/>
                <w:color w:val="auto"/>
              </w:rPr>
            </w:pPr>
            <w:r>
              <w:rPr>
                <w:rFonts w:ascii="Arial" w:cs="Arial" w:eastAsia="Arial" w:hAnsi="Arial"/>
                <w:sz w:val="14"/>
                <w:szCs w:val="14"/>
                <w:b w:val="1"/>
                <w:bCs w:val="1"/>
                <w:color w:val="auto"/>
                <w:w w:val="98"/>
              </w:rPr>
              <w:t>Three Months Ended September 30, 2021</w:t>
            </w:r>
          </w:p>
        </w:tc>
        <w:tc>
          <w:tcPr>
            <w:tcW w:w="120" w:type="dxa"/>
            <w:vAlign w:val="bottom"/>
          </w:tcPr>
          <w:p>
            <w:pPr>
              <w:spacing w:after="0"/>
              <w:rPr>
                <w:sz w:val="15"/>
                <w:szCs w:val="15"/>
                <w:color w:val="auto"/>
              </w:rPr>
            </w:pPr>
          </w:p>
        </w:tc>
        <w:tc>
          <w:tcPr>
            <w:tcW w:w="256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0"/>
              </w:rPr>
              <w:t>Nine Months Ended September 30, 2021</w:t>
            </w:r>
          </w:p>
        </w:tc>
        <w:tc>
          <w:tcPr>
            <w:tcW w:w="0" w:type="dxa"/>
            <w:vAlign w:val="bottom"/>
          </w:tcPr>
          <w:p>
            <w:pPr>
              <w:spacing w:after="0"/>
              <w:rPr>
                <w:sz w:val="1"/>
                <w:szCs w:val="1"/>
                <w:color w:val="auto"/>
              </w:rPr>
            </w:pPr>
          </w:p>
        </w:tc>
      </w:tr>
      <w:tr>
        <w:trPr>
          <w:trHeight w:val="38"/>
        </w:trPr>
        <w:tc>
          <w:tcPr>
            <w:tcW w:w="5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Class C</w:t>
            </w:r>
          </w:p>
        </w:tc>
        <w:tc>
          <w:tcPr>
            <w:tcW w:w="120" w:type="dxa"/>
            <w:vAlign w:val="bottom"/>
          </w:tcPr>
          <w:p>
            <w:pPr>
              <w:spacing w:after="0"/>
              <w:rPr>
                <w:sz w:val="15"/>
                <w:szCs w:val="15"/>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15"/>
                <w:szCs w:val="15"/>
                <w:color w:val="auto"/>
              </w:rPr>
            </w:pPr>
          </w:p>
        </w:tc>
        <w:tc>
          <w:tcPr>
            <w:tcW w:w="1040" w:type="dxa"/>
            <w:vAlign w:val="bottom"/>
          </w:tcPr>
          <w:p>
            <w:pPr>
              <w:jc w:val="right"/>
              <w:ind w:right="333"/>
              <w:spacing w:after="0"/>
              <w:rPr>
                <w:sz w:val="20"/>
                <w:szCs w:val="20"/>
                <w:color w:val="auto"/>
              </w:rPr>
            </w:pPr>
            <w:r>
              <w:rPr>
                <w:rFonts w:ascii="Arial" w:cs="Arial" w:eastAsia="Arial" w:hAnsi="Arial"/>
                <w:sz w:val="14"/>
                <w:szCs w:val="14"/>
                <w:b w:val="1"/>
                <w:bCs w:val="1"/>
                <w:color w:val="auto"/>
              </w:rPr>
              <w:t>Class C</w:t>
            </w:r>
          </w:p>
        </w:tc>
        <w:tc>
          <w:tcPr>
            <w:tcW w:w="0" w:type="dxa"/>
            <w:vAlign w:val="bottom"/>
          </w:tcPr>
          <w:p>
            <w:pPr>
              <w:spacing w:after="0"/>
              <w:rPr>
                <w:sz w:val="1"/>
                <w:szCs w:val="1"/>
                <w:color w:val="auto"/>
              </w:rPr>
            </w:pPr>
          </w:p>
        </w:tc>
      </w:tr>
      <w:tr>
        <w:trPr>
          <w:trHeight w:val="38"/>
        </w:trPr>
        <w:tc>
          <w:tcPr>
            <w:tcW w:w="5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Basic net income (loss) per share attributable to common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4"/>
              </w:rPr>
              <w:t>Allocation of net income (loss) attributable to ZoomInfo Technologies Inc.</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576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Weighted average number of shares of Class A and Class C common stock</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215,012,710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48,273,078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139,840,047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71,058,293</w:t>
            </w:r>
          </w:p>
        </w:tc>
        <w:tc>
          <w:tcPr>
            <w:tcW w:w="0" w:type="dxa"/>
            <w:vAlign w:val="bottom"/>
          </w:tcPr>
          <w:p>
            <w:pPr>
              <w:spacing w:after="0"/>
              <w:rPr>
                <w:sz w:val="1"/>
                <w:szCs w:val="1"/>
                <w:color w:val="auto"/>
              </w:rPr>
            </w:pPr>
          </w:p>
        </w:tc>
      </w:tr>
      <w:tr>
        <w:trPr>
          <w:trHeight w:val="231"/>
        </w:trPr>
        <w:tc>
          <w:tcPr>
            <w:tcW w:w="5760" w:type="dxa"/>
            <w:vAlign w:val="bottom"/>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8"/>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w w:val="91"/>
              </w:rPr>
              <w:t>Diluted net income (loss) per share attributable to common stockholders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40"/>
              <w:spacing w:after="0"/>
              <w:rPr>
                <w:sz w:val="20"/>
                <w:szCs w:val="20"/>
                <w:color w:val="auto"/>
              </w:rPr>
            </w:pPr>
            <w:r>
              <w:rPr>
                <w:rFonts w:ascii="Arial" w:cs="Arial" w:eastAsia="Arial" w:hAnsi="Arial"/>
                <w:sz w:val="18"/>
                <w:szCs w:val="18"/>
                <w:color w:val="auto"/>
              </w:rPr>
              <w:t>Undistributed earnings for basic computation</w:t>
            </w: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8"/>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Increase in earnings attributable to common shareholders upon conversion of</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potentially dilutive instruments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760" w:type="dxa"/>
            <w:vAlign w:val="bottom"/>
          </w:tcPr>
          <w:p>
            <w:pPr>
              <w:ind w:left="240"/>
              <w:spacing w:after="0"/>
              <w:rPr>
                <w:sz w:val="20"/>
                <w:szCs w:val="20"/>
                <w:color w:val="auto"/>
              </w:rPr>
            </w:pPr>
            <w:r>
              <w:rPr>
                <w:rFonts w:ascii="Arial" w:cs="Arial" w:eastAsia="Arial" w:hAnsi="Arial"/>
                <w:sz w:val="18"/>
                <w:szCs w:val="18"/>
                <w:color w:val="auto"/>
                <w:w w:val="90"/>
              </w:rPr>
              <w:t>Reallocation of undistributed earnings as a result of conversion of Class C to</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240"/>
              <w:spacing w:after="0"/>
              <w:rPr>
                <w:sz w:val="20"/>
                <w:szCs w:val="20"/>
                <w:color w:val="auto"/>
              </w:rPr>
            </w:pPr>
            <w:r>
              <w:rPr>
                <w:rFonts w:ascii="Arial" w:cs="Arial" w:eastAsia="Arial" w:hAnsi="Arial"/>
                <w:sz w:val="18"/>
                <w:szCs w:val="18"/>
                <w:color w:val="auto"/>
              </w:rPr>
              <w:t>Class A shares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Allocation of undistributed earnings</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215,012,710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48,273,078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139,840,047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71,058,293</w:t>
            </w:r>
          </w:p>
        </w:tc>
        <w:tc>
          <w:tcPr>
            <w:tcW w:w="0" w:type="dxa"/>
            <w:vAlign w:val="bottom"/>
          </w:tcPr>
          <w:p>
            <w:pPr>
              <w:spacing w:after="0"/>
              <w:rPr>
                <w:sz w:val="1"/>
                <w:szCs w:val="1"/>
                <w:color w:val="auto"/>
              </w:rPr>
            </w:pPr>
          </w:p>
        </w:tc>
      </w:tr>
      <w:tr>
        <w:trPr>
          <w:trHeight w:val="226"/>
        </w:trPr>
        <w:tc>
          <w:tcPr>
            <w:tcW w:w="5760" w:type="dxa"/>
            <w:vAlign w:val="bottom"/>
          </w:tcPr>
          <w:p>
            <w:pPr>
              <w:ind w:left="120"/>
              <w:spacing w:after="0"/>
              <w:rPr>
                <w:sz w:val="20"/>
                <w:szCs w:val="20"/>
                <w:color w:val="auto"/>
              </w:rPr>
            </w:pPr>
            <w:r>
              <w:rPr>
                <w:rFonts w:ascii="Arial" w:cs="Arial" w:eastAsia="Arial" w:hAnsi="Arial"/>
                <w:sz w:val="18"/>
                <w:szCs w:val="18"/>
                <w:color w:val="auto"/>
                <w:w w:val="92"/>
              </w:rPr>
              <w:t>Add: weighted-average effect of dilutive securities exchangeable for Class A</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HSKB II Class 1 Units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8"/>
        </w:trPr>
        <w:tc>
          <w:tcPr>
            <w:tcW w:w="5760" w:type="dxa"/>
            <w:vAlign w:val="bottom"/>
          </w:tcPr>
          <w:p>
            <w:pPr>
              <w:ind w:left="240"/>
              <w:spacing w:after="0"/>
              <w:rPr>
                <w:sz w:val="20"/>
                <w:szCs w:val="20"/>
                <w:color w:val="auto"/>
              </w:rPr>
            </w:pPr>
            <w:r>
              <w:rPr>
                <w:rFonts w:ascii="Arial" w:cs="Arial" w:eastAsia="Arial" w:hAnsi="Arial"/>
                <w:sz w:val="18"/>
                <w:szCs w:val="18"/>
                <w:color w:val="auto"/>
              </w:rPr>
              <w:t>HSKB II Phantom Units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592,801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8"/>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Conversion of Class C to Class A common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48,273,078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71,058,293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760" w:type="dxa"/>
            <w:vAlign w:val="bottom"/>
          </w:tcPr>
          <w:p>
            <w:pPr>
              <w:ind w:left="20"/>
              <w:spacing w:after="0"/>
              <w:rPr>
                <w:sz w:val="20"/>
                <w:szCs w:val="20"/>
                <w:color w:val="auto"/>
              </w:rPr>
            </w:pPr>
            <w:r>
              <w:rPr>
                <w:rFonts w:ascii="Arial" w:cs="Arial" w:eastAsia="Arial" w:hAnsi="Arial"/>
                <w:sz w:val="18"/>
                <w:szCs w:val="18"/>
                <w:color w:val="auto"/>
                <w:w w:val="93"/>
              </w:rPr>
              <w:t>Weighted average shares of Class A and Class C common stock outstanding</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used to calculate diluted net income (loss) per share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263,999,648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48,273,078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210,898,340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71,058,293</w:t>
            </w:r>
          </w:p>
        </w:tc>
        <w:tc>
          <w:tcPr>
            <w:tcW w:w="0" w:type="dxa"/>
            <w:vAlign w:val="bottom"/>
          </w:tcPr>
          <w:p>
            <w:pPr>
              <w:spacing w:after="0"/>
              <w:rPr>
                <w:sz w:val="1"/>
                <w:szCs w:val="1"/>
                <w:color w:val="auto"/>
              </w:rPr>
            </w:pPr>
          </w:p>
        </w:tc>
      </w:tr>
      <w:tr>
        <w:trPr>
          <w:trHeight w:val="28"/>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Diluted net income (loss) per share attributable to common stockholders</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242424"/>
        </w:rPr>
        <w:t>Shares of the Company’s Class B common stock did not participate in the earnings or losses of ZoomInfo Technologies Inc. and were therefore not participating securities. As such, separate presentation of basic and diluted earnings per share of Class B common stock under the two-class method has not been presented. Shares of the Company's Class A common stock were renamed "Common Stock" effective May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42424"/>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5"/>
                <w:szCs w:val="15"/>
                <w:color w:val="auto"/>
              </w:rPr>
            </w:pPr>
          </w:p>
        </w:tc>
        <w:tc>
          <w:tcPr>
            <w:tcW w:w="358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September 30,</w:t>
            </w:r>
          </w:p>
        </w:tc>
        <w:tc>
          <w:tcPr>
            <w:tcW w:w="346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Nine Months Ended September 30,</w:t>
            </w:r>
          </w:p>
        </w:tc>
      </w:tr>
      <w:tr>
        <w:trPr>
          <w:trHeight w:val="38"/>
        </w:trPr>
        <w:tc>
          <w:tcPr>
            <w:tcW w:w="42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81"/>
        </w:trPr>
        <w:tc>
          <w:tcPr>
            <w:tcW w:w="4200" w:type="dxa"/>
            <w:vAlign w:val="bottom"/>
          </w:tcPr>
          <w:p>
            <w:pPr>
              <w:spacing w:after="0"/>
              <w:rPr>
                <w:sz w:val="15"/>
                <w:szCs w:val="15"/>
                <w:color w:val="auto"/>
              </w:rPr>
            </w:pPr>
          </w:p>
        </w:tc>
        <w:tc>
          <w:tcPr>
            <w:tcW w:w="1660" w:type="dxa"/>
            <w:vAlign w:val="bottom"/>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680" w:type="dxa"/>
            <w:vAlign w:val="bottom"/>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60" w:type="dxa"/>
            <w:vAlign w:val="bottom"/>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680" w:type="dxa"/>
            <w:vAlign w:val="bottom"/>
          </w:tcPr>
          <w:p>
            <w:pPr>
              <w:jc w:val="right"/>
              <w:ind w:right="613"/>
              <w:spacing w:after="0"/>
              <w:rPr>
                <w:sz w:val="20"/>
                <w:szCs w:val="20"/>
                <w:color w:val="auto"/>
              </w:rPr>
            </w:pPr>
            <w:r>
              <w:rPr>
                <w:rFonts w:ascii="Arial" w:cs="Arial" w:eastAsia="Arial" w:hAnsi="Arial"/>
                <w:sz w:val="14"/>
                <w:szCs w:val="14"/>
                <w:b w:val="1"/>
                <w:bCs w:val="1"/>
                <w:color w:val="auto"/>
              </w:rPr>
              <w:t>2021</w:t>
            </w:r>
          </w:p>
        </w:tc>
      </w:tr>
      <w:tr>
        <w:trPr>
          <w:trHeight w:val="38"/>
        </w:trPr>
        <w:tc>
          <w:tcPr>
            <w:tcW w:w="42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3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Units</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122,610,642</w:t>
            </w: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170,523,418</w:t>
            </w:r>
          </w:p>
        </w:tc>
      </w:tr>
      <w:tr>
        <w:trPr>
          <w:trHeight w:val="238"/>
        </w:trPr>
        <w:tc>
          <w:tcPr>
            <w:tcW w:w="4200" w:type="dxa"/>
            <w:vAlign w:val="bottom"/>
          </w:tcPr>
          <w:p>
            <w:pPr>
              <w:ind w:left="20"/>
              <w:spacing w:after="0"/>
              <w:rPr>
                <w:sz w:val="20"/>
                <w:szCs w:val="20"/>
                <w:color w:val="auto"/>
              </w:rPr>
            </w:pPr>
            <w:r>
              <w:rPr>
                <w:rFonts w:ascii="Arial" w:cs="Arial" w:eastAsia="Arial" w:hAnsi="Arial"/>
                <w:sz w:val="18"/>
                <w:szCs w:val="18"/>
                <w:color w:val="auto"/>
              </w:rPr>
              <w:t>Class P Units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9,047,255</w:t>
            </w:r>
          </w:p>
        </w:tc>
        <w:tc>
          <w:tcPr>
            <w:tcW w:w="12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10,241,645</w:t>
            </w:r>
          </w:p>
        </w:tc>
      </w:tr>
      <w:tr>
        <w:trPr>
          <w:trHeight w:val="28"/>
        </w:trPr>
        <w:tc>
          <w:tcPr>
            <w:tcW w:w="4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HSKB I Class 1 Units</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4,801,519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6,653,534</w:t>
            </w:r>
          </w:p>
        </w:tc>
      </w:tr>
      <w:tr>
        <w:trPr>
          <w:trHeight w:val="238"/>
        </w:trPr>
        <w:tc>
          <w:tcPr>
            <w:tcW w:w="4200" w:type="dxa"/>
            <w:vAlign w:val="bottom"/>
          </w:tcPr>
          <w:p>
            <w:pPr>
              <w:ind w:left="20"/>
              <w:spacing w:after="0"/>
              <w:rPr>
                <w:sz w:val="20"/>
                <w:szCs w:val="20"/>
                <w:color w:val="auto"/>
              </w:rPr>
            </w:pPr>
            <w:r>
              <w:rPr>
                <w:rFonts w:ascii="Arial" w:cs="Arial" w:eastAsia="Arial" w:hAnsi="Arial"/>
                <w:sz w:val="18"/>
                <w:szCs w:val="18"/>
                <w:color w:val="auto"/>
              </w:rPr>
              <w:t>HSKB II Class 1 Units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301,339</w:t>
            </w:r>
          </w:p>
        </w:tc>
      </w:tr>
      <w:tr>
        <w:trPr>
          <w:trHeight w:val="28"/>
        </w:trPr>
        <w:tc>
          <w:tcPr>
            <w:tcW w:w="4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HSKB II Phantom Units</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1,082,296</w:t>
            </w:r>
          </w:p>
        </w:tc>
      </w:tr>
      <w:tr>
        <w:trPr>
          <w:trHeight w:val="238"/>
        </w:trPr>
        <w:tc>
          <w:tcPr>
            <w:tcW w:w="4200" w:type="dxa"/>
            <w:vAlign w:val="bottom"/>
          </w:tcPr>
          <w:p>
            <w:pPr>
              <w:ind w:left="20"/>
              <w:spacing w:after="0"/>
              <w:rPr>
                <w:sz w:val="20"/>
                <w:szCs w:val="20"/>
                <w:color w:val="auto"/>
              </w:rPr>
            </w:pPr>
            <w:r>
              <w:rPr>
                <w:rFonts w:ascii="Arial" w:cs="Arial" w:eastAsia="Arial" w:hAnsi="Arial"/>
                <w:sz w:val="18"/>
                <w:szCs w:val="18"/>
                <w:color w:val="auto"/>
              </w:rPr>
              <w:t>HoldCo Units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700,241</w:t>
            </w:r>
          </w:p>
        </w:tc>
        <w:tc>
          <w:tcPr>
            <w:tcW w:w="12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1,184,900</w:t>
            </w:r>
          </w:p>
        </w:tc>
      </w:tr>
      <w:tr>
        <w:trPr>
          <w:trHeight w:val="28"/>
        </w:trPr>
        <w:tc>
          <w:tcPr>
            <w:tcW w:w="4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582,263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194,088</w:t>
            </w:r>
          </w:p>
        </w:tc>
      </w:tr>
      <w:tr>
        <w:trPr>
          <w:trHeight w:val="238"/>
        </w:trPr>
        <w:tc>
          <w:tcPr>
            <w:tcW w:w="42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60" w:type="dxa"/>
            <w:vAlign w:val="bottom"/>
          </w:tcPr>
          <w:p>
            <w:pPr>
              <w:jc w:val="right"/>
              <w:spacing w:after="0"/>
              <w:rPr>
                <w:sz w:val="20"/>
                <w:szCs w:val="20"/>
                <w:color w:val="auto"/>
              </w:rPr>
            </w:pPr>
            <w:r>
              <w:rPr>
                <w:rFonts w:ascii="Arial" w:cs="Arial" w:eastAsia="Arial" w:hAnsi="Arial"/>
                <w:sz w:val="18"/>
                <w:szCs w:val="18"/>
                <w:color w:val="auto"/>
              </w:rPr>
              <w:t>9,415,559</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454,718</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7,471,569</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324,043</w:t>
            </w:r>
          </w:p>
        </w:tc>
      </w:tr>
      <w:tr>
        <w:trPr>
          <w:trHeight w:val="28"/>
        </w:trPr>
        <w:tc>
          <w:tcPr>
            <w:tcW w:w="4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101,666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41,181</w:t>
            </w:r>
          </w:p>
        </w:tc>
      </w:tr>
      <w:tr>
        <w:trPr>
          <w:trHeight w:val="238"/>
        </w:trPr>
        <w:tc>
          <w:tcPr>
            <w:tcW w:w="4200" w:type="dxa"/>
            <w:vAlign w:val="bottom"/>
          </w:tcPr>
          <w:p>
            <w:pPr>
              <w:ind w:left="20"/>
              <w:spacing w:after="0"/>
              <w:rPr>
                <w:sz w:val="20"/>
                <w:szCs w:val="20"/>
                <w:color w:val="auto"/>
              </w:rPr>
            </w:pPr>
            <w:r>
              <w:rPr>
                <w:rFonts w:ascii="Arial" w:cs="Arial" w:eastAsia="Arial" w:hAnsi="Arial"/>
                <w:sz w:val="18"/>
                <w:szCs w:val="18"/>
                <w:color w:val="auto"/>
              </w:rPr>
              <w:t>Exercise of Class A Common Stock Options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308,593</w:t>
            </w:r>
          </w:p>
        </w:tc>
        <w:tc>
          <w:tcPr>
            <w:tcW w:w="12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294,179</w:t>
            </w:r>
          </w:p>
        </w:tc>
      </w:tr>
      <w:tr>
        <w:trPr>
          <w:trHeight w:val="28"/>
        </w:trPr>
        <w:tc>
          <w:tcPr>
            <w:tcW w:w="4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9,415,559</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138,606,897</w:t>
            </w:r>
          </w:p>
        </w:tc>
        <w:tc>
          <w:tcPr>
            <w:tcW w:w="12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7,471,569</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190,840,623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adoption of Topic 842.</w:t>
      </w:r>
    </w:p>
    <w:p>
      <w:pPr>
        <w:spacing w:after="0" w:line="9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The Company subleases two offices. The subleases have remaining lease terms of less than nine years. Sublease income, which is recorded as a reduction of rent expense and allocated to the appropriate financial statement line items to arrive at </w:t>
      </w:r>
      <w:r>
        <w:rPr>
          <w:rFonts w:ascii="Arial" w:cs="Arial" w:eastAsia="Arial" w:hAnsi="Arial"/>
          <w:sz w:val="17"/>
          <w:szCs w:val="17"/>
          <w:i w:val="1"/>
          <w:iCs w:val="1"/>
          <w:color w:val="auto"/>
        </w:rPr>
        <w:t>Income (loss) from operations</w:t>
      </w:r>
      <w:r>
        <w:rPr>
          <w:rFonts w:ascii="Arial" w:cs="Arial" w:eastAsia="Arial" w:hAnsi="Arial"/>
          <w:sz w:val="17"/>
          <w:szCs w:val="17"/>
          <w:color w:val="auto"/>
        </w:rPr>
        <w:t xml:space="preserve"> on our Consolidated Statements of Operations, was immaterial for the three and nine months ended September 30, 2022 and 2021.</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are additional details related to operating leases recorded on our Condensed Consolidated Balance Sheets as of September 30, 2022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1520" w:type="dxa"/>
            <w:vAlign w:val="bottom"/>
          </w:tcPr>
          <w:p>
            <w:pPr>
              <w:jc w:val="right"/>
              <w:ind w:right="41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8"/>
        </w:trPr>
        <w:tc>
          <w:tcPr>
            <w:tcW w:w="75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ind w:right="6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8"/>
        </w:trPr>
        <w:tc>
          <w:tcPr>
            <w:tcW w:w="7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75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0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8"/>
        </w:trPr>
        <w:tc>
          <w:tcPr>
            <w:tcW w:w="750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Rent expense was $2.8 million and $2.9 million for the three months ended September 30, 2022 and 2021, respectively. Rent expense was $9.6 million and $8.1 million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leases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9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8"/>
              </w:rPr>
              <w:t>Nine Months Ended September 30,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60" w:type="dxa"/>
            <w:vAlign w:val="bottom"/>
            <w:vMerge w:val="continue"/>
          </w:tcPr>
          <w:p>
            <w:pPr>
              <w:spacing w:after="0"/>
              <w:rPr>
                <w:sz w:val="18"/>
                <w:szCs w:val="18"/>
                <w:color w:val="auto"/>
              </w:rPr>
            </w:pPr>
          </w:p>
        </w:tc>
        <w:tc>
          <w:tcPr>
            <w:tcW w:w="1180" w:type="dxa"/>
            <w:vAlign w:val="bottom"/>
          </w:tcPr>
          <w:p>
            <w:pPr>
              <w:jc w:val="right"/>
              <w:ind w:right="118"/>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5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180" w:type="dxa"/>
            <w:vAlign w:val="bottom"/>
            <w:tcBorders>
              <w:bottom w:val="single" w:sz="8" w:color="CCEEFF"/>
            </w:tcBorders>
            <w:shd w:val="clear" w:color="auto" w:fill="CCEEFF"/>
          </w:tcPr>
          <w:p>
            <w:pPr>
              <w:jc w:val="right"/>
              <w:ind w:right="978"/>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16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8"/>
        </w:trPr>
        <w:tc>
          <w:tcPr>
            <w:tcW w:w="4560" w:type="dxa"/>
            <w:vAlign w:val="bottom"/>
          </w:tcPr>
          <w:p>
            <w:pPr>
              <w:ind w:left="20"/>
              <w:spacing w:after="0"/>
              <w:rPr>
                <w:sz w:val="20"/>
                <w:szCs w:val="20"/>
                <w:color w:val="auto"/>
              </w:rPr>
            </w:pPr>
            <w:r>
              <w:rPr>
                <w:rFonts w:ascii="Arial" w:cs="Arial" w:eastAsia="Arial" w:hAnsi="Arial"/>
                <w:sz w:val="18"/>
                <w:szCs w:val="18"/>
                <w:color w:val="auto"/>
              </w:rPr>
              <w:t>Cash received for tenant incentive reimbursement</w:t>
            </w:r>
          </w:p>
        </w:tc>
        <w:tc>
          <w:tcPr>
            <w:tcW w:w="1180" w:type="dxa"/>
            <w:vAlign w:val="bottom"/>
          </w:tcPr>
          <w:p>
            <w:pPr>
              <w:jc w:val="right"/>
              <w:ind w:right="978"/>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5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w w:val="91"/>
              </w:rPr>
              <w:t>Lease liabilities arising from obtaining right-of-use assets</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From acquisitions</w:t>
            </w:r>
          </w:p>
        </w:tc>
        <w:tc>
          <w:tcPr>
            <w:tcW w:w="1180" w:type="dxa"/>
            <w:vAlign w:val="bottom"/>
            <w:tcBorders>
              <w:bottom w:val="single" w:sz="8" w:color="CCEEFF"/>
            </w:tcBorders>
            <w:shd w:val="clear" w:color="auto" w:fill="CCEEFF"/>
          </w:tcPr>
          <w:p>
            <w:pPr>
              <w:jc w:val="right"/>
              <w:ind w:right="97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w w:val="95"/>
              </w:rPr>
              <w:t>From new and existing lease agreements and modifications</w:t>
            </w:r>
          </w:p>
        </w:tc>
        <w:tc>
          <w:tcPr>
            <w:tcW w:w="1180" w:type="dxa"/>
            <w:vAlign w:val="bottom"/>
          </w:tcPr>
          <w:p>
            <w:pPr>
              <w:jc w:val="right"/>
              <w:ind w:right="978"/>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11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493"/>
        </w:trPr>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6"/>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6"/>
          </w:tcPr>
          <w:p>
            <w:pPr>
              <w:jc w:val="right"/>
              <w:ind w:right="692"/>
              <w:spacing w:after="0"/>
              <w:rPr>
                <w:sz w:val="20"/>
                <w:szCs w:val="20"/>
                <w:color w:val="auto"/>
              </w:rPr>
            </w:pPr>
            <w:r>
              <w:rPr>
                <w:rFonts w:ascii="Arial" w:cs="Arial" w:eastAsia="Arial" w:hAnsi="Arial"/>
                <w:sz w:val="14"/>
                <w:szCs w:val="14"/>
                <w:b w:val="1"/>
                <w:bCs w:val="1"/>
                <w:color w:val="auto"/>
                <w:w w:val="99"/>
              </w:rPr>
              <w:t>September 30, 2022</w:t>
            </w:r>
          </w:p>
        </w:tc>
        <w:tc>
          <w:tcPr>
            <w:tcW w:w="162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38"/>
        </w:trPr>
        <w:tc>
          <w:tcPr>
            <w:tcW w:w="456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8"/>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4.4 %</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table below reconciles the undiscounted future minimum lease payments under non-cancelable leases to the total lease liabilities recognized as of September 30, 2022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2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Pr>
          <w:p>
            <w:pPr>
              <w:spacing w:after="0"/>
              <w:rPr>
                <w:sz w:val="19"/>
                <w:szCs w:val="19"/>
                <w:color w:val="auto"/>
              </w:rPr>
            </w:pPr>
          </w:p>
        </w:tc>
        <w:tc>
          <w:tcPr>
            <w:tcW w:w="1580" w:type="dxa"/>
            <w:vAlign w:val="bottom"/>
          </w:tcPr>
          <w:p>
            <w:pPr>
              <w:jc w:val="right"/>
              <w:ind w:right="293"/>
              <w:spacing w:after="0"/>
              <w:rPr>
                <w:sz w:val="20"/>
                <w:szCs w:val="20"/>
                <w:color w:val="auto"/>
              </w:rPr>
            </w:pPr>
            <w:r>
              <w:rPr>
                <w:rFonts w:ascii="Arial" w:cs="Arial" w:eastAsia="Arial" w:hAnsi="Arial"/>
                <w:sz w:val="14"/>
                <w:szCs w:val="14"/>
                <w:b w:val="1"/>
                <w:bCs w:val="1"/>
                <w:color w:val="auto"/>
              </w:rPr>
              <w:t>Operating Leases</w:t>
            </w:r>
          </w:p>
        </w:tc>
      </w:tr>
      <w:tr>
        <w:trPr>
          <w:trHeight w:val="28"/>
        </w:trPr>
        <w:tc>
          <w:tcPr>
            <w:tcW w:w="9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(excluding nine months ended September 30, 2022)</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8"/>
        </w:trPr>
        <w:tc>
          <w:tcPr>
            <w:tcW w:w="942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8"/>
        </w:trPr>
        <w:tc>
          <w:tcPr>
            <w:tcW w:w="9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8"/>
        </w:trPr>
        <w:tc>
          <w:tcPr>
            <w:tcW w:w="942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9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8"/>
        </w:trPr>
        <w:tc>
          <w:tcPr>
            <w:tcW w:w="9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7"/>
        </w:trPr>
        <w:tc>
          <w:tcPr>
            <w:tcW w:w="9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38"/>
        </w:trPr>
        <w:tc>
          <w:tcPr>
            <w:tcW w:w="9420" w:type="dxa"/>
            <w:vAlign w:val="bottom"/>
          </w:tcPr>
          <w:p>
            <w:pPr>
              <w:ind w:left="20"/>
              <w:spacing w:after="0"/>
              <w:rPr>
                <w:sz w:val="20"/>
                <w:szCs w:val="20"/>
                <w:color w:val="auto"/>
              </w:rPr>
            </w:pPr>
            <w:r>
              <w:rPr>
                <w:rFonts w:ascii="Arial" w:cs="Arial" w:eastAsia="Arial" w:hAnsi="Arial"/>
                <w:sz w:val="18"/>
                <w:szCs w:val="18"/>
                <w:color w:val="auto"/>
              </w:rPr>
              <w:t>less effects of discounting</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8"/>
        </w:trPr>
        <w:tc>
          <w:tcPr>
            <w:tcW w:w="9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3"/>
        </w:trPr>
        <w:tc>
          <w:tcPr>
            <w:tcW w:w="9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9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5"/>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Reported as of September 30, 2022</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38"/>
        </w:trPr>
        <w:tc>
          <w:tcPr>
            <w:tcW w:w="942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8"/>
        </w:trPr>
        <w:tc>
          <w:tcPr>
            <w:tcW w:w="9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5"/>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58"/>
        </w:trPr>
        <w:tc>
          <w:tcPr>
            <w:tcW w:w="9420" w:type="dxa"/>
            <w:vAlign w:val="bottom"/>
          </w:tcPr>
          <w:p>
            <w:pPr>
              <w:ind w:left="2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9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above does not include any legally binding minimum lease payments for leases signed but not yet commenced.</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Expense associated with short term leases and variable lease costs were immaterial for the three and nine months ended September 30, 2022. The expense related to short-term leases reasonably reflected our short-term lease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Leasing Activity</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the third quarter of 2022, the Company executed a sublease termination agreement for sublet office space in Waltham, Massachusetts. Pursuant to the termination agreement, the sublessee paid the Company a lease termination penalty in the amount of $2.5 million. Additionally, this termination resulted in the impairment of the previously capitalized initial direct costs of $1.4 million and the recognition of a gain of $1.1 million as a reduction of rent expense and allocated to the appropriate financial statement line items to arrive at </w:t>
      </w:r>
      <w:r>
        <w:rPr>
          <w:rFonts w:ascii="Arial" w:cs="Arial" w:eastAsia="Arial" w:hAnsi="Arial"/>
          <w:sz w:val="17"/>
          <w:szCs w:val="17"/>
          <w:i w:val="1"/>
          <w:iCs w:val="1"/>
          <w:color w:val="auto"/>
        </w:rPr>
        <w:t>Income (loss) from operations</w:t>
      </w:r>
      <w:r>
        <w:rPr>
          <w:rFonts w:ascii="Arial" w:cs="Arial" w:eastAsia="Arial" w:hAnsi="Arial"/>
          <w:sz w:val="17"/>
          <w:szCs w:val="17"/>
          <w:color w:val="auto"/>
        </w:rPr>
        <w:t xml:space="preserve"> on our Consolidated Statements of Operations. The Company executed an agreement to sublet the Waltham office space to a new tenant for the remainder of our lease term which commenced in September 2022. Sublease income will be recorded as a reduction of rent expense and allocated to the appropriate financial statement line items to arrive at </w:t>
      </w:r>
      <w:r>
        <w:rPr>
          <w:rFonts w:ascii="Arial" w:cs="Arial" w:eastAsia="Arial" w:hAnsi="Arial"/>
          <w:sz w:val="17"/>
          <w:szCs w:val="17"/>
          <w:i w:val="1"/>
          <w:iCs w:val="1"/>
          <w:color w:val="auto"/>
        </w:rPr>
        <w:t>Income (loss)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operations </w:t>
      </w:r>
      <w:r>
        <w:rPr>
          <w:rFonts w:ascii="Arial" w:cs="Arial" w:eastAsia="Arial" w:hAnsi="Arial"/>
          <w:sz w:val="17"/>
          <w:szCs w:val="17"/>
          <w:color w:val="auto"/>
        </w:rPr>
        <w:t>on our Consolidated Statements of Operations.</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head lease for the sublet office space in Waltham provides for the option to extend for an additional five years which we were previously not reasonably certain to exercise. In connection with the subleasing activity detailed above, the Company reassessed the lease term of our sublet office space in Waltham and determined that the Company is reasonably certain of exercising the option. In July, the Company recorded a $5.1 million increase in the operating lease right-of-use asset and a $5.1 million increase in the lease liability.</w:t>
      </w:r>
    </w:p>
    <w:p>
      <w:pPr>
        <w:spacing w:after="0" w:line="13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During the nine months ended September 30, 2022, the Company executed a seven-year lease for office space in Ra’anana, Israel, with the rent payments for the first phase expected to commence at the earliest in July 2023, and the rent payments for the additional phases expected to commence between August 2023 and January 2024. Upon execution of the lease, the Company paid rent in advance of $1.7 million. The lease contains two options to extend for an additional three and five years, respectively, for which the company is not reasonably certain of exercising as of September 30, 2022. The lease is subject to fixed rate rent with the addition of VAT and certain future increases of the Israel Consumer Price Index. The lease provides for $13.8 million in tenant improvements. The Company determined that it is the accounting owner of all tenant improvements. As the commencement of this lease is expected to occur in the future, the Company has not recorded operating lease right-of-use assets or lease liabilities as of September 30, 2022.</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Undiscounted lease payments under all leases executed and not yet commenced are anticipated to be $340.9 million, which are not included in the tabular disclosure of undiscounted future minimum lease payments under non-cancelable leases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w:t>
      </w:r>
    </w:p>
    <w:p>
      <w:pPr>
        <w:spacing w:after="0" w:line="164"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b w:val="1"/>
          <w:bCs w:val="1"/>
          <w:color w:val="auto"/>
        </w:rPr>
        <w:t xml:space="preserve">2020 Omnibus Incentive Plan </w:t>
      </w:r>
      <w:r>
        <w:rPr>
          <w:rFonts w:ascii="Arial" w:cs="Arial" w:eastAsia="Arial" w:hAnsi="Arial"/>
          <w:sz w:val="17"/>
          <w:szCs w:val="17"/>
          <w:color w:val="auto"/>
        </w:rPr>
        <w:t>- On May 27, 2020, the Board of Directors of the Company (the “Board”) adopted the ZoomInfo Technologies Inc. 2020</w:t>
      </w:r>
      <w:r>
        <w:rPr>
          <w:rFonts w:ascii="Arial" w:cs="Arial" w:eastAsia="Arial" w:hAnsi="Arial"/>
          <w:sz w:val="17"/>
          <w:szCs w:val="17"/>
          <w:b w:val="1"/>
          <w:bCs w:val="1"/>
          <w:color w:val="auto"/>
        </w:rPr>
        <w:t xml:space="preserve"> </w:t>
      </w:r>
      <w:r>
        <w:rPr>
          <w:rFonts w:ascii="Arial" w:cs="Arial" w:eastAsia="Arial" w:hAnsi="Arial"/>
          <w:sz w:val="17"/>
          <w:szCs w:val="17"/>
          <w:color w:val="auto"/>
        </w:rPr>
        <w:t>Omnibus Incentive Plan (the “Omnibus Plan”). The Omnibus Plan provides for potential grants of the following awards with respect to shares of the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12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maximum aggregate number of shares of Common Stock that may be issued pursuant to awards under the Omnibus Plan shall not exceed 18,650,000 shares (including OpCo Units or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currently has equity-based compensation awards outstanding as follows: Restricted Stock Units, Common Stock Options, and Restricted Stock. In addition, the Company recognizes equity-based compensation expense from awards granted to employees as further described below under HSKB Incentive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years anniversary of the grant date of the award and the remainder vesting monthly thereafter. For awards made after May 2020 to existing employees, the service vesting condition is generally four years with 25% vesting on the one year anniversary of the grant date of the award and 6.25% vesting quarterly thereafter. For performance-based Restricted Stock Units issued in Q3 2022, the service vesting condition is one year and specified company performance targets. Certain additional grants have other vesting periods approved by the Compensation Committee of the Board.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Unit activity was as follows during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w:t>
            </w:r>
          </w:p>
        </w:tc>
      </w:tr>
      <w:tr>
        <w:trPr>
          <w:trHeight w:val="184"/>
        </w:trPr>
        <w:tc>
          <w:tcPr>
            <w:tcW w:w="5800" w:type="dxa"/>
            <w:vAlign w:val="bottom"/>
          </w:tcPr>
          <w:p>
            <w:pPr>
              <w:spacing w:after="0"/>
              <w:rPr>
                <w:sz w:val="15"/>
                <w:szCs w:val="15"/>
                <w:color w:val="auto"/>
              </w:rPr>
            </w:pPr>
          </w:p>
        </w:tc>
        <w:tc>
          <w:tcPr>
            <w:tcW w:w="3700" w:type="dxa"/>
            <w:vAlign w:val="bottom"/>
            <w:gridSpan w:val="5"/>
          </w:tcPr>
          <w:p>
            <w:pPr>
              <w:ind w:left="580"/>
              <w:spacing w:after="0"/>
              <w:rPr>
                <w:sz w:val="20"/>
                <w:szCs w:val="20"/>
                <w:color w:val="auto"/>
              </w:rPr>
            </w:pPr>
            <w:r>
              <w:rPr>
                <w:rFonts w:ascii="Arial" w:cs="Arial" w:eastAsia="Arial" w:hAnsi="Arial"/>
                <w:sz w:val="14"/>
                <w:szCs w:val="14"/>
                <w:b w:val="1"/>
                <w:bCs w:val="1"/>
                <w:color w:val="auto"/>
              </w:rPr>
              <w:t>Nine Months Ended September 30, 2022</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30, 2021</w:t>
            </w:r>
          </w:p>
        </w:tc>
      </w:tr>
      <w:tr>
        <w:trPr>
          <w:trHeight w:val="38"/>
        </w:trPr>
        <w:tc>
          <w:tcPr>
            <w:tcW w:w="58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69"/>
        </w:trPr>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Weighted Average Grant</w:t>
            </w:r>
          </w:p>
        </w:tc>
        <w:tc>
          <w:tcPr>
            <w:tcW w:w="1740" w:type="dxa"/>
            <w:vAlign w:val="bottom"/>
          </w:tcPr>
          <w:p>
            <w:pPr>
              <w:spacing w:after="0"/>
              <w:rPr>
                <w:sz w:val="14"/>
                <w:szCs w:val="14"/>
                <w:color w:val="auto"/>
              </w:rPr>
            </w:pPr>
          </w:p>
        </w:tc>
      </w:tr>
      <w:tr>
        <w:trPr>
          <w:trHeight w:val="184"/>
        </w:trPr>
        <w:tc>
          <w:tcPr>
            <w:tcW w:w="5800" w:type="dxa"/>
            <w:vAlign w:val="bottom"/>
          </w:tcPr>
          <w:p>
            <w:pPr>
              <w:spacing w:after="0"/>
              <w:rPr>
                <w:sz w:val="15"/>
                <w:szCs w:val="15"/>
                <w:color w:val="auto"/>
              </w:rPr>
            </w:pPr>
          </w:p>
        </w:tc>
        <w:tc>
          <w:tcPr>
            <w:tcW w:w="1740" w:type="dxa"/>
            <w:vAlign w:val="bottom"/>
          </w:tcPr>
          <w:p>
            <w:pPr>
              <w:jc w:val="right"/>
              <w:ind w:right="116"/>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Date Fair Value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Restricted Stock Units</w:t>
            </w:r>
          </w:p>
        </w:tc>
      </w:tr>
      <w:tr>
        <w:trPr>
          <w:trHeight w:val="38"/>
        </w:trPr>
        <w:tc>
          <w:tcPr>
            <w:tcW w:w="58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4,853,795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985,398</w:t>
            </w:r>
          </w:p>
        </w:tc>
      </w:tr>
      <w:tr>
        <w:trPr>
          <w:trHeight w:val="237"/>
        </w:trPr>
        <w:tc>
          <w:tcPr>
            <w:tcW w:w="58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6,516,786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46.81</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2,719,862</w:t>
            </w:r>
          </w:p>
        </w:tc>
      </w:tr>
      <w:tr>
        <w:trPr>
          <w:trHeight w:val="28"/>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Granted - performance-based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147,445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800" w:type="dxa"/>
            <w:vAlign w:val="bottom"/>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tcPr>
          <w:p>
            <w:pPr>
              <w:jc w:val="right"/>
              <w:spacing w:after="0"/>
              <w:rPr>
                <w:sz w:val="20"/>
                <w:szCs w:val="20"/>
                <w:color w:val="auto"/>
              </w:rPr>
            </w:pPr>
            <w:r>
              <w:rPr>
                <w:rFonts w:ascii="Arial" w:cs="Arial" w:eastAsia="Arial" w:hAnsi="Arial"/>
                <w:sz w:val="18"/>
                <w:szCs w:val="18"/>
                <w:color w:val="auto"/>
              </w:rPr>
              <w:t>(821,561)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(291,536)</w:t>
            </w:r>
          </w:p>
        </w:tc>
      </w:tr>
      <w:tr>
        <w:trPr>
          <w:trHeight w:val="28"/>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(1,280,906)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(199,968)</w:t>
            </w:r>
          </w:p>
        </w:tc>
      </w:tr>
      <w:tr>
        <w:trPr>
          <w:trHeight w:val="258"/>
        </w:trPr>
        <w:tc>
          <w:tcPr>
            <w:tcW w:w="580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9,415,559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22"/>
                <w:szCs w:val="2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3,213,756</w:t>
            </w:r>
          </w:p>
        </w:tc>
      </w:tr>
      <w:tr>
        <w:trPr>
          <w:trHeight w:val="20"/>
        </w:trPr>
        <w:tc>
          <w:tcPr>
            <w:tcW w:w="58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year ended December 31, 2021, the Company issued shares of Restricted Stock in exchange for all unvested HoldCo Units, Class P Units, and LTIP Units owned directly by employees of the Company (refer to Note 1 - Organization and Background). The exchanged shares of Restricted Stock remain subject to the same service vesting requirements of the original units. Upon fulfillment of the original employment service conditions, the restrictions will be lifted, and the Restricted Stock will convert to unrestricted Common Stock.</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w:t>
            </w:r>
          </w:p>
        </w:tc>
      </w:tr>
      <w:tr>
        <w:trPr>
          <w:trHeight w:val="197"/>
        </w:trPr>
        <w:tc>
          <w:tcPr>
            <w:tcW w:w="5800" w:type="dxa"/>
            <w:vAlign w:val="bottom"/>
          </w:tcPr>
          <w:p>
            <w:pPr>
              <w:spacing w:after="0"/>
              <w:rPr>
                <w:sz w:val="17"/>
                <w:szCs w:val="17"/>
                <w:color w:val="auto"/>
              </w:rPr>
            </w:pPr>
          </w:p>
        </w:tc>
        <w:tc>
          <w:tcPr>
            <w:tcW w:w="3700" w:type="dxa"/>
            <w:vAlign w:val="bottom"/>
            <w:gridSpan w:val="5"/>
          </w:tcPr>
          <w:p>
            <w:pPr>
              <w:ind w:left="580"/>
              <w:spacing w:after="0"/>
              <w:rPr>
                <w:sz w:val="20"/>
                <w:szCs w:val="20"/>
                <w:color w:val="auto"/>
              </w:rPr>
            </w:pPr>
            <w:r>
              <w:rPr>
                <w:rFonts w:ascii="Arial" w:cs="Arial" w:eastAsia="Arial" w:hAnsi="Arial"/>
                <w:sz w:val="14"/>
                <w:szCs w:val="14"/>
                <w:b w:val="1"/>
                <w:bCs w:val="1"/>
                <w:color w:val="auto"/>
              </w:rPr>
              <w:t>Nine Months Ended September 30, 2022</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30, 2021</w:t>
            </w:r>
          </w:p>
        </w:tc>
      </w:tr>
      <w:tr>
        <w:trPr>
          <w:trHeight w:val="38"/>
        </w:trPr>
        <w:tc>
          <w:tcPr>
            <w:tcW w:w="58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56"/>
        </w:trPr>
        <w:tc>
          <w:tcPr>
            <w:tcW w:w="5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3"/>
              </w:rPr>
              <w:t>Weighted Average Grant</w:t>
            </w:r>
          </w:p>
        </w:tc>
        <w:tc>
          <w:tcPr>
            <w:tcW w:w="1740" w:type="dxa"/>
            <w:vAlign w:val="bottom"/>
          </w:tcPr>
          <w:p>
            <w:pPr>
              <w:spacing w:after="0"/>
              <w:rPr>
                <w:sz w:val="13"/>
                <w:szCs w:val="13"/>
                <w:color w:val="auto"/>
              </w:rPr>
            </w:pPr>
          </w:p>
        </w:tc>
      </w:tr>
      <w:tr>
        <w:trPr>
          <w:trHeight w:val="197"/>
        </w:trPr>
        <w:tc>
          <w:tcPr>
            <w:tcW w:w="5800" w:type="dxa"/>
            <w:vAlign w:val="bottom"/>
          </w:tcPr>
          <w:p>
            <w:pPr>
              <w:spacing w:after="0"/>
              <w:rPr>
                <w:sz w:val="17"/>
                <w:szCs w:val="17"/>
                <w:color w:val="auto"/>
              </w:rPr>
            </w:pPr>
          </w:p>
        </w:tc>
        <w:tc>
          <w:tcPr>
            <w:tcW w:w="1740" w:type="dxa"/>
            <w:vAlign w:val="bottom"/>
          </w:tcPr>
          <w:p>
            <w:pPr>
              <w:jc w:val="right"/>
              <w:ind w:right="316"/>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Date Fair Value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Restricted stock</w:t>
            </w:r>
          </w:p>
        </w:tc>
      </w:tr>
      <w:tr>
        <w:trPr>
          <w:trHeight w:val="37"/>
        </w:trPr>
        <w:tc>
          <w:tcPr>
            <w:tcW w:w="58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3,525,373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5800" w:type="dxa"/>
            <w:vAlign w:val="bottom"/>
          </w:tcPr>
          <w:p>
            <w:pPr>
              <w:ind w:left="120"/>
              <w:spacing w:after="0"/>
              <w:rPr>
                <w:sz w:val="20"/>
                <w:szCs w:val="20"/>
                <w:color w:val="auto"/>
              </w:rPr>
            </w:pPr>
            <w:r>
              <w:rPr>
                <w:rFonts w:ascii="Arial" w:cs="Arial" w:eastAsia="Arial" w:hAnsi="Arial"/>
                <w:sz w:val="18"/>
                <w:szCs w:val="18"/>
                <w:color w:val="auto"/>
              </w:rPr>
              <w:t>Exchanged HoldCo Units</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872,371</w:t>
            </w:r>
          </w:p>
        </w:tc>
      </w:tr>
      <w:tr>
        <w:trPr>
          <w:trHeight w:val="28"/>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Exchanged Class P Units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947,515</w:t>
            </w:r>
          </w:p>
        </w:tc>
      </w:tr>
      <w:tr>
        <w:trPr>
          <w:trHeight w:val="238"/>
        </w:trPr>
        <w:tc>
          <w:tcPr>
            <w:tcW w:w="5800" w:type="dxa"/>
            <w:vAlign w:val="bottom"/>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tcPr>
          <w:p>
            <w:pPr>
              <w:jc w:val="right"/>
              <w:spacing w:after="0"/>
              <w:rPr>
                <w:sz w:val="20"/>
                <w:szCs w:val="20"/>
                <w:color w:val="auto"/>
              </w:rPr>
            </w:pPr>
            <w:r>
              <w:rPr>
                <w:rFonts w:ascii="Arial" w:cs="Arial" w:eastAsia="Arial" w:hAnsi="Arial"/>
                <w:sz w:val="18"/>
                <w:szCs w:val="18"/>
                <w:color w:val="auto"/>
              </w:rPr>
              <w:t>(2,005,106)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(385,120)</w:t>
            </w:r>
          </w:p>
        </w:tc>
      </w:tr>
      <w:tr>
        <w:trPr>
          <w:trHeight w:val="28"/>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(266,394)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58"/>
        </w:trPr>
        <w:tc>
          <w:tcPr>
            <w:tcW w:w="580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1,253,873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2"/>
                <w:szCs w:val="2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1,433,840</w:t>
            </w:r>
          </w:p>
        </w:tc>
      </w:tr>
      <w:tr>
        <w:trPr>
          <w:trHeight w:val="20"/>
        </w:trPr>
        <w:tc>
          <w:tcPr>
            <w:tcW w:w="58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Options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Options activity was as follows during the period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w:t>
            </w:r>
          </w:p>
        </w:tc>
      </w:tr>
      <w:tr>
        <w:trPr>
          <w:trHeight w:val="184"/>
        </w:trPr>
        <w:tc>
          <w:tcPr>
            <w:tcW w:w="5800" w:type="dxa"/>
            <w:vAlign w:val="bottom"/>
          </w:tcPr>
          <w:p>
            <w:pPr>
              <w:spacing w:after="0"/>
              <w:rPr>
                <w:sz w:val="15"/>
                <w:szCs w:val="15"/>
                <w:color w:val="auto"/>
              </w:rPr>
            </w:pPr>
          </w:p>
        </w:tc>
        <w:tc>
          <w:tcPr>
            <w:tcW w:w="30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 2022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30, 2021</w:t>
            </w:r>
          </w:p>
        </w:tc>
      </w:tr>
      <w:tr>
        <w:trPr>
          <w:trHeight w:val="38"/>
        </w:trPr>
        <w:tc>
          <w:tcPr>
            <w:tcW w:w="58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69"/>
        </w:trPr>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Weighted Average Exercise</w:t>
            </w:r>
          </w:p>
        </w:tc>
        <w:tc>
          <w:tcPr>
            <w:tcW w:w="1740" w:type="dxa"/>
            <w:vAlign w:val="bottom"/>
          </w:tcPr>
          <w:p>
            <w:pPr>
              <w:spacing w:after="0"/>
              <w:rPr>
                <w:sz w:val="14"/>
                <w:szCs w:val="14"/>
                <w:color w:val="auto"/>
              </w:rPr>
            </w:pPr>
          </w:p>
        </w:tc>
      </w:tr>
      <w:tr>
        <w:trPr>
          <w:trHeight w:val="184"/>
        </w:trPr>
        <w:tc>
          <w:tcPr>
            <w:tcW w:w="5800" w:type="dxa"/>
            <w:vAlign w:val="bottom"/>
          </w:tcPr>
          <w:p>
            <w:pPr>
              <w:spacing w:after="0"/>
              <w:rPr>
                <w:sz w:val="15"/>
                <w:szCs w:val="15"/>
                <w:color w:val="auto"/>
              </w:rPr>
            </w:pPr>
          </w:p>
        </w:tc>
        <w:tc>
          <w:tcPr>
            <w:tcW w:w="1740" w:type="dxa"/>
            <w:vAlign w:val="bottom"/>
          </w:tcPr>
          <w:p>
            <w:pPr>
              <w:jc w:val="right"/>
              <w:ind w:right="537"/>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Price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r>
      <w:tr>
        <w:trPr>
          <w:trHeight w:val="38"/>
        </w:trPr>
        <w:tc>
          <w:tcPr>
            <w:tcW w:w="58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417,085</w:t>
            </w:r>
          </w:p>
        </w:tc>
        <w:tc>
          <w:tcPr>
            <w:tcW w:w="1320" w:type="dxa"/>
            <w:vAlign w:val="bottom"/>
            <w:tcBorders>
              <w:bottom w:val="single" w:sz="8" w:color="CCEEFF"/>
            </w:tcBorders>
            <w:gridSpan w:val="2"/>
            <w:shd w:val="clear" w:color="auto" w:fill="CCEEFF"/>
          </w:tcPr>
          <w:p>
            <w:pPr>
              <w:jc w:val="right"/>
              <w:ind w:right="102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21.00</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552,440</w:t>
            </w:r>
          </w:p>
        </w:tc>
      </w:tr>
      <w:tr>
        <w:trPr>
          <w:trHeight w:val="237"/>
        </w:trPr>
        <w:tc>
          <w:tcPr>
            <w:tcW w:w="580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740" w:type="dxa"/>
            <w:vAlign w:val="bottom"/>
          </w:tcPr>
          <w:p>
            <w:pPr>
              <w:jc w:val="right"/>
              <w:spacing w:after="0"/>
              <w:rPr>
                <w:sz w:val="20"/>
                <w:szCs w:val="20"/>
                <w:color w:val="auto"/>
              </w:rPr>
            </w:pPr>
            <w:r>
              <w:rPr>
                <w:rFonts w:ascii="Arial" w:cs="Arial" w:eastAsia="Arial" w:hAnsi="Arial"/>
                <w:sz w:val="18"/>
                <w:szCs w:val="18"/>
                <w:color w:val="auto"/>
              </w:rPr>
              <w:t>(56,219)</w:t>
            </w:r>
          </w:p>
        </w:tc>
        <w:tc>
          <w:tcPr>
            <w:tcW w:w="1320" w:type="dxa"/>
            <w:vAlign w:val="bottom"/>
            <w:gridSpan w:val="2"/>
          </w:tcPr>
          <w:p>
            <w:pPr>
              <w:jc w:val="right"/>
              <w:ind w:right="102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21.00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(64,519)</w:t>
            </w:r>
          </w:p>
        </w:tc>
      </w:tr>
      <w:tr>
        <w:trPr>
          <w:trHeight w:val="28"/>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320" w:type="dxa"/>
            <w:vAlign w:val="bottom"/>
            <w:tcBorders>
              <w:bottom w:val="single" w:sz="8" w:color="CCEEFF"/>
            </w:tcBorders>
            <w:gridSpan w:val="2"/>
            <w:shd w:val="clear" w:color="auto" w:fill="CCEEFF"/>
          </w:tcPr>
          <w:p>
            <w:pPr>
              <w:jc w:val="right"/>
              <w:ind w:right="102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58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(20,485)</w:t>
            </w:r>
          </w:p>
        </w:tc>
        <w:tc>
          <w:tcPr>
            <w:tcW w:w="1320" w:type="dxa"/>
            <w:vAlign w:val="bottom"/>
            <w:gridSpan w:val="2"/>
          </w:tcPr>
          <w:p>
            <w:pPr>
              <w:jc w:val="right"/>
              <w:ind w:right="102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21.00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(20,191)</w:t>
            </w:r>
          </w:p>
        </w:tc>
      </w:tr>
      <w:tr>
        <w:trPr>
          <w:trHeight w:val="28"/>
        </w:trPr>
        <w:tc>
          <w:tcPr>
            <w:tcW w:w="58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3"/>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332,446</w:t>
            </w:r>
          </w:p>
        </w:tc>
        <w:tc>
          <w:tcPr>
            <w:tcW w:w="1320" w:type="dxa"/>
            <w:vAlign w:val="bottom"/>
            <w:tcBorders>
              <w:bottom w:val="single" w:sz="8" w:color="CCEEFF"/>
            </w:tcBorders>
            <w:gridSpan w:val="2"/>
            <w:shd w:val="clear" w:color="auto" w:fill="CCEEFF"/>
          </w:tcPr>
          <w:p>
            <w:pPr>
              <w:jc w:val="right"/>
              <w:ind w:right="102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21.00</w:t>
            </w:r>
          </w:p>
        </w:tc>
        <w:tc>
          <w:tcPr>
            <w:tcW w:w="1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467,730</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Options have a maximum contractual term of ten years. The aggregate intrinsic value and weighted average remaining contractual terms of Options outstanding and Options exercisable were as follows as of September 30,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tcPr>
          <w:p>
            <w:pPr>
              <w:jc w:val="right"/>
              <w:ind w:right="575"/>
              <w:spacing w:after="0"/>
              <w:rPr>
                <w:sz w:val="20"/>
                <w:szCs w:val="20"/>
                <w:color w:val="auto"/>
              </w:rPr>
            </w:pPr>
            <w:r>
              <w:rPr>
                <w:rFonts w:ascii="Arial" w:cs="Arial" w:eastAsia="Arial" w:hAnsi="Arial"/>
                <w:sz w:val="14"/>
                <w:szCs w:val="14"/>
                <w:b w:val="1"/>
                <w:bCs w:val="1"/>
                <w:color w:val="auto"/>
              </w:rPr>
              <w:t>September 30, 2022</w:t>
            </w:r>
          </w:p>
        </w:tc>
      </w:tr>
      <w:tr>
        <w:trPr>
          <w:trHeight w:val="38"/>
        </w:trPr>
        <w:tc>
          <w:tcPr>
            <w:tcW w:w="87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r>
        <w:trPr>
          <w:trHeight w:val="225"/>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intrinsic value (in millions)</w:t>
            </w:r>
          </w:p>
        </w:tc>
        <w:tc>
          <w:tcPr>
            <w:tcW w:w="38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spacing w:after="0"/>
              <w:rPr>
                <w:sz w:val="19"/>
                <w:szCs w:val="19"/>
                <w:color w:val="auto"/>
              </w:rPr>
            </w:pPr>
          </w:p>
        </w:tc>
      </w:tr>
      <w:tr>
        <w:trPr>
          <w:trHeight w:val="238"/>
        </w:trPr>
        <w:tc>
          <w:tcPr>
            <w:tcW w:w="8740" w:type="dxa"/>
            <w:vAlign w:val="bottom"/>
          </w:tcPr>
          <w:p>
            <w:pPr>
              <w:ind w:left="120"/>
              <w:spacing w:after="0"/>
              <w:rPr>
                <w:sz w:val="20"/>
                <w:szCs w:val="20"/>
                <w:color w:val="auto"/>
              </w:rPr>
            </w:pPr>
            <w:r>
              <w:rPr>
                <w:rFonts w:ascii="Arial" w:cs="Arial" w:eastAsia="Arial" w:hAnsi="Arial"/>
                <w:sz w:val="18"/>
                <w:szCs w:val="18"/>
                <w:color w:val="auto"/>
              </w:rPr>
              <w:t>Unit Options outstanding</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
        </w:trPr>
        <w:tc>
          <w:tcPr>
            <w:tcW w:w="8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5"/>
        </w:trPr>
        <w:tc>
          <w:tcPr>
            <w:tcW w:w="8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 Options exercisable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8"/>
        </w:trPr>
        <w:tc>
          <w:tcPr>
            <w:tcW w:w="8740" w:type="dxa"/>
            <w:vAlign w:val="bottom"/>
          </w:tcPr>
          <w:p>
            <w:pPr>
              <w:ind w:left="20"/>
              <w:spacing w:after="0"/>
              <w:rPr>
                <w:sz w:val="20"/>
                <w:szCs w:val="20"/>
                <w:color w:val="auto"/>
              </w:rPr>
            </w:pPr>
            <w:r>
              <w:rPr>
                <w:rFonts w:ascii="Arial" w:cs="Arial" w:eastAsia="Arial" w:hAnsi="Arial"/>
                <w:sz w:val="18"/>
                <w:szCs w:val="18"/>
                <w:color w:val="auto"/>
              </w:rPr>
              <w:t>Weighted average remaining contractual term (in years)</w:t>
            </w: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8"/>
        </w:trPr>
        <w:tc>
          <w:tcPr>
            <w:tcW w:w="8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5"/>
        </w:trPr>
        <w:tc>
          <w:tcPr>
            <w:tcW w:w="8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 Options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years</w:t>
            </w:r>
          </w:p>
        </w:tc>
      </w:tr>
      <w:tr>
        <w:trPr>
          <w:trHeight w:val="238"/>
        </w:trPr>
        <w:tc>
          <w:tcPr>
            <w:tcW w:w="8740" w:type="dxa"/>
            <w:vAlign w:val="bottom"/>
          </w:tcPr>
          <w:p>
            <w:pPr>
              <w:ind w:left="120"/>
              <w:spacing w:after="0"/>
              <w:rPr>
                <w:sz w:val="20"/>
                <w:szCs w:val="20"/>
                <w:color w:val="auto"/>
              </w:rPr>
            </w:pPr>
            <w:r>
              <w:rPr>
                <w:rFonts w:ascii="Arial" w:cs="Arial" w:eastAsia="Arial" w:hAnsi="Arial"/>
                <w:sz w:val="18"/>
                <w:szCs w:val="18"/>
                <w:color w:val="auto"/>
              </w:rPr>
              <w:t>Unit Options exercisable</w:t>
            </w:r>
          </w:p>
        </w:tc>
        <w:tc>
          <w:tcPr>
            <w:tcW w:w="3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7.6 years</w:t>
            </w:r>
          </w:p>
        </w:tc>
      </w:tr>
    </w:tbl>
    <w:p>
      <w:pPr>
        <w:spacing w:after="0" w:line="25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All Options outstanding were issued at the time of the IPO in 2020. No additional options have been issued to date. The fair value of Common Stock Options granted at the time of the IPO was determined using the Black-Scholes option pricing model. We estimated the future stock price volatility based on the volatility of a set of publicly traded comparable companies with a look back period consistent with the expected term. The estimated life for the units was based on the expected hold period of private equity owners. The risk-free rate is based on the rate for a U.S. government security with the same estimated life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HoldCo Units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year ended December 31, 2021, ZoomInfo HoldCo waived the restriction on exchanges of unvested HoldCo Units on condition that such holders accept shares of our common stock subject to the same vesting terms as the corresponding exchanged HoldCo Units. Subsequently, all unvested HoldCo Units, along with the same number of corresponding shares of our Class B common stock held directly by employees of the Company were voluntarily exchanged for shares of Restricted Stock.</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HoldCo Unit activity was as follows during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w:t>
            </w:r>
          </w:p>
        </w:tc>
      </w:tr>
      <w:tr>
        <w:trPr>
          <w:trHeight w:val="184"/>
        </w:trPr>
        <w:tc>
          <w:tcPr>
            <w:tcW w:w="5800" w:type="dxa"/>
            <w:vAlign w:val="bottom"/>
          </w:tcPr>
          <w:p>
            <w:pPr>
              <w:spacing w:after="0"/>
              <w:rPr>
                <w:sz w:val="15"/>
                <w:szCs w:val="15"/>
                <w:color w:val="auto"/>
              </w:rPr>
            </w:pPr>
          </w:p>
        </w:tc>
        <w:tc>
          <w:tcPr>
            <w:tcW w:w="3700" w:type="dxa"/>
            <w:vAlign w:val="bottom"/>
            <w:gridSpan w:val="6"/>
          </w:tcPr>
          <w:p>
            <w:pPr>
              <w:ind w:left="580"/>
              <w:spacing w:after="0"/>
              <w:rPr>
                <w:sz w:val="20"/>
                <w:szCs w:val="20"/>
                <w:color w:val="auto"/>
              </w:rPr>
            </w:pPr>
            <w:r>
              <w:rPr>
                <w:rFonts w:ascii="Arial" w:cs="Arial" w:eastAsia="Arial" w:hAnsi="Arial"/>
                <w:sz w:val="14"/>
                <w:szCs w:val="14"/>
                <w:b w:val="1"/>
                <w:bCs w:val="1"/>
                <w:color w:val="auto"/>
              </w:rPr>
              <w:t>Nine Months Ended September 30, 2022</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30, 2021</w:t>
            </w:r>
          </w:p>
        </w:tc>
      </w:tr>
      <w:tr>
        <w:trPr>
          <w:trHeight w:val="38"/>
        </w:trPr>
        <w:tc>
          <w:tcPr>
            <w:tcW w:w="58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69"/>
        </w:trPr>
        <w:tc>
          <w:tcPr>
            <w:tcW w:w="5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Weighted Average Grant</w:t>
            </w:r>
          </w:p>
        </w:tc>
        <w:tc>
          <w:tcPr>
            <w:tcW w:w="1740" w:type="dxa"/>
            <w:vAlign w:val="bottom"/>
          </w:tcPr>
          <w:p>
            <w:pPr>
              <w:spacing w:after="0"/>
              <w:rPr>
                <w:sz w:val="14"/>
                <w:szCs w:val="14"/>
                <w:color w:val="auto"/>
              </w:rPr>
            </w:pPr>
          </w:p>
        </w:tc>
      </w:tr>
      <w:tr>
        <w:trPr>
          <w:trHeight w:val="184"/>
        </w:trPr>
        <w:tc>
          <w:tcPr>
            <w:tcW w:w="5800" w:type="dxa"/>
            <w:vAlign w:val="bottom"/>
          </w:tcPr>
          <w:p>
            <w:pPr>
              <w:spacing w:after="0"/>
              <w:rPr>
                <w:sz w:val="15"/>
                <w:szCs w:val="15"/>
                <w:color w:val="auto"/>
              </w:rPr>
            </w:pPr>
          </w:p>
        </w:tc>
        <w:tc>
          <w:tcPr>
            <w:tcW w:w="1380" w:type="dxa"/>
            <w:vAlign w:val="bottom"/>
          </w:tcPr>
          <w:p>
            <w:pPr>
              <w:ind w:left="460"/>
              <w:spacing w:after="0"/>
              <w:rPr>
                <w:sz w:val="20"/>
                <w:szCs w:val="20"/>
                <w:color w:val="auto"/>
              </w:rPr>
            </w:pPr>
            <w:r>
              <w:rPr>
                <w:rFonts w:ascii="Arial" w:cs="Arial" w:eastAsia="Arial" w:hAnsi="Arial"/>
                <w:sz w:val="14"/>
                <w:szCs w:val="14"/>
                <w:b w:val="1"/>
                <w:bCs w:val="1"/>
                <w:color w:val="auto"/>
              </w:rPr>
              <w:t>HoldCo Units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 Fair Value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HoldCo Units</w:t>
            </w:r>
          </w:p>
        </w:tc>
      </w:tr>
      <w:tr>
        <w:trPr>
          <w:trHeight w:val="38"/>
        </w:trPr>
        <w:tc>
          <w:tcPr>
            <w:tcW w:w="58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1,214,105</w:t>
            </w:r>
          </w:p>
        </w:tc>
      </w:tr>
      <w:tr>
        <w:trPr>
          <w:trHeight w:val="238"/>
        </w:trPr>
        <w:tc>
          <w:tcPr>
            <w:tcW w:w="7180" w:type="dxa"/>
            <w:vAlign w:val="bottom"/>
            <w:gridSpan w:val="2"/>
          </w:tcPr>
          <w:p>
            <w:pPr>
              <w:ind w:left="120"/>
              <w:spacing w:after="0"/>
              <w:rPr>
                <w:sz w:val="20"/>
                <w:szCs w:val="20"/>
                <w:color w:val="auto"/>
              </w:rPr>
            </w:pPr>
            <w:r>
              <w:rPr>
                <w:rFonts w:ascii="Arial" w:cs="Arial" w:eastAsia="Arial" w:hAnsi="Arial"/>
                <w:sz w:val="18"/>
                <w:szCs w:val="18"/>
                <w:color w:val="auto"/>
              </w:rPr>
              <w:t>Exchanged for Restricted Stock</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(872,371)</w:t>
            </w:r>
          </w:p>
        </w:tc>
      </w:tr>
      <w:tr>
        <w:trPr>
          <w:trHeight w:val="28"/>
        </w:trPr>
        <w:tc>
          <w:tcPr>
            <w:tcW w:w="5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7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(298,177)</w:t>
            </w:r>
          </w:p>
        </w:tc>
      </w:tr>
      <w:tr>
        <w:trPr>
          <w:trHeight w:val="237"/>
        </w:trPr>
        <w:tc>
          <w:tcPr>
            <w:tcW w:w="718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(43,557)</w:t>
            </w:r>
          </w:p>
        </w:tc>
      </w:tr>
      <w:tr>
        <w:trPr>
          <w:trHeight w:val="28"/>
        </w:trPr>
        <w:tc>
          <w:tcPr>
            <w:tcW w:w="58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78"/>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P Units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During the year ended December 31, 2021, the Company permitted employees to exercise the exchange rights on unvested Class P Units, pursuant to Board approval. Subsequently, the Company exercised the exchange rights on unvested Class P Units due to the Holding Company Reorganization (refer to Note 1 - Organization and Background). The recipients received a number of shares of Restricted Stock equal in value to the implied “spread value” of the corresponding Class P Units, calculated based on the excess of the public trading price of Class A common stock at the time of the exchange over the per unit participation threshold of such Class P Units. The shares of Restricted Stock received are subject to the same vesting terms as the corresponding exchanged unvested Class P units.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Class P Unit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w:t>
            </w:r>
          </w:p>
        </w:tc>
      </w:tr>
      <w:tr>
        <w:trPr>
          <w:trHeight w:val="197"/>
        </w:trPr>
        <w:tc>
          <w:tcPr>
            <w:tcW w:w="5800" w:type="dxa"/>
            <w:vAlign w:val="bottom"/>
          </w:tcPr>
          <w:p>
            <w:pPr>
              <w:spacing w:after="0"/>
              <w:rPr>
                <w:sz w:val="17"/>
                <w:szCs w:val="17"/>
                <w:color w:val="auto"/>
              </w:rPr>
            </w:pPr>
          </w:p>
        </w:tc>
        <w:tc>
          <w:tcPr>
            <w:tcW w:w="3700" w:type="dxa"/>
            <w:vAlign w:val="bottom"/>
            <w:gridSpan w:val="6"/>
          </w:tcPr>
          <w:p>
            <w:pPr>
              <w:ind w:left="580"/>
              <w:spacing w:after="0"/>
              <w:rPr>
                <w:sz w:val="20"/>
                <w:szCs w:val="20"/>
                <w:color w:val="auto"/>
              </w:rPr>
            </w:pPr>
            <w:r>
              <w:rPr>
                <w:rFonts w:ascii="Arial" w:cs="Arial" w:eastAsia="Arial" w:hAnsi="Arial"/>
                <w:sz w:val="14"/>
                <w:szCs w:val="14"/>
                <w:b w:val="1"/>
                <w:bCs w:val="1"/>
                <w:color w:val="auto"/>
              </w:rPr>
              <w:t>Nine Months Ended September 30, 2022</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30, 2021</w:t>
            </w:r>
          </w:p>
        </w:tc>
      </w:tr>
      <w:tr>
        <w:trPr>
          <w:trHeight w:val="38"/>
        </w:trPr>
        <w:tc>
          <w:tcPr>
            <w:tcW w:w="58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56"/>
        </w:trPr>
        <w:tc>
          <w:tcPr>
            <w:tcW w:w="5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ind w:left="180"/>
              <w:spacing w:after="0" w:line="156" w:lineRule="exact"/>
              <w:rPr>
                <w:sz w:val="20"/>
                <w:szCs w:val="20"/>
                <w:color w:val="auto"/>
              </w:rPr>
            </w:pPr>
            <w:r>
              <w:rPr>
                <w:rFonts w:ascii="Arial" w:cs="Arial" w:eastAsia="Arial" w:hAnsi="Arial"/>
                <w:sz w:val="14"/>
                <w:szCs w:val="14"/>
                <w:b w:val="1"/>
                <w:bCs w:val="1"/>
                <w:color w:val="auto"/>
              </w:rPr>
              <w:t>Weighted Average</w:t>
            </w:r>
          </w:p>
        </w:tc>
        <w:tc>
          <w:tcPr>
            <w:tcW w:w="1740" w:type="dxa"/>
            <w:vAlign w:val="bottom"/>
          </w:tcPr>
          <w:p>
            <w:pPr>
              <w:spacing w:after="0"/>
              <w:rPr>
                <w:sz w:val="13"/>
                <w:szCs w:val="13"/>
                <w:color w:val="auto"/>
              </w:rPr>
            </w:pPr>
          </w:p>
        </w:tc>
      </w:tr>
      <w:tr>
        <w:trPr>
          <w:trHeight w:val="197"/>
        </w:trPr>
        <w:tc>
          <w:tcPr>
            <w:tcW w:w="5800" w:type="dxa"/>
            <w:vAlign w:val="bottom"/>
          </w:tcPr>
          <w:p>
            <w:pPr>
              <w:spacing w:after="0"/>
              <w:rPr>
                <w:sz w:val="17"/>
                <w:szCs w:val="17"/>
                <w:color w:val="auto"/>
              </w:rPr>
            </w:pPr>
          </w:p>
        </w:tc>
        <w:tc>
          <w:tcPr>
            <w:tcW w:w="1380" w:type="dxa"/>
            <w:vAlign w:val="bottom"/>
          </w:tcPr>
          <w:p>
            <w:pPr>
              <w:ind w:left="480"/>
              <w:spacing w:after="0"/>
              <w:rPr>
                <w:sz w:val="20"/>
                <w:szCs w:val="20"/>
                <w:color w:val="auto"/>
              </w:rPr>
            </w:pPr>
            <w:r>
              <w:rPr>
                <w:rFonts w:ascii="Arial" w:cs="Arial" w:eastAsia="Arial" w:hAnsi="Arial"/>
                <w:sz w:val="14"/>
                <w:szCs w:val="14"/>
                <w:b w:val="1"/>
                <w:bCs w:val="1"/>
                <w:color w:val="auto"/>
                <w:w w:val="98"/>
              </w:rPr>
              <w:t>Class P Units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Participation Threshold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Class P Units</w:t>
            </w:r>
          </w:p>
        </w:tc>
      </w:tr>
      <w:tr>
        <w:trPr>
          <w:trHeight w:val="37"/>
        </w:trPr>
        <w:tc>
          <w:tcPr>
            <w:tcW w:w="58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8,796,642</w:t>
            </w:r>
          </w:p>
        </w:tc>
      </w:tr>
      <w:tr>
        <w:trPr>
          <w:trHeight w:val="238"/>
        </w:trPr>
        <w:tc>
          <w:tcPr>
            <w:tcW w:w="7180" w:type="dxa"/>
            <w:vAlign w:val="bottom"/>
            <w:gridSpan w:val="2"/>
          </w:tcPr>
          <w:p>
            <w:pPr>
              <w:ind w:left="120"/>
              <w:spacing w:after="0"/>
              <w:rPr>
                <w:sz w:val="20"/>
                <w:szCs w:val="20"/>
                <w:color w:val="auto"/>
              </w:rPr>
            </w:pPr>
            <w:r>
              <w:rPr>
                <w:rFonts w:ascii="Arial" w:cs="Arial" w:eastAsia="Arial" w:hAnsi="Arial"/>
                <w:sz w:val="18"/>
                <w:szCs w:val="18"/>
                <w:color w:val="auto"/>
              </w:rPr>
              <w:t>Exchanged for Restricted Stock</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(1,133,142)</w:t>
            </w:r>
          </w:p>
        </w:tc>
      </w:tr>
      <w:tr>
        <w:trPr>
          <w:trHeight w:val="28"/>
        </w:trPr>
        <w:tc>
          <w:tcPr>
            <w:tcW w:w="5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7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(4,506,931)</w:t>
            </w:r>
          </w:p>
        </w:tc>
      </w:tr>
      <w:tr>
        <w:trPr>
          <w:trHeight w:val="238"/>
        </w:trPr>
        <w:tc>
          <w:tcPr>
            <w:tcW w:w="718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(94,621)</w:t>
            </w:r>
          </w:p>
        </w:tc>
      </w:tr>
      <w:tr>
        <w:trPr>
          <w:trHeight w:val="28"/>
        </w:trPr>
        <w:tc>
          <w:tcPr>
            <w:tcW w:w="58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78"/>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3,061,948</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Units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During the year ended December 31, 2021, the Company exercised the exchange rights on unvested LTIP Units due to the Holding Company Reorganization (refer to Note 1 - Organization and Background).</w:t>
      </w:r>
    </w:p>
    <w:p>
      <w:pPr>
        <w:sectPr>
          <w:pgSz w:w="11900" w:h="16838" w:orient="portrait"/>
          <w:cols w:equalWidth="0" w:num="1">
            <w:col w:w="11240"/>
          </w:cols>
          <w:pgMar w:left="320" w:top="122" w:right="339" w:bottom="1440" w:gutter="0" w:footer="0" w:header="0"/>
        </w:sectPr>
      </w:pP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LTIP Unit activity was as follows during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beginning of period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Granted</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end of period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w:t>
            </w:r>
          </w:p>
        </w:tc>
      </w:tr>
      <w:tr>
        <w:trPr>
          <w:trHeight w:val="184"/>
        </w:trPr>
        <w:tc>
          <w:tcPr>
            <w:tcW w:w="3700" w:type="dxa"/>
            <w:vAlign w:val="bottom"/>
            <w:gridSpan w:val="5"/>
          </w:tcPr>
          <w:p>
            <w:pPr>
              <w:ind w:left="580"/>
              <w:spacing w:after="0"/>
              <w:rPr>
                <w:sz w:val="20"/>
                <w:szCs w:val="20"/>
                <w:color w:val="auto"/>
              </w:rPr>
            </w:pPr>
            <w:r>
              <w:rPr>
                <w:rFonts w:ascii="Arial" w:cs="Arial" w:eastAsia="Arial" w:hAnsi="Arial"/>
                <w:sz w:val="14"/>
                <w:szCs w:val="14"/>
                <w:b w:val="1"/>
                <w:bCs w:val="1"/>
                <w:color w:val="auto"/>
              </w:rPr>
              <w:t>Nine Months Ended September 30, 2022</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30, 2021</w:t>
            </w:r>
          </w:p>
        </w:tc>
      </w:tr>
      <w:tr>
        <w:trPr>
          <w:trHeight w:val="38"/>
        </w:trPr>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69"/>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Weighted Average</w:t>
            </w:r>
          </w:p>
        </w:tc>
        <w:tc>
          <w:tcPr>
            <w:tcW w:w="1740" w:type="dxa"/>
            <w:vAlign w:val="bottom"/>
          </w:tcPr>
          <w:p>
            <w:pPr>
              <w:spacing w:after="0"/>
              <w:rPr>
                <w:sz w:val="14"/>
                <w:szCs w:val="14"/>
                <w:color w:val="auto"/>
              </w:rPr>
            </w:pPr>
          </w:p>
        </w:tc>
      </w:tr>
      <w:tr>
        <w:trPr>
          <w:trHeight w:val="184"/>
        </w:trPr>
        <w:tc>
          <w:tcPr>
            <w:tcW w:w="1740" w:type="dxa"/>
            <w:vAlign w:val="bottom"/>
          </w:tcPr>
          <w:p>
            <w:pPr>
              <w:ind w:left="540"/>
              <w:spacing w:after="0"/>
              <w:rPr>
                <w:sz w:val="20"/>
                <w:szCs w:val="20"/>
                <w:color w:val="auto"/>
              </w:rPr>
            </w:pPr>
            <w:r>
              <w:rPr>
                <w:rFonts w:ascii="Arial" w:cs="Arial" w:eastAsia="Arial" w:hAnsi="Arial"/>
                <w:sz w:val="14"/>
                <w:szCs w:val="14"/>
                <w:b w:val="1"/>
                <w:bCs w:val="1"/>
                <w:color w:val="auto"/>
              </w:rPr>
              <w:t>LTIP Units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Participation Threshold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LTIP Units</w:t>
            </w:r>
          </w:p>
        </w:tc>
      </w:tr>
      <w:tr>
        <w:trPr>
          <w:trHeight w:val="38"/>
        </w:trPr>
        <w:tc>
          <w:tcPr>
            <w:tcW w:w="1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1"/>
        </w:trPr>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47,620</w:t>
            </w:r>
          </w:p>
        </w:tc>
      </w:tr>
      <w:tr>
        <w:trPr>
          <w:trHeight w:val="265"/>
        </w:trPr>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247,045</w:t>
            </w:r>
          </w:p>
        </w:tc>
      </w:tr>
      <w:tr>
        <w:trPr>
          <w:trHeight w:val="28"/>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8"/>
        </w:trPr>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294,665</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-554355</wp:posOffset>
            </wp:positionV>
            <wp:extent cx="7134860" cy="176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-209550</wp:posOffset>
            </wp:positionV>
            <wp:extent cx="7134860" cy="1936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716" w:lineRule="exact"/>
        <w:rPr>
          <w:sz w:val="20"/>
          <w:szCs w:val="20"/>
          <w:color w:val="auto"/>
        </w:rPr>
      </w:pPr>
    </w:p>
    <w:p>
      <w:pPr>
        <w:sectPr>
          <w:pgSz w:w="11900" w:h="16838" w:orient="portrait"/>
          <w:cols w:equalWidth="0" w:num="2">
            <w:col w:w="5080" w:space="720"/>
            <w:col w:w="5440"/>
          </w:cols>
          <w:pgMar w:left="320" w:top="122" w:right="339" w:bottom="1440" w:gutter="0" w:footer="0" w:header="0"/>
          <w:type w:val="continuous"/>
        </w:sectPr>
      </w:pPr>
    </w:p>
    <w:p>
      <w:pPr>
        <w:jc w:val="both"/>
        <w:ind w:firstLine="318"/>
        <w:spacing w:after="0" w:line="255" w:lineRule="auto"/>
        <w:rPr>
          <w:sz w:val="20"/>
          <w:szCs w:val="20"/>
          <w:color w:val="auto"/>
        </w:rPr>
      </w:pPr>
      <w:r>
        <w:rPr>
          <w:rFonts w:ascii="Arial" w:cs="Arial" w:eastAsia="Arial" w:hAnsi="Arial"/>
          <w:sz w:val="18"/>
          <w:szCs w:val="18"/>
          <w:color w:val="auto"/>
        </w:rPr>
        <w:t>There are no OpCo Units that are unvested and all vested OpCo Units have been converted into shares of our Common Stock due to the Holding Company Reorganization (refer to Note 1 - Organization and Background). There was no OpCo Unit activity during the nine months ended September 30, 2022 and 2021.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Board’s Compensation Committee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maximum aggregate number of shares of the Common Stock that may be issued under the ESPP is no more than 7,500,000 shares (the “ESPP Plan Share Reserve”). The ESPP plan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 of the ESPP purchase was determined using the Black-Scholes option pricing model with the following assumption ranges and fair value per unit: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9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84"/>
        </w:trPr>
        <w:tc>
          <w:tcPr>
            <w:tcW w:w="89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38"/>
        </w:trPr>
        <w:tc>
          <w:tcPr>
            <w:tcW w:w="8920" w:type="dxa"/>
            <w:vAlign w:val="bottom"/>
            <w:tcBorders>
              <w:bottom w:val="single" w:sz="8" w:color="CCEEFF"/>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r>
      <w:tr>
        <w:trPr>
          <w:trHeight w:val="238"/>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71.9%</w:t>
            </w:r>
          </w:p>
        </w:tc>
      </w:tr>
      <w:tr>
        <w:trPr>
          <w:trHeight w:val="237"/>
        </w:trPr>
        <w:tc>
          <w:tcPr>
            <w:tcW w:w="89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2320" w:type="dxa"/>
            <w:vAlign w:val="bottom"/>
          </w:tcPr>
          <w:p>
            <w:pPr>
              <w:jc w:val="center"/>
              <w:spacing w:after="0"/>
              <w:rPr>
                <w:sz w:val="20"/>
                <w:szCs w:val="20"/>
                <w:color w:val="auto"/>
              </w:rPr>
            </w:pPr>
            <w:r>
              <w:rPr>
                <w:rFonts w:ascii="Arial" w:cs="Arial" w:eastAsia="Arial" w:hAnsi="Arial"/>
                <w:sz w:val="18"/>
                <w:szCs w:val="18"/>
                <w:color w:val="auto"/>
                <w:w w:val="86"/>
              </w:rPr>
              <w:t>0.5 years</w:t>
            </w:r>
          </w:p>
        </w:tc>
      </w:tr>
      <w:tr>
        <w:trPr>
          <w:trHeight w:val="28"/>
        </w:trPr>
        <w:tc>
          <w:tcPr>
            <w:tcW w:w="89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5"/>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2.2%</w:t>
            </w:r>
          </w:p>
        </w:tc>
      </w:tr>
      <w:tr>
        <w:trPr>
          <w:trHeight w:val="237"/>
        </w:trPr>
        <w:tc>
          <w:tcPr>
            <w:tcW w:w="892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8"/>
        </w:trPr>
        <w:tc>
          <w:tcPr>
            <w:tcW w:w="89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7"/>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unit</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$9.56</w:t>
            </w:r>
          </w:p>
        </w:tc>
      </w:tr>
      <w:tr>
        <w:trPr>
          <w:trHeight w:val="28"/>
        </w:trPr>
        <w:tc>
          <w:tcPr>
            <w:tcW w:w="892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spacing w:after="0" w:line="13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The Company withheld $2.3 million and $2.9 million worth of ESPP contributions for the three and nine months ended September 30, 2022 on behalf of participating employees through payroll deductions included in </w:t>
      </w:r>
      <w:r>
        <w:rPr>
          <w:rFonts w:ascii="Arial" w:cs="Arial" w:eastAsia="Arial" w:hAnsi="Arial"/>
          <w:sz w:val="15"/>
          <w:szCs w:val="15"/>
          <w:i w:val="1"/>
          <w:iCs w:val="1"/>
          <w:color w:val="auto"/>
        </w:rPr>
        <w:t>Accrued expenses and other current liabilities</w:t>
      </w:r>
      <w:r>
        <w:rPr>
          <w:rFonts w:ascii="Arial" w:cs="Arial" w:eastAsia="Arial" w:hAnsi="Arial"/>
          <w:sz w:val="15"/>
          <w:szCs w:val="15"/>
          <w:color w:val="auto"/>
        </w:rPr>
        <w:t xml:space="preserve"> on our Condensed Consolidated Balance Sheets. No shares of Common Stock were purchased under the ESPP for the three and nine months ended September 30, 2022. The Company recognized $0.8 million and $0.9 million of equity-based compensation expenses related to the ESPP for the three and nine months ended September 30, 2022.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Incentive Units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During the year ended December 31, 2021, HSKB II exchanged their HoldCo Units and paired shares of Class B common stock of the Company for shares of Class A common stock of the Company pursuant to the terms of the limited liability company agreement of HoldCo. Subsequently, HSKB I exchanged their OpCo Units and paired shares of Class B common stock of the Company for shares of Class A common stock of the Company.</w:t>
      </w:r>
    </w:p>
    <w:p>
      <w:pPr>
        <w:spacing w:after="0" w:line="8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HSKB has issued LLC units to the employees of the Company (“HSKB Grant”) in the form of Class 1 units and Class 2 units. Such units may be exchangeable into one share of Common Stock upon vesting. HSKB awards are recorded as compensation expense of the Company in accordance with the measurement and recognition criteria of ASC 718 for awards made by economic interest holders to employees of the Company.</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HSKB has also allocated $31.3 million to be paid in cash over three years from 2019 to 2021 if the holder of an HSKB Grant remains employed by the Company as of the payment date. This pool was further expanded in March 31, 2020, when HSKB allocated an additional $5.3 million to be paid out over three years, starting with March 31, 2020, to holders of HSKB Grants who received grants after the March 2018 Carlyle Investment, subject to the holder’s continued employment by the Company. During the nine months ended September 30, 2022, HSKB paid $1.7 million from allocated funds and has $1.1 million remaining to be paid through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Phantom Units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2019, HSKB I adopted the HSKB Funds, LLC 2019 Phantom Unit Plan wherein HSKB may grant Phantom Units (“HSKB Phantom Units”) to employees of the Company. HSKB Phantom Units are recorded as compensation expense of the Company in accordance with the measurement and recognition criteria of ASC 718 for awards made by economic interest holders to employees of the Company. HSKB Phantom Units represent the economic equivalent of one share of common stock in the Company. In connection with the Reorganization Transactions, all HSKB Phantom Units were moved from HSKB I to HSKB II. Within 30 days of the later of the date upon which a Phantom Unit vests, HSKB II must settle the HSKB Phantom Unit in exchange for either (1) cash or (2) Common Stock as determined by the HSKB Manager, in each case, equal to the fair market value of such Common Unit at the time of such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Unamortized Equity-based Compensation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September 30, 2022, unamortized equity-based compensation costs related to each equity-based incentive award described above is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 period in years)</w:t>
            </w: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ind w:right="249"/>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4"/>
        </w:trPr>
        <w:tc>
          <w:tcPr>
            <w:tcW w:w="76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53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74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Remaining Service Period</w:t>
            </w:r>
          </w:p>
        </w:tc>
        <w:tc>
          <w:tcPr>
            <w:tcW w:w="0" w:type="dxa"/>
            <w:vAlign w:val="bottom"/>
          </w:tcPr>
          <w:p>
            <w:pPr>
              <w:spacing w:after="0"/>
              <w:rPr>
                <w:sz w:val="1"/>
                <w:szCs w:val="1"/>
                <w:color w:val="auto"/>
              </w:rPr>
            </w:pPr>
          </w:p>
        </w:tc>
      </w:tr>
      <w:tr>
        <w:trPr>
          <w:trHeight w:val="28"/>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Arial" w:cs="Arial" w:eastAsia="Arial" w:hAnsi="Arial"/>
                <w:sz w:val="18"/>
                <w:szCs w:val="18"/>
                <w:color w:val="auto"/>
              </w:rPr>
              <w:t>Common Stock Options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Arial" w:cs="Arial" w:eastAsia="Arial" w:hAnsi="Arial"/>
                <w:sz w:val="18"/>
                <w:szCs w:val="18"/>
                <w:color w:val="auto"/>
              </w:rPr>
              <w:t>HSKB Incentive Units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HSKB Phantom Units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unamortized equity-based compensation cost</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Tax Receivable Agreements</w:t>
      </w:r>
    </w:p>
    <w:p>
      <w:pPr>
        <w:spacing w:after="0" w:line="170"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the “ZoomInfo Tax Group” to such Pre-IPO Owners and certain Pre-IPO HoldCo Unitholders of 85.0% of the benefits, if any, the ZoomInfo Tax Group actually realizes, or is deemed to realize in certain circumstances, as a result of certain tax attributes and benefits covered by the Tax Receivable Agreements. The Exchange Tax Receivable Agreement provides for the payment by members of the ZoomInfo Tax Group to certain Pre-IPO OpCo Unitholders and certain Pre-IPO HoldCo Unitholders of 85.0% of the benefits, if any, that the ZoomInfo Tax Group realizes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During the three months ended December 31, 2021, all remaining units subject to the Exchange Tax Receivable Agreement had been converted into Class A common stock. The Reorganization Tax Receivable Agreement provides for the payment by ZoomInfo Intermediate Inc. to the Pre-IPO Blocker Holders and certain Pre-IPO HoldCo Unitholders of 85.0% of the benefits, if any, that the ZoomInfo Tax Group realizes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The Company expects to benefit from the remaining 15.0% of any of cash savings that it realizes.</w:t>
      </w:r>
    </w:p>
    <w:p>
      <w:pPr>
        <w:spacing w:after="0" w:line="3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reflected an increase in its share of the tax basis in the net assets of ZoomInfo HoldCo when OpCo Units were exchanged by Pre-IPO OpCo Unitholders. The Company treats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2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As of September 30, 2022, the Company had a liability of $3,042.0 million related to its projected obligations under the Tax Receivable Agreements in connection with the Reorganization Transactions and OpCo Units exchanged. Tax Receivable Agreements related liabilities are classified as current or noncurrent based on the expected date of payment and are included on our Condensed Consolidated Balance Sheets under the captions </w:t>
      </w:r>
      <w:r>
        <w:rPr>
          <w:rFonts w:ascii="Arial" w:cs="Arial" w:eastAsia="Arial" w:hAnsi="Arial"/>
          <w:sz w:val="17"/>
          <w:szCs w:val="17"/>
          <w:i w:val="1"/>
          <w:iCs w:val="1"/>
          <w:color w:val="auto"/>
        </w:rPr>
        <w:t>Current portion of tax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 agreements liability </w:t>
      </w:r>
      <w:r>
        <w:rPr>
          <w:rFonts w:ascii="Arial" w:cs="Arial" w:eastAsia="Arial" w:hAnsi="Arial"/>
          <w:sz w:val="17"/>
          <w:szCs w:val="17"/>
          <w:color w:val="auto"/>
        </w:rPr>
        <w:t>and</w:t>
      </w:r>
      <w:r>
        <w:rPr>
          <w:rFonts w:ascii="Arial" w:cs="Arial" w:eastAsia="Arial" w:hAnsi="Arial"/>
          <w:sz w:val="17"/>
          <w:szCs w:val="17"/>
          <w:i w:val="1"/>
          <w:iCs w:val="1"/>
          <w:color w:val="auto"/>
        </w:rPr>
        <w:t xml:space="preserve"> Tax receivable agreements liability, net of current portion</w:t>
      </w:r>
      <w:r>
        <w:rPr>
          <w:rFonts w:ascii="Arial" w:cs="Arial" w:eastAsia="Arial" w:hAnsi="Arial"/>
          <w:sz w:val="17"/>
          <w:szCs w:val="17"/>
          <w:color w:val="auto"/>
        </w:rPr>
        <w:t>, respectively. During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2022, we paid a total of $5.0 million pursuant to the Tax Receivable Agreements. During the nine months ended September 30, 2022, we recognized a TRA measurement gain of $9.5 million principally due to legislation passed in Q3 2022 that impacted our blended state tax rate, as well as updates to tax attributes, within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on our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recorded $32.1 million of income tax expense and $45.5 million of income tax expense for the three months ended September 30, 2022 and 2021, respectively, and $55.6 million of income tax expense and $101.4 million of income tax expense for the nine months ended September 30, 2022 and 2021, respectively. The Company’s estimated effective tax rate for the nine months ended September 30, 2022 was 58.1%. The Company’s estimated annual effective tax rate differs from the U.S federal statutory rate of 21.0% as it reflects applicable U.S. state taxes and foreign taxes, inclusive of research and development credits. Furthermore, the Company’s annual effective rate considers the impact of state law changes and certain compensation expenses that will not have a corresponding deduction for tax.</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does not believe it has any significant uncertain tax positions and therefore has no unrecognized tax benefits as of September 30, 2022, that if recognized, would affect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included in our 2021 Form 10-K, the information included under “Management’s Discussion and Analysis of Financial Condition and Results of Operations” in Part II, Item 7 of our 2021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2021 Form 10-K.</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 have been subject to rounding adjustments. Accordingly, numerical figures shown as totals in various tables may not be arithmetic aggregations of the figures that precede them.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ZoomInfo is a global leader in modern go-to-market software, data, and intelligence for sales, marketing, operations, and recruiting professionals.</w:t>
      </w:r>
    </w:p>
    <w:p>
      <w:pPr>
        <w:spacing w:after="0" w:line="1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RevOS – our modern, cloud-based operating system for revenue professionals – allows sales, marketing, operations, and recruiting teams to shorten sales cycles and increase win rates by delivering the right message to the right person at the right time, in the right way. We do this by delivering timely competitive intelligence and offering services that make reaching prospects fast and easy.</w:t>
      </w:r>
    </w:p>
    <w:p>
      <w:pPr>
        <w:spacing w:after="0" w:line="13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ZoomInfo, formerly known as DiscoverOrg, was co-founded in 2007 by Founder and CEO Henry Schuck. He has led the company’s growth by developing innovative ways of gathering and improving our data and insights and using intelligent automation to put those insights into action.</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Today, our company defines the modern go-to-market technology stack across three distinct layers that build upon each other:</w:t>
      </w:r>
    </w:p>
    <w:p>
      <w:pPr>
        <w:spacing w:after="0" w:line="164" w:lineRule="exact"/>
        <w:rPr>
          <w:sz w:val="20"/>
          <w:szCs w:val="20"/>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Intelligence Layer is the foundation of our data-driven strategies. Our best-in-class data, curated through first- and third-party sources, includes billions of data points about companies and contacts, such as intent, hierarchy, location, and financial information.</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Orchestration Layer stitches together and enriches our data sources. At this stage, our products assign and route data, leads, and insights to the appropriate people. This creates a “living” dataset that is continuously updated and can be used to power automated business workflows. Our services connect with major CRM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40" w:hanging="316"/>
        <w:spacing w:after="0" w:line="305" w:lineRule="auto"/>
        <w:tabs>
          <w:tab w:leader="none" w:pos="635"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Engagement Layer allows sales, marketing, operations, and recruiting professionals to put data-driven insights into action to identify and communicate with prospects and customers. In SalesOS, frontline teams, managers, and leaders use Engage for multi-touch and multi-channel sales engagement, as well as Chorus for call and web meeting recording, transcription, insight generation, and coaching. In MarketingOS, marketers drive awareness, lead generation, and deal acceleration campaigns through account-based marketing, advertising, and onsite conversion optimization solutions, along with ZoomInfo Chat for intelligent onsite experiences through live conversation and chatbots. In TalentOS, recruiters and talent acquisition professionals access a database that helps them find the needles in the haystack. Recruiters can filter and reach more good-fit candidates, use pipeline management tools to collaborate and organize the hiring process, and automate the candidate outreach process. In Operations OS, our sales operations customers use a suite of products, services, and solutions to ingest, match, enrich, and connect data feeds into multiple systems.</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generate substantially all of our revenue from sales of subscriptions to our platform. Subscriptions include the use of our platforms and access to customer support. Subscriptions generally range from one to three years in length. More than 35% of customer contracts (based on annualized value) are multi-year agreements. We typically bill our customers at the beginning of each annual, semi-annual, or quarterly period and recognize revenue ratably over the term of the subscription period.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sell our software to both new and existing customers. We price our subscriptions based on the functionality, users, and records under management that are included in each product edition. Our paid platforms are SalesOS, MarketingOS, OperationsOS, and TalentOS (with add-on options for some platforms), and we have a free Community Edition.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ongoing COVID-19 pandemic continues to have unpredictable and rapidly shifting impacts on global financial markets, economies, and business practices. The extent and continued impact of the pandemic on our operational and financial condition will depend on certain developments, including, but not limited to: the duration and spread of the outbreak, including the impact of new variants of the COVID-19 virus; global government responses to the pandemic, including continued vaccine availability, deployment, and efficacy; the impact on the health and welfare of our employees and their families; the impact on our customers and our sales cycles; the impact on customer, industry, or employee events; delays in hiring and onboarding new employees; and the effects on our partners, vendors, the labor market, and supply chains, all of which are uncertain and cannot be predicted. Furthermore, because of our largely subscription-based business model, the effect of the pandemic may not be fully reflected in our results of operations and overall financial condition until future periods, if at all.</w:t>
      </w:r>
    </w:p>
    <w:p>
      <w:pPr>
        <w:spacing w:after="0" w:line="1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To address the safety and health of our employees during the pandemic, in the first quarter of 2020, we temporarily closed all of our offices and enabled our entire workforce to work remotely. Throughout 2021 and 2022, most of our workforce continued to work remotely voluntarily.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“Human Capital” in Part I, Item 1 and “Risk Factors” in Part I, Item 1A of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Simplification Transactions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ZoomInfo HoldCo.</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 Corporate Structure and Multi-Class Voting Structure Elimination</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1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After the consummation of the Holding Company Reorganization, the only class of common stock of the New ZoomInfo remaining issued and outstanding was the Class A common stock and all shares of Class B common stock were cancelled and all shares of Class C common stock were converted to Class A common stock. In May 2022, following approval by the Company’s stockholders, the Company further amended and restated its Amended and Restated Certification of Incorporation to eliminate the multiple classes of common stock and to rename the Company’s Class A common stock as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April 1, 2022, the Company acquired all of the outstanding equity interests of Comparably and acquired substantially all the assets and certain specified liabilities of Dogpatch for a total purchase consideration of $150.6 million in cash and $10.0 million in a convertible note receivable. The Company has included the financial results of these businesses in the consolidated financial statements from the date of acquisition. The purchase accounting for both transactions is not finalized. Refer to Note 4 - Business Combinations for additional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Acquire New Customers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are focused on continuing to grow the number of customers that use our platform. The majority of revenue growth when comparing the three months ended September 30, 2022 to the three months ended September 30, 2021 was the result of new customers added over the last 12 months. Our operating results and growth prospects will depend in part on our ability to continue to attract new customers. Additionally, acquiring new customers strengthens the power of our contributory network. We plan to continue to invest in our efficient go-to-market effort to acquire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Delivering Additional High-Value Solutions to Our Existing Customers</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1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an annual metric that we calculate based on customers that were contracted for services at the beginning of the year, or, for those that became customers through an acquisition, at the time of the acquisition. Net revenue retention is calculated as: (a) the annual contract value ("ACV") for those customers at the end of the year divided by (b) ZoomInfo ACV at the beginning of the year plus the ACV of acquired companies at the time of acquisition. Our net annual retention rate was 116% for the year ended December 31, 2021. We also measure our success in expanding relationships with existing customers by the number of customers that contract for more than $100,000 in ACV. As of September 30, 2022, we had 1,848 customers with over $100,000 in ACV.</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Reorganization Transactions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Form 10-Q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in connection with the Reorganization Transactions and the IPO, we entered into the tax receivable agreements described in Note 17 - Income Taxes to our unaudited consolidated financial statements included in Part I, Item 1 of this Form 10-Q.</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June 2020, the Company completed its IPO which significantly impacted our cash, first and second lien indebtedness, and temporary and permanent equity balances. The IPO, which enabled the associated first and second lien term loan repayments, significantly reduced our interest expense relative to historical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Acquisitions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seek to grow through both internal development and the acquisition of businesses that broaden and strengthen our platform. Our recent acquisitions include Insent in June 2021, Chorus.ai in July 2021, RingLead in September 2021, and Comparably, Inc. and Dogpatch Advisors, LLC in April 2022. As discussed below under “—Results of Operations,” these acquisitions have been a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Holding Company Reorganization</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UP-C and multi-class voting structure. In October 2021, the Company implemented the Holding Company Reorganization. As a result of the Holding Company Reorganization, New ZoomInfo became the successor issuer and reporting company to Old ZoomInfo pursuant to Rule 12g-3(a) under the Exchange Act, and replaced Old ZoomInfo as the public company trading on the Nasdaq under Old ZoomInfo’s ticker symbol “ZI.” In addition, New ZoomInfo changed its name to “ZoomInfo Technologies Inc.” and Old ZoomInfo changed its name to “ZoomInfo Intermediate Inc.”</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Accordingly, upon consummation of the Holding Company Reorganization, Old ZoomInfo stockholders automatically became stockholders of New ZoomInfo, on a one-for-one basis, with the same number and ownership percentage of shares they held in Old ZoomInfo immediately prior to the effective time of the Holding Company Reorganization.</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Old ZoomInfo is the predecessor of New ZoomInfo for financial reporting purposes. As a result, the consolidated financial statements of New ZoomInfo recognize the assets and liabilities received in the reorganization at their historical carrying amounts, as reflected in the historical consolidated financial statements of Old ZoomInfo, the accounting predecessor.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9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 Adjusted Operating Income Margin, and Adjusted Net Income</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0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The following table presents a reconciliation of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to Adjusted Net Income and </w:t>
      </w:r>
      <w:r>
        <w:rPr>
          <w:rFonts w:ascii="Arial" w:cs="Arial" w:eastAsia="Arial" w:hAnsi="Arial"/>
          <w:sz w:val="18"/>
          <w:szCs w:val="18"/>
          <w:i w:val="1"/>
          <w:iCs w:val="1"/>
          <w:color w:val="auto"/>
        </w:rPr>
        <w:t>Income (loss) from operations</w:t>
      </w:r>
      <w:r>
        <w:rPr>
          <w:rFonts w:ascii="Arial" w:cs="Arial" w:eastAsia="Arial" w:hAnsi="Arial"/>
          <w:sz w:val="18"/>
          <w:szCs w:val="18"/>
          <w:color w:val="auto"/>
        </w:rPr>
        <w:t xml:space="preserve"> to Adjusted Operating Income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8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8"/>
        </w:trPr>
        <w:tc>
          <w:tcPr>
            <w:tcW w:w="49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00" w:type="dxa"/>
            <w:vAlign w:val="bottom"/>
          </w:tcPr>
          <w:p>
            <w:pPr>
              <w:spacing w:after="0"/>
              <w:rPr>
                <w:sz w:val="15"/>
                <w:szCs w:val="15"/>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38"/>
        </w:trPr>
        <w:tc>
          <w:tcPr>
            <w:tcW w:w="49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38"/>
        </w:trPr>
        <w:tc>
          <w:tcPr>
            <w:tcW w:w="4900" w:type="dxa"/>
            <w:vAlign w:val="bottom"/>
          </w:tcPr>
          <w:p>
            <w:pPr>
              <w:ind w:left="180"/>
              <w:spacing w:after="0"/>
              <w:rPr>
                <w:sz w:val="20"/>
                <w:szCs w:val="20"/>
                <w:color w:val="auto"/>
              </w:rPr>
            </w:pPr>
            <w:r>
              <w:rPr>
                <w:rFonts w:ascii="Arial" w:cs="Arial" w:eastAsia="Arial" w:hAnsi="Arial"/>
                <w:sz w:val="18"/>
                <w:szCs w:val="18"/>
                <w:color w:val="auto"/>
              </w:rPr>
              <w:t>Add (less): Expense (benefit) from income taxes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8"/>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8"/>
        </w:trPr>
        <w:tc>
          <w:tcPr>
            <w:tcW w:w="4900" w:type="dxa"/>
            <w:vAlign w:val="bottom"/>
          </w:tcPr>
          <w:p>
            <w:pPr>
              <w:ind w:left="180"/>
              <w:spacing w:after="0"/>
              <w:rPr>
                <w:sz w:val="20"/>
                <w:szCs w:val="20"/>
                <w:color w:val="auto"/>
              </w:rPr>
            </w:pPr>
            <w:r>
              <w:rPr>
                <w:rFonts w:ascii="Arial" w:cs="Arial" w:eastAsia="Arial" w:hAnsi="Arial"/>
                <w:sz w:val="18"/>
                <w:szCs w:val="18"/>
                <w:color w:val="auto"/>
              </w:rPr>
              <w:t>Add: Loss on debt modification and extinguishment</w:t>
            </w:r>
          </w:p>
        </w:tc>
        <w:tc>
          <w:tcPr>
            <w:tcW w:w="3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8"/>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5"/>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1"/>
        </w:trPr>
        <w:tc>
          <w:tcPr>
            <w:tcW w:w="4900" w:type="dxa"/>
            <w:vAlign w:val="bottom"/>
          </w:tcPr>
          <w:p>
            <w:pPr>
              <w:ind w:left="420"/>
              <w:spacing w:after="0"/>
              <w:rPr>
                <w:sz w:val="20"/>
                <w:szCs w:val="20"/>
                <w:color w:val="auto"/>
              </w:rPr>
            </w:pPr>
            <w:r>
              <w:rPr>
                <w:rFonts w:ascii="Arial" w:cs="Arial" w:eastAsia="Arial" w:hAnsi="Arial"/>
                <w:sz w:val="18"/>
                <w:szCs w:val="18"/>
                <w:b w:val="1"/>
                <w:bCs w:val="1"/>
                <w:color w:val="auto"/>
              </w:rPr>
              <w:t>Income (loss) from operations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8"/>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9"/>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Add: Impact of fair value adjustments to acquired unearned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8"/>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(b)</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Add: Amortization of acquired technology</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8"/>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other acquired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Add: Equity-based compensation</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8"/>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5"/>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Restructuring and transaction-related expenses</w:t>
            </w:r>
            <w:r>
              <w:rPr>
                <w:rFonts w:ascii="Arial" w:cs="Arial" w:eastAsia="Arial" w:hAnsi="Arial"/>
                <w:sz w:val="22"/>
                <w:szCs w:val="22"/>
                <w:color w:val="auto"/>
                <w:vertAlign w:val="superscript"/>
              </w:rPr>
              <w:t>(c)</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65"/>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5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r>
      <w:tr>
        <w:trPr>
          <w:trHeight w:val="231"/>
        </w:trPr>
        <w:tc>
          <w:tcPr>
            <w:tcW w:w="4900" w:type="dxa"/>
            <w:vAlign w:val="bottom"/>
          </w:tcPr>
          <w:p>
            <w:pPr>
              <w:ind w:left="240"/>
              <w:spacing w:after="0"/>
              <w:rPr>
                <w:sz w:val="20"/>
                <w:szCs w:val="20"/>
                <w:color w:val="auto"/>
              </w:rPr>
            </w:pPr>
            <w:r>
              <w:rPr>
                <w:rFonts w:ascii="Arial" w:cs="Arial" w:eastAsia="Arial" w:hAnsi="Arial"/>
                <w:sz w:val="18"/>
                <w:szCs w:val="18"/>
                <w:color w:val="auto"/>
              </w:rPr>
              <w:t>Less: Interest expense, net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8"/>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Less (add): Other expense (income), net, excluding TRA liability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1"/>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remeasurement (benefit) expense</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8"/>
        </w:trPr>
        <w:tc>
          <w:tcPr>
            <w:tcW w:w="4900" w:type="dxa"/>
            <w:vAlign w:val="bottom"/>
          </w:tcPr>
          <w:p>
            <w:pPr>
              <w:ind w:left="240"/>
              <w:spacing w:after="0"/>
              <w:rPr>
                <w:sz w:val="20"/>
                <w:szCs w:val="20"/>
                <w:color w:val="auto"/>
              </w:rPr>
            </w:pPr>
            <w:r>
              <w:rPr>
                <w:rFonts w:ascii="Arial" w:cs="Arial" w:eastAsia="Arial" w:hAnsi="Arial"/>
                <w:sz w:val="18"/>
                <w:szCs w:val="18"/>
                <w:color w:val="auto"/>
              </w:rPr>
              <w:t>Add (less): Benefit (expense) from income taxes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8"/>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5"/>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8"/>
              </w:rPr>
              <w:t>Add (less): Tax impacts of adjustments to net income (loss)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58"/>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Net Income</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2"/>
        </w:trPr>
        <w:tc>
          <w:tcPr>
            <w:tcW w:w="4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5"/>
        </w:trPr>
        <w:tc>
          <w:tcPr>
            <w:tcW w:w="4900" w:type="dxa"/>
            <w:vAlign w:val="bottom"/>
          </w:tcPr>
          <w:p>
            <w:pPr>
              <w:ind w:left="20"/>
              <w:spacing w:after="0"/>
              <w:rPr>
                <w:sz w:val="20"/>
                <w:szCs w:val="20"/>
                <w:color w:val="auto"/>
              </w:rPr>
            </w:pPr>
            <w:r>
              <w:rPr>
                <w:rFonts w:ascii="Arial" w:cs="Arial" w:eastAsia="Arial" w:hAnsi="Arial"/>
                <w:sz w:val="18"/>
                <w:szCs w:val="18"/>
                <w:color w:val="auto"/>
              </w:rPr>
              <w:t>Shares for Adjusted Net Income Per Share</w:t>
            </w:r>
            <w:r>
              <w:rPr>
                <w:rFonts w:ascii="Arial" w:cs="Arial" w:eastAsia="Arial" w:hAnsi="Arial"/>
                <w:sz w:val="22"/>
                <w:szCs w:val="22"/>
                <w:color w:val="auto"/>
                <w:vertAlign w:val="superscript"/>
              </w:rPr>
              <w:t>(e)</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3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7"/>
        </w:trPr>
        <w:tc>
          <w:tcPr>
            <w:tcW w:w="4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6" w:lineRule="exact"/>
        <w:rPr>
          <w:rFonts w:ascii="Arial" w:cs="Arial" w:eastAsia="Arial" w:hAnsi="Arial"/>
          <w:sz w:val="14"/>
          <w:szCs w:val="14"/>
          <w:color w:val="auto"/>
        </w:rPr>
      </w:pPr>
    </w:p>
    <w:p>
      <w:pPr>
        <w:jc w:val="both"/>
        <w:ind w:left="320" w:hanging="314"/>
        <w:spacing w:after="0" w:line="256" w:lineRule="auto"/>
        <w:tabs>
          <w:tab w:leader="none" w:pos="31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20" w:hanging="314"/>
        <w:spacing w:after="0" w:line="255" w:lineRule="auto"/>
        <w:tabs>
          <w:tab w:leader="none" w:pos="318"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three and nine months ended September 30, 2022, this expense related primarily to transition and retention payments related to 2021 and 2022 acquisitions. For the three and nine months ended September 30, 2021, this expense related primarily to cost incurred related to 2021 acquisitions, as well as impairment and accelerated depreciation related to the Company’s Waltham office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58" w:lineRule="auto"/>
        <w:tabs>
          <w:tab w:leader="none" w:pos="312"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three and nine months ended September 30, 2022, this expense related to retention awards from the acquisitions of Clickagy, Everstring, and Insent, and professional fees relating to integration projects. For the three and nine months ended September 30, 2021, this expense related to retention awards from the acquisitions of Clickagy and Everstring, as well as cash vesting payments from the acquisition of Pre-Acquisition ZI. This expense is included in cost of service, sales and marketing expense, research and development expense, and general and administrative expense as follows:</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5"/>
                <w:szCs w:val="15"/>
                <w:color w:val="auto"/>
              </w:rPr>
            </w:pPr>
          </w:p>
        </w:tc>
        <w:tc>
          <w:tcPr>
            <w:tcW w:w="2540" w:type="dxa"/>
            <w:vAlign w:val="bottom"/>
            <w:gridSpan w:val="4"/>
          </w:tcPr>
          <w:p>
            <w:pPr>
              <w:jc w:val="right"/>
              <w:ind w:right="249"/>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38"/>
        </w:trPr>
        <w:tc>
          <w:tcPr>
            <w:tcW w:w="49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15"/>
                <w:szCs w:val="15"/>
                <w:color w:val="auto"/>
              </w:rPr>
            </w:pPr>
          </w:p>
        </w:tc>
        <w:tc>
          <w:tcPr>
            <w:tcW w:w="1120" w:type="dxa"/>
            <w:vAlign w:val="bottom"/>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Arial" w:cs="Arial" w:eastAsia="Arial" w:hAnsi="Arial"/>
                <w:sz w:val="14"/>
                <w:szCs w:val="14"/>
                <w:b w:val="1"/>
                <w:bCs w:val="1"/>
                <w:color w:val="auto"/>
              </w:rPr>
              <w:t>2021</w:t>
            </w:r>
          </w:p>
        </w:tc>
      </w:tr>
      <w:tr>
        <w:trPr>
          <w:trHeight w:val="38"/>
        </w:trPr>
        <w:tc>
          <w:tcPr>
            <w:tcW w:w="49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8"/>
        </w:trPr>
        <w:tc>
          <w:tcPr>
            <w:tcW w:w="49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8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38"/>
        </w:trPr>
        <w:tc>
          <w:tcPr>
            <w:tcW w:w="4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5"/>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88"/>
        </w:trPr>
        <w:tc>
          <w:tcPr>
            <w:tcW w:w="49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38"/>
        </w:trPr>
        <w:tc>
          <w:tcPr>
            <w:tcW w:w="49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8"/>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both"/>
        <w:ind w:left="320" w:hanging="314"/>
        <w:spacing w:after="0" w:line="259" w:lineRule="auto"/>
        <w:tabs>
          <w:tab w:leader="none" w:pos="318"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Diluted earnings per share is computed by giving effect to all potential weighted average Common Stock, and any securities that are convertible into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 Shares and grants issued in conjunction with the IPO were assumed to be issued at the beginning of the period.</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define Adjusted Operating Income Margin as Adjusted Operating Income divided by the sum of revenue and the impact of fair value adjustments to acquired unearned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5"/>
                <w:szCs w:val="15"/>
                <w:color w:val="auto"/>
              </w:rPr>
            </w:pPr>
          </w:p>
        </w:tc>
        <w:tc>
          <w:tcPr>
            <w:tcW w:w="29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September 30,</w:t>
            </w:r>
          </w:p>
        </w:tc>
      </w:tr>
      <w:tr>
        <w:trPr>
          <w:trHeight w:val="38"/>
        </w:trPr>
        <w:tc>
          <w:tcPr>
            <w:tcW w:w="44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Pr>
          <w:p>
            <w:pPr>
              <w:spacing w:after="0"/>
              <w:rPr>
                <w:sz w:val="15"/>
                <w:szCs w:val="15"/>
                <w:color w:val="auto"/>
              </w:rPr>
            </w:pPr>
          </w:p>
        </w:tc>
        <w:tc>
          <w:tcPr>
            <w:tcW w:w="1280" w:type="dxa"/>
            <w:vAlign w:val="bottom"/>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2021</w:t>
            </w:r>
          </w:p>
        </w:tc>
      </w:tr>
      <w:tr>
        <w:trPr>
          <w:trHeight w:val="38"/>
        </w:trPr>
        <w:tc>
          <w:tcPr>
            <w:tcW w:w="44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Income (loss) from operations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89.1</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320.9</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220.2</w:t>
            </w:r>
          </w:p>
        </w:tc>
      </w:tr>
      <w:tr>
        <w:trPr>
          <w:trHeight w:val="28"/>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5"/>
        </w:trPr>
        <w:tc>
          <w:tcPr>
            <w:tcW w:w="4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8"/>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796.4</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524.9</w:t>
            </w:r>
          </w:p>
        </w:tc>
      </w:tr>
      <w:tr>
        <w:trPr>
          <w:trHeight w:val="28"/>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Impact of fair value adjustments to acquired unearned</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1"/>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r>
      <w:tr>
        <w:trPr>
          <w:trHeight w:val="258"/>
        </w:trPr>
        <w:tc>
          <w:tcPr>
            <w:tcW w:w="4400" w:type="dxa"/>
            <w:vAlign w:val="bottom"/>
          </w:tcPr>
          <w:p>
            <w:pPr>
              <w:ind w:left="220"/>
              <w:spacing w:after="0"/>
              <w:rPr>
                <w:sz w:val="20"/>
                <w:szCs w:val="20"/>
                <w:color w:val="auto"/>
              </w:rPr>
            </w:pPr>
            <w:r>
              <w:rPr>
                <w:rFonts w:ascii="Arial" w:cs="Arial" w:eastAsia="Arial" w:hAnsi="Arial"/>
                <w:sz w:val="18"/>
                <w:szCs w:val="18"/>
                <w:color w:val="auto"/>
              </w:rPr>
              <w:t>Revenue for adjusted operating margin calculation</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798.4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527.5</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Income Margin</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16 %</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17 %</w:t>
            </w:r>
          </w:p>
        </w:tc>
      </w:tr>
      <w:tr>
        <w:trPr>
          <w:trHeight w:val="238"/>
        </w:trPr>
        <w:tc>
          <w:tcPr>
            <w:tcW w:w="44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Operating Income Margin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41 %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40 %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42 %</w:t>
            </w:r>
          </w:p>
        </w:tc>
      </w:tr>
    </w:tbl>
    <w:p>
      <w:pPr>
        <w:spacing w:after="0" w:line="25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Adjusted Operating Income for the three months ended September 30, 2022 was $118.4 million and represented an Adjusted Operating Income Margin of 41%. Adjusted Operating Income for the three months ended September 30, 2021 was $78.4 million and represented an Adjusted Operating Income Margin of</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39%. The increase of $40.0 million, or 51%, was driven primarily from the growth in revenue driven by additional customers and increasing revenue from existing customers. Adjusted Operating Income Margin increased to 41% in the three months ended September 30, 2022 from 39% in the three months ended September 30, 2021 due to realization of operating leverage, strengthening U.S. Dollar, and other efficiencies enabled by acquisitions.</w:t>
      </w:r>
    </w:p>
    <w:p>
      <w:pPr>
        <w:spacing w:after="0" w:line="12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Adjusted Operating Income for the nine months ended September 30, 2022 was $320.9 million and represented an Adjusted Operating Income Margin of 40%. Adjusted Operating Income for the nine months ended September 30, 2021 was $220.2 million and represented an Adjusted Operating Income Margin of 42%. The increase of $100.7 million, or 46%, was driven primarily from the growth in revenue driven by additional customers and increasing revenue from existing customers. Adjusted Operating Income Margin decreased to 40% in the nine months ended September 30, 2022 from 42% in the nine months ended September 30, 2021 due to incremental investment in research &amp; development relative to sales related to new services and acquisitions and incremental investment in sales &amp; marketing capacity that has helped accelerate revenue growth, as well as general and administration costs to support incremental public company related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EBITDA is defined as earnings before debt-related costs, including interest and loss on debt modification and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net income (loss) to Adjusted EBITDA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5"/>
                <w:szCs w:val="15"/>
                <w:color w:val="auto"/>
              </w:rPr>
            </w:pPr>
          </w:p>
        </w:tc>
        <w:tc>
          <w:tcPr>
            <w:tcW w:w="28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8"/>
        </w:trPr>
        <w:tc>
          <w:tcPr>
            <w:tcW w:w="49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80" w:type="dxa"/>
            <w:vAlign w:val="bottom"/>
          </w:tcPr>
          <w:p>
            <w:pPr>
              <w:spacing w:after="0"/>
              <w:rPr>
                <w:sz w:val="15"/>
                <w:szCs w:val="15"/>
                <w:color w:val="auto"/>
              </w:rPr>
            </w:pPr>
          </w:p>
        </w:tc>
        <w:tc>
          <w:tcPr>
            <w:tcW w:w="12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38"/>
        </w:trPr>
        <w:tc>
          <w:tcPr>
            <w:tcW w:w="49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38"/>
        </w:trPr>
        <w:tc>
          <w:tcPr>
            <w:tcW w:w="4900" w:type="dxa"/>
            <w:vAlign w:val="bottom"/>
          </w:tcPr>
          <w:p>
            <w:pPr>
              <w:ind w:left="220"/>
              <w:spacing w:after="0"/>
              <w:rPr>
                <w:sz w:val="20"/>
                <w:szCs w:val="20"/>
                <w:color w:val="auto"/>
              </w:rPr>
            </w:pPr>
            <w:r>
              <w:rPr>
                <w:rFonts w:ascii="Arial" w:cs="Arial" w:eastAsia="Arial" w:hAnsi="Arial"/>
                <w:sz w:val="18"/>
                <w:szCs w:val="18"/>
                <w:color w:val="auto"/>
              </w:rPr>
              <w:t>Add (less): Expense (benefit) from income taxes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8"/>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8"/>
        </w:trPr>
        <w:tc>
          <w:tcPr>
            <w:tcW w:w="4900" w:type="dxa"/>
            <w:vAlign w:val="bottom"/>
          </w:tcPr>
          <w:p>
            <w:pPr>
              <w:ind w:left="220"/>
              <w:spacing w:after="0"/>
              <w:rPr>
                <w:sz w:val="20"/>
                <w:szCs w:val="20"/>
                <w:color w:val="auto"/>
              </w:rPr>
            </w:pPr>
            <w:r>
              <w:rPr>
                <w:rFonts w:ascii="Arial" w:cs="Arial" w:eastAsia="Arial" w:hAnsi="Arial"/>
                <w:sz w:val="18"/>
                <w:szCs w:val="18"/>
                <w:color w:val="auto"/>
              </w:rPr>
              <w:t>Add: Loss on debt modification and extinguishment</w:t>
            </w:r>
          </w:p>
        </w:tc>
        <w:tc>
          <w:tcPr>
            <w:tcW w:w="28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8"/>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8"/>
        </w:trPr>
        <w:tc>
          <w:tcPr>
            <w:tcW w:w="4900" w:type="dxa"/>
            <w:vAlign w:val="bottom"/>
          </w:tcPr>
          <w:p>
            <w:pPr>
              <w:ind w:left="220"/>
              <w:spacing w:after="0"/>
              <w:rPr>
                <w:sz w:val="20"/>
                <w:szCs w:val="20"/>
                <w:color w:val="auto"/>
              </w:rPr>
            </w:pPr>
            <w:r>
              <w:rPr>
                <w:rFonts w:ascii="Arial" w:cs="Arial" w:eastAsia="Arial" w:hAnsi="Arial"/>
                <w:sz w:val="18"/>
                <w:szCs w:val="18"/>
                <w:color w:val="auto"/>
              </w:rPr>
              <w:t>Add: Amortization of acquired technology</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8"/>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5"/>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Amortization of other acquired intangibles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1"/>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EBITDA</w:t>
            </w: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w:t>
            </w:r>
          </w:p>
        </w:tc>
      </w:tr>
      <w:tr>
        <w:trPr>
          <w:trHeight w:val="28"/>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9"/>
        </w:trPr>
        <w:tc>
          <w:tcPr>
            <w:tcW w:w="4900" w:type="dxa"/>
            <w:vAlign w:val="bottom"/>
          </w:tcPr>
          <w:p>
            <w:pPr>
              <w:ind w:left="240"/>
              <w:spacing w:after="0"/>
              <w:rPr>
                <w:sz w:val="20"/>
                <w:szCs w:val="20"/>
                <w:color w:val="auto"/>
              </w:rPr>
            </w:pPr>
            <w:r>
              <w:rPr>
                <w:rFonts w:ascii="Arial" w:cs="Arial" w:eastAsia="Arial" w:hAnsi="Arial"/>
                <w:sz w:val="18"/>
                <w:szCs w:val="18"/>
                <w:color w:val="auto"/>
                <w:w w:val="98"/>
              </w:rPr>
              <w:t>Add: Impact of fair value adjustments to acquired unearned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8"/>
        </w:trPr>
        <w:tc>
          <w:tcPr>
            <w:tcW w:w="4900" w:type="dxa"/>
            <w:vAlign w:val="bottom"/>
          </w:tcPr>
          <w:p>
            <w:pPr>
              <w:ind w:left="240"/>
              <w:spacing w:after="0"/>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(b)</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5"/>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19"/>
        </w:trPr>
        <w:tc>
          <w:tcPr>
            <w:tcW w:w="4900" w:type="dxa"/>
            <w:vAlign w:val="bottom"/>
          </w:tcPr>
          <w:p>
            <w:pPr>
              <w:ind w:left="240"/>
              <w:spacing w:after="0"/>
              <w:rPr>
                <w:sz w:val="20"/>
                <w:szCs w:val="20"/>
                <w:color w:val="auto"/>
              </w:rPr>
            </w:pPr>
            <w:r>
              <w:rPr>
                <w:rFonts w:ascii="Arial" w:cs="Arial" w:eastAsia="Arial" w:hAnsi="Arial"/>
                <w:sz w:val="18"/>
                <w:szCs w:val="18"/>
                <w:color w:val="auto"/>
                <w:w w:val="91"/>
              </w:rPr>
              <w:t>Add: Restructuring and transaction related expenses (excluding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8"/>
        </w:trPr>
        <w:tc>
          <w:tcPr>
            <w:tcW w:w="4900" w:type="dxa"/>
            <w:vAlign w:val="bottom"/>
          </w:tcPr>
          <w:p>
            <w:pPr>
              <w:ind w:left="240"/>
              <w:spacing w:after="0"/>
              <w:rPr>
                <w:sz w:val="20"/>
                <w:szCs w:val="20"/>
                <w:color w:val="auto"/>
              </w:rPr>
            </w:pPr>
            <w:r>
              <w:rPr>
                <w:rFonts w:ascii="Arial" w:cs="Arial" w:eastAsia="Arial" w:hAnsi="Arial"/>
                <w:sz w:val="18"/>
                <w:szCs w:val="18"/>
                <w:color w:val="auto"/>
              </w:rPr>
              <w:t>depreciation)</w:t>
            </w:r>
            <w:r>
              <w:rPr>
                <w:rFonts w:ascii="Arial" w:cs="Arial" w:eastAsia="Arial" w:hAnsi="Arial"/>
                <w:sz w:val="22"/>
                <w:szCs w:val="22"/>
                <w:color w:val="auto"/>
                <w:vertAlign w:val="superscript"/>
              </w:rPr>
              <w:t>(c)</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65"/>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58"/>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EBITDA</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6" w:lineRule="exact"/>
        <w:rPr>
          <w:rFonts w:ascii="Arial" w:cs="Arial" w:eastAsia="Arial" w:hAnsi="Arial"/>
          <w:sz w:val="14"/>
          <w:szCs w:val="14"/>
          <w:color w:val="auto"/>
        </w:rPr>
      </w:pPr>
    </w:p>
    <w:p>
      <w:pPr>
        <w:jc w:val="both"/>
        <w:ind w:left="320" w:hanging="314"/>
        <w:spacing w:after="0" w:line="256" w:lineRule="auto"/>
        <w:tabs>
          <w:tab w:leader="none" w:pos="31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20" w:hanging="314"/>
        <w:spacing w:after="0" w:line="255" w:lineRule="auto"/>
        <w:tabs>
          <w:tab w:leader="none" w:pos="318"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three and nine months ended September 30, 2022, this expense related primarily to transition and retention payments related to 2021 and 2022 acquisitions. For the three and nine months ended September 30, 2021, this expense related primarily to cost incurred related to 2021 acquisitions, as well as impairment and accelerated depreciation related to the Company’s Waltham office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58" w:lineRule="auto"/>
        <w:tabs>
          <w:tab w:leader="none" w:pos="31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three and nine months September 30, 2022, this expense related to retention awards from the acquisitions of Clickagy, Everstring, and Insent, and professional fees relating to integration projects. For the three and nine months ended September 30, 2021, this expense related to retention awards from the acquisitions of Clickagy and Everstring, as well as cash vesting payments from the acquisition of Pre-Acquisition ZI. This expense is included in cost of service, sales and marketing expense, research and development expense, and general and administrative expense as follows:</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5"/>
                <w:szCs w:val="15"/>
                <w:color w:val="auto"/>
              </w:rPr>
            </w:pPr>
          </w:p>
        </w:tc>
        <w:tc>
          <w:tcPr>
            <w:tcW w:w="2520" w:type="dxa"/>
            <w:vAlign w:val="bottom"/>
            <w:gridSpan w:val="4"/>
          </w:tcPr>
          <w:p>
            <w:pPr>
              <w:jc w:val="right"/>
              <w:ind w:right="229"/>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38"/>
        </w:trPr>
        <w:tc>
          <w:tcPr>
            <w:tcW w:w="50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0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15"/>
                <w:szCs w:val="15"/>
                <w:color w:val="auto"/>
              </w:rPr>
            </w:pPr>
          </w:p>
        </w:tc>
        <w:tc>
          <w:tcPr>
            <w:tcW w:w="1140" w:type="dxa"/>
            <w:vAlign w:val="bottom"/>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9"/>
              <w:spacing w:after="0"/>
              <w:rPr>
                <w:sz w:val="20"/>
                <w:szCs w:val="20"/>
                <w:color w:val="auto"/>
              </w:rPr>
            </w:pPr>
            <w:r>
              <w:rPr>
                <w:rFonts w:ascii="Arial" w:cs="Arial" w:eastAsia="Arial" w:hAnsi="Arial"/>
                <w:sz w:val="14"/>
                <w:szCs w:val="14"/>
                <w:b w:val="1"/>
                <w:bCs w:val="1"/>
                <w:color w:val="auto"/>
              </w:rPr>
              <w:t>2021</w:t>
            </w:r>
          </w:p>
        </w:tc>
      </w:tr>
      <w:tr>
        <w:trPr>
          <w:trHeight w:val="38"/>
        </w:trPr>
        <w:tc>
          <w:tcPr>
            <w:tcW w:w="50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8"/>
        </w:trPr>
        <w:tc>
          <w:tcPr>
            <w:tcW w:w="50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8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38"/>
        </w:trPr>
        <w:tc>
          <w:tcPr>
            <w:tcW w:w="5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88"/>
        </w:trPr>
        <w:tc>
          <w:tcPr>
            <w:tcW w:w="50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38"/>
        </w:trPr>
        <w:tc>
          <w:tcPr>
            <w:tcW w:w="50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8"/>
        </w:trPr>
        <w:tc>
          <w:tcPr>
            <w:tcW w:w="5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integration costs and acquisition-related compensation</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Adjusted EBITDA for the three months ended September 30, 2022 was $123.2 million, an increase of $41.9 million, or 52%, relative to the three months ended September 30, 2021. This increase was driven primarily from the growth in revenue and additional customers in 2022 and 2021.</w:t>
      </w:r>
    </w:p>
    <w:p>
      <w:pPr>
        <w:spacing w:after="0" w:line="10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Adjusted EBITDA for the nine months ended September 30, 2022 was $333.7 million, an increase of $105.2 million, or 46%, relative to the nine months ended September 30, 2021. This increase was driven primarily from the growth in revenue and additional customers in 2022 and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derive 99%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non-cancelable subscription agreements.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excluding amortization of acquired technology. </w:t>
      </w:r>
      <w:r>
        <w:rPr>
          <w:rFonts w:ascii="Arial" w:cs="Arial" w:eastAsia="Arial" w:hAnsi="Arial"/>
          <w:sz w:val="18"/>
          <w:szCs w:val="18"/>
          <w:color w:val="auto"/>
        </w:rPr>
        <w:t>Cost of service, excluding amortization of acquired technology includes direct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2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i w:val="1"/>
          <w:iCs w:val="1"/>
          <w:color w:val="auto"/>
        </w:rPr>
        <w:t xml:space="preserve">Amortization of acquired technology. </w:t>
      </w:r>
      <w:r>
        <w:rPr>
          <w:rFonts w:ascii="Arial" w:cs="Arial" w:eastAsia="Arial" w:hAnsi="Arial"/>
          <w:sz w:val="18"/>
          <w:szCs w:val="18"/>
          <w:color w:val="auto"/>
        </w:rPr>
        <w:t>Amortization of acquired technology includes amortization expense for technology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acquired technology will increase if we make additional acquisitions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operating expenses consist of sales and marketing, research and development, general and administrative, restructuring and transaction expenses, and amortization of acquired intangibles (other than acquired technology).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3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anticipate that we will continue to invest in sales and marketing capacity to enable future growth. We anticipate that sales and marketing expense excluding equity-based compensation will fluctuate from period to period depending on the interplay of our growing investments in sales and marketing capacity excluding equity-based compensation, the recognition of revenue, and the amortization of contract acquisition costs.</w:t>
      </w:r>
    </w:p>
    <w:p>
      <w:pPr>
        <w:spacing w:after="0" w:line="11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support our efforts to enhance our existing platform and develop new software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4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primarily consist of employee-related costs such as salaries, bonuses,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expect general and administrative expenses as a percentage of revenue to stay consistent or modestly decrease as we realize operating leverage in the business.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Amortization of other acquired intangibles</w:t>
      </w:r>
      <w:r>
        <w:rPr>
          <w:rFonts w:ascii="Arial" w:cs="Arial" w:eastAsia="Arial" w:hAnsi="Arial"/>
          <w:sz w:val="18"/>
          <w:szCs w:val="18"/>
          <w:color w:val="auto"/>
        </w:rPr>
        <w:t>. Amortization of acquired intangibles primarily consists of amortization of customer relationships,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brand portfolios.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other acquired intangibles will increase if we make additional acquisitions in the future.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Restructuring and transaction-related expenses. </w:t>
      </w:r>
      <w:r>
        <w:rPr>
          <w:rFonts w:ascii="Arial" w:cs="Arial" w:eastAsia="Arial" w:hAnsi="Arial"/>
          <w:sz w:val="15"/>
          <w:szCs w:val="15"/>
          <w:color w:val="auto"/>
        </w:rPr>
        <w:t>Restructuring and transaction expenses primarily consist of various restructuring and acquisition</w:t>
      </w:r>
      <w:r>
        <w:rPr>
          <w:rFonts w:ascii="Arial" w:cs="Arial" w:eastAsia="Arial" w:hAnsi="Arial"/>
          <w:sz w:val="15"/>
          <w:szCs w:val="15"/>
          <w:i w:val="1"/>
          <w:iCs w:val="1"/>
          <w:color w:val="auto"/>
        </w:rPr>
        <w:t xml:space="preserve"> </w:t>
      </w:r>
      <w:r>
        <w:rPr>
          <w:rFonts w:ascii="Arial" w:cs="Arial" w:eastAsia="Arial" w:hAnsi="Arial"/>
          <w:sz w:val="15"/>
          <w:szCs w:val="15"/>
          <w:color w:val="auto"/>
        </w:rPr>
        <w:t>activities we 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8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represents the interest payable on our debt obligations and the amortization of debt discounts and debt issuance costs, less interest income.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interest expense could be impacted by changes in variable interest rates or the issuance of additional debt.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Modification and Extinguishment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Loss on debt modification and extinguishment </w:t>
      </w:r>
      <w:r>
        <w:rPr>
          <w:rFonts w:ascii="Arial" w:cs="Arial" w:eastAsia="Arial" w:hAnsi="Arial"/>
          <w:sz w:val="18"/>
          <w:szCs w:val="18"/>
          <w:color w:val="auto"/>
        </w:rPr>
        <w:t>consists of prepayment penalties and impairment of deferred financing costs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or extinguishment of debt, as well as new fees incurred with third parties in connection with debt modifications.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losses related to debt extinguishment will only occur if we extinguish indebtedness before the contractual repayment dates.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consists primarily of the revaluation of tax receivable agreement liabilities and foreign currency realized and unrealized gains</w:t>
      </w:r>
      <w:r>
        <w:rPr>
          <w:rFonts w:ascii="Arial" w:cs="Arial" w:eastAsia="Arial" w:hAnsi="Arial"/>
          <w:sz w:val="18"/>
          <w:szCs w:val="18"/>
          <w:i w:val="1"/>
          <w:iCs w:val="1"/>
          <w:color w:val="auto"/>
        </w:rPr>
        <w:t xml:space="preserve"> </w:t>
      </w:r>
      <w:r>
        <w:rPr>
          <w:rFonts w:ascii="Arial" w:cs="Arial" w:eastAsia="Arial" w:hAnsi="Arial"/>
          <w:sz w:val="18"/>
          <w:szCs w:val="18"/>
          <w:color w:val="auto"/>
        </w:rPr>
        <w:t>and losses related to the impact of transactions denominated in a foreign currency.</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Changes to existing tax law including changes to the corporate income tax rates and the Company’s state tax footprint could lead to substantial revaluations of the tax receivable agreement liability recorded through other income and expense, net.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magnitude of other income and expenses, net may increase as we expand operations internationally and add complexity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 xml:space="preserve">ZoomInfo OpCo is currently treated as a pass-through entity for U.S. federal income tax purposes and most applicable state and local income tax purposes. </w:t>
      </w:r>
      <w:r>
        <w:rPr>
          <w:rFonts w:ascii="Arial" w:cs="Arial" w:eastAsia="Arial" w:hAnsi="Arial"/>
          <w:sz w:val="15"/>
          <w:szCs w:val="15"/>
          <w:i w:val="1"/>
          <w:iCs w:val="1"/>
          <w:color w:val="auto"/>
        </w:rPr>
        <w:t>Income tax expense (benefit)</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tax assets</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tax liabilities</w:t>
      </w:r>
      <w:r>
        <w:rPr>
          <w:rFonts w:ascii="Arial" w:cs="Arial" w:eastAsia="Arial" w:hAnsi="Arial"/>
          <w:sz w:val="15"/>
          <w:szCs w:val="15"/>
          <w:color w:val="auto"/>
        </w:rPr>
        <w:t>,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subsidiary, RKSI Acquisition Corporation, was subject to income taxes in the United States and held a noncontrolling interests in our subsidiary, ZoomInfo Technologies LLC. ZoomInfo Technologies LLC was treated as a partnership for U.S. federal and most applicable state and local income tax purposes. Any taxable income or loss generated by ZoomInfo Technologies LLC is passed through to and included in the taxable income or loss of its partners, including ZoomInfo LLC and RKSI Acquisition Corporation. However, because RKSI Acquisition Corporation is subject to income taxes in the United States, income allocated to such corporate subsidiary for tax purposes reduced the taxable income allocated to and distributions made to ZoomInfo OpCo. During the three months ended September 30, 2021, RKSI Acquisition Corporation was distributed up to ZoomInfo HoldCo followed by the merger of RKSI Acquisition Corporation with and into ZoomInfo HoldCo and the merger of ZoomInfo HoldCo with and into ZoomInfo Technologies Inc. Significant judgments and estimates are required in determining our consolidated income tax expense. Refer to Note 2 - Basis of Presentation and Summary of Significant Accounting Policies to our unaudited consolidated financial statements included in Part I, Item 1 of this Form 10-Q for additional information. During the three months ended December 31, 2021, ZoomInfo Technologies LLC made an election to be taxed as a corporation. Therefore, taxable income from the operations will no longer flow up to ZoomInfo Intermediate Inc.</w:t>
      </w:r>
    </w:p>
    <w:p>
      <w:pPr>
        <w:spacing w:after="0" w:line="3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After consummation of the Reorganization Transactions, ZoomInfo Intermediate Inc. became subject to U.S. federal income taxes with respect to our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In addition, because RKSI Acquisition Corporation (prior to its merger with and into ZoomInfo HoldCo) and Zebra Acquisition Corporation (prior to its merger with RKSI Acquisition Corporation) will continue to be subject to income taxes in the United States, income allocated to such corporate subsidiaries for tax purposes will reduce the distributions made to ZoomInfo OpCo, thereby reducing our allocable share of U.S. taxable income of ZoomInfo OpCo. See “Risk Factors - Risks Related to Our Organizational Structure” in Part I, Item 1A of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three and nine months ended September 30,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8"/>
              </w:rPr>
              <w:t>Three Months Ended 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4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90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millions)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20" w:type="dxa"/>
            <w:vAlign w:val="bottom"/>
            <w:tcBorders>
              <w:bottom w:val="single" w:sz="8" w:color="CCEEFF"/>
            </w:tcBorders>
          </w:tcPr>
          <w:p>
            <w:pPr>
              <w:spacing w:after="0"/>
              <w:rPr>
                <w:sz w:val="3"/>
                <w:szCs w:val="3"/>
                <w:color w:val="auto"/>
              </w:rPr>
            </w:pPr>
          </w:p>
        </w:tc>
        <w:tc>
          <w:tcPr>
            <w:tcW w:w="45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796.4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65"/>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acquired technology</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35.8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1"/>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159.7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657.2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8"/>
        </w:trPr>
        <w:tc>
          <w:tcPr>
            <w:tcW w:w="3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20" w:type="dxa"/>
            <w:vAlign w:val="bottom"/>
            <w:shd w:val="clear" w:color="auto" w:fill="CCEEFF"/>
          </w:tcPr>
          <w:p>
            <w:pPr>
              <w:spacing w:after="0"/>
              <w:rPr>
                <w:sz w:val="21"/>
                <w:szCs w:val="21"/>
                <w:color w:val="auto"/>
              </w:rPr>
            </w:pPr>
          </w:p>
        </w:tc>
        <w:tc>
          <w:tcPr>
            <w:tcW w:w="4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65"/>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65"/>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88.2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8"/>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Amortization of other acquired intangibles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16.5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and transaction-related expenses</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139.5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533.5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8"/>
        </w:trPr>
        <w:tc>
          <w:tcPr>
            <w:tcW w:w="3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8"/>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Loss on debt modification and extinguishment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1"/>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79"/>
              </w:rPr>
              <w:t>95.6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55.6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6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79"/>
              </w:rPr>
              <w:t>40.0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3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57"/>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Net income (loss) attributable to ZoomInfo Technologies Inc.</w:t>
            </w: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79"/>
              </w:rPr>
              <w:t>40.0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w:t>
            </w: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900" w:type="dxa"/>
            <w:vAlign w:val="bottom"/>
            <w:gridSpan w:val="2"/>
          </w:tcPr>
          <w:p>
            <w:pPr>
              <w:spacing w:after="0"/>
              <w:rPr>
                <w:sz w:val="20"/>
                <w:szCs w:val="20"/>
                <w:color w:val="auto"/>
              </w:rPr>
            </w:pPr>
            <w:r>
              <w:rPr>
                <w:rFonts w:ascii="Arial" w:cs="Arial" w:eastAsia="Arial" w:hAnsi="Arial"/>
                <w:sz w:val="14"/>
                <w:szCs w:val="14"/>
                <w:color w:val="auto"/>
              </w:rPr>
              <w:t>(1)  Includes equity-based compensation expense as follows: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6"/>
              </w:rPr>
              <w:t>Three Months Ended September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4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45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3"/>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25.1</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4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45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equity-based compensation expense</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and Three Months Ended September 30, 2021</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$287.6 million for the three months ended September 30, 2022, an increase of $90.0 million, or 46%,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$197.6 million for the three months ended September 30, 2021. This increase was primarily due to the addition of new customers over the past 12 months and net expansion with existing customers. Revenue from acquired products in the first 12 months post-acquisition contributed $7.8 million for the three months ended September 30, 2022.</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$48.2 million for the three months ended September 30, 2022, an increase of $10.3 million, or 27%,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$37.9 million for the three months ended September 30, 2021. The increase was primarily due to additional headcount and related salaries and benefit expenses, increased hosting expense to support new and growing customers, increased amortization of acquired technology related to 2021 and 2022 acquisitions, and increased equity-based compensation expense.</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$187.6 million for the three months ended September 30, 2022, an increase of $48.1 million, or 34%,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$139.5 million for the three months ended September 30, 2021. Excluding equity-based compensation expenses, operating expenses were $144.6 million for the three months ended September 30, 2022, an increase of $26.8 million, or 23%, as compared to $117.8 million for the three months ended September 30, 2021. The increase excluding equity-based compensation was primarily due to:</w:t>
      </w:r>
    </w:p>
    <w:p>
      <w:pPr>
        <w:spacing w:after="0" w:line="124" w:lineRule="exact"/>
        <w:rPr>
          <w:sz w:val="20"/>
          <w:szCs w:val="20"/>
          <w:color w:val="auto"/>
        </w:rPr>
      </w:pPr>
    </w:p>
    <w:p>
      <w:pPr>
        <w:jc w:val="both"/>
        <w:ind w:left="640" w:hanging="316"/>
        <w:spacing w:after="0" w:line="252"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sales and marketing expense (excluding equity-based compensation) of $21.4 million, or 38%, to $77.2 million for the three months ended September 30, 2022, due primarily to additional headcount and related salaries and benefits expenses added to drive continued incremental sales and support acquired products, as well as additional commission expense and amortization of deferred commissions related to obtaining contracts with customers;</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equity-based compensation) of $10.2 million, or 38%, to $37.2 million for the three months ended September 30, 2022, due primarily to additional headcount and related salaries and benefits expenses added to support continued innovation of our services and acquired products;</w:t>
      </w:r>
    </w:p>
    <w:p>
      <w:pPr>
        <w:spacing w:after="0" w:line="13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an increase in general and administrative expense (excluding equity-based compensation) of $5.8 million, or 31%, to $24.4 million for the three months ended September 30, 2022, due primarily to additional headcount and related salaries and benefits expenses to support the larger organization;</w:t>
      </w:r>
    </w:p>
    <w:p>
      <w:pPr>
        <w:spacing w:after="0" w:line="135" w:lineRule="exact"/>
        <w:rPr>
          <w:rFonts w:ascii="Arial" w:cs="Arial" w:eastAsia="Arial" w:hAnsi="Arial"/>
          <w:sz w:val="18"/>
          <w:szCs w:val="18"/>
          <w:i w:val="1"/>
          <w:iCs w:val="1"/>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amortization of acquired intangibles expense of $0.2 million, or 4%, to $5.6 million for the three months ended September 30, 2022, due to amortization expense related to intangible assets from 2022 acquisitions; and</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and transaction-related expense of $0.2 million for the three months ended September 30, 2022. This represented a decrease of $10.8 million, or 98%, as compared to expense of $11.0 million for the three months ended September 30, 2021, which were primarily comprised of costs incurred related to 2021 acquisitions.</w:t>
      </w:r>
    </w:p>
    <w:p>
      <w:pPr>
        <w:spacing w:after="0" w:line="13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Equity-based Compensation Expense</w:t>
      </w:r>
      <w:r>
        <w:rPr>
          <w:rFonts w:ascii="Arial" w:cs="Arial" w:eastAsia="Arial" w:hAnsi="Arial"/>
          <w:sz w:val="15"/>
          <w:szCs w:val="15"/>
          <w:color w:val="auto"/>
        </w:rPr>
        <w:t>. Equity-based compensation expense was $48.1 million for the three months ended September 30, 2022, an increase</w:t>
      </w:r>
      <w:r>
        <w:rPr>
          <w:rFonts w:ascii="Arial" w:cs="Arial" w:eastAsia="Arial" w:hAnsi="Arial"/>
          <w:sz w:val="15"/>
          <w:szCs w:val="15"/>
          <w:i w:val="1"/>
          <w:iCs w:val="1"/>
          <w:color w:val="auto"/>
        </w:rPr>
        <w:t xml:space="preserve"> </w:t>
      </w:r>
      <w:r>
        <w:rPr>
          <w:rFonts w:ascii="Arial" w:cs="Arial" w:eastAsia="Arial" w:hAnsi="Arial"/>
          <w:sz w:val="15"/>
          <w:szCs w:val="15"/>
          <w:color w:val="auto"/>
        </w:rPr>
        <w:t>of $23.6 million, or 96%, as compared to $24.5 million for the three months ended September 30, 2021, primarily due to increased headcount.</w:t>
      </w:r>
    </w:p>
    <w:p>
      <w:pPr>
        <w:spacing w:after="0" w:line="5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was $9.8 million for the three months ended September 30, 2022, an increase of $9.7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$0.1 million for the three months ended September 30, 2021, primarily due to a TRA remeasurement gain recognized in 2022.</w:t>
      </w:r>
    </w:p>
    <w:p>
      <w:pPr>
        <w:spacing w:after="0" w:line="10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$11.6 million for the three months ended September 30, 2022, a decrease of $2.3 million, or 17%,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$13.9 million for the three months ended September 30, 2021. The decrease was primarily due to increases in deposit rates that drove incremental interest income, and commencement of forward-starting hedges (refer to Note 9 - Derivatives and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Income Tax Expense (Benefit)</w:t>
      </w:r>
      <w:r>
        <w:rPr>
          <w:rFonts w:ascii="Arial" w:cs="Arial" w:eastAsia="Arial" w:hAnsi="Arial"/>
          <w:sz w:val="15"/>
          <w:szCs w:val="15"/>
          <w:color w:val="auto"/>
        </w:rPr>
        <w:t>. Expense from income taxes for the three months ended September 30, 2022 was $32.1 million, representing an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tax rate of 64.2%, as compared to expense from income taxes of $45.5 million for the three months ended September 30, 2021, representing an effective tax rate of 989.1%. The decrease in the effective tax rate was primarily due to the non-recurring 2021 recognition of non-cash tax expense resulting from shifts in GAAP basis from a non-taxable entity to a taxable entity, The current quarter's effective tax rate largely exceeds the U.S. federal statutory rate due to the impact of state law changes and certain compensation expense that will not have a corresponding tax deduction.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and Nine Months Ended September 30, 2021</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$796.4 million for the nine months ended September 30, 2022, an increase of $271.5 million, or 52%,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$524.9 million for the nine months ended September 30, 2021. This increase was primarily due to the addition of new customers over the past 12 months and net expansion with existing customers. Revenue from acquired products in the first 12 months post-acquisition contributed $40.7 million for the nine months ended September 30, 2022.</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$139.2 million for the nine months ended September 30, 2022, an increase of $42.9 million, or 45%,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$96.3 million for the nine months ended September 30, 2021. The increase was primarily due to additional headcount and related salaries and benefit expenses, increased hosting expense to support new and growing customers, increased amortization of acquired technology related to 2022 acquisitions, and increased equity-based compensation expense.</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$533.5 million for the nine months ended September 30, 2022, an increase of $194.0 million, or 57%,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$339.5 million for the nine months ended September 30, 2021. Excluding equity-based compensation expenses, operating expenses were $410.6 million for the nine months ended September 30, 2022, an increase of $121.3 million, or 42%, as compared to $289.3 million for the nine months ended September 30, 2021. The increase excluding equity-based compensation was primarily due to:</w:t>
      </w:r>
    </w:p>
    <w:p>
      <w:pPr>
        <w:spacing w:after="0" w:line="124" w:lineRule="exact"/>
        <w:rPr>
          <w:sz w:val="20"/>
          <w:szCs w:val="20"/>
          <w:color w:val="auto"/>
        </w:rPr>
      </w:pPr>
    </w:p>
    <w:p>
      <w:pPr>
        <w:jc w:val="both"/>
        <w:ind w:left="640" w:hanging="316"/>
        <w:spacing w:after="0" w:line="252"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sales and marketing expense (excluding equity-based compensation) of $81.1 million, or 58%, to $220.0 million for the nine months ended September 30, 2022, due primarily to additional headcount and related salaries and benefits expenses added to drive continued incremental sales and support acquired products, as well as additional commission expense and amortization of deferred commissions related to obtaining contracts with customers, and advertising expenses;</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equity-based compensation) of $35.8 million, or 55%, to $101.4 million for the nine months ended September 30, 2022, due primarily to additional headcount and related salaries and benefits expenses added to support continued innovation of our services and acquired products;</w:t>
      </w:r>
    </w:p>
    <w:p>
      <w:pPr>
        <w:spacing w:after="0" w:line="13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an increase in general and administrative expense (excluding equity-based compensation) of $16.7 million, or 32%, to $68.9 million for the nine months ended September 30, 2022, due primarily to additional headcount and related salaries and benefits expenses to support the larger organization;</w:t>
      </w:r>
    </w:p>
    <w:p>
      <w:pPr>
        <w:spacing w:after="0" w:line="135" w:lineRule="exact"/>
        <w:rPr>
          <w:rFonts w:ascii="Arial" w:cs="Arial" w:eastAsia="Arial" w:hAnsi="Arial"/>
          <w:sz w:val="18"/>
          <w:szCs w:val="18"/>
          <w:i w:val="1"/>
          <w:iCs w:val="1"/>
          <w:color w:val="auto"/>
        </w:rPr>
      </w:pPr>
    </w:p>
    <w:p>
      <w:pPr>
        <w:ind w:left="64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amortization of acquired intangibles expense of $1.5 million, or 10%, to $16.5 million for the nine months ended September 30, 2022, due to amortization expense related to intangible assets from 2021 and 2022 acquisitions; and</w:t>
      </w:r>
    </w:p>
    <w:p>
      <w:pPr>
        <w:spacing w:after="0" w:line="127" w:lineRule="exact"/>
        <w:rPr>
          <w:rFonts w:ascii="Arial" w:cs="Arial" w:eastAsia="Arial" w:hAnsi="Arial"/>
          <w:sz w:val="18"/>
          <w:szCs w:val="18"/>
          <w:color w:val="auto"/>
        </w:rPr>
      </w:pPr>
    </w:p>
    <w:p>
      <w:pPr>
        <w:jc w:val="both"/>
        <w:ind w:left="640" w:hanging="316"/>
        <w:spacing w:after="0" w:line="271"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restructuring and transaction-related expense of $3.8 million for the nine months ended September 30, 2022, primarily due to transition and retention payments and other costs incurred related to 2021 and 2022 acquisitions. This represented a decrease of $13.8 million, or 78%, as compared to expense of $17.6 million for the nine months ended September 30, 2021, which largely represented costs incurred related to 2021 acquisitions and impairment and accelerated depreciation related to the Company’s Waltham office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Equity-based Compensation Expense</w:t>
      </w:r>
      <w:r>
        <w:rPr>
          <w:rFonts w:ascii="Arial" w:cs="Arial" w:eastAsia="Arial" w:hAnsi="Arial"/>
          <w:sz w:val="15"/>
          <w:szCs w:val="15"/>
          <w:color w:val="auto"/>
        </w:rPr>
        <w:t>. Equity-based compensation expense was $137.6 million for the three months ended September 30, 2022, an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$77.9 million, or 130%, as compared to $59.7 million for the nine months ended September 30, 2021, primarily due to increased headcount.</w:t>
      </w:r>
    </w:p>
    <w:p>
      <w:pPr>
        <w:spacing w:after="0" w:line="5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was $7.0 million for the three months ended September 30, 2022, an increase of $6.8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$0.2 million for the nine months ended September 30, 2021, primarily due to a TRA remeasurement gain recognized in 2022.</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$35.1 million for the nine months ended September 30, 2022, an increase of $4.6 million, or 15%,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$30.5 million for the nine months ended September 30, 2021. The increase was primarily due to increases in the amount of total debt, attributable to the July 2021 issuances of Senior Notes and additional First Lien principal.</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Expense from income taxes for the nine months ended September 30, 2022 was $55.6 million, representing an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58.1%, as compared to expense from income taxes of $101.4 million for the nine months ended September 30, 2021, representing an effective tax rate of 198.4%. The decrease in the effective tax rate was primarily due to the non-recurring 2021 recognition of non-cash tax expense resulting from shifts in GAAP basis from a non-taxable entity to a taxable entity,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September 30, 2022, we had $406.3 million of cash and cash equivalents, $32.4 million of short-term investments, and $250.0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8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generally invoice our subscription customers annually, semi-annually, or quarterly in advance of our subscription services. Therefore, a substantial source of our cash is from such prepayments, which are included on our Condensed Consolidated Balance Sheets as unearned revenue. Unearned revenue consists of billed fees for our subscriptions, prior to satisfying the criteria for revenue recognition, which are subsequently recognized as revenue in accordance with our revenue recognition policy. As of September 30, 2022, we had unearned revenue of $381.2 million, of which $379.7 million was recorded as a current liability and is expected to be recorded as revenue in the next 12 months, provided all other revenue recognition criteria have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After the consummation of the Reorganization Transactions, ZoomInfo Intermediate Inc. (formerly known as ZoomInfo Technologies Inc.) became a holding company with no material assets other than its ownership of HoldCo Units, and ZoomInfo HoldCo became a holding company with no material assets other than its ownership of ZoomInfo OpCo Units. During the quarter ended September 20, 2021, ZoomInfo HoldCo was merged with and into ZoomInfo Intermediate Inc. During the quarter ended December 31, 2021, ZoomInfo Intermediate Inc. became a wholly owned subsidiary of ZoomInfo Technologies Inc. ZoomInfo Technologies Inc. and ZoomInfo Intermediate Inc. have no independent means of generating revenue. In the event ZoomInfo Technologies Inc. declares any cash dividend, we expect that ZoomInfo Technologies Inc to cause ZoomInfo MidCo LLC to make distributions to ZoomInfo Technologies Inc. in part through distributions to ZoomInfo Intermediate Inc. and ZoomInfo OpCo, in an amount sufficient to cover such cash dividends declared by us. Deterioration in the financial condition, earnings, or cash flow of ZoomInfo MidCo LLC and its subsidiaries for any reason could limit or impair their ability to pay such distributions. In addition, the terms of our financing arrangements contain covenants that may restrict ZoomInfo MidCo LLC and its subsidiaries from paying such distributions, subject to certain exceptions. Further, ZoomInfo MidCo LLC is generally prohibited under Delaware law from making a distribution to a member to the extent that, at the time of the distribution, after giving effect to the distribution, liabilities of ZoomInfo MidCo LLC (with certain exceptions), as applicable, exceed the fair value of its assets. Subsidiaries of ZoomInfo MidCo LLC are generally subject to similar legal limitations on their ability to make distributions to ZoomInfo MidCo LLC. See “Risk Factors - Risks Related to Our Organizational Structure” in Part I, Item 1A of our 2021 Form 10-K.</w:t>
      </w:r>
    </w:p>
    <w:p>
      <w:pPr>
        <w:spacing w:after="0" w:line="14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2021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 September 30,</w:t>
            </w:r>
          </w:p>
        </w:tc>
      </w:tr>
      <w:tr>
        <w:trPr>
          <w:trHeight w:val="38"/>
        </w:trPr>
        <w:tc>
          <w:tcPr>
            <w:tcW w:w="80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Pr>
          <w:p>
            <w:pPr>
              <w:spacing w:after="0"/>
              <w:rPr>
                <w:sz w:val="15"/>
                <w:szCs w:val="15"/>
                <w:color w:val="auto"/>
              </w:rPr>
            </w:pPr>
          </w:p>
        </w:tc>
        <w:tc>
          <w:tcPr>
            <w:tcW w:w="1220" w:type="dxa"/>
            <w:vAlign w:val="bottom"/>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37"/>
        </w:trPr>
        <w:tc>
          <w:tcPr>
            <w:tcW w:w="80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r>
      <w:tr>
        <w:trPr>
          <w:trHeight w:val="238"/>
        </w:trPr>
        <w:tc>
          <w:tcPr>
            <w:tcW w:w="80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(739.4)</w:t>
            </w:r>
          </w:p>
        </w:tc>
      </w:tr>
      <w:tr>
        <w:trPr>
          <w:trHeight w:val="28"/>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r>
      <w:tr>
        <w:trPr>
          <w:trHeight w:val="258"/>
        </w:trPr>
        <w:tc>
          <w:tcPr>
            <w:tcW w:w="80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Operating Activities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Net cash provided by operations was $296.9 million for the nine months ended September 30, 2022 as a result of net income of $40.0 million, adjusted by non-cash charges of $292.2 million and the change in our operating assets net of operating liabilities of $35.3 million. The non-cash charges are primarily comprised of equity-based compensation of $137.6 million, depreciation and amortization of $65.2 million, amortization of deferred commission costs of $47.4 million, and a decrease in deferred tax assets net of deferred tax liabilities of $47.5 million, partially offset by tax receivable agreement remeasurement of $9.5 million. The change in operating assets net of operating liabilities was primarily the result of an increase in deferred costs and other assets of $55.5 million, and a decrease in accrued expenses and other liabilities of $11.2 million, partially offset by a decrease in accounts receivable of $22.6 million and an increase in unearned revenue of $10.2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Net cash provided by operations was $228.1 million for the nine months ended September 30, 2021 as a result of a net loss of $50.3 million, adjusted by non-cash charges of $238.3 million and partially offset by the change in our operating assets net of operating liabilities of $40.1 million. The non-cash charges were primarily comprised of a decrease in deferred tax assets net of deferred tax liabilities of $84.5 million, equity-based compensation of $59.7 million, depreciation and amortization of $49.6 million, and amortization of deferred commission costs of $29.3 million. The change in operating assets net of operating liabilities was primarily the result of an increase in unearned revenue of $55.0 million, an increase in accounts payable of $11.8 million, and a decrease in accounts receivable of $7.2 million, partially offset by an increase in deferred costs and other assets of $33.5 million.</w:t>
      </w:r>
    </w:p>
    <w:p>
      <w:pPr>
        <w:spacing w:after="0" w:line="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Restructuring and transaction-related cash costs for the nine months ended September 30, 2022 primarily related to transaction costs related to 2021 and 2022 acquisitions and tax payments related to entity conversions, which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nine months ended September 30, 2022, and 2021, we incurred the following cash expenditures: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Pr>
          <w:p>
            <w:pPr>
              <w:spacing w:after="0"/>
              <w:rPr>
                <w:sz w:val="15"/>
                <w:szCs w:val="15"/>
                <w:color w:val="auto"/>
              </w:rPr>
            </w:pPr>
          </w:p>
        </w:tc>
      </w:tr>
      <w:tr>
        <w:trPr>
          <w:trHeight w:val="38"/>
        </w:trPr>
        <w:tc>
          <w:tcPr>
            <w:tcW w:w="80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04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r>
      <w:tr>
        <w:trPr>
          <w:trHeight w:val="38"/>
        </w:trPr>
        <w:tc>
          <w:tcPr>
            <w:tcW w:w="8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interest expense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65"/>
        </w:trPr>
        <w:tc>
          <w:tcPr>
            <w:tcW w:w="8000" w:type="dxa"/>
            <w:vAlign w:val="bottom"/>
          </w:tcPr>
          <w:p>
            <w:pPr>
              <w:ind w:left="20"/>
              <w:spacing w:after="0"/>
              <w:rPr>
                <w:sz w:val="20"/>
                <w:szCs w:val="20"/>
                <w:color w:val="auto"/>
              </w:rPr>
            </w:pPr>
            <w:r>
              <w:rPr>
                <w:rFonts w:ascii="Arial" w:cs="Arial" w:eastAsia="Arial" w:hAnsi="Arial"/>
                <w:sz w:val="18"/>
                <w:szCs w:val="18"/>
                <w:color w:val="auto"/>
              </w:rPr>
              <w:t>Restructuring and transaction-related expenses paid in cash</w:t>
            </w:r>
            <w:r>
              <w:rPr>
                <w:rFonts w:ascii="Arial" w:cs="Arial" w:eastAsia="Arial" w:hAnsi="Arial"/>
                <w:sz w:val="22"/>
                <w:szCs w:val="22"/>
                <w:color w:val="auto"/>
                <w:vertAlign w:val="superscript"/>
              </w:rPr>
              <w:t>(a)</w:t>
            </w: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6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Integration costs and acquisition-related compensation paid in cash</w:t>
            </w:r>
            <w:r>
              <w:rPr>
                <w:rFonts w:ascii="Arial" w:cs="Arial" w:eastAsia="Arial" w:hAnsi="Arial"/>
                <w:sz w:val="22"/>
                <w:szCs w:val="22"/>
                <w:color w:val="auto"/>
                <w:vertAlign w:val="superscript"/>
              </w:rPr>
              <w:t>(b)</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bl>
    <w:p>
      <w:pPr>
        <w:spacing w:after="0" w:line="246" w:lineRule="exact"/>
        <w:rPr>
          <w:sz w:val="20"/>
          <w:szCs w:val="20"/>
          <w:color w:val="auto"/>
        </w:rPr>
      </w:pPr>
    </w:p>
    <w:p>
      <w:pPr>
        <w:jc w:val="both"/>
        <w:ind w:left="320" w:hanging="314"/>
        <w:spacing w:after="0" w:line="256" w:lineRule="auto"/>
        <w:tabs>
          <w:tab w:leader="none" w:pos="318"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acquisition or disposal activities, including employee severance and termination benefits, contract termination fees and penalties, and other exit or disposal costs. For the nine months ended September 30, 2022, these payments related primarily to transition bonuses paid related to 2021 and 2022 acquisitions offset by payment received for the Waltham sublease termination. For the nine months ended September 30, 2021, these payments related primarily to transaction costs related to 2021 acquisitions and tax payments related to entity conversions.</w:t>
      </w:r>
    </w:p>
    <w:p>
      <w:pPr>
        <w:jc w:val="both"/>
        <w:ind w:left="320" w:hanging="314"/>
        <w:spacing w:after="0" w:line="260" w:lineRule="auto"/>
        <w:tabs>
          <w:tab w:leader="none" w:pos="31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integration activities for acquisitions and acquisition-related compensation, which includes transaction bonuses and retention awards. For the nine months ended September 30, 2022, these payments related to retention awards from the acquisitions of Clickagy, Everstring, and Insent, and professional fees relating to integration projects. For the nine months ended September 30, 2021, these payments related primarily to cash vesting payments from the acquisition of Pre-Acquisition ZI and retention awards payable to acquired employees.</w:t>
      </w:r>
    </w:p>
    <w:p>
      <w:pPr>
        <w:spacing w:after="0" w:line="14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Investing Activities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used in investing activities for the nine months ended September 30, 2022 was $180.3 million, consisting of cash paid for acquisitions of $143.7 million, purchases of short-term investments of $40.7 million, purchases of property and equipment and other assets of $22.5 million, partially offset by maturities of short-term investments of $26.6 million.</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Cash used in investing activities for the nine months ended September 30, 2021 was $739.4 million, consisting of cash paid for acquisitions of $717.5 million, purchases of short-term investments of $119.8 million, and purchases of property and equipment and other assets of $15.8 million, partially offset by proceeds from sales of short-term investments of $61.7 million and maturities of short-term investments of $52.0 million.</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we continue to grow and invest in our business, we expect to continue to invest in property and equipment and opportunistically pursue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Financing Activities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Cash used in financing activities for the nine months ended September 30, 2022 was $18.3 million, primarily comprised of payments of taxes related to net share settlement of equity awards of $12.7 million, payments related to our tax receivable agreements of $5.0 million, payments of deferred consideration of $1.1 million, payments of issuance fees from prior transactions of $0.7 million, partially offset by proceeds from exercise of stock options of $1.2 million.</w:t>
      </w:r>
    </w:p>
    <w:p>
      <w:pPr>
        <w:spacing w:after="0" w:line="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provided by financing activities for the nine months ended September 30, 2021 was $442.9 million, consisting of proceeds from debt of $1,071.8 million, partially offset by payments on long-term debt of $581.4 million, tax distributions to equity partners of $19.9 million, payments of debt issuance and modification costs of $11.4 million, and payments of deferred consideration of $9.4 million.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Refer to Note 8 - Financing Arrangements of our consolidated financial statements for additional information related to each of our borrowings.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September 30, 2022, the aggregate remaining balance of $600.0 million of first lien term loans is due, in its entirety, at the contractual maturity date of February 1, 2026. As of September 30, 2022, the aggregate remaining balance of $650.0 million of 3.875% Senior Notes is due, in its entirety, at the contractual maturity date of February 1, 2029. Interest on the Senior Notes is payable semi-annually in arrears beginning on August 1, 2021. The foregoing currently represent the only existing required future debt principal repayment obligations that will require future uses of the Company’s cash.</w:t>
      </w:r>
    </w:p>
    <w:p>
      <w:pPr>
        <w:spacing w:after="0" w:line="9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first lien term debt has a variable interest rate whereby the Company can elect to use a Base Rate or LIBOR plus an applicable rate. The applicable rate is 2.00% for Base Rate loans or 3.00% for LIBOR Based Loans, depending on the Company’s leverage. The first lien revolving debt has a variable interest rate whereby the Company can elect to use a Base Rate or LIBOR plus an applicable rate. The applicable margin is 1.00% to 1.25% for Base Rate loans or 2.00% to 2.25% for LIBOR Based Loans, depending on the Company’s leverage. The effective interest rate on the first lien debt was 5.83% and 3.41% as of September 30, 2022 and December 31, 2021, respectively.</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September 30, 2022 was $423.4 million. Our total net leverage ratio to Adjusted EBITDA as of September 30, 2022 was 1.9x.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8"/>
        </w:trPr>
        <w:tc>
          <w:tcPr>
            <w:tcW w:w="8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38"/>
        </w:trPr>
        <w:tc>
          <w:tcPr>
            <w:tcW w:w="8400" w:type="dxa"/>
            <w:vAlign w:val="bottom"/>
          </w:tcPr>
          <w:p>
            <w:pPr>
              <w:ind w:left="20"/>
              <w:spacing w:after="0"/>
              <w:rPr>
                <w:sz w:val="20"/>
                <w:szCs w:val="20"/>
                <w:color w:val="auto"/>
              </w:rPr>
            </w:pPr>
            <w:r>
              <w:rPr>
                <w:rFonts w:ascii="Arial" w:cs="Arial" w:eastAsia="Arial" w:hAnsi="Arial"/>
                <w:sz w:val="18"/>
                <w:szCs w:val="18"/>
                <w:color w:val="auto"/>
              </w:rPr>
              <w:t>Less: Cash and cash equivalents, restricted cash, and short-term investments</w:t>
            </w:r>
          </w:p>
        </w:tc>
        <w:tc>
          <w:tcPr>
            <w:tcW w:w="1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444.8</w:t>
            </w:r>
          </w:p>
        </w:tc>
      </w:tr>
      <w:tr>
        <w:trPr>
          <w:trHeight w:val="28"/>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color w:val="auto"/>
              </w:rPr>
              <w:t>Trailing Twelve Months (TTM) Adjusted EBITDA</w:t>
            </w:r>
          </w:p>
        </w:tc>
        <w:tc>
          <w:tcPr>
            <w:tcW w:w="1180" w:type="dxa"/>
            <w:vAlign w:val="bottom"/>
            <w:tcBorders>
              <w:top w:val="single" w:sz="8" w:color="auto"/>
            </w:tcBorders>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423.4</w:t>
            </w:r>
          </w:p>
        </w:tc>
      </w:tr>
      <w:tr>
        <w:trPr>
          <w:trHeight w:val="27"/>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leverage ratio to Adjusted EBITDA</w:t>
            </w:r>
          </w:p>
        </w:tc>
        <w:tc>
          <w:tcPr>
            <w:tcW w:w="1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consolidated first lien net leverage ratio is defined in our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September 30, 2022 was $512.0 million. Our consolidated first lien net leverage ratio as of September 30, 2022 was 0.3x.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8"/>
        </w:trPr>
        <w:tc>
          <w:tcPr>
            <w:tcW w:w="8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maturity of First Lien indebtedness</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Less: Cash and cash equivalents, and short-term investments</w:t>
            </w:r>
          </w:p>
        </w:tc>
        <w:tc>
          <w:tcPr>
            <w:tcW w:w="1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438.7</w:t>
            </w:r>
          </w:p>
        </w:tc>
      </w:tr>
      <w:tr>
        <w:trPr>
          <w:trHeight w:val="28"/>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color w:val="auto"/>
              </w:rPr>
              <w:t>Trailing Twelve Months (TTM) Cash EBITDA</w:t>
            </w:r>
          </w:p>
        </w:tc>
        <w:tc>
          <w:tcPr>
            <w:tcW w:w="1240" w:type="dxa"/>
            <w:vAlign w:val="bottom"/>
            <w:tcBorders>
              <w:top w:val="single" w:sz="8" w:color="auto"/>
            </w:tcBorders>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512.0</w:t>
            </w:r>
          </w:p>
        </w:tc>
      </w:tr>
      <w:tr>
        <w:trPr>
          <w:trHeight w:val="28"/>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Consolidated first lien net leverage ratio</w:t>
            </w:r>
          </w:p>
        </w:tc>
        <w:tc>
          <w:tcPr>
            <w:tcW w:w="1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September 30, 2022 was $512.0 million. Our total net leverage ratio to Cash EBITDA as of September 30, 2022 was 1.6x.</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34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38"/>
        </w:trPr>
        <w:tc>
          <w:tcPr>
            <w:tcW w:w="8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maturity of outstanding indebtedness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38"/>
        </w:trPr>
        <w:tc>
          <w:tcPr>
            <w:tcW w:w="8400" w:type="dxa"/>
            <w:vAlign w:val="bottom"/>
          </w:tcPr>
          <w:p>
            <w:pPr>
              <w:ind w:left="20"/>
              <w:spacing w:after="0"/>
              <w:rPr>
                <w:sz w:val="20"/>
                <w:szCs w:val="20"/>
                <w:color w:val="auto"/>
              </w:rPr>
            </w:pPr>
            <w:r>
              <w:rPr>
                <w:rFonts w:ascii="Arial" w:cs="Arial" w:eastAsia="Arial" w:hAnsi="Arial"/>
                <w:sz w:val="18"/>
                <w:szCs w:val="18"/>
                <w:color w:val="auto"/>
              </w:rPr>
              <w:t>Less: Cash and cash equivalents, restricted cash, and short-term investments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444.8</w:t>
            </w:r>
          </w:p>
        </w:tc>
      </w:tr>
      <w:tr>
        <w:trPr>
          <w:trHeight w:val="28"/>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color w:val="auto"/>
              </w:rPr>
              <w:t>Trailing Twelve Months (TTM) Cash EBITDA</w:t>
            </w: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512.0</w:t>
            </w:r>
          </w:p>
        </w:tc>
      </w:tr>
      <w:tr>
        <w:trPr>
          <w:trHeight w:val="28"/>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leverage ratio to Cash EBITDA</w:t>
            </w:r>
          </w:p>
        </w:tc>
        <w:tc>
          <w:tcPr>
            <w:tcW w:w="340" w:type="dxa"/>
            <w:vAlign w:val="bottom"/>
            <w:tcBorders>
              <w:bottom w:val="single" w:sz="8" w:color="auto"/>
            </w:tcBorders>
            <w:shd w:val="clear" w:color="auto" w:fill="CCEEFF"/>
          </w:tcPr>
          <w:p>
            <w:pPr>
              <w:spacing w:after="0"/>
              <w:rPr>
                <w:sz w:val="24"/>
                <w:szCs w:val="24"/>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r>
        <w:trPr>
          <w:trHeight w:val="426"/>
        </w:trPr>
        <w:tc>
          <w:tcPr>
            <w:tcW w:w="8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jc w:val="right"/>
              <w:ind w:right="453"/>
              <w:spacing w:after="0"/>
              <w:rPr>
                <w:sz w:val="20"/>
                <w:szCs w:val="20"/>
                <w:color w:val="auto"/>
              </w:rPr>
            </w:pPr>
            <w:r>
              <w:rPr>
                <w:rFonts w:ascii="Arial" w:cs="Arial" w:eastAsia="Arial" w:hAnsi="Arial"/>
                <w:sz w:val="14"/>
                <w:szCs w:val="14"/>
                <w:b w:val="1"/>
                <w:bCs w:val="1"/>
                <w:color w:val="auto"/>
              </w:rPr>
              <w:t>Trailing Twelve Months as of</w:t>
            </w:r>
          </w:p>
        </w:tc>
      </w:tr>
      <w:tr>
        <w:trPr>
          <w:trHeight w:val="225"/>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9"/>
                <w:szCs w:val="19"/>
                <w:color w:val="auto"/>
              </w:rPr>
            </w:pPr>
          </w:p>
        </w:tc>
        <w:tc>
          <w:tcPr>
            <w:tcW w:w="2500" w:type="dxa"/>
            <w:vAlign w:val="bottom"/>
          </w:tcPr>
          <w:p>
            <w:pPr>
              <w:jc w:val="right"/>
              <w:ind w:right="733"/>
              <w:spacing w:after="0"/>
              <w:rPr>
                <w:sz w:val="20"/>
                <w:szCs w:val="20"/>
                <w:color w:val="auto"/>
              </w:rPr>
            </w:pPr>
            <w:r>
              <w:rPr>
                <w:rFonts w:ascii="Arial" w:cs="Arial" w:eastAsia="Arial" w:hAnsi="Arial"/>
                <w:sz w:val="14"/>
                <w:szCs w:val="14"/>
                <w:b w:val="1"/>
                <w:bCs w:val="1"/>
                <w:color w:val="auto"/>
              </w:rPr>
              <w:t>September 30, 2022</w:t>
            </w:r>
          </w:p>
        </w:tc>
      </w:tr>
      <w:tr>
        <w:trPr>
          <w:trHeight w:val="38"/>
        </w:trPr>
        <w:tc>
          <w:tcPr>
            <w:tcW w:w="84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r>
      <w:tr>
        <w:trPr>
          <w:trHeight w:val="23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(less): Expense (benefit) from income taxes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Loss on debt modification and extinguishment</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Amortization of acquired technology</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Amortization of other acquired 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278.9</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340" w:type="dxa"/>
            <w:vAlign w:val="bottom"/>
            <w:shd w:val="clear" w:color="auto" w:fill="CCEEFF"/>
          </w:tcPr>
          <w:p>
            <w:pPr>
              <w:spacing w:after="0"/>
              <w:rPr>
                <w:sz w:val="23"/>
                <w:szCs w:val="23"/>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65"/>
        </w:trPr>
        <w:tc>
          <w:tcPr>
            <w:tcW w:w="8400" w:type="dxa"/>
            <w:vAlign w:val="bottom"/>
          </w:tcPr>
          <w:p>
            <w:pPr>
              <w:ind w:left="120"/>
              <w:spacing w:after="0"/>
              <w:rPr>
                <w:sz w:val="20"/>
                <w:szCs w:val="20"/>
                <w:color w:val="auto"/>
              </w:rPr>
            </w:pPr>
            <w:r>
              <w:rPr>
                <w:rFonts w:ascii="Arial" w:cs="Arial" w:eastAsia="Arial" w:hAnsi="Arial"/>
                <w:sz w:val="18"/>
                <w:szCs w:val="18"/>
                <w:color w:val="auto"/>
              </w:rPr>
              <w:t>Add: Impact of fair value adjustments to acquired unearned revenue</w:t>
            </w:r>
            <w:r>
              <w:rPr>
                <w:rFonts w:ascii="Arial" w:cs="Arial" w:eastAsia="Arial" w:hAnsi="Arial"/>
                <w:sz w:val="22"/>
                <w:szCs w:val="22"/>
                <w:color w:val="auto"/>
                <w:vertAlign w:val="superscript"/>
              </w:rPr>
              <w:t>(b)</w:t>
            </w:r>
          </w:p>
        </w:tc>
        <w:tc>
          <w:tcPr>
            <w:tcW w:w="34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Equity-based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65"/>
        </w:trPr>
        <w:tc>
          <w:tcPr>
            <w:tcW w:w="8400" w:type="dxa"/>
            <w:vAlign w:val="bottom"/>
          </w:tcPr>
          <w:p>
            <w:pPr>
              <w:ind w:left="120"/>
              <w:spacing w:after="0"/>
              <w:rPr>
                <w:sz w:val="20"/>
                <w:szCs w:val="20"/>
                <w:color w:val="auto"/>
              </w:rPr>
            </w:pPr>
            <w:r>
              <w:rPr>
                <w:rFonts w:ascii="Arial" w:cs="Arial" w:eastAsia="Arial" w:hAnsi="Arial"/>
                <w:sz w:val="18"/>
                <w:szCs w:val="18"/>
                <w:color w:val="auto"/>
              </w:rPr>
              <w:t>Add: Restructuring and transaction related expenses (excluding depreciation)</w:t>
            </w:r>
            <w:r>
              <w:rPr>
                <w:rFonts w:ascii="Arial" w:cs="Arial" w:eastAsia="Arial" w:hAnsi="Arial"/>
                <w:sz w:val="22"/>
                <w:szCs w:val="22"/>
                <w:color w:val="auto"/>
                <w:vertAlign w:val="superscript"/>
              </w:rPr>
              <w:t>(c)</w:t>
            </w:r>
          </w:p>
        </w:tc>
        <w:tc>
          <w:tcPr>
            <w:tcW w:w="34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6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340" w:type="dxa"/>
            <w:vAlign w:val="bottom"/>
            <w:tcBorders>
              <w:bottom w:val="single" w:sz="8" w:color="auto"/>
            </w:tcBorders>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423.4</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Unearned revenue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(less): Cash rent adjustment</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(less): Pre-Acquisition EBITDA</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(less): Other lender adjustments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EBITDA</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9" w:lineRule="exact"/>
        <w:rPr>
          <w:sz w:val="20"/>
          <w:szCs w:val="20"/>
          <w:color w:val="auto"/>
        </w:rPr>
      </w:pPr>
    </w:p>
    <w:p>
      <w:pPr>
        <w:ind w:left="320" w:hanging="314"/>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11" w:lineRule="exact"/>
        <w:rPr>
          <w:rFonts w:ascii="Arial" w:cs="Arial" w:eastAsia="Arial" w:hAnsi="Arial"/>
          <w:sz w:val="14"/>
          <w:szCs w:val="14"/>
          <w:color w:val="auto"/>
        </w:rPr>
      </w:pPr>
    </w:p>
    <w:p>
      <w:pPr>
        <w:jc w:val="both"/>
        <w:ind w:left="320" w:hanging="314"/>
        <w:spacing w:after="0" w:line="255" w:lineRule="auto"/>
        <w:tabs>
          <w:tab w:leader="none" w:pos="3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hanging="314"/>
        <w:spacing w:after="0" w:line="282" w:lineRule="auto"/>
        <w:tabs>
          <w:tab w:leader="none" w:pos="318"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trailing twelve months ended September 30, 2022, this expense related primarily to cost incurred pursuant to the 2021 and 2022 acquisitions.</w:t>
      </w:r>
    </w:p>
    <w:p>
      <w:pPr>
        <w:jc w:val="both"/>
        <w:ind w:left="320" w:hanging="314"/>
        <w:spacing w:after="0" w:line="255" w:lineRule="auto"/>
        <w:tabs>
          <w:tab w:leader="none" w:pos="31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trailing twelve months ended September 30, 2022, this expense related primarily to retention awards from the acquisitions of Clickagy, Everstring, and Insent, professional fees relating to integration projects, and cash vesting payments from the acquisition of Pre-Acquisition ZI. This expense is included in cost of service, sales and marketing expense, research and development expense, and general and administrative expense as follows: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874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Trailing Twelve Months as</w:t>
            </w:r>
          </w:p>
        </w:tc>
      </w:tr>
      <w:tr>
        <w:trPr>
          <w:trHeight w:val="184"/>
        </w:trPr>
        <w:tc>
          <w:tcPr>
            <w:tcW w:w="8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right="109"/>
              <w:spacing w:after="0"/>
              <w:rPr>
                <w:sz w:val="20"/>
                <w:szCs w:val="20"/>
                <w:color w:val="auto"/>
              </w:rPr>
            </w:pPr>
            <w:r>
              <w:rPr>
                <w:rFonts w:ascii="Arial" w:cs="Arial" w:eastAsia="Arial" w:hAnsi="Arial"/>
                <w:sz w:val="14"/>
                <w:szCs w:val="14"/>
                <w:b w:val="1"/>
                <w:bCs w:val="1"/>
                <w:color w:val="auto"/>
                <w:w w:val="90"/>
              </w:rPr>
              <w:t>of</w:t>
            </w:r>
          </w:p>
        </w:tc>
      </w:tr>
      <w:tr>
        <w:trPr>
          <w:trHeight w:val="225"/>
        </w:trPr>
        <w:tc>
          <w:tcPr>
            <w:tcW w:w="87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9"/>
                <w:szCs w:val="19"/>
                <w:color w:val="auto"/>
              </w:rPr>
            </w:pPr>
          </w:p>
        </w:tc>
        <w:tc>
          <w:tcPr>
            <w:tcW w:w="1580" w:type="dxa"/>
            <w:vAlign w:val="bottom"/>
          </w:tcPr>
          <w:p>
            <w:pPr>
              <w:jc w:val="center"/>
              <w:ind w:right="129"/>
              <w:spacing w:after="0"/>
              <w:rPr>
                <w:sz w:val="20"/>
                <w:szCs w:val="20"/>
                <w:color w:val="auto"/>
              </w:rPr>
            </w:pPr>
            <w:r>
              <w:rPr>
                <w:rFonts w:ascii="Arial" w:cs="Arial" w:eastAsia="Arial" w:hAnsi="Arial"/>
                <w:sz w:val="14"/>
                <w:szCs w:val="14"/>
                <w:b w:val="1"/>
                <w:bCs w:val="1"/>
                <w:color w:val="auto"/>
                <w:w w:val="90"/>
              </w:rPr>
              <w:t>September 30, 2022</w:t>
            </w:r>
          </w:p>
        </w:tc>
      </w:tr>
      <w:tr>
        <w:trPr>
          <w:trHeight w:val="38"/>
        </w:trPr>
        <w:tc>
          <w:tcPr>
            <w:tcW w:w="87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99"/>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8"/>
        </w:trPr>
        <w:tc>
          <w:tcPr>
            <w:tcW w:w="87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8"/>
        </w:trPr>
        <w:tc>
          <w:tcPr>
            <w:tcW w:w="8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05"/>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8"/>
        </w:trPr>
        <w:tc>
          <w:tcPr>
            <w:tcW w:w="87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38"/>
        </w:trPr>
        <w:tc>
          <w:tcPr>
            <w:tcW w:w="87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38"/>
        </w:trPr>
        <w:tc>
          <w:tcPr>
            <w:tcW w:w="8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ZoomInfo Tax Group’s allocable share of existing tax basis acquired in the IPO and the increase in the ZoomInfo Tax Group’s allocable share of existing tax basis and the tax basis adjustments upon exchanges of OpCo Units for shares of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Intermediate Inc. not entered into the tax receivable agreements. The term of each tax receivable agreement will continue until all such tax benefits have been utilized or expired, unless (i) ZoomInfo Intermediate Inc. exercises its right to terminate one or both tax receivable agreements for an amount based on the agreed payments remaining to be made under the agreement, (ii) ZoomInfo Intermediate Inc. breaches any of its material obligations under one or both tax receivable agreements in which case all obligations (including any additional interest due relating to any deferred payments) generally will be accelerated and due as if ZoomInfo Intermediate Inc. had exercised its right to terminate the tax receivable agreements, or (iii) there is a change of control of ZoomInfo Intermediate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our blended federal and state tax rate and the amount and timing of our income.</w:t>
      </w:r>
    </w:p>
    <w:p>
      <w:pPr>
        <w:spacing w:after="0" w:line="3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expect that as a result of the size of the ZoomInfo Tax Group’s allocable share of existing tax basis acquired in the IPO, the increase in the ZoomInfo Tax Group’s allocable share of existing tax basis and the tax basis adjustment of the tangible and intangible assets of the ZoomInfo Tax Group upon the exchange of OpCo Units for shares of Common Stock and our possible utilization of certain tax attributes, the payments that ZoomInfo Intermediate Inc. may make under the tax receivable agreements will be substantial. As of September 30, 2022, the Company had a liability of $3,042.0 million related to its projected obligations under the Tax Receivable Agreements in connection with the Reorganization Transactions and OpCo Units. During the nine months ended September 30, 2022, we paid a total of $5.0 million pursuant to the Tax Receivable Agreements. There were no payments in the nine months ended September 30, 2021. The payments under the tax receivable agreements are not conditioned upon continued ownership of us by the exchanging holders of OpCo Units. Refer to Note 16 - Tax Receivable Agreements to our unaudited consolidated financial statements included in Part I, Item 1 of this Form 10-Q for additional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September 30, 2022, we had additional operating leases for office space that have not yet commenced with anticipated undiscounted future lease payments of $340.9 million. Refer to Note 14 - Leases of the notes to our unaudited consolidated financial statements included elsewhere in this Quarterly Report on Form 10-Q for further details.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Except as set forth above and in Note 11 -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Annual Report on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4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2021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2 - Basis of Presentation and Summary of Significant Accounting Policies of our consolidated financial statements included in Part I, Item 1 of this Form 10-Q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operating results are subject to market risk from interest rate fluctuations on our First Lien Term Loan, which bears a variable interest rate based on LIBOR. As of September 30, 2022, the total principal balance outstanding was $600.0 million. We have implemented a hedging strategy to mitigate the interest rate risk by entering into certain derivative instruments (refer to Note 8 - Financing Arrangements of our consolidated financial statements included in Part I, Item 1 of this Form 10-Q). Based on the outstanding balances and interest rates of our debt as of September 30, 2022, a hypothetical relative increase or decrease in our effective interest rate by 100 basis points or 1% would have caused an immaterial corresponding change in interest expense over the next 12 months.</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from time to time, we have dedesignated certain cash flow hedging relationships due to repricing of the terms and partial prepayment of the outstanding principal of our First Lien Term Loan since loan inception. As of September 30, 2022, all cash flow hedging relationships are designated as accounting hedges.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To date, our sales contracts have primarily been denominated in U.S. dollars. We have foreign entities established in Israel, Canada, United Kingdom, India and Australia.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September 30, 2022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During the quarter ended September 30, 2022,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 description of certain legal and regulatory proceedings, please read “Legal Matters” in Note 11 (Commitments and Contingencies) to our unaudited consolidated financial statements included in Part I, Item 1 of this Form 10-Q, which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2021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2021 Form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information with respect to shares of Common Stock purchased by the Company during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Number (or</w:t>
            </w:r>
          </w:p>
        </w:tc>
      </w:tr>
      <w:tr>
        <w:trPr>
          <w:trHeight w:val="186"/>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Total Number of Shares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2"/>
              </w:rPr>
              <w:t>Approximate Dollar</w:t>
            </w:r>
          </w:p>
        </w:tc>
      </w:tr>
      <w:tr>
        <w:trPr>
          <w:trHeight w:val="185"/>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Purchased as Part of</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Value) of Shares that May</w:t>
            </w:r>
          </w:p>
        </w:tc>
      </w:tr>
      <w:tr>
        <w:trPr>
          <w:trHeight w:val="199"/>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Arial" w:cs="Arial" w:eastAsia="Arial" w:hAnsi="Arial"/>
                <w:sz w:val="16"/>
                <w:szCs w:val="16"/>
                <w:b w:val="1"/>
                <w:bCs w:val="1"/>
                <w:color w:val="auto"/>
              </w:rPr>
              <w:t>Weighted Average</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Publicly Announced Plans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Yet be Purchased Under</w:t>
            </w:r>
          </w:p>
        </w:tc>
      </w:tr>
      <w:tr>
        <w:trPr>
          <w:trHeight w:val="239"/>
        </w:trPr>
        <w:tc>
          <w:tcPr>
            <w:tcW w:w="3720" w:type="dxa"/>
            <w:vAlign w:val="bottom"/>
            <w:tcBorders>
              <w:bottom w:val="single" w:sz="8" w:color="auto"/>
            </w:tcBorders>
          </w:tcPr>
          <w:p>
            <w:pPr>
              <w:ind w:left="16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0"/>
                <w:szCs w:val="20"/>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Price Paid Per Share</w:t>
            </w:r>
          </w:p>
        </w:tc>
        <w:tc>
          <w:tcPr>
            <w:tcW w:w="1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or Programs</w:t>
            </w:r>
          </w:p>
        </w:tc>
        <w:tc>
          <w:tcPr>
            <w:tcW w:w="1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the Plan or Programs</w:t>
            </w:r>
          </w:p>
        </w:tc>
      </w:tr>
      <w:tr>
        <w:trPr>
          <w:trHeight w:val="232"/>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through July 31, 2022</w:t>
            </w: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August 1 through August 31, 2022</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6,333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41.97</w:t>
            </w:r>
          </w:p>
        </w:tc>
        <w:tc>
          <w:tcPr>
            <w:tcW w:w="120" w:type="dxa"/>
            <w:vAlign w:val="bottom"/>
          </w:tcPr>
          <w:p>
            <w:pPr>
              <w:spacing w:after="0"/>
              <w:rPr>
                <w:sz w:val="19"/>
                <w:szCs w:val="19"/>
                <w:color w:val="auto"/>
              </w:rPr>
            </w:pPr>
          </w:p>
        </w:tc>
        <w:tc>
          <w:tcPr>
            <w:tcW w:w="196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840" w:type="dxa"/>
            <w:vAlign w:val="bottom"/>
          </w:tcPr>
          <w:p>
            <w:pPr>
              <w:ind w:left="1620"/>
              <w:spacing w:after="0"/>
              <w:rPr>
                <w:sz w:val="20"/>
                <w:szCs w:val="20"/>
                <w:color w:val="auto"/>
              </w:rPr>
            </w:pPr>
            <w:r>
              <w:rPr>
                <w:rFonts w:ascii="Arial" w:cs="Arial" w:eastAsia="Arial" w:hAnsi="Arial"/>
                <w:sz w:val="16"/>
                <w:szCs w:val="16"/>
                <w:color w:val="auto"/>
              </w:rPr>
              <w:t>—</w:t>
            </w:r>
          </w:p>
        </w:tc>
      </w:tr>
      <w:tr>
        <w:trPr>
          <w:trHeight w:val="241"/>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through September 30, 2022</w:t>
            </w: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w:t>
            </w:r>
          </w:p>
        </w:tc>
        <w:tc>
          <w:tcPr>
            <w:tcW w:w="12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6"/>
                <w:szCs w:val="16"/>
                <w:color w:val="auto"/>
              </w:rPr>
              <w:t>—</w:t>
            </w:r>
          </w:p>
        </w:tc>
      </w:tr>
      <w:tr>
        <w:trPr>
          <w:trHeight w:val="220"/>
        </w:trPr>
        <w:tc>
          <w:tcPr>
            <w:tcW w:w="38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14,665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840" w:type="dxa"/>
            <w:vAlign w:val="bottom"/>
          </w:tcPr>
          <w:p>
            <w:pPr>
              <w:ind w:left="1620"/>
              <w:spacing w:after="0"/>
              <w:rPr>
                <w:sz w:val="20"/>
                <w:szCs w:val="20"/>
                <w:color w:val="auto"/>
              </w:rPr>
            </w:pPr>
            <w:r>
              <w:rPr>
                <w:rFonts w:ascii="Arial" w:cs="Arial" w:eastAsia="Arial" w:hAnsi="Arial"/>
                <w:sz w:val="16"/>
                <w:szCs w:val="16"/>
                <w:color w:val="auto"/>
              </w:rPr>
              <w:t>—</w:t>
            </w:r>
          </w:p>
        </w:tc>
      </w:tr>
    </w:tbl>
    <w:p>
      <w:pPr>
        <w:spacing w:after="0" w:line="238" w:lineRule="exact"/>
        <w:rPr>
          <w:sz w:val="20"/>
          <w:szCs w:val="20"/>
          <w:color w:val="auto"/>
        </w:rPr>
      </w:pPr>
    </w:p>
    <w:p>
      <w:pPr>
        <w:ind w:firstLine="6"/>
        <w:spacing w:after="0" w:line="284" w:lineRule="auto"/>
        <w:tabs>
          <w:tab w:leader="none" w:pos="209"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of these shares were acquired through the withholding of shares to satisfy tax withholding obligations incurred upon the vesting of HSKB Phantom Units awarded under the HSKB Funds, LLC 2019 Phantom Unit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88" w:lineRule="exact"/>
        <w:rPr>
          <w:sz w:val="20"/>
          <w:szCs w:val="20"/>
          <w:color w:val="auto"/>
        </w:rPr>
      </w:pPr>
    </w:p>
    <w:p>
      <w:pPr>
        <w:ind w:left="200"/>
        <w:spacing w:after="0"/>
        <w:tabs>
          <w:tab w:leader="none" w:pos="3540" w:val="left"/>
          <w:tab w:leader="none" w:pos="6860" w:val="left"/>
          <w:tab w:leader="none" w:pos="8980" w:val="left"/>
          <w:tab w:leader="none" w:pos="1038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Report or Registration</w:t>
      </w:r>
      <w:r>
        <w:rPr>
          <w:sz w:val="20"/>
          <w:szCs w:val="20"/>
          <w:color w:val="auto"/>
        </w:rPr>
        <w:tab/>
      </w:r>
      <w:r>
        <w:rPr>
          <w:rFonts w:ascii="Arial" w:cs="Arial" w:eastAsia="Arial" w:hAnsi="Arial"/>
          <w:sz w:val="18"/>
          <w:szCs w:val="18"/>
          <w:b w:val="1"/>
          <w:bCs w:val="1"/>
          <w:color w:val="auto"/>
        </w:rPr>
        <w:t>SEC File or</w:t>
      </w:r>
      <w:r>
        <w:rPr>
          <w:sz w:val="20"/>
          <w:szCs w:val="20"/>
          <w:color w:val="auto"/>
        </w:rPr>
        <w:tab/>
      </w:r>
      <w:r>
        <w:rPr>
          <w:rFonts w:ascii="Arial" w:cs="Arial" w:eastAsia="Arial" w:hAnsi="Arial"/>
          <w:sz w:val="15"/>
          <w:szCs w:val="15"/>
          <w:b w:val="1"/>
          <w:bCs w:val="1"/>
          <w:color w:val="auto"/>
        </w:rPr>
        <w:t>Exhibit</w:t>
      </w:r>
    </w:p>
    <w:p>
      <w:pPr>
        <w:spacing w:after="0" w:line="22" w:lineRule="exact"/>
        <w:rPr>
          <w:sz w:val="20"/>
          <w:szCs w:val="20"/>
          <w:color w:val="auto"/>
        </w:rPr>
      </w:pPr>
    </w:p>
    <w:p>
      <w:pPr>
        <w:ind w:left="160"/>
        <w:spacing w:after="0"/>
        <w:tabs>
          <w:tab w:leader="none" w:pos="7340" w:val="left"/>
          <w:tab w:leader="none" w:pos="8960" w:val="left"/>
          <w:tab w:leader="none" w:pos="102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Statement</w:t>
      </w:r>
      <w:r>
        <w:rPr>
          <w:sz w:val="20"/>
          <w:szCs w:val="20"/>
          <w:color w:val="auto"/>
        </w:rPr>
        <w:tab/>
      </w:r>
      <w:r>
        <w:rPr>
          <w:rFonts w:ascii="Arial" w:cs="Arial" w:eastAsia="Arial" w:hAnsi="Arial"/>
          <w:sz w:val="18"/>
          <w:szCs w:val="18"/>
          <w:b w:val="1"/>
          <w:bCs w:val="1"/>
          <w:color w:val="auto"/>
        </w:rPr>
        <w:t>Registration</w:t>
      </w:r>
      <w:r>
        <w:rPr>
          <w:sz w:val="20"/>
          <w:szCs w:val="20"/>
          <w:color w:val="auto"/>
        </w:rPr>
        <w:tab/>
      </w:r>
      <w:r>
        <w:rPr>
          <w:rFonts w:ascii="Arial" w:cs="Arial" w:eastAsia="Arial" w:hAnsi="Arial"/>
          <w:sz w:val="15"/>
          <w:szCs w:val="15"/>
          <w:b w:val="1"/>
          <w:bCs w:val="1"/>
          <w:color w:val="auto"/>
        </w:rPr>
        <w:t>Reference</w:t>
      </w:r>
    </w:p>
    <w:p>
      <w:pPr>
        <w:spacing w:after="0" w:line="5"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Number</w:t>
      </w:r>
    </w:p>
    <w:p>
      <w:pPr>
        <w:sectPr>
          <w:pgSz w:w="11900" w:h="16838" w:orient="portrait"/>
          <w:cols w:equalWidth="0" w:num="1">
            <w:col w:w="11240"/>
          </w:cols>
          <w:pgMar w:left="320" w:top="121" w:right="339" w:bottom="1440" w:gutter="0" w:footer="0" w:header="0"/>
        </w:sectPr>
      </w:pPr>
    </w:p>
    <w:p>
      <w:pPr>
        <w:spacing w:after="0" w:line="40" w:lineRule="exact"/>
        <w:rPr>
          <w:sz w:val="20"/>
          <w:szCs w:val="20"/>
          <w:color w:val="auto"/>
        </w:rPr>
      </w:pPr>
    </w:p>
    <w:p>
      <w:pPr>
        <w:ind w:left="380"/>
        <w:spacing w:after="0"/>
        <w:tabs>
          <w:tab w:leader="none" w:pos="940" w:val="left"/>
        </w:tabs>
        <w:rPr>
          <w:rFonts w:ascii="Arial" w:cs="Arial" w:eastAsia="Arial" w:hAnsi="Arial"/>
          <w:sz w:val="12"/>
          <w:szCs w:val="12"/>
          <w:u w:val="single" w:color="auto"/>
          <w:color w:val="0000FF"/>
        </w:rPr>
      </w:pPr>
      <w:r>
        <w:rPr>
          <w:rFonts w:ascii="Arial" w:cs="Arial" w:eastAsia="Arial" w:hAnsi="Arial"/>
          <w:sz w:val="14"/>
          <w:szCs w:val="14"/>
          <w:color w:val="auto"/>
        </w:rPr>
        <w:t>3.1</w:t>
      </w:r>
      <w:r>
        <w:rPr>
          <w:sz w:val="20"/>
          <w:szCs w:val="20"/>
          <w:color w:val="auto"/>
        </w:rPr>
        <w:tab/>
      </w:r>
      <w:hyperlink r:id="rId107">
        <w:r>
          <w:rPr>
            <w:rFonts w:ascii="Arial" w:cs="Arial" w:eastAsia="Arial" w:hAnsi="Arial"/>
            <w:sz w:val="12"/>
            <w:szCs w:val="12"/>
            <w:u w:val="single" w:color="auto"/>
            <w:color w:val="0000FF"/>
          </w:rPr>
          <w:t>Second Amended and Restated Certificate of Incorporation of ZoomInfo Technologies Inc.</w:t>
        </w:r>
      </w:hyperlink>
    </w:p>
    <w:p>
      <w:pPr>
        <w:spacing w:after="0" w:line="19" w:lineRule="exact"/>
        <w:rPr>
          <w:sz w:val="20"/>
          <w:szCs w:val="20"/>
          <w:color w:val="auto"/>
        </w:rPr>
      </w:pPr>
    </w:p>
    <w:p>
      <w:pPr>
        <w:ind w:left="380"/>
        <w:spacing w:after="0"/>
        <w:tabs>
          <w:tab w:leader="none" w:pos="940" w:val="left"/>
        </w:tabs>
        <w:rPr>
          <w:rFonts w:ascii="Arial" w:cs="Arial" w:eastAsia="Arial" w:hAnsi="Arial"/>
          <w:sz w:val="13"/>
          <w:szCs w:val="13"/>
          <w:u w:val="single" w:color="auto"/>
          <w:color w:val="0000FF"/>
        </w:rPr>
      </w:pPr>
      <w:hyperlink r:id="rId108"/>
      <w:r>
        <w:rPr>
          <w:rFonts w:ascii="Arial" w:cs="Arial" w:eastAsia="Arial" w:hAnsi="Arial"/>
          <w:sz w:val="28"/>
          <w:szCs w:val="28"/>
          <w:color w:val="000000"/>
          <w:vertAlign w:val="superscript"/>
        </w:rPr>
        <w:t>3.2</w:t>
      </w:r>
      <w:r>
        <w:rPr>
          <w:rFonts w:ascii="Arial" w:cs="Arial" w:eastAsia="Arial" w:hAnsi="Arial"/>
          <w:sz w:val="14"/>
          <w:szCs w:val="14"/>
          <w:color w:val="0000FF"/>
        </w:rPr>
        <w:tab/>
      </w:r>
      <w:hyperlink r:id="rId108">
        <w:r>
          <w:rPr>
            <w:rFonts w:ascii="Arial" w:cs="Arial" w:eastAsia="Arial" w:hAnsi="Arial"/>
            <w:sz w:val="13"/>
            <w:szCs w:val="13"/>
            <w:u w:val="single" w:color="auto"/>
            <w:color w:val="0000FF"/>
          </w:rPr>
          <w:t>Amended and Restated Bylaws of ZoomInfo New</w:t>
        </w:r>
        <w:r>
          <w:rPr>
            <w:rFonts w:ascii="Arial" w:cs="Arial" w:eastAsia="Arial" w:hAnsi="Arial"/>
            <w:sz w:val="16"/>
            <w:szCs w:val="16"/>
            <w:u w:val="single" w:color="auto"/>
            <w:color w:val="0000FF"/>
          </w:rPr>
          <w:t>C</w:t>
        </w:r>
        <w:r>
          <w:rPr>
            <w:rFonts w:ascii="Arial" w:cs="Arial" w:eastAsia="Arial" w:hAnsi="Arial"/>
            <w:sz w:val="13"/>
            <w:szCs w:val="13"/>
            <w:u w:val="single" w:color="auto"/>
            <w:color w:val="0000FF"/>
          </w:rPr>
          <w:t>o Inc.</w:t>
        </w:r>
      </w:hyperlink>
    </w:p>
    <w:p>
      <w:pPr>
        <w:ind w:left="960" w:hanging="575"/>
        <w:spacing w:after="0" w:line="261"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4.1</w:t>
      </w:r>
      <w:r>
        <w:rPr>
          <w:sz w:val="20"/>
          <w:szCs w:val="20"/>
          <w:color w:val="auto"/>
        </w:rPr>
        <w:tab/>
      </w:r>
      <w:hyperlink r:id="rId109">
        <w:r>
          <w:rPr>
            <w:rFonts w:ascii="Arial" w:cs="Arial" w:eastAsia="Arial" w:hAnsi="Arial"/>
            <w:sz w:val="14"/>
            <w:szCs w:val="14"/>
            <w:u w:val="single" w:color="auto"/>
            <w:color w:val="0000FF"/>
          </w:rPr>
          <w:t>Indenture, dated as of February 2, 2021, by and among ZoomInfo Technologies LLC, ZoomInfo</w:t>
        </w:r>
      </w:hyperlink>
      <w:r>
        <w:rPr>
          <w:rFonts w:ascii="Arial" w:cs="Arial" w:eastAsia="Arial" w:hAnsi="Arial"/>
          <w:sz w:val="14"/>
          <w:szCs w:val="14"/>
          <w:u w:val="single" w:color="auto"/>
          <w:color w:val="0000FF"/>
        </w:rPr>
        <w:t xml:space="preserve"> </w:t>
      </w:r>
      <w:hyperlink r:id="rId109">
        <w:r>
          <w:rPr>
            <w:rFonts w:ascii="Arial" w:cs="Arial" w:eastAsia="Arial" w:hAnsi="Arial"/>
            <w:sz w:val="14"/>
            <w:szCs w:val="14"/>
            <w:u w:val="single" w:color="auto"/>
            <w:color w:val="0000FF"/>
          </w:rPr>
          <w:t>Finance Corp., the guarantors named on the signature pages thereto, and Wells Fargo National</w:t>
        </w:r>
      </w:hyperlink>
      <w:r>
        <w:rPr>
          <w:rFonts w:ascii="Arial" w:cs="Arial" w:eastAsia="Arial" w:hAnsi="Arial"/>
          <w:sz w:val="14"/>
          <w:szCs w:val="14"/>
          <w:u w:val="single" w:color="auto"/>
          <w:color w:val="0000FF"/>
        </w:rPr>
        <w:t xml:space="preserve"> </w:t>
      </w:r>
      <w:hyperlink r:id="rId109">
        <w:r>
          <w:rPr>
            <w:rFonts w:ascii="Arial" w:cs="Arial" w:eastAsia="Arial" w:hAnsi="Arial"/>
            <w:sz w:val="14"/>
            <w:szCs w:val="14"/>
            <w:u w:val="single" w:color="auto"/>
            <w:color w:val="0000FF"/>
          </w:rPr>
          <w:t>Association, as trustee</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20" w:lineRule="exact"/>
        <w:rPr>
          <w:rFonts w:ascii="Arial" w:cs="Arial" w:eastAsia="Arial" w:hAnsi="Arial"/>
          <w:sz w:val="14"/>
          <w:szCs w:val="14"/>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0"/>
        </w:trPr>
        <w:tc>
          <w:tcPr>
            <w:tcW w:w="1900" w:type="dxa"/>
            <w:vAlign w:val="bottom"/>
          </w:tcPr>
          <w:p>
            <w:pPr>
              <w:jc w:val="center"/>
              <w:ind w:right="249"/>
              <w:spacing w:after="0"/>
              <w:rPr>
                <w:sz w:val="20"/>
                <w:szCs w:val="20"/>
                <w:color w:val="auto"/>
              </w:rPr>
            </w:pPr>
            <w:r>
              <w:rPr>
                <w:rFonts w:ascii="Arial" w:cs="Arial" w:eastAsia="Arial" w:hAnsi="Arial"/>
                <w:sz w:val="14"/>
                <w:szCs w:val="14"/>
                <w:color w:val="auto"/>
                <w:w w:val="95"/>
              </w:rPr>
              <w:t>8-K filed May 19, 2022</w:t>
            </w:r>
          </w:p>
        </w:tc>
        <w:tc>
          <w:tcPr>
            <w:tcW w:w="1340" w:type="dxa"/>
            <w:vAlign w:val="bottom"/>
          </w:tcPr>
          <w:p>
            <w:pPr>
              <w:jc w:val="right"/>
              <w:ind w:right="369"/>
              <w:spacing w:after="0"/>
              <w:rPr>
                <w:sz w:val="20"/>
                <w:szCs w:val="20"/>
                <w:color w:val="auto"/>
              </w:rPr>
            </w:pPr>
            <w:r>
              <w:rPr>
                <w:rFonts w:ascii="Arial" w:cs="Arial" w:eastAsia="Arial" w:hAnsi="Arial"/>
                <w:sz w:val="14"/>
                <w:szCs w:val="14"/>
                <w:color w:val="auto"/>
              </w:rPr>
              <w:t>001-39310</w:t>
            </w:r>
          </w:p>
        </w:tc>
        <w:tc>
          <w:tcPr>
            <w:tcW w:w="6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25"/>
        </w:trPr>
        <w:tc>
          <w:tcPr>
            <w:tcW w:w="1900" w:type="dxa"/>
            <w:vAlign w:val="bottom"/>
          </w:tcPr>
          <w:p>
            <w:pPr>
              <w:jc w:val="center"/>
              <w:ind w:right="229"/>
              <w:spacing w:after="0"/>
              <w:rPr>
                <w:sz w:val="20"/>
                <w:szCs w:val="20"/>
                <w:color w:val="auto"/>
              </w:rPr>
            </w:pPr>
            <w:r>
              <w:rPr>
                <w:rFonts w:ascii="Arial" w:cs="Arial" w:eastAsia="Arial" w:hAnsi="Arial"/>
                <w:sz w:val="14"/>
                <w:szCs w:val="14"/>
                <w:color w:val="auto"/>
                <w:w w:val="93"/>
              </w:rPr>
              <w:t>8-K filed November 1, 2021</w:t>
            </w:r>
          </w:p>
        </w:tc>
        <w:tc>
          <w:tcPr>
            <w:tcW w:w="1340" w:type="dxa"/>
            <w:vAlign w:val="bottom"/>
          </w:tcPr>
          <w:p>
            <w:pPr>
              <w:jc w:val="right"/>
              <w:ind w:right="369"/>
              <w:spacing w:after="0"/>
              <w:rPr>
                <w:sz w:val="20"/>
                <w:szCs w:val="20"/>
                <w:color w:val="auto"/>
              </w:rPr>
            </w:pPr>
            <w:r>
              <w:rPr>
                <w:rFonts w:ascii="Arial" w:cs="Arial" w:eastAsia="Arial" w:hAnsi="Arial"/>
                <w:sz w:val="14"/>
                <w:szCs w:val="14"/>
                <w:color w:val="auto"/>
              </w:rPr>
              <w:t>001-39310</w:t>
            </w:r>
          </w:p>
        </w:tc>
        <w:tc>
          <w:tcPr>
            <w:tcW w:w="6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65"/>
        </w:trPr>
        <w:tc>
          <w:tcPr>
            <w:tcW w:w="1900" w:type="dxa"/>
            <w:vAlign w:val="bottom"/>
          </w:tcPr>
          <w:p>
            <w:pPr>
              <w:jc w:val="center"/>
              <w:ind w:right="229"/>
              <w:spacing w:after="0"/>
              <w:rPr>
                <w:sz w:val="20"/>
                <w:szCs w:val="20"/>
                <w:color w:val="auto"/>
              </w:rPr>
            </w:pPr>
            <w:r>
              <w:rPr>
                <w:rFonts w:ascii="Arial" w:cs="Arial" w:eastAsia="Arial" w:hAnsi="Arial"/>
                <w:sz w:val="14"/>
                <w:szCs w:val="14"/>
                <w:color w:val="auto"/>
                <w:w w:val="95"/>
              </w:rPr>
              <w:t>8-K filed July 15, 2021</w:t>
            </w:r>
          </w:p>
        </w:tc>
        <w:tc>
          <w:tcPr>
            <w:tcW w:w="1340" w:type="dxa"/>
            <w:vAlign w:val="bottom"/>
          </w:tcPr>
          <w:p>
            <w:pPr>
              <w:jc w:val="right"/>
              <w:ind w:right="369"/>
              <w:spacing w:after="0"/>
              <w:rPr>
                <w:sz w:val="20"/>
                <w:szCs w:val="20"/>
                <w:color w:val="auto"/>
              </w:rPr>
            </w:pPr>
            <w:r>
              <w:rPr>
                <w:rFonts w:ascii="Arial" w:cs="Arial" w:eastAsia="Arial" w:hAnsi="Arial"/>
                <w:sz w:val="14"/>
                <w:szCs w:val="14"/>
                <w:color w:val="auto"/>
              </w:rPr>
              <w:t>001-39310</w:t>
            </w:r>
          </w:p>
        </w:tc>
        <w:tc>
          <w:tcPr>
            <w:tcW w:w="600" w:type="dxa"/>
            <w:vAlign w:val="bottom"/>
          </w:tcPr>
          <w:p>
            <w:pPr>
              <w:jc w:val="right"/>
              <w:spacing w:after="0"/>
              <w:rPr>
                <w:sz w:val="20"/>
                <w:szCs w:val="20"/>
                <w:color w:val="auto"/>
              </w:rPr>
            </w:pPr>
            <w:r>
              <w:rPr>
                <w:rFonts w:ascii="Arial" w:cs="Arial" w:eastAsia="Arial" w:hAnsi="Arial"/>
                <w:sz w:val="14"/>
                <w:szCs w:val="14"/>
                <w:color w:val="auto"/>
              </w:rPr>
              <w:t>4.1</w:t>
            </w:r>
          </w:p>
        </w:tc>
      </w:tr>
    </w:tbl>
    <w:p>
      <w:pPr>
        <w:spacing w:after="0" w:line="366" w:lineRule="exact"/>
        <w:rPr>
          <w:rFonts w:ascii="Arial" w:cs="Arial" w:eastAsia="Arial" w:hAnsi="Arial"/>
          <w:sz w:val="14"/>
          <w:szCs w:val="14"/>
          <w:u w:val="single" w:color="auto"/>
          <w:color w:val="0000FF"/>
        </w:rPr>
      </w:pPr>
    </w:p>
    <w:p>
      <w:pPr>
        <w:sectPr>
          <w:pgSz w:w="11900" w:h="16838" w:orient="portrait"/>
          <w:cols w:equalWidth="0" w:num="2">
            <w:col w:w="6400" w:space="540"/>
            <w:col w:w="4300"/>
          </w:cols>
          <w:pgMar w:left="320" w:top="121" w:right="339" w:bottom="1440" w:gutter="0" w:footer="0" w:header="0"/>
          <w:type w:val="continuous"/>
        </w:sectPr>
      </w:pPr>
    </w:p>
    <w:tbl>
      <w:tblPr>
        <w:tblLayout w:type="fixed"/>
        <w:tblInd w:w="180" w:type="dxa"/>
        <w:tblCellMar>
          <w:top w:w="0" w:type="dxa"/>
          <w:left w:w="0" w:type="dxa"/>
          <w:bottom w:w="0" w:type="dxa"/>
          <w:right w:w="0" w:type="dxa"/>
        </w:tblCellMar>
      </w:tblPr>
      <w:tr>
        <w:trPr>
          <w:trHeight w:val="161"/>
        </w:trPr>
        <w:tc>
          <w:tcPr>
            <w:tcW w:w="780" w:type="dxa"/>
            <w:vAlign w:val="bottom"/>
          </w:tcPr>
          <w:p>
            <w:pPr>
              <w:jc w:val="center"/>
              <w:ind w:right="129"/>
              <w:spacing w:after="0"/>
              <w:rPr>
                <w:sz w:val="20"/>
                <w:szCs w:val="20"/>
                <w:color w:val="auto"/>
              </w:rPr>
            </w:pPr>
            <w:r>
              <w:rPr>
                <w:rFonts w:ascii="Arial" w:cs="Arial" w:eastAsia="Arial" w:hAnsi="Arial"/>
                <w:sz w:val="14"/>
                <w:szCs w:val="14"/>
                <w:color w:val="auto"/>
                <w:w w:val="92"/>
              </w:rPr>
              <w:t>4.2</w:t>
            </w:r>
          </w:p>
        </w:tc>
        <w:tc>
          <w:tcPr>
            <w:tcW w:w="5920" w:type="dxa"/>
            <w:vAlign w:val="bottom"/>
            <w:gridSpan w:val="10"/>
          </w:tcPr>
          <w:p>
            <w:pPr>
              <w:spacing w:after="0"/>
              <w:rPr>
                <w:rFonts w:ascii="Arial" w:cs="Arial" w:eastAsia="Arial" w:hAnsi="Arial"/>
                <w:sz w:val="14"/>
                <w:szCs w:val="14"/>
                <w:color w:val="0000FF"/>
                <w:w w:val="99"/>
              </w:rPr>
            </w:pPr>
            <w:hyperlink r:id="rId110">
              <w:r>
                <w:rPr>
                  <w:rFonts w:ascii="Arial" w:cs="Arial" w:eastAsia="Arial" w:hAnsi="Arial"/>
                  <w:sz w:val="14"/>
                  <w:szCs w:val="14"/>
                  <w:color w:val="0000FF"/>
                  <w:w w:val="99"/>
                </w:rPr>
                <w:t>Supplemental Indenture, dated as of July 15, 2021, by and among ZoomInfo Technologies LLC,</w:t>
              </w:r>
            </w:hyperlink>
          </w:p>
        </w:tc>
        <w:tc>
          <w:tcPr>
            <w:tcW w:w="1880" w:type="dxa"/>
            <w:vAlign w:val="bottom"/>
          </w:tcPr>
          <w:p>
            <w:pPr>
              <w:ind w:left="200"/>
              <w:spacing w:after="0"/>
              <w:rPr>
                <w:sz w:val="20"/>
                <w:szCs w:val="20"/>
                <w:color w:val="auto"/>
              </w:rPr>
            </w:pPr>
            <w:r>
              <w:rPr>
                <w:rFonts w:ascii="Arial" w:cs="Arial" w:eastAsia="Arial" w:hAnsi="Arial"/>
                <w:sz w:val="14"/>
                <w:szCs w:val="14"/>
                <w:color w:val="auto"/>
              </w:rPr>
              <w:t>8-K filed July 15, 2021</w:t>
            </w:r>
          </w:p>
        </w:tc>
        <w:tc>
          <w:tcPr>
            <w:tcW w:w="1420" w:type="dxa"/>
            <w:vAlign w:val="bottom"/>
          </w:tcPr>
          <w:p>
            <w:pPr>
              <w:jc w:val="right"/>
              <w:ind w:right="369"/>
              <w:spacing w:after="0"/>
              <w:rPr>
                <w:sz w:val="20"/>
                <w:szCs w:val="20"/>
                <w:color w:val="auto"/>
              </w:rPr>
            </w:pPr>
            <w:r>
              <w:rPr>
                <w:rFonts w:ascii="Arial" w:cs="Arial" w:eastAsia="Arial" w:hAnsi="Arial"/>
                <w:sz w:val="14"/>
                <w:szCs w:val="14"/>
                <w:color w:val="auto"/>
              </w:rPr>
              <w:t>001-39310</w:t>
            </w:r>
          </w:p>
        </w:tc>
        <w:tc>
          <w:tcPr>
            <w:tcW w:w="6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52"/>
        </w:trPr>
        <w:tc>
          <w:tcPr>
            <w:tcW w:w="780" w:type="dxa"/>
            <w:vAlign w:val="bottom"/>
          </w:tcPr>
          <w:p>
            <w:pPr>
              <w:spacing w:after="0"/>
              <w:rPr>
                <w:sz w:val="13"/>
                <w:szCs w:val="13"/>
                <w:color w:val="auto"/>
              </w:rPr>
            </w:pPr>
          </w:p>
        </w:tc>
        <w:tc>
          <w:tcPr>
            <w:tcW w:w="5440" w:type="dxa"/>
            <w:vAlign w:val="bottom"/>
            <w:tcBorders>
              <w:top w:val="single" w:sz="8" w:color="0000FF"/>
            </w:tcBorders>
            <w:gridSpan w:val="7"/>
          </w:tcPr>
          <w:p>
            <w:pPr>
              <w:spacing w:after="0" w:line="152" w:lineRule="exact"/>
              <w:rPr>
                <w:rFonts w:ascii="Arial" w:cs="Arial" w:eastAsia="Arial" w:hAnsi="Arial"/>
                <w:sz w:val="14"/>
                <w:szCs w:val="14"/>
                <w:color w:val="0000FF"/>
                <w:w w:val="90"/>
              </w:rPr>
            </w:pPr>
            <w:hyperlink r:id="rId110">
              <w:r>
                <w:rPr>
                  <w:rFonts w:ascii="Arial" w:cs="Arial" w:eastAsia="Arial" w:hAnsi="Arial"/>
                  <w:sz w:val="14"/>
                  <w:szCs w:val="14"/>
                  <w:color w:val="0000FF"/>
                  <w:w w:val="90"/>
                </w:rPr>
                <w:t>ZoomInfo Finance Corp., the guarantors named on the signature pages thereto, and Wells Fargo</w:t>
              </w:r>
            </w:hyperlink>
          </w:p>
        </w:tc>
        <w:tc>
          <w:tcPr>
            <w:tcW w:w="480" w:type="dxa"/>
            <w:vAlign w:val="bottom"/>
            <w:gridSpan w:val="3"/>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2"/>
        </w:trPr>
        <w:tc>
          <w:tcPr>
            <w:tcW w:w="780" w:type="dxa"/>
            <w:vAlign w:val="bottom"/>
          </w:tcPr>
          <w:p>
            <w:pPr>
              <w:spacing w:after="0"/>
              <w:rPr>
                <w:sz w:val="13"/>
                <w:szCs w:val="13"/>
                <w:color w:val="auto"/>
              </w:rPr>
            </w:pPr>
          </w:p>
        </w:tc>
        <w:tc>
          <w:tcPr>
            <w:tcW w:w="1800" w:type="dxa"/>
            <w:vAlign w:val="bottom"/>
            <w:tcBorders>
              <w:top w:val="single" w:sz="8" w:color="0000FF"/>
              <w:bottom w:val="single" w:sz="8" w:color="0000FF"/>
            </w:tcBorders>
          </w:tcPr>
          <w:p>
            <w:pPr>
              <w:spacing w:after="0" w:line="152" w:lineRule="exact"/>
              <w:rPr>
                <w:rFonts w:ascii="Arial" w:cs="Arial" w:eastAsia="Arial" w:hAnsi="Arial"/>
                <w:sz w:val="14"/>
                <w:szCs w:val="14"/>
                <w:color w:val="0000FF"/>
                <w:w w:val="90"/>
              </w:rPr>
            </w:pPr>
            <w:hyperlink r:id="rId110">
              <w:r>
                <w:rPr>
                  <w:rFonts w:ascii="Arial" w:cs="Arial" w:eastAsia="Arial" w:hAnsi="Arial"/>
                  <w:sz w:val="14"/>
                  <w:szCs w:val="14"/>
                  <w:color w:val="0000FF"/>
                  <w:w w:val="90"/>
                </w:rPr>
                <w:t>National Association, as trustee</w:t>
              </w:r>
            </w:hyperlink>
          </w:p>
        </w:tc>
        <w:tc>
          <w:tcPr>
            <w:tcW w:w="3600" w:type="dxa"/>
            <w:vAlign w:val="bottom"/>
            <w:tcBorders>
              <w:top w:val="single" w:sz="8" w:color="0000FF"/>
            </w:tcBorders>
            <w:gridSpan w:val="4"/>
          </w:tcPr>
          <w:p>
            <w:pPr>
              <w:spacing w:after="0"/>
              <w:rPr>
                <w:sz w:val="13"/>
                <w:szCs w:val="13"/>
                <w:color w:val="auto"/>
              </w:rPr>
            </w:pPr>
          </w:p>
        </w:tc>
        <w:tc>
          <w:tcPr>
            <w:tcW w:w="520" w:type="dxa"/>
            <w:vAlign w:val="bottom"/>
            <w:gridSpan w:val="5"/>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21"/>
        </w:trPr>
        <w:tc>
          <w:tcPr>
            <w:tcW w:w="780" w:type="dxa"/>
            <w:vAlign w:val="bottom"/>
          </w:tcPr>
          <w:p>
            <w:pPr>
              <w:jc w:val="center"/>
              <w:ind w:right="129"/>
              <w:spacing w:after="0"/>
              <w:rPr>
                <w:sz w:val="20"/>
                <w:szCs w:val="20"/>
                <w:color w:val="auto"/>
              </w:rPr>
            </w:pPr>
            <w:r>
              <w:rPr>
                <w:rFonts w:ascii="Arial" w:cs="Arial" w:eastAsia="Arial" w:hAnsi="Arial"/>
                <w:sz w:val="14"/>
                <w:szCs w:val="14"/>
                <w:color w:val="auto"/>
                <w:w w:val="92"/>
              </w:rPr>
              <w:t>4.3</w:t>
            </w:r>
          </w:p>
        </w:tc>
        <w:tc>
          <w:tcPr>
            <w:tcW w:w="5920" w:type="dxa"/>
            <w:vAlign w:val="bottom"/>
            <w:gridSpan w:val="10"/>
          </w:tcPr>
          <w:p>
            <w:pPr>
              <w:spacing w:after="0"/>
              <w:rPr>
                <w:sz w:val="20"/>
                <w:szCs w:val="20"/>
                <w:color w:val="auto"/>
              </w:rPr>
            </w:pPr>
            <w:r>
              <w:rPr>
                <w:rFonts w:ascii="Arial" w:cs="Arial" w:eastAsia="Arial" w:hAnsi="Arial"/>
                <w:sz w:val="14"/>
                <w:szCs w:val="14"/>
                <w:color w:val="auto"/>
              </w:rPr>
              <w:t>Form of 3.875% Senior Note due 2029 (included in Exhibit 4.1)</w:t>
            </w:r>
          </w:p>
        </w:tc>
        <w:tc>
          <w:tcPr>
            <w:tcW w:w="1880" w:type="dxa"/>
            <w:vAlign w:val="bottom"/>
          </w:tcPr>
          <w:p>
            <w:pPr>
              <w:ind w:left="200"/>
              <w:spacing w:after="0"/>
              <w:rPr>
                <w:sz w:val="20"/>
                <w:szCs w:val="20"/>
                <w:color w:val="auto"/>
              </w:rPr>
            </w:pPr>
            <w:r>
              <w:rPr>
                <w:rFonts w:ascii="Arial" w:cs="Arial" w:eastAsia="Arial" w:hAnsi="Arial"/>
                <w:sz w:val="14"/>
                <w:szCs w:val="14"/>
                <w:color w:val="auto"/>
              </w:rPr>
              <w:t>8-K filed July 15, 2021</w:t>
            </w:r>
          </w:p>
        </w:tc>
        <w:tc>
          <w:tcPr>
            <w:tcW w:w="1420" w:type="dxa"/>
            <w:vAlign w:val="bottom"/>
          </w:tcPr>
          <w:p>
            <w:pPr>
              <w:jc w:val="right"/>
              <w:ind w:right="369"/>
              <w:spacing w:after="0"/>
              <w:rPr>
                <w:sz w:val="20"/>
                <w:szCs w:val="20"/>
                <w:color w:val="auto"/>
              </w:rPr>
            </w:pPr>
            <w:r>
              <w:rPr>
                <w:rFonts w:ascii="Arial" w:cs="Arial" w:eastAsia="Arial" w:hAnsi="Arial"/>
                <w:sz w:val="14"/>
                <w:szCs w:val="14"/>
                <w:color w:val="auto"/>
              </w:rPr>
              <w:t>001-39310</w:t>
            </w:r>
          </w:p>
        </w:tc>
        <w:tc>
          <w:tcPr>
            <w:tcW w:w="6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97"/>
        </w:trPr>
        <w:tc>
          <w:tcPr>
            <w:tcW w:w="780" w:type="dxa"/>
            <w:vAlign w:val="bottom"/>
          </w:tcPr>
          <w:p>
            <w:pPr>
              <w:jc w:val="center"/>
              <w:ind w:right="109"/>
              <w:spacing w:after="0"/>
              <w:rPr>
                <w:sz w:val="20"/>
                <w:szCs w:val="20"/>
                <w:color w:val="auto"/>
              </w:rPr>
            </w:pPr>
            <w:r>
              <w:rPr>
                <w:rFonts w:ascii="Arial" w:cs="Arial" w:eastAsia="Arial" w:hAnsi="Arial"/>
                <w:sz w:val="14"/>
                <w:szCs w:val="14"/>
                <w:color w:val="auto"/>
                <w:w w:val="90"/>
              </w:rPr>
              <w:t>+31.1</w:t>
            </w:r>
          </w:p>
        </w:tc>
        <w:tc>
          <w:tcPr>
            <w:tcW w:w="5920" w:type="dxa"/>
            <w:vAlign w:val="bottom"/>
            <w:gridSpan w:val="10"/>
          </w:tcPr>
          <w:p>
            <w:pPr>
              <w:spacing w:after="0"/>
              <w:rPr>
                <w:sz w:val="20"/>
                <w:szCs w:val="20"/>
                <w:color w:val="auto"/>
              </w:rPr>
            </w:pPr>
            <w:r>
              <w:rPr>
                <w:rFonts w:ascii="Arial" w:cs="Arial" w:eastAsia="Arial" w:hAnsi="Arial"/>
                <w:sz w:val="14"/>
                <w:szCs w:val="14"/>
                <w:color w:val="0000FF"/>
              </w:rPr>
              <w:t>Certification of Principal Executive Officer pursuant to Exchange Act Rules 13a-14(a) and 15d-</w:t>
            </w: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52"/>
        </w:trPr>
        <w:tc>
          <w:tcPr>
            <w:tcW w:w="780" w:type="dxa"/>
            <w:vAlign w:val="bottom"/>
          </w:tcPr>
          <w:p>
            <w:pPr>
              <w:spacing w:after="0"/>
              <w:rPr>
                <w:sz w:val="13"/>
                <w:szCs w:val="13"/>
                <w:color w:val="auto"/>
              </w:rPr>
            </w:pPr>
          </w:p>
        </w:tc>
        <w:tc>
          <w:tcPr>
            <w:tcW w:w="5420" w:type="dxa"/>
            <w:vAlign w:val="bottom"/>
            <w:tcBorders>
              <w:top w:val="single" w:sz="8" w:color="0000FF"/>
            </w:tcBorders>
            <w:gridSpan w:val="6"/>
          </w:tcPr>
          <w:p>
            <w:pPr>
              <w:spacing w:after="0" w:line="152" w:lineRule="exact"/>
              <w:rPr>
                <w:sz w:val="20"/>
                <w:szCs w:val="20"/>
                <w:color w:val="auto"/>
              </w:rPr>
            </w:pPr>
            <w:r>
              <w:rPr>
                <w:rFonts w:ascii="Arial" w:cs="Arial" w:eastAsia="Arial" w:hAnsi="Arial"/>
                <w:sz w:val="14"/>
                <w:szCs w:val="14"/>
                <w:color w:val="0000FF"/>
              </w:rPr>
              <w:t>14(a), as adopted pursuant to Section 302 of the Sarbanes-Oxley Act of 2002.</w:t>
            </w:r>
          </w:p>
        </w:tc>
        <w:tc>
          <w:tcPr>
            <w:tcW w:w="500" w:type="dxa"/>
            <w:vAlign w:val="bottom"/>
            <w:gridSpan w:val="4"/>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5"/>
        </w:trPr>
        <w:tc>
          <w:tcPr>
            <w:tcW w:w="780" w:type="dxa"/>
            <w:vAlign w:val="bottom"/>
          </w:tcPr>
          <w:p>
            <w:pPr>
              <w:jc w:val="center"/>
              <w:ind w:right="109"/>
              <w:spacing w:after="0"/>
              <w:rPr>
                <w:sz w:val="20"/>
                <w:szCs w:val="20"/>
                <w:color w:val="auto"/>
              </w:rPr>
            </w:pPr>
            <w:r>
              <w:rPr>
                <w:rFonts w:ascii="Arial" w:cs="Arial" w:eastAsia="Arial" w:hAnsi="Arial"/>
                <w:sz w:val="14"/>
                <w:szCs w:val="14"/>
                <w:color w:val="auto"/>
                <w:w w:val="90"/>
              </w:rPr>
              <w:t>+31.2</w:t>
            </w:r>
          </w:p>
        </w:tc>
        <w:tc>
          <w:tcPr>
            <w:tcW w:w="5920" w:type="dxa"/>
            <w:vAlign w:val="bottom"/>
            <w:gridSpan w:val="10"/>
          </w:tcPr>
          <w:p>
            <w:pPr>
              <w:spacing w:after="0"/>
              <w:rPr>
                <w:sz w:val="20"/>
                <w:szCs w:val="20"/>
                <w:color w:val="auto"/>
              </w:rPr>
            </w:pPr>
            <w:r>
              <w:rPr>
                <w:rFonts w:ascii="Arial" w:cs="Arial" w:eastAsia="Arial" w:hAnsi="Arial"/>
                <w:sz w:val="14"/>
                <w:szCs w:val="14"/>
                <w:color w:val="0000FF"/>
                <w:w w:val="95"/>
              </w:rPr>
              <w:t>Certification of Principal Financial Officer pursuant to Exchange Act Rules 13a-14(a) and 15d-14(a),</w:t>
            </w: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52"/>
        </w:trPr>
        <w:tc>
          <w:tcPr>
            <w:tcW w:w="78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2"/>
          </w:tcPr>
          <w:p>
            <w:pPr>
              <w:spacing w:after="0" w:line="152" w:lineRule="exact"/>
              <w:rPr>
                <w:sz w:val="20"/>
                <w:szCs w:val="20"/>
                <w:color w:val="auto"/>
              </w:rPr>
            </w:pPr>
            <w:r>
              <w:rPr>
                <w:rFonts w:ascii="Arial" w:cs="Arial" w:eastAsia="Arial" w:hAnsi="Arial"/>
                <w:sz w:val="14"/>
                <w:szCs w:val="14"/>
                <w:color w:val="0000FF"/>
                <w:w w:val="90"/>
              </w:rPr>
              <w:t>as adopted pursuant to Section 302 of the Sarbanes-Oxley Act of 2002.</w:t>
            </w:r>
          </w:p>
        </w:tc>
        <w:tc>
          <w:tcPr>
            <w:tcW w:w="1700" w:type="dxa"/>
            <w:vAlign w:val="bottom"/>
            <w:tcBorders>
              <w:top w:val="single" w:sz="8" w:color="0000FF"/>
            </w:tcBorders>
            <w:gridSpan w:val="7"/>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5"/>
        </w:trPr>
        <w:tc>
          <w:tcPr>
            <w:tcW w:w="780" w:type="dxa"/>
            <w:vAlign w:val="bottom"/>
          </w:tcPr>
          <w:p>
            <w:pPr>
              <w:jc w:val="center"/>
              <w:ind w:right="109"/>
              <w:spacing w:after="0"/>
              <w:rPr>
                <w:sz w:val="20"/>
                <w:szCs w:val="20"/>
                <w:color w:val="auto"/>
              </w:rPr>
            </w:pPr>
            <w:r>
              <w:rPr>
                <w:rFonts w:ascii="Arial" w:cs="Arial" w:eastAsia="Arial" w:hAnsi="Arial"/>
                <w:sz w:val="14"/>
                <w:szCs w:val="14"/>
                <w:color w:val="auto"/>
                <w:w w:val="97"/>
              </w:rPr>
              <w:t>+32.1*</w:t>
            </w:r>
          </w:p>
        </w:tc>
        <w:tc>
          <w:tcPr>
            <w:tcW w:w="556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3"/>
              </w:rPr>
              <w:t>Certifications of Principal Executive Officer and Principal Financial Officer pursuant to 18 U.S.C.</w:t>
            </w:r>
          </w:p>
        </w:tc>
        <w:tc>
          <w:tcPr>
            <w:tcW w:w="360" w:type="dxa"/>
            <w:vAlign w:val="bottom"/>
            <w:gridSpan w:val="2"/>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52"/>
        </w:trPr>
        <w:tc>
          <w:tcPr>
            <w:tcW w:w="780" w:type="dxa"/>
            <w:vAlign w:val="bottom"/>
          </w:tcPr>
          <w:p>
            <w:pPr>
              <w:spacing w:after="0"/>
              <w:rPr>
                <w:sz w:val="13"/>
                <w:szCs w:val="13"/>
                <w:color w:val="auto"/>
              </w:rPr>
            </w:pPr>
          </w:p>
        </w:tc>
        <w:tc>
          <w:tcPr>
            <w:tcW w:w="4840" w:type="dxa"/>
            <w:vAlign w:val="bottom"/>
            <w:tcBorders>
              <w:bottom w:val="single" w:sz="8" w:color="0000FF"/>
            </w:tcBorders>
            <w:gridSpan w:val="4"/>
          </w:tcPr>
          <w:p>
            <w:pPr>
              <w:spacing w:after="0" w:line="152" w:lineRule="exact"/>
              <w:rPr>
                <w:sz w:val="20"/>
                <w:szCs w:val="20"/>
                <w:color w:val="auto"/>
              </w:rPr>
            </w:pPr>
            <w:r>
              <w:rPr>
                <w:rFonts w:ascii="Arial" w:cs="Arial" w:eastAsia="Arial" w:hAnsi="Arial"/>
                <w:sz w:val="14"/>
                <w:szCs w:val="14"/>
                <w:color w:val="0000FF"/>
                <w:w w:val="90"/>
              </w:rPr>
              <w:t>Section 1350, as adopted pursuant to Section 906 of the Sarbanes-Oxley Act of 2002.</w:t>
            </w:r>
          </w:p>
        </w:tc>
        <w:tc>
          <w:tcPr>
            <w:tcW w:w="1080" w:type="dxa"/>
            <w:vAlign w:val="bottom"/>
            <w:gridSpan w:val="6"/>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34"/>
        </w:trPr>
        <w:tc>
          <w:tcPr>
            <w:tcW w:w="780" w:type="dxa"/>
            <w:vAlign w:val="bottom"/>
          </w:tcPr>
          <w:p>
            <w:pPr>
              <w:jc w:val="center"/>
              <w:ind w:right="109"/>
              <w:spacing w:after="0"/>
              <w:rPr>
                <w:sz w:val="20"/>
                <w:szCs w:val="20"/>
                <w:color w:val="auto"/>
              </w:rPr>
            </w:pPr>
            <w:r>
              <w:rPr>
                <w:rFonts w:ascii="Arial" w:cs="Arial" w:eastAsia="Arial" w:hAnsi="Arial"/>
                <w:sz w:val="14"/>
                <w:szCs w:val="14"/>
                <w:color w:val="auto"/>
                <w:w w:val="95"/>
              </w:rPr>
              <w:t>+101.INS</w:t>
            </w:r>
          </w:p>
        </w:tc>
        <w:tc>
          <w:tcPr>
            <w:tcW w:w="5920" w:type="dxa"/>
            <w:vAlign w:val="bottom"/>
            <w:gridSpan w:val="10"/>
          </w:tcPr>
          <w:p>
            <w:pPr>
              <w:spacing w:after="0"/>
              <w:rPr>
                <w:sz w:val="20"/>
                <w:szCs w:val="20"/>
                <w:color w:val="auto"/>
              </w:rPr>
            </w:pPr>
            <w:r>
              <w:rPr>
                <w:rFonts w:ascii="Arial" w:cs="Arial" w:eastAsia="Arial" w:hAnsi="Arial"/>
                <w:sz w:val="14"/>
                <w:szCs w:val="14"/>
                <w:color w:val="auto"/>
              </w:rPr>
              <w:t>Inline XBRL Instance Document</w:t>
            </w:r>
          </w:p>
        </w:tc>
        <w:tc>
          <w:tcPr>
            <w:tcW w:w="1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25"/>
        </w:trPr>
        <w:tc>
          <w:tcPr>
            <w:tcW w:w="780" w:type="dxa"/>
            <w:vAlign w:val="bottom"/>
          </w:tcPr>
          <w:p>
            <w:pPr>
              <w:jc w:val="center"/>
              <w:ind w:right="109"/>
              <w:spacing w:after="0"/>
              <w:rPr>
                <w:sz w:val="20"/>
                <w:szCs w:val="20"/>
                <w:color w:val="auto"/>
              </w:rPr>
            </w:pPr>
            <w:r>
              <w:rPr>
                <w:rFonts w:ascii="Arial" w:cs="Arial" w:eastAsia="Arial" w:hAnsi="Arial"/>
                <w:sz w:val="14"/>
                <w:szCs w:val="14"/>
                <w:color w:val="auto"/>
                <w:w w:val="92"/>
              </w:rPr>
              <w:t>+101.SCH</w:t>
            </w:r>
          </w:p>
        </w:tc>
        <w:tc>
          <w:tcPr>
            <w:tcW w:w="5920" w:type="dxa"/>
            <w:vAlign w:val="bottom"/>
            <w:gridSpan w:val="10"/>
          </w:tcPr>
          <w:p>
            <w:pPr>
              <w:spacing w:after="0"/>
              <w:rPr>
                <w:sz w:val="20"/>
                <w:szCs w:val="20"/>
                <w:color w:val="auto"/>
              </w:rPr>
            </w:pPr>
            <w:r>
              <w:rPr>
                <w:rFonts w:ascii="Arial" w:cs="Arial" w:eastAsia="Arial" w:hAnsi="Arial"/>
                <w:sz w:val="14"/>
                <w:szCs w:val="14"/>
                <w:color w:val="auto"/>
              </w:rPr>
              <w:t>Inline XBRL Taxonomy Extension Schema Document</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780" w:type="dxa"/>
            <w:vAlign w:val="bottom"/>
          </w:tcPr>
          <w:p>
            <w:pPr>
              <w:jc w:val="center"/>
              <w:ind w:right="109"/>
              <w:spacing w:after="0"/>
              <w:rPr>
                <w:sz w:val="20"/>
                <w:szCs w:val="20"/>
                <w:color w:val="auto"/>
              </w:rPr>
            </w:pPr>
            <w:r>
              <w:rPr>
                <w:rFonts w:ascii="Arial" w:cs="Arial" w:eastAsia="Arial" w:hAnsi="Arial"/>
                <w:sz w:val="14"/>
                <w:szCs w:val="14"/>
                <w:color w:val="auto"/>
                <w:w w:val="95"/>
              </w:rPr>
              <w:t>+101.CAL</w:t>
            </w:r>
          </w:p>
        </w:tc>
        <w:tc>
          <w:tcPr>
            <w:tcW w:w="5920" w:type="dxa"/>
            <w:vAlign w:val="bottom"/>
            <w:gridSpan w:val="10"/>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780" w:type="dxa"/>
            <w:vAlign w:val="bottom"/>
          </w:tcPr>
          <w:p>
            <w:pPr>
              <w:jc w:val="center"/>
              <w:ind w:right="109"/>
              <w:spacing w:after="0"/>
              <w:rPr>
                <w:sz w:val="20"/>
                <w:szCs w:val="20"/>
                <w:color w:val="auto"/>
              </w:rPr>
            </w:pPr>
            <w:r>
              <w:rPr>
                <w:rFonts w:ascii="Arial" w:cs="Arial" w:eastAsia="Arial" w:hAnsi="Arial"/>
                <w:sz w:val="14"/>
                <w:szCs w:val="14"/>
                <w:color w:val="auto"/>
                <w:w w:val="94"/>
              </w:rPr>
              <w:t>+101.DEF</w:t>
            </w:r>
          </w:p>
        </w:tc>
        <w:tc>
          <w:tcPr>
            <w:tcW w:w="5920" w:type="dxa"/>
            <w:vAlign w:val="bottom"/>
            <w:gridSpan w:val="10"/>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780" w:type="dxa"/>
            <w:vAlign w:val="bottom"/>
          </w:tcPr>
          <w:p>
            <w:pPr>
              <w:jc w:val="center"/>
              <w:ind w:right="109"/>
              <w:spacing w:after="0"/>
              <w:rPr>
                <w:sz w:val="20"/>
                <w:szCs w:val="20"/>
                <w:color w:val="auto"/>
              </w:rPr>
            </w:pPr>
            <w:r>
              <w:rPr>
                <w:rFonts w:ascii="Arial" w:cs="Arial" w:eastAsia="Arial" w:hAnsi="Arial"/>
                <w:sz w:val="14"/>
                <w:szCs w:val="14"/>
                <w:color w:val="auto"/>
                <w:w w:val="96"/>
              </w:rPr>
              <w:t>+101.LAB</w:t>
            </w:r>
          </w:p>
        </w:tc>
        <w:tc>
          <w:tcPr>
            <w:tcW w:w="5920" w:type="dxa"/>
            <w:vAlign w:val="bottom"/>
            <w:gridSpan w:val="10"/>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780" w:type="dxa"/>
            <w:vAlign w:val="bottom"/>
          </w:tcPr>
          <w:p>
            <w:pPr>
              <w:jc w:val="center"/>
              <w:ind w:right="129"/>
              <w:spacing w:after="0"/>
              <w:rPr>
                <w:sz w:val="20"/>
                <w:szCs w:val="20"/>
                <w:color w:val="auto"/>
              </w:rPr>
            </w:pPr>
            <w:r>
              <w:rPr>
                <w:rFonts w:ascii="Arial" w:cs="Arial" w:eastAsia="Arial" w:hAnsi="Arial"/>
                <w:sz w:val="14"/>
                <w:szCs w:val="14"/>
                <w:color w:val="auto"/>
                <w:w w:val="90"/>
              </w:rPr>
              <w:t>+101.PRE</w:t>
            </w:r>
          </w:p>
        </w:tc>
        <w:tc>
          <w:tcPr>
            <w:tcW w:w="5920" w:type="dxa"/>
            <w:vAlign w:val="bottom"/>
            <w:gridSpan w:val="10"/>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45" w:lineRule="exact"/>
        <w:rPr>
          <w:sz w:val="20"/>
          <w:szCs w:val="20"/>
          <w:color w:val="auto"/>
        </w:rPr>
      </w:pPr>
    </w:p>
    <w:p>
      <w:pPr>
        <w:ind w:left="960" w:hanging="590"/>
        <w:spacing w:after="0"/>
        <w:tabs>
          <w:tab w:leader="none" w:pos="9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89" w:lineRule="exact"/>
        <w:rPr>
          <w:rFonts w:ascii="Arial" w:cs="Arial" w:eastAsia="Arial" w:hAnsi="Arial"/>
          <w:sz w:val="14"/>
          <w:szCs w:val="14"/>
          <w:color w:val="auto"/>
        </w:rPr>
      </w:pPr>
    </w:p>
    <w:p>
      <w:pPr>
        <w:ind w:left="120" w:hanging="114"/>
        <w:spacing w:after="0"/>
        <w:tabs>
          <w:tab w:leader="none" w:pos="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70" w:lineRule="exact"/>
        <w:rPr>
          <w:sz w:val="20"/>
          <w:szCs w:val="20"/>
          <w:color w:val="auto"/>
        </w:rPr>
      </w:pPr>
    </w:p>
    <w:p>
      <w:pPr>
        <w:ind w:left="140" w:hanging="134"/>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151" w:lineRule="exact"/>
        <w:rPr>
          <w:sz w:val="20"/>
          <w:szCs w:val="20"/>
          <w:color w:val="auto"/>
        </w:rPr>
      </w:pPr>
    </w:p>
    <w:p>
      <w:pPr>
        <w:jc w:val="both"/>
        <w:ind w:firstLine="6"/>
        <w:spacing w:after="0" w:line="270" w:lineRule="auto"/>
        <w:tabs>
          <w:tab w:leader="none" w:pos="111"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1"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ZOOMINFO TECHNOLOGIES INC.</w:t>
      </w:r>
    </w:p>
    <w:p>
      <w:pPr>
        <w:spacing w:after="0" w:line="257" w:lineRule="exact"/>
        <w:rPr>
          <w:sz w:val="20"/>
          <w:szCs w:val="20"/>
          <w:color w:val="auto"/>
        </w:rPr>
      </w:pPr>
    </w:p>
    <w:p>
      <w:pPr>
        <w:ind w:left="692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27940</wp:posOffset>
            </wp:positionV>
            <wp:extent cx="24314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5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P. Cameron Hyzer</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Chief Financial Officer</w:t>
      </w:r>
    </w:p>
    <w:p>
      <w:pPr>
        <w:spacing w:after="0" w:line="3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Officer and Authorized</w:t>
      </w:r>
    </w:p>
    <w:p>
      <w:pPr>
        <w:spacing w:after="0" w:line="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Signatory)</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November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 Henry Schuck, certify that:</w:t>
      </w:r>
    </w:p>
    <w:p>
      <w:pPr>
        <w:spacing w:after="0" w:line="244" w:lineRule="exact"/>
        <w:rPr>
          <w:sz w:val="20"/>
          <w:szCs w:val="20"/>
          <w:color w:val="auto"/>
        </w:rPr>
      </w:pPr>
    </w:p>
    <w:p>
      <w:pPr>
        <w:ind w:left="180" w:hanging="174"/>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43" w:lineRule="exact"/>
        <w:rPr>
          <w:rFonts w:ascii="Arial" w:cs="Arial" w:eastAsia="Arial" w:hAnsi="Arial"/>
          <w:sz w:val="18"/>
          <w:szCs w:val="18"/>
          <w:color w:val="auto"/>
        </w:rPr>
      </w:pPr>
    </w:p>
    <w:p>
      <w:pPr>
        <w:ind w:right="460" w:firstLine="6"/>
        <w:spacing w:after="0" w:line="365" w:lineRule="auto"/>
        <w:tabs>
          <w:tab w:leader="none" w:pos="177"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right="80" w:firstLine="6"/>
        <w:spacing w:after="0" w:line="264" w:lineRule="auto"/>
        <w:tabs>
          <w:tab w:leader="none" w:pos="1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ind w:right="60" w:firstLine="6"/>
        <w:spacing w:after="0" w:line="255" w:lineRule="auto"/>
        <w:tabs>
          <w:tab w:leader="none" w:pos="1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960" w:right="340" w:hanging="318"/>
        <w:spacing w:after="0" w:line="255" w:lineRule="auto"/>
        <w:tabs>
          <w:tab w:leader="none" w:pos="88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960" w:right="580" w:hanging="318"/>
        <w:spacing w:after="0" w:line="255" w:lineRule="auto"/>
        <w:tabs>
          <w:tab w:leader="none" w:pos="8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960" w:right="740" w:hanging="318"/>
        <w:spacing w:after="0" w:line="365" w:lineRule="auto"/>
        <w:tabs>
          <w:tab w:leader="none" w:pos="882"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960" w:right="320" w:hanging="318"/>
        <w:spacing w:after="0" w:line="255" w:lineRule="auto"/>
        <w:tabs>
          <w:tab w:leader="none" w:pos="8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680" w:firstLine="6"/>
        <w:spacing w:after="0" w:line="365" w:lineRule="auto"/>
        <w:tabs>
          <w:tab w:leader="none" w:pos="17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960" w:right="160" w:hanging="318"/>
        <w:spacing w:after="0" w:line="294" w:lineRule="auto"/>
        <w:tabs>
          <w:tab w:leader="none" w:pos="957"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960" w:right="120" w:hanging="318"/>
        <w:spacing w:after="0" w:line="264" w:lineRule="auto"/>
        <w:tabs>
          <w:tab w:leader="none" w:pos="95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9" w:right="339" w:bottom="1440" w:gutter="0" w:footer="0" w:header="0"/>
        </w:sectPr>
      </w:pPr>
    </w:p>
    <w:bookmarkStart w:id="88" w:name="page89"/>
    <w:bookmarkEnd w:id="88"/>
    <w:p>
      <w:pPr>
        <w:spacing w:after="0" w:line="200" w:lineRule="exact"/>
        <w:rPr>
          <w:sz w:val="20"/>
          <w:szCs w:val="20"/>
          <w:color w:val="auto"/>
        </w:rPr>
      </w:pPr>
    </w:p>
    <w:p>
      <w:pPr>
        <w:spacing w:after="0" w:line="3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36195</wp:posOffset>
            </wp:positionV>
            <wp:extent cx="3079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51"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November 1, 2022</w:t>
      </w:r>
      <w:r>
        <w:rPr>
          <w:sz w:val="20"/>
          <w:szCs w:val="20"/>
          <w:color w:val="auto"/>
        </w:rPr>
        <w:tab/>
      </w:r>
      <w:r>
        <w:rPr>
          <w:rFonts w:ascii="Arial" w:cs="Arial" w:eastAsia="Arial" w:hAnsi="Arial"/>
          <w:sz w:val="15"/>
          <w:szCs w:val="15"/>
          <w:color w:val="auto"/>
        </w:rPr>
        <w:t>Henry Schuck</w:t>
      </w:r>
    </w:p>
    <w:p>
      <w:pPr>
        <w:spacing w:after="0" w:line="8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71" w:lineRule="exact"/>
        <w:rPr>
          <w:sz w:val="20"/>
          <w:szCs w:val="20"/>
          <w:color w:val="auto"/>
        </w:rPr>
      </w:pPr>
    </w:p>
    <w:p>
      <w:pPr>
        <w:ind w:left="620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31.2</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 P. Cameron Hyzer, certify that:</w:t>
      </w:r>
    </w:p>
    <w:p>
      <w:pPr>
        <w:spacing w:after="0" w:line="244" w:lineRule="exact"/>
        <w:rPr>
          <w:sz w:val="20"/>
          <w:szCs w:val="20"/>
          <w:color w:val="auto"/>
        </w:rPr>
      </w:pPr>
    </w:p>
    <w:p>
      <w:pPr>
        <w:ind w:left="180" w:hanging="174"/>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43" w:lineRule="exact"/>
        <w:rPr>
          <w:rFonts w:ascii="Arial" w:cs="Arial" w:eastAsia="Arial" w:hAnsi="Arial"/>
          <w:sz w:val="18"/>
          <w:szCs w:val="18"/>
          <w:color w:val="auto"/>
        </w:rPr>
      </w:pPr>
    </w:p>
    <w:p>
      <w:pPr>
        <w:ind w:right="460" w:firstLine="6"/>
        <w:spacing w:after="0" w:line="365" w:lineRule="auto"/>
        <w:tabs>
          <w:tab w:leader="none" w:pos="177"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right="80" w:firstLine="6"/>
        <w:spacing w:after="0" w:line="264" w:lineRule="auto"/>
        <w:tabs>
          <w:tab w:leader="none" w:pos="1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ind w:right="60" w:firstLine="6"/>
        <w:spacing w:after="0" w:line="255" w:lineRule="auto"/>
        <w:tabs>
          <w:tab w:leader="none" w:pos="1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960" w:right="340" w:hanging="318"/>
        <w:spacing w:after="0" w:line="255" w:lineRule="auto"/>
        <w:tabs>
          <w:tab w:leader="none" w:pos="882"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960" w:right="580" w:hanging="318"/>
        <w:spacing w:after="0" w:line="255" w:lineRule="auto"/>
        <w:tabs>
          <w:tab w:leader="none" w:pos="8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960" w:right="740" w:hanging="318"/>
        <w:spacing w:after="0" w:line="365" w:lineRule="auto"/>
        <w:tabs>
          <w:tab w:leader="none" w:pos="882"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960" w:right="320" w:hanging="318"/>
        <w:spacing w:after="0" w:line="255" w:lineRule="auto"/>
        <w:tabs>
          <w:tab w:leader="none" w:pos="8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680" w:firstLine="6"/>
        <w:spacing w:after="0" w:line="365" w:lineRule="auto"/>
        <w:tabs>
          <w:tab w:leader="none" w:pos="17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960" w:right="160" w:hanging="318"/>
        <w:spacing w:after="0" w:line="294" w:lineRule="auto"/>
        <w:tabs>
          <w:tab w:leader="none" w:pos="957"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960" w:right="200" w:hanging="318"/>
        <w:spacing w:after="0" w:line="264" w:lineRule="auto"/>
        <w:tabs>
          <w:tab w:leader="none" w:pos="8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9" w:right="339" w:bottom="1440" w:gutter="0" w:footer="0" w:header="0"/>
        </w:sectPr>
      </w:pPr>
    </w:p>
    <w:bookmarkStart w:id="90" w:name="page91"/>
    <w:bookmarkEnd w:id="90"/>
    <w:p>
      <w:pPr>
        <w:spacing w:after="0" w:line="200" w:lineRule="exact"/>
        <w:rPr>
          <w:sz w:val="20"/>
          <w:szCs w:val="20"/>
          <w:color w:val="auto"/>
        </w:rPr>
      </w:pPr>
    </w:p>
    <w:p>
      <w:pPr>
        <w:spacing w:after="0" w:line="343"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November 1, 2022</w:t>
      </w:r>
      <w:r>
        <w:rPr>
          <w:sz w:val="20"/>
          <w:szCs w:val="20"/>
          <w:color w:val="auto"/>
        </w:rPr>
        <w:tab/>
      </w:r>
      <w:r>
        <w:rPr>
          <w:rFonts w:ascii="Arial" w:cs="Arial" w:eastAsia="Arial" w:hAnsi="Arial"/>
          <w:sz w:val="15"/>
          <w:szCs w:val="15"/>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36195</wp:posOffset>
            </wp:positionV>
            <wp:extent cx="3079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6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 Cameron Hyzer</w:t>
      </w:r>
    </w:p>
    <w:p>
      <w:pPr>
        <w:spacing w:after="0" w:line="7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71" w:lineRule="exact"/>
        <w:rPr>
          <w:sz w:val="20"/>
          <w:szCs w:val="20"/>
          <w:color w:val="auto"/>
        </w:rPr>
      </w:pPr>
    </w:p>
    <w:p>
      <w:pPr>
        <w:ind w:left="620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32.1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18 U.S.C. Section 1350,</w:t>
      </w:r>
    </w:p>
    <w:p>
      <w:pPr>
        <w:spacing w:after="0" w:line="1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connection with the Quarterly Report on Form 10-Q of ZoomInfo Technologies Inc. (the “Company”) for the quarterly period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2022 as filed with the Securities and Exchange Commission on the date hereof (the “Report”), Henry Schuck, as Chief Executive Officer of the</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Company, and P. Cameron Hyzer, as Chief Financial Officer of the Company, each hereby certifies, pursuant to 18 U.S.C. § 1350, as adopted pursuant to §</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906 of the Sarbanes-Oxley Act of 2002, that, to the best of his knowledge:</w:t>
      </w:r>
    </w:p>
    <w:p>
      <w:pPr>
        <w:spacing w:after="0" w:line="270" w:lineRule="exact"/>
        <w:rPr>
          <w:sz w:val="20"/>
          <w:szCs w:val="20"/>
          <w:color w:val="auto"/>
        </w:rPr>
      </w:pPr>
    </w:p>
    <w:p>
      <w:pPr>
        <w:ind w:left="900" w:hanging="258"/>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83" w:lineRule="exact"/>
        <w:rPr>
          <w:rFonts w:ascii="Arial" w:cs="Arial" w:eastAsia="Arial" w:hAnsi="Arial"/>
          <w:sz w:val="18"/>
          <w:szCs w:val="18"/>
          <w:color w:val="auto"/>
        </w:rPr>
      </w:pPr>
    </w:p>
    <w:p>
      <w:pPr>
        <w:ind w:left="900" w:hanging="258"/>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36195</wp:posOffset>
            </wp:positionV>
            <wp:extent cx="30962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Henry Schuck</w:t>
      </w:r>
    </w:p>
    <w:p>
      <w:pPr>
        <w:spacing w:after="0" w:line="7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71"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35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36195</wp:posOffset>
            </wp:positionV>
            <wp:extent cx="30962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 Cameron Hyzer</w:t>
      </w:r>
    </w:p>
    <w:p>
      <w:pPr>
        <w:spacing w:after="0" w:line="7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71"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3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4"/>
    </w:lvl>
  </w:abstractNum>
  <w:abstractNum w:abstractNumId="17">
    <w:nsid w:val="79838CB2"/>
    <w:multiLevelType w:val="hybridMultilevel"/>
    <w:lvl w:ilvl="0">
      <w:lvlJc w:val="left"/>
      <w:lvlText w:val="(%1)"/>
      <w:numFmt w:val="lowerLetter"/>
      <w:start w:val="5"/>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4"/>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3"/>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lvl w:ilvl="1">
      <w:lvlJc w:val="left"/>
      <w:lvlText w:val="%2"/>
      <w:numFmt w:val="decimal"/>
      <w:start w:val="104"/>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07" Type="http://schemas.openxmlformats.org/officeDocument/2006/relationships/hyperlink" Target="https://www.sec.gov/Archives/edgar/data/1794515/000179451522000095/zi-ex31x20220518.htm" TargetMode="External"/><Relationship Id="rId108" Type="http://schemas.openxmlformats.org/officeDocument/2006/relationships/hyperlink" Target="https://www.sec.gov/Archives/edgar/data/0001794515/000179451521000307/a32amendedandrestatedbylaw.htm" TargetMode="External"/><Relationship Id="rId109" Type="http://schemas.openxmlformats.org/officeDocument/2006/relationships/hyperlink" Target="https://www.sec.gov/Archives/edgar/data/0001794515/000179451521000034/exhibit041xclosingxindent.htm" TargetMode="External"/><Relationship Id="rId110" Type="http://schemas.openxmlformats.org/officeDocument/2006/relationships/hyperlink" Target="https://www.sec.gov/Archives/edgar/data/0001794515/000179451521000174/zi-8kex42x202107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2022-11-01T17:14:18Z</dcterms:created>
  <dcterms:modified xsi:type="dcterms:W3CDTF">2022-11-01T17:14:18Z</dcterms:modified>
</cp:coreProperties>
</file>