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795655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821055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123190</wp:posOffset>
            </wp:positionV>
            <wp:extent cx="1186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2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36830</wp:posOffset>
            </wp:positionV>
            <wp:extent cx="1186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335" w:lineRule="exact"/>
        <w:rPr>
          <w:sz w:val="24"/>
          <w:szCs w:val="24"/>
          <w:color w:val="auto"/>
        </w:rPr>
      </w:pPr>
    </w:p>
    <w:p>
      <w:pPr>
        <w:ind w:left="660" w:hanging="336"/>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1460" w:hanging="339"/>
        <w:spacing w:after="0"/>
        <w:tabs>
          <w:tab w:leader="none" w:pos="1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140"/>
          </w:cols>
          <w:pgMar w:left="320" w:top="1440" w:right="439" w:bottom="1440" w:gutter="0" w:footer="0" w:header="0"/>
        </w:sectPr>
      </w:pPr>
    </w:p>
    <w:p>
      <w:pPr>
        <w:spacing w:after="0" w:line="17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127635</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456" w:lineRule="exact"/>
        <w:rPr>
          <w:sz w:val="24"/>
          <w:szCs w:val="24"/>
          <w:color w:val="auto"/>
        </w:rPr>
      </w:pPr>
    </w:p>
    <w:p>
      <w:pPr>
        <w:sectPr>
          <w:pgSz w:w="11900" w:h="16838" w:orient="portrait"/>
          <w:cols w:equalWidth="0" w:num="2">
            <w:col w:w="6660" w:space="40"/>
            <w:col w:w="4440"/>
          </w:cols>
          <w:pgMar w:left="320" w:top="1440" w:right="439" w:bottom="1440" w:gutter="0" w:footer="0" w:header="0"/>
          <w:type w:val="continuous"/>
        </w:sectPr>
      </w:pPr>
    </w:p>
    <w:p>
      <w:pPr>
        <w:spacing w:after="0" w:line="113" w:lineRule="exact"/>
        <w:rPr>
          <w:sz w:val="24"/>
          <w:szCs w:val="24"/>
          <w:color w:val="auto"/>
        </w:rPr>
      </w:pPr>
    </w:p>
    <w:tbl>
      <w:tblPr>
        <w:tblLayout w:type="fixed"/>
        <w:tblInd w:w="10" w:type="dxa"/>
        <w:tblCellMar>
          <w:top w:w="0" w:type="dxa"/>
          <w:left w:w="0" w:type="dxa"/>
          <w:bottom w:w="0" w:type="dxa"/>
          <w:right w:w="0" w:type="dxa"/>
        </w:tblCellMar>
      </w:tblPr>
      <w:tr>
        <w:trPr>
          <w:trHeight w:val="393"/>
        </w:trPr>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40" w:type="dxa"/>
            <w:vAlign w:val="bottom"/>
            <w:gridSpan w:val="6"/>
          </w:tcPr>
          <w:p>
            <w:pPr>
              <w:jc w:val="center"/>
              <w:spacing w:after="0"/>
              <w:rPr>
                <w:sz w:val="20"/>
                <w:szCs w:val="20"/>
                <w:color w:val="auto"/>
              </w:rPr>
            </w:pPr>
            <w:r>
              <w:rPr>
                <w:rFonts w:ascii="Times New Roman" w:cs="Times New Roman" w:eastAsia="Times New Roman" w:hAnsi="Times New Roman"/>
                <w:sz w:val="32"/>
                <w:szCs w:val="32"/>
                <w:b w:val="1"/>
                <w:bCs w:val="1"/>
                <w:color w:val="auto"/>
                <w:w w:val="98"/>
              </w:rPr>
              <w:t>ZoomInfo Technologies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9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vMerge w:val="restart"/>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vMerge w:val="restart"/>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87-3037521</w:t>
            </w:r>
          </w:p>
        </w:tc>
        <w:tc>
          <w:tcPr>
            <w:tcW w:w="0" w:type="dxa"/>
            <w:vAlign w:val="bottom"/>
          </w:tcPr>
          <w:p>
            <w:pPr>
              <w:spacing w:after="0"/>
              <w:rPr>
                <w:sz w:val="1"/>
                <w:szCs w:val="1"/>
                <w:color w:val="auto"/>
              </w:rPr>
            </w:pPr>
          </w:p>
        </w:tc>
      </w:tr>
      <w:tr>
        <w:trPr>
          <w:trHeight w:val="327"/>
        </w:trPr>
        <w:tc>
          <w:tcPr>
            <w:tcW w:w="3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6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86"/>
        </w:trPr>
        <w:tc>
          <w:tcPr>
            <w:tcW w:w="326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26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805 Broadway Street, Suite 900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6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8"/>
              </w:rPr>
              <w:t>Vancouver, Washington</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jc w:val="right"/>
              <w:ind w:right="1329"/>
              <w:spacing w:after="0"/>
              <w:rPr>
                <w:sz w:val="20"/>
                <w:szCs w:val="20"/>
                <w:color w:val="auto"/>
              </w:rPr>
            </w:pPr>
            <w:r>
              <w:rPr>
                <w:rFonts w:ascii="Times New Roman" w:cs="Times New Roman" w:eastAsia="Times New Roman" w:hAnsi="Times New Roman"/>
                <w:sz w:val="14"/>
                <w:szCs w:val="14"/>
                <w:b w:val="1"/>
                <w:bCs w:val="1"/>
                <w:color w:val="auto"/>
              </w:rPr>
              <w:t>98660</w:t>
            </w:r>
          </w:p>
        </w:tc>
        <w:tc>
          <w:tcPr>
            <w:tcW w:w="0" w:type="dxa"/>
            <w:vAlign w:val="bottom"/>
          </w:tcPr>
          <w:p>
            <w:pPr>
              <w:spacing w:after="0"/>
              <w:rPr>
                <w:sz w:val="1"/>
                <w:szCs w:val="1"/>
                <w:color w:val="auto"/>
              </w:rPr>
            </w:pPr>
          </w:p>
        </w:tc>
      </w:tr>
      <w:tr>
        <w:trPr>
          <w:trHeight w:val="225"/>
        </w:trPr>
        <w:tc>
          <w:tcPr>
            <w:tcW w:w="326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3140" w:type="dxa"/>
            <w:vAlign w:val="bottom"/>
            <w:gridSpan w:val="4"/>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(800) 914-1220</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6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3260" w:type="dxa"/>
            <w:vAlign w:val="bottom"/>
          </w:tcPr>
          <w:p>
            <w:pPr>
              <w:spacing w:after="0"/>
              <w:rPr>
                <w:sz w:val="24"/>
                <w:szCs w:val="24"/>
                <w:color w:val="auto"/>
              </w:rPr>
            </w:pPr>
          </w:p>
        </w:tc>
        <w:tc>
          <w:tcPr>
            <w:tcW w:w="7680" w:type="dxa"/>
            <w:vAlign w:val="bottom"/>
            <w:gridSpan w:val="8"/>
          </w:tcPr>
          <w:p>
            <w:pPr>
              <w:jc w:val="center"/>
              <w:ind w:right="2889"/>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25"/>
        </w:trPr>
        <w:tc>
          <w:tcPr>
            <w:tcW w:w="3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260" w:type="dxa"/>
            <w:vAlign w:val="bottom"/>
            <w:tcBorders>
              <w:left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Title of Each Class</w:t>
            </w:r>
          </w:p>
        </w:tc>
        <w:tc>
          <w:tcPr>
            <w:tcW w:w="40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right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300" w:type="dxa"/>
            <w:vAlign w:val="bottom"/>
          </w:tcPr>
          <w:p>
            <w:pPr>
              <w:spacing w:after="0"/>
              <w:rPr>
                <w:sz w:val="15"/>
                <w:szCs w:val="15"/>
                <w:color w:val="auto"/>
              </w:rPr>
            </w:pPr>
          </w:p>
        </w:tc>
        <w:tc>
          <w:tcPr>
            <w:tcW w:w="3340" w:type="dxa"/>
            <w:vAlign w:val="bottom"/>
            <w:tcBorders>
              <w:right w:val="single" w:sz="8" w:color="auto"/>
            </w:tcBorders>
          </w:tcPr>
          <w:p>
            <w:pPr>
              <w:jc w:val="center"/>
              <w:ind w:right="56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8"/>
        </w:trPr>
        <w:tc>
          <w:tcPr>
            <w:tcW w:w="3260" w:type="dxa"/>
            <w:vAlign w:val="bottom"/>
            <w:tcBorders>
              <w:left w:val="single" w:sz="8" w:color="auto"/>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260" w:type="dxa"/>
            <w:vAlign w:val="bottom"/>
            <w:tcBorders>
              <w:left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40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right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4"/>
                <w:szCs w:val="14"/>
                <w:color w:val="auto"/>
              </w:rPr>
              <w:t>ZI</w:t>
            </w:r>
          </w:p>
        </w:tc>
        <w:tc>
          <w:tcPr>
            <w:tcW w:w="300" w:type="dxa"/>
            <w:vAlign w:val="bottom"/>
          </w:tcPr>
          <w:p>
            <w:pPr>
              <w:spacing w:after="0"/>
              <w:rPr>
                <w:sz w:val="15"/>
                <w:szCs w:val="15"/>
                <w:color w:val="auto"/>
              </w:rPr>
            </w:pPr>
          </w:p>
        </w:tc>
        <w:tc>
          <w:tcPr>
            <w:tcW w:w="3340" w:type="dxa"/>
            <w:vAlign w:val="bottom"/>
            <w:tcBorders>
              <w:right w:val="single" w:sz="8" w:color="auto"/>
            </w:tcBorders>
          </w:tcPr>
          <w:p>
            <w:pPr>
              <w:jc w:val="center"/>
              <w:ind w:right="56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38"/>
        </w:trPr>
        <w:tc>
          <w:tcPr>
            <w:tcW w:w="3260" w:type="dxa"/>
            <w:vAlign w:val="bottom"/>
            <w:tcBorders>
              <w:left w:val="single" w:sz="8" w:color="auto"/>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3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0" w:lineRule="exact"/>
        <w:rPr>
          <w:sz w:val="24"/>
          <w:szCs w:val="24"/>
          <w:color w:val="auto"/>
        </w:rPr>
      </w:pPr>
    </w:p>
    <w:p>
      <w:pPr>
        <w:ind w:firstLine="318"/>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340" w:firstLine="318"/>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20" w:firstLine="318"/>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5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6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31" w:lineRule="exact"/>
        <w:rPr>
          <w:sz w:val="24"/>
          <w:szCs w:val="24"/>
          <w:color w:val="auto"/>
        </w:rPr>
      </w:pPr>
    </w:p>
    <w:p>
      <w:pPr>
        <w:ind w:right="360" w:firstLine="318"/>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5" w:lineRule="exact"/>
        <w:rPr>
          <w:sz w:val="24"/>
          <w:szCs w:val="24"/>
          <w:color w:val="auto"/>
        </w:rPr>
      </w:pPr>
    </w:p>
    <w:p>
      <w:pPr>
        <w:ind w:left="320"/>
        <w:spacing w:after="0" w:line="161" w:lineRule="exact"/>
        <w:tabs>
          <w:tab w:leader="none" w:pos="73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108585</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7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July 31, 2024, there were 365,279,985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337185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88900</wp:posOffset>
            </wp:positionV>
            <wp:extent cx="6932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 w:name="page2"/>
    <w:bookmarkEnd w:id="1"/>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6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
        </w:trPr>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2"/>
        </w:trPr>
        <w:tc>
          <w:tcPr>
            <w:tcW w:w="10440" w:type="dxa"/>
            <w:vAlign w:val="bottom"/>
            <w:gridSpan w:val="24"/>
          </w:tcPr>
          <w:p>
            <w:pPr>
              <w:spacing w:after="0" w:line="192"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360" w:type="dxa"/>
            <w:vAlign w:val="bottom"/>
          </w:tcPr>
          <w:p>
            <w:pPr>
              <w:spacing w:after="0"/>
              <w:rPr>
                <w:sz w:val="16"/>
                <w:szCs w:val="16"/>
                <w:color w:val="auto"/>
              </w:rPr>
            </w:pPr>
          </w:p>
        </w:tc>
        <w:tc>
          <w:tcPr>
            <w:tcW w:w="420" w:type="dxa"/>
            <w:vAlign w:val="bottom"/>
            <w:gridSpan w:val="2"/>
          </w:tcPr>
          <w:p>
            <w:pPr>
              <w:jc w:val="center"/>
              <w:ind w:right="340"/>
              <w:spacing w:after="0" w:line="192" w:lineRule="exact"/>
              <w:rPr>
                <w:sz w:val="20"/>
                <w:szCs w:val="20"/>
                <w:color w:val="auto"/>
              </w:rPr>
            </w:pPr>
            <w:r>
              <w:rPr>
                <w:rFonts w:ascii="Times New Roman" w:cs="Times New Roman" w:eastAsia="Times New Roman" w:hAnsi="Times New Roman"/>
                <w:sz w:val="18"/>
                <w:szCs w:val="18"/>
                <w:color w:val="0000FF"/>
                <w:w w:val="79"/>
              </w:rPr>
              <w:t>ii</w:t>
            </w: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8"/>
          </w:tcPr>
          <w:p>
            <w:pPr>
              <w:jc w:val="center"/>
              <w:ind w:right="3400"/>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5"/>
        </w:trPr>
        <w:tc>
          <w:tcPr>
            <w:tcW w:w="4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880" w:type="dxa"/>
            <w:vAlign w:val="bottom"/>
            <w:tcBorders>
              <w:top w:val="single" w:sz="8" w:color="0000FF"/>
            </w:tcBorders>
            <w:gridSpan w:val="7"/>
          </w:tcPr>
          <w:p>
            <w:pPr>
              <w:spacing w:after="0"/>
              <w:rPr>
                <w:sz w:val="21"/>
                <w:szCs w:val="21"/>
                <w:color w:val="auto"/>
              </w:rPr>
            </w:pPr>
          </w:p>
        </w:tc>
        <w:tc>
          <w:tcPr>
            <w:tcW w:w="3400" w:type="dxa"/>
            <w:vAlign w:val="bottom"/>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1</w:t>
            </w:r>
          </w:p>
        </w:tc>
        <w:tc>
          <w:tcPr>
            <w:tcW w:w="34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2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520" w:type="dxa"/>
            <w:vAlign w:val="bottom"/>
            <w:gridSpan w:val="13"/>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2</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3</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4</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3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Consolidated Statements of Changes in Equity</w:t>
            </w:r>
          </w:p>
        </w:tc>
        <w:tc>
          <w:tcPr>
            <w:tcW w:w="860" w:type="dxa"/>
            <w:vAlign w:val="bottom"/>
            <w:gridSpan w:val="5"/>
          </w:tcPr>
          <w:p>
            <w:pPr>
              <w:spacing w:after="0"/>
              <w:rPr>
                <w:sz w:val="21"/>
                <w:szCs w:val="21"/>
                <w:color w:val="auto"/>
              </w:rPr>
            </w:pPr>
          </w:p>
        </w:tc>
        <w:tc>
          <w:tcPr>
            <w:tcW w:w="5640" w:type="dxa"/>
            <w:vAlign w:val="bottom"/>
            <w:gridSpan w:val="5"/>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5</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480" w:type="dxa"/>
            <w:vAlign w:val="bottom"/>
          </w:tcPr>
          <w:p>
            <w:pPr>
              <w:spacing w:after="0"/>
              <w:rPr>
                <w:sz w:val="21"/>
                <w:szCs w:val="21"/>
                <w:color w:val="auto"/>
              </w:rPr>
            </w:pPr>
          </w:p>
        </w:tc>
        <w:tc>
          <w:tcPr>
            <w:tcW w:w="6500" w:type="dxa"/>
            <w:vAlign w:val="bottom"/>
            <w:gridSpan w:val="10"/>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7</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9</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9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Item 2. Management's Discussion and Analysis of Financial Condition and Results of Operations</w:t>
            </w:r>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41</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45"/>
        </w:trPr>
        <w:tc>
          <w:tcPr>
            <w:tcW w:w="48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62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63</w:t>
            </w:r>
          </w:p>
        </w:tc>
        <w:tc>
          <w:tcPr>
            <w:tcW w:w="340" w:type="dxa"/>
            <w:vAlign w:val="bottom"/>
          </w:tcPr>
          <w:p>
            <w:pPr>
              <w:spacing w:after="0"/>
              <w:rPr>
                <w:sz w:val="21"/>
                <w:szCs w:val="21"/>
                <w:color w:val="auto"/>
              </w:rPr>
            </w:pPr>
          </w:p>
        </w:tc>
      </w:tr>
      <w:tr>
        <w:trPr>
          <w:trHeight w:val="245"/>
        </w:trPr>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PART II - OTHER INFORMATION</w:t>
            </w:r>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r>
      <w:tr>
        <w:trPr>
          <w:trHeight w:val="245"/>
        </w:trPr>
        <w:tc>
          <w:tcPr>
            <w:tcW w:w="2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62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65</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65</w:t>
            </w: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45"/>
        </w:trPr>
        <w:tc>
          <w:tcPr>
            <w:tcW w:w="48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7"/>
              </w:rPr>
              <w:t>Item 2. Unregistered Sales of Equity Securities and Use of Proceeds</w:t>
            </w:r>
          </w:p>
        </w:tc>
        <w:tc>
          <w:tcPr>
            <w:tcW w:w="562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65</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65</w:t>
            </w:r>
          </w:p>
        </w:tc>
      </w:tr>
      <w:tr>
        <w:trPr>
          <w:trHeight w:val="245"/>
        </w:trPr>
        <w:tc>
          <w:tcPr>
            <w:tcW w:w="2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62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66</w:t>
            </w:r>
          </w:p>
        </w:tc>
        <w:tc>
          <w:tcPr>
            <w:tcW w:w="340" w:type="dxa"/>
            <w:vAlign w:val="bottom"/>
          </w:tcPr>
          <w:p>
            <w:pPr>
              <w:spacing w:after="0"/>
              <w:rPr>
                <w:sz w:val="21"/>
                <w:szCs w:val="21"/>
                <w:color w:val="auto"/>
              </w:rPr>
            </w:pPr>
          </w:p>
        </w:tc>
      </w:tr>
      <w:tr>
        <w:trPr>
          <w:trHeight w:val="245"/>
        </w:trPr>
        <w:tc>
          <w:tcPr>
            <w:tcW w:w="18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Item 5. Other Information</w:t>
            </w:r>
          </w:p>
        </w:tc>
        <w:tc>
          <w:tcPr>
            <w:tcW w:w="440" w:type="dxa"/>
            <w:vAlign w:val="bottom"/>
            <w:tcBorders>
              <w:top w:val="single" w:sz="8" w:color="0000FF"/>
            </w:tcBorders>
            <w:gridSpan w:val="2"/>
          </w:tcPr>
          <w:p>
            <w:pPr>
              <w:spacing w:after="0"/>
              <w:rPr>
                <w:sz w:val="21"/>
                <w:szCs w:val="21"/>
                <w:color w:val="auto"/>
              </w:rPr>
            </w:pPr>
          </w:p>
        </w:tc>
        <w:tc>
          <w:tcPr>
            <w:tcW w:w="8160" w:type="dxa"/>
            <w:vAlign w:val="bottom"/>
            <w:gridSpan w:val="16"/>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66</w:t>
            </w:r>
          </w:p>
        </w:tc>
        <w:tc>
          <w:tcPr>
            <w:tcW w:w="340" w:type="dxa"/>
            <w:vAlign w:val="bottom"/>
          </w:tcPr>
          <w:p>
            <w:pPr>
              <w:spacing w:after="0"/>
              <w:rPr>
                <w:sz w:val="21"/>
                <w:szCs w:val="21"/>
                <w:color w:val="auto"/>
              </w:rPr>
            </w:pPr>
          </w:p>
        </w:tc>
      </w:tr>
      <w:tr>
        <w:trPr>
          <w:trHeight w:val="245"/>
        </w:trPr>
        <w:tc>
          <w:tcPr>
            <w:tcW w:w="1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Item 6. Exhibits</w:t>
            </w:r>
          </w:p>
        </w:tc>
        <w:tc>
          <w:tcPr>
            <w:tcW w:w="9300" w:type="dxa"/>
            <w:vAlign w:val="bottom"/>
            <w:gridSpan w:val="20"/>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67</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-3507740</wp:posOffset>
            </wp:positionV>
            <wp:extent cx="27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our forward-looking statements, including forward-looking statements contained in this Quarterly Report on Form 10-Q, other factors described under “Risk Factors” in Part I, Item 1A of our Annual Report on Form 10-K of ZoomInfo Technologies Inc. for the fiscal year ended December 31, 2023 as filed with the Securities and Exchange Commission (“SEC”) on February 15, 2024 (“2023 Form 10-K”), and in other reports we file from time to time with the SEC: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8" w:lineRule="exact"/>
        <w:rPr>
          <w:sz w:val="20"/>
          <w:szCs w:val="20"/>
          <w:color w:val="auto"/>
        </w:rPr>
      </w:pPr>
    </w:p>
    <w:p>
      <w:pPr>
        <w:ind w:left="640" w:hanging="316"/>
        <w:spacing w:after="0" w:line="257"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may reduce spending on sales, marketing, recruiting and other technology and information as a result of weaker economic conditions, which could harm our revenue, results of operations, and cash flows;</w:t>
      </w:r>
    </w:p>
    <w:p>
      <w:pPr>
        <w:ind w:left="640" w:hanging="316"/>
        <w:spacing w:after="0" w:line="245"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new customers, renew existing subscriptions, or expand existing subscriptions, which could harm our revenue growth and profitability;</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and maintain accurate, comprehensive, or reliable data, we could experience reduced demand for our products and services and have an adverse effect on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with significant resources may shift their existing business models to become more competitive with us;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competition from other companies and technologies that allow companies to gather and aggregate sales, marketing, recruiting, and other data, and competing products and services could provide greater appeal to customers;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compete are rapidly evolving, which make it difficult to forecast demand for our services;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integrates or otherwise works with third-party systems that we do not control;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changes in search engine algorithms and dynamics or other traffic-generating arrangements;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executive officers and other key employees, and the loss of or inability to attract, integrate and retain these and other highly skilled employees could harm our business;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upgrade, or implement adequate operational and financial resources, including our IT systems, we may be unable to execute our business plan; and</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integrate acquired businesses, services, databases, and technologies into our operations, which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Privacy, Technology, and Security</w:t>
      </w:r>
    </w:p>
    <w:p>
      <w:pPr>
        <w:spacing w:after="0" w:line="168" w:lineRule="exact"/>
        <w:rPr>
          <w:sz w:val="20"/>
          <w:szCs w:val="20"/>
          <w:color w:val="auto"/>
        </w:rPr>
      </w:pPr>
    </w:p>
    <w:p>
      <w:pPr>
        <w:jc w:val="both"/>
        <w:ind w:left="640" w:hanging="316"/>
        <w:spacing w:after="0" w:line="253"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ind w:left="640" w:hanging="316"/>
        <w:spacing w:after="0" w:line="245"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for any of a variety of claims, which could harm our reputation and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proprietary and intellectual property rights in our data or technology;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artificial intelligence (“AI”) capability introduces risks, which, if realized, could adversely impact our business;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Third-parties could use our products and services in a manner that is unlawful or contrary to our values or applicable law;</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could result in serious harm to our reputation, business, and financial condition; and</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or disruptions that affect either our customers’ ability to access our services could damage our reputation and brands and lead to reduced demand for our products and services, lower revenues, and increased costs.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Credit and Financial Factors</w:t>
      </w:r>
    </w:p>
    <w:p>
      <w:pPr>
        <w:spacing w:after="0" w:line="168" w:lineRule="exact"/>
        <w:rPr>
          <w:sz w:val="20"/>
          <w:szCs w:val="20"/>
          <w:color w:val="auto"/>
        </w:rPr>
      </w:pPr>
    </w:p>
    <w:p>
      <w:pPr>
        <w:ind w:left="640" w:hanging="316"/>
        <w:spacing w:after="0" w:line="257"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data, and any decline in demand for the types of products and services we offer would negatively impact our business;</w:t>
      </w:r>
    </w:p>
    <w:p>
      <w:pPr>
        <w:ind w:left="640" w:hanging="316"/>
        <w:spacing w:after="0" w:line="245"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or upturns in new sales and renewals are not immediately reflected in full within our results of operations;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increasing operating expenses in the future, and we may not be able to maintain profitability;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adversely affect our financial position and our ability to raise additional capital and prevent us from fulfilling our obligations;</w:t>
      </w:r>
    </w:p>
    <w:p>
      <w:pPr>
        <w:spacing w:after="0" w:line="16"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may affect our results of operations and financial condition;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and other ratings could adversely impact our operations and lower our profitability;</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tax developments applicable to multinational businesses may have a material impact to our business, cash flows, or financial results. The Organization for Economic Co-operation and Development has proposed significant changes to the international tax law framework in the form of the Pillar Two model rules which seek to implement a global minimum tax. The potential effects of Pillar Two may vary depending on the specific provisions and rules implemented by each country that adopts Pillar Two;</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effective tax rate and additional tax liabilities may impact our financial results; and</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Geopolitical Factors</w:t>
      </w:r>
    </w:p>
    <w:p>
      <w:pPr>
        <w:spacing w:after="0" w:line="168"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sales outside the United States expose us to risks inherent in international operations; and</w:t>
      </w:r>
    </w:p>
    <w:p>
      <w:pPr>
        <w:spacing w:after="0" w:line="24"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catastrophic events, including global pandemics, continued hostilities such as those between Russia and Ukraine, and Israel and Hamas, and other conflicts in the Middle East, have and may disrupt our business and adversely impact our business and future results of operations and financial condition.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 and Ownership of Our Common Stock</w:t>
      </w:r>
    </w:p>
    <w:p>
      <w:pPr>
        <w:spacing w:after="0" w:line="168" w:lineRule="exact"/>
        <w:rPr>
          <w:sz w:val="20"/>
          <w:szCs w:val="20"/>
          <w:color w:val="auto"/>
        </w:rPr>
      </w:pPr>
    </w:p>
    <w:p>
      <w:pPr>
        <w:ind w:left="640" w:hanging="316"/>
        <w:spacing w:after="0" w:line="257"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our tax receivable agreements may restrict our ability to make certain payments, increase the costs to consummate certain transactions, and limit our ability to realize the value of certain tax attributes; and</w:t>
      </w: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stockholders agreement have special rights and interests that may conflict with ours or yours in the future.</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 Disclosure</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(which are not incorporated herein or otherwise a part of this Form 10-Q).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1"/>
        </w:trPr>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8"/>
        </w:trPr>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7"/>
              </w:rPr>
              <w:t>INDEX TO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6"/>
        </w:trPr>
        <w:tc>
          <w:tcPr>
            <w:tcW w:w="930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ZoomInfo Technologies Inc. and Subsidiaries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9"/>
        </w:trPr>
        <w:tc>
          <w:tcPr>
            <w:tcW w:w="56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2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w:t>
            </w:r>
          </w:p>
        </w:tc>
        <w:tc>
          <w:tcPr>
            <w:tcW w:w="5980" w:type="dxa"/>
            <w:vAlign w:val="bottom"/>
            <w:gridSpan w:val="5"/>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r>
      <w:tr>
        <w:trPr>
          <w:trHeight w:val="245"/>
        </w:trPr>
        <w:tc>
          <w:tcPr>
            <w:tcW w:w="560" w:type="dxa"/>
            <w:vAlign w:val="bottom"/>
          </w:tcPr>
          <w:p>
            <w:pPr>
              <w:spacing w:after="0"/>
              <w:rPr>
                <w:sz w:val="21"/>
                <w:szCs w:val="21"/>
                <w:color w:val="auto"/>
              </w:rPr>
            </w:pPr>
          </w:p>
        </w:tc>
        <w:tc>
          <w:tcPr>
            <w:tcW w:w="4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Income (Loss)</w:t>
            </w:r>
          </w:p>
        </w:tc>
        <w:tc>
          <w:tcPr>
            <w:tcW w:w="4580" w:type="dxa"/>
            <w:vAlign w:val="bottom"/>
            <w:gridSpan w:val="2"/>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45"/>
        </w:trPr>
        <w:tc>
          <w:tcPr>
            <w:tcW w:w="560" w:type="dxa"/>
            <w:vAlign w:val="bottom"/>
          </w:tcPr>
          <w:p>
            <w:pPr>
              <w:spacing w:after="0"/>
              <w:rPr>
                <w:sz w:val="21"/>
                <w:szCs w:val="21"/>
                <w:color w:val="auto"/>
              </w:rPr>
            </w:pPr>
          </w:p>
        </w:tc>
        <w:tc>
          <w:tcPr>
            <w:tcW w:w="42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4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r>
      <w:tr>
        <w:trPr>
          <w:trHeight w:val="20"/>
        </w:trPr>
        <w:tc>
          <w:tcPr>
            <w:tcW w:w="56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8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i w:val="1"/>
          <w:iCs w:val="1"/>
          <w:color w:val="auto"/>
        </w:rPr>
        <w:t>(in millions, except share data)</w:t>
      </w:r>
    </w:p>
    <w:p>
      <w:pPr>
        <w:spacing w:after="0" w:line="143"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7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80" w:type="dxa"/>
            <w:vAlign w:val="bottom"/>
          </w:tcPr>
          <w:p>
            <w:pPr>
              <w:spacing w:after="0"/>
              <w:rPr>
                <w:sz w:val="20"/>
                <w:szCs w:val="20"/>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3"/>
        </w:trPr>
        <w:tc>
          <w:tcPr>
            <w:tcW w:w="7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73"/>
        </w:trPr>
        <w:tc>
          <w:tcPr>
            <w:tcW w:w="776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3,707.1</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33"/>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6,868.3</w:t>
            </w:r>
          </w:p>
        </w:tc>
      </w:tr>
      <w:tr>
        <w:trPr>
          <w:trHeight w:val="25"/>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0"/>
        </w:trPr>
        <w:tc>
          <w:tcPr>
            <w:tcW w:w="77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tax receivable agreements liability</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r>
      <w:tr>
        <w:trPr>
          <w:trHeight w:val="33"/>
        </w:trPr>
        <w:tc>
          <w:tcPr>
            <w:tcW w:w="77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receivable agreements liability, net of current portion</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1,226.4</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w:t>
            </w:r>
          </w:p>
        </w:tc>
      </w:tr>
      <w:tr>
        <w:trPr>
          <w:trHeight w:val="73"/>
        </w:trPr>
        <w:tc>
          <w:tcPr>
            <w:tcW w:w="776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53"/>
        </w:trPr>
        <w:tc>
          <w:tcPr>
            <w:tcW w:w="7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par value $0.01; 3,300,000,000 shares authorized as of June 30, 2024 and December 31,</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2"/>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 366,772,027 and 384,830,529 issued and outstanding as of June 30, 2024 and December 31, 2023,</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1"/>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15875</wp:posOffset>
            </wp:positionV>
            <wp:extent cx="6932930" cy="302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2930" cy="302895"/>
                    </a:xfrm>
                    <a:prstGeom prst="rect">
                      <a:avLst/>
                    </a:prstGeom>
                    <a:noFill/>
                  </pic:spPr>
                </pic:pic>
              </a:graphicData>
            </a:graphic>
          </wp:anchor>
        </w:drawing>
      </w:r>
    </w:p>
    <w:p>
      <w:pPr>
        <w:sectPr>
          <w:pgSz w:w="11900" w:h="16838" w:orient="portrait"/>
          <w:cols w:equalWidth="0" w:num="1">
            <w:col w:w="11080"/>
          </w:cols>
          <w:pgMar w:left="320" w:top="121" w:right="499" w:bottom="0" w:gutter="0" w:footer="0" w:header="0"/>
        </w:sectPr>
      </w:pPr>
    </w:p>
    <w:p>
      <w:pPr>
        <w:spacing w:after="0" w:line="34" w:lineRule="exact"/>
        <w:rPr>
          <w:sz w:val="20"/>
          <w:szCs w:val="20"/>
          <w:color w:val="auto"/>
        </w:rPr>
      </w:pPr>
    </w:p>
    <w:p>
      <w:pPr>
        <w:ind w:left="280" w:right="620"/>
        <w:spacing w:after="0" w:line="274" w:lineRule="auto"/>
        <w:rPr>
          <w:sz w:val="20"/>
          <w:szCs w:val="20"/>
          <w:color w:val="auto"/>
        </w:rPr>
      </w:pPr>
      <w:r>
        <w:rPr>
          <w:rFonts w:ascii="Times New Roman" w:cs="Times New Roman" w:eastAsia="Times New Roman" w:hAnsi="Times New Roman"/>
          <w:sz w:val="18"/>
          <w:szCs w:val="18"/>
          <w:color w:val="auto"/>
        </w:rPr>
        <w:t>Preferred stock, par value $0.01; 200,000,000 shares authorized as of June 30, 2024 and December 31, 2023; zero issued and outstanding as of June 30, 2024 and December 31, 2023</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31750</wp:posOffset>
            </wp:positionV>
            <wp:extent cx="6932930" cy="168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2930" cy="168275"/>
                    </a:xfrm>
                    <a:prstGeom prst="rect">
                      <a:avLst/>
                    </a:prstGeom>
                    <a:noFill/>
                  </pic:spPr>
                </pic:pic>
              </a:graphicData>
            </a:graphic>
          </wp:anchor>
        </w:drawing>
      </w:r>
    </w:p>
    <w:p>
      <w:pPr>
        <w:spacing w:after="0" w:line="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1"/>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w w:val="92"/>
              </w:rPr>
              <w:t>1,560.8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1,804.9</w:t>
            </w:r>
          </w:p>
        </w:tc>
      </w:tr>
      <w:tr>
        <w:trPr>
          <w:trHeight w:val="265"/>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24.5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65"/>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274.0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bl>
    <w:p>
      <w:pPr>
        <w:spacing w:after="0" w:line="6" w:lineRule="exact"/>
        <w:rPr>
          <w:sz w:val="20"/>
          <w:szCs w:val="20"/>
          <w:color w:val="auto"/>
        </w:rPr>
      </w:pPr>
    </w:p>
    <w:p>
      <w:pPr>
        <w:sectPr>
          <w:pgSz w:w="11900" w:h="16838" w:orient="portrait"/>
          <w:cols w:equalWidth="0" w:num="2">
            <w:col w:w="8140" w:space="720"/>
            <w:col w:w="2220"/>
          </w:cols>
          <w:pgMar w:left="320" w:top="121" w:right="499" w:bottom="0" w:gutter="0" w:footer="0" w:header="0"/>
          <w:type w:val="continuous"/>
        </w:sectPr>
      </w:pPr>
    </w:p>
    <w:tbl>
      <w:tblPr>
        <w:tblLayout w:type="fixed"/>
        <w:tblInd w:w="160" w:type="dxa"/>
        <w:tblCellMar>
          <w:top w:w="0" w:type="dxa"/>
          <w:left w:w="0" w:type="dxa"/>
          <w:bottom w:w="0" w:type="dxa"/>
          <w:right w:w="0" w:type="dxa"/>
        </w:tblCellMar>
      </w:tblPr>
      <w:tr>
        <w:trPr>
          <w:trHeight w:val="278"/>
        </w:trPr>
        <w:tc>
          <w:tcPr>
            <w:tcW w:w="7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20" w:type="dxa"/>
            <w:vAlign w:val="bottom"/>
            <w:tcBorders>
              <w:top w:val="single" w:sz="8" w:color="auto"/>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w:t>
            </w:r>
          </w:p>
        </w:tc>
      </w:tr>
      <w:tr>
        <w:trPr>
          <w:trHeight w:val="233"/>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6,683.5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6,868.3</w:t>
            </w:r>
          </w:p>
        </w:tc>
      </w:tr>
      <w:tr>
        <w:trPr>
          <w:trHeight w:val="26"/>
        </w:trPr>
        <w:tc>
          <w:tcPr>
            <w:tcW w:w="7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080"/>
          </w:cols>
          <w:pgMar w:left="320" w:top="121" w:right="499" w:bottom="0" w:gutter="0" w:footer="0" w:header="0"/>
          <w:type w:val="continuous"/>
        </w:sect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080"/>
          </w:cols>
          <w:pgMar w:left="320" w:top="121" w:right="499" w:bottom="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168910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4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5"/>
        </w:trPr>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3"/>
        </w:trPr>
        <w:tc>
          <w:tcPr>
            <w:tcW w:w="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5"/>
        </w:trPr>
        <w:tc>
          <w:tcPr>
            <w:tcW w:w="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5"/>
        </w:trPr>
        <w:tc>
          <w:tcPr>
            <w:tcW w:w="8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300" w:type="dxa"/>
            <w:vAlign w:val="bottom"/>
            <w:tcBorders>
              <w:bottom w:val="single" w:sz="8" w:color="CCEEFF"/>
            </w:tcBorders>
            <w:gridSpan w:val="2"/>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308.6</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601.6</w:t>
            </w:r>
          </w:p>
        </w:tc>
        <w:tc>
          <w:tcPr>
            <w:tcW w:w="440" w:type="dxa"/>
            <w:vAlign w:val="bottom"/>
            <w:tcBorders>
              <w:bottom w:val="single" w:sz="8" w:color="CCEEFF"/>
            </w:tcBorders>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r>
      <w:tr>
        <w:trPr>
          <w:trHeight w:val="239"/>
        </w:trPr>
        <w:tc>
          <w:tcPr>
            <w:tcW w:w="8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
        </w:trPr>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80" w:type="dxa"/>
            <w:vAlign w:val="bottom"/>
          </w:tcPr>
          <w:p>
            <w:pPr>
              <w:spacing w:after="0"/>
              <w:rPr>
                <w:sz w:val="23"/>
                <w:szCs w:val="23"/>
                <w:color w:val="auto"/>
              </w:rPr>
            </w:pP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39"/>
        </w:trPr>
        <w:tc>
          <w:tcPr>
            <w:tcW w:w="8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7"/>
              </w:rPr>
              <w:t>9.6</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6"/>
        </w:trPr>
        <w:tc>
          <w:tcPr>
            <w:tcW w:w="8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80" w:type="dxa"/>
            <w:vAlign w:val="bottom"/>
          </w:tcPr>
          <w:p>
            <w:pPr>
              <w:spacing w:after="0"/>
              <w:rPr>
                <w:sz w:val="20"/>
                <w:szCs w:val="20"/>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tcBorders>
              <w:bottom w:val="single" w:sz="8" w:color="CCEEFF"/>
            </w:tcBorders>
            <w:gridSpan w:val="2"/>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265.0</w:t>
            </w: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512.3</w:t>
            </w:r>
          </w:p>
        </w:tc>
        <w:tc>
          <w:tcPr>
            <w:tcW w:w="440" w:type="dxa"/>
            <w:vAlign w:val="bottom"/>
            <w:tcBorders>
              <w:bottom w:val="single" w:sz="8" w:color="CCEEFF"/>
            </w:tcBorders>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40"/>
        </w:trPr>
        <w:tc>
          <w:tcPr>
            <w:tcW w:w="8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
        </w:trPr>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80" w:type="dxa"/>
            <w:vAlign w:val="bottom"/>
          </w:tcPr>
          <w:p>
            <w:pPr>
              <w:spacing w:after="0"/>
              <w:rPr>
                <w:sz w:val="23"/>
                <w:szCs w:val="23"/>
                <w:color w:val="auto"/>
              </w:rPr>
            </w:pP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265"/>
        </w:trPr>
        <w:tc>
          <w:tcPr>
            <w:tcW w:w="80" w:type="dxa"/>
            <w:vAlign w:val="bottom"/>
          </w:tcPr>
          <w:p>
            <w:pPr>
              <w:spacing w:after="0"/>
              <w:rPr>
                <w:sz w:val="23"/>
                <w:szCs w:val="23"/>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65"/>
        </w:trPr>
        <w:tc>
          <w:tcPr>
            <w:tcW w:w="80" w:type="dxa"/>
            <w:vAlign w:val="bottom"/>
          </w:tcPr>
          <w:p>
            <w:pPr>
              <w:spacing w:after="0"/>
              <w:rPr>
                <w:sz w:val="23"/>
                <w:szCs w:val="23"/>
                <w:color w:val="auto"/>
              </w:rPr>
            </w:pP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9"/>
        </w:trPr>
        <w:tc>
          <w:tcPr>
            <w:tcW w:w="8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6"/>
        </w:trPr>
        <w:tc>
          <w:tcPr>
            <w:tcW w:w="8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8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205.4</w:t>
            </w: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489.3</w:t>
            </w:r>
          </w:p>
        </w:tc>
        <w:tc>
          <w:tcPr>
            <w:tcW w:w="440" w:type="dxa"/>
            <w:vAlign w:val="bottom"/>
            <w:tcBorders>
              <w:bottom w:val="single" w:sz="8" w:color="CCEEFF"/>
            </w:tcBorders>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r>
      <w:tr>
        <w:trPr>
          <w:trHeight w:val="233"/>
        </w:trPr>
        <w:tc>
          <w:tcPr>
            <w:tcW w:w="8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20"/>
                <w:szCs w:val="20"/>
                <w:color w:val="auto"/>
              </w:rPr>
            </w:pPr>
          </w:p>
        </w:tc>
        <w:tc>
          <w:tcPr>
            <w:tcW w:w="1020" w:type="dxa"/>
            <w:vAlign w:val="bottom"/>
            <w:tcBorders>
              <w:top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6"/>
        </w:trPr>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8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9"/>
        </w:trPr>
        <w:tc>
          <w:tcPr>
            <w:tcW w:w="8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
        </w:trPr>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80" w:type="dxa"/>
            <w:vAlign w:val="bottom"/>
          </w:tcPr>
          <w:p>
            <w:pPr>
              <w:spacing w:after="0"/>
              <w:rPr>
                <w:sz w:val="23"/>
                <w:szCs w:val="23"/>
                <w:color w:val="auto"/>
              </w:rPr>
            </w:pPr>
          </w:p>
        </w:tc>
        <w:tc>
          <w:tcPr>
            <w:tcW w:w="4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8"/>
              </w:rPr>
              <w:t>(2.5)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3"/>
        </w:trPr>
        <w:tc>
          <w:tcPr>
            <w:tcW w:w="8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20"/>
                <w:szCs w:val="20"/>
                <w:color w:val="auto"/>
              </w:rPr>
            </w:pPr>
          </w:p>
        </w:tc>
        <w:tc>
          <w:tcPr>
            <w:tcW w:w="1020" w:type="dxa"/>
            <w:vAlign w:val="bottom"/>
            <w:tcBorders>
              <w:top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5"/>
        </w:trPr>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80" w:type="dxa"/>
            <w:vAlign w:val="bottom"/>
          </w:tcPr>
          <w:p>
            <w:pPr>
              <w:spacing w:after="0"/>
              <w:rPr>
                <w:sz w:val="23"/>
                <w:szCs w:val="23"/>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58"/>
        </w:trPr>
        <w:tc>
          <w:tcPr>
            <w:tcW w:w="80" w:type="dxa"/>
            <w:vAlign w:val="bottom"/>
          </w:tcPr>
          <w:p>
            <w:pPr>
              <w:spacing w:after="0"/>
              <w:rPr>
                <w:sz w:val="22"/>
                <w:szCs w:val="22"/>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38.1</w:t>
            </w: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w w:val="98"/>
              </w:rPr>
              <w:t>(9.3)</w:t>
            </w:r>
          </w:p>
        </w:tc>
        <w:tc>
          <w:tcPr>
            <w:tcW w:w="10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w:t>
            </w:r>
          </w:p>
        </w:tc>
      </w:tr>
      <w:tr>
        <w:trPr>
          <w:trHeight w:val="20"/>
        </w:trPr>
        <w:tc>
          <w:tcPr>
            <w:tcW w:w="80" w:type="dxa"/>
            <w:vAlign w:val="bottom"/>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8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common stock:</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40"/>
        </w:trPr>
        <w:tc>
          <w:tcPr>
            <w:tcW w:w="8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20"/>
                <w:szCs w:val="20"/>
                <w:color w:val="auto"/>
              </w:rPr>
            </w:pPr>
          </w:p>
        </w:tc>
        <w:tc>
          <w:tcPr>
            <w:tcW w:w="4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5"/>
        </w:trPr>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8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423"/>
        </w:trPr>
        <w:tc>
          <w:tcPr>
            <w:tcW w:w="4280" w:type="dxa"/>
            <w:vAlign w:val="bottom"/>
            <w:gridSpan w:val="2"/>
          </w:tcPr>
          <w:p>
            <w:pPr>
              <w:jc w:val="right"/>
              <w:ind w:right="3153"/>
              <w:spacing w:after="0"/>
              <w:rPr>
                <w:sz w:val="20"/>
                <w:szCs w:val="20"/>
                <w:color w:val="auto"/>
              </w:rPr>
            </w:pPr>
            <w:r>
              <w:rPr>
                <w:rFonts w:ascii="Times New Roman" w:cs="Times New Roman" w:eastAsia="Times New Roman" w:hAnsi="Times New Roman"/>
                <w:sz w:val="16"/>
                <w:szCs w:val="16"/>
                <w:color w:val="auto"/>
                <w:w w:val="98"/>
              </w:rPr>
              <w:t>_____________</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8"/>
        </w:trPr>
        <w:tc>
          <w:tcPr>
            <w:tcW w:w="4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Amounts include equity-based compensation expense, as follows: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09"/>
        </w:trPr>
        <w:tc>
          <w:tcPr>
            <w:tcW w:w="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2"/>
        </w:trPr>
        <w:tc>
          <w:tcPr>
            <w:tcW w:w="80" w:type="dxa"/>
            <w:vAlign w:val="bottom"/>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8"/>
        </w:trPr>
        <w:tc>
          <w:tcPr>
            <w:tcW w:w="80" w:type="dxa"/>
            <w:vAlign w:val="bottom"/>
          </w:tcPr>
          <w:p>
            <w:pPr>
              <w:spacing w:after="0"/>
              <w:rPr>
                <w:sz w:val="20"/>
                <w:szCs w:val="20"/>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29"/>
        </w:trPr>
        <w:tc>
          <w:tcPr>
            <w:tcW w:w="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48"/>
        </w:trPr>
        <w:tc>
          <w:tcPr>
            <w:tcW w:w="80" w:type="dxa"/>
            <w:vAlign w:val="bottom"/>
          </w:tcPr>
          <w:p>
            <w:pPr>
              <w:spacing w:after="0"/>
              <w:rPr>
                <w:sz w:val="21"/>
                <w:szCs w:val="21"/>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32"/>
        </w:trPr>
        <w:tc>
          <w:tcPr>
            <w:tcW w:w="80" w:type="dxa"/>
            <w:vAlign w:val="bottom"/>
          </w:tcPr>
          <w:p>
            <w:pPr>
              <w:spacing w:after="0"/>
              <w:rPr>
                <w:sz w:val="20"/>
                <w:szCs w:val="20"/>
                <w:color w:val="auto"/>
              </w:rPr>
            </w:pPr>
          </w:p>
        </w:tc>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59"/>
        </w:trPr>
        <w:tc>
          <w:tcPr>
            <w:tcW w:w="80" w:type="dxa"/>
            <w:vAlign w:val="bottom"/>
          </w:tcPr>
          <w:p>
            <w:pPr>
              <w:spacing w:after="0"/>
              <w:rPr>
                <w:sz w:val="22"/>
                <w:szCs w:val="22"/>
                <w:color w:val="auto"/>
              </w:rPr>
            </w:pP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20"/>
        </w:trPr>
        <w:tc>
          <w:tcPr>
            <w:tcW w:w="8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170180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 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80" w:type="dxa"/>
            <w:vAlign w:val="bottom"/>
          </w:tcPr>
          <w:p>
            <w:pPr>
              <w:spacing w:after="0"/>
              <w:rPr>
                <w:sz w:val="20"/>
                <w:szCs w:val="20"/>
                <w:color w:val="auto"/>
              </w:rPr>
            </w:pPr>
          </w:p>
        </w:tc>
        <w:tc>
          <w:tcPr>
            <w:tcW w:w="314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5"/>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378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5"/>
        </w:trPr>
        <w:tc>
          <w:tcPr>
            <w:tcW w:w="3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6"/>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3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9"/>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 on settlement of cash flow hedges</w:t>
            </w: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6"/>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0"/>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losses related to the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3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dedesignated Interest Rate Swap</w:t>
            </w:r>
          </w:p>
        </w:tc>
        <w:tc>
          <w:tcPr>
            <w:tcW w:w="1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200" w:type="dxa"/>
            <w:vAlign w:val="bottom"/>
            <w:tcBorders>
              <w:top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3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0" w:type="dxa"/>
            <w:vAlign w:val="bottom"/>
            <w:tcBorders>
              <w:top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
        </w:trPr>
        <w:tc>
          <w:tcPr>
            <w:tcW w:w="3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 data;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2260" w:type="dxa"/>
            <w:vAlign w:val="bottom"/>
            <w:gridSpan w:val="4"/>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420" w:type="dxa"/>
            <w:vAlign w:val="bottom"/>
            <w:gridSpan w:val="3"/>
          </w:tcPr>
          <w:p>
            <w:pPr>
              <w:jc w:val="center"/>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98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120" w:type="dxa"/>
            <w:vAlign w:val="bottom"/>
          </w:tcPr>
          <w:p>
            <w:pPr>
              <w:jc w:val="center"/>
              <w:ind w:right="32"/>
              <w:spacing w:after="0" w:line="193"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33"/>
        </w:trPr>
        <w:tc>
          <w:tcPr>
            <w:tcW w:w="386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5"/>
        </w:trPr>
        <w:tc>
          <w:tcPr>
            <w:tcW w:w="3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384,830,529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w:t>
            </w:r>
          </w:p>
        </w:tc>
        <w:tc>
          <w:tcPr>
            <w:tcW w:w="0" w:type="dxa"/>
            <w:vAlign w:val="bottom"/>
          </w:tcPr>
          <w:p>
            <w:pPr>
              <w:spacing w:after="0"/>
              <w:rPr>
                <w:sz w:val="1"/>
                <w:szCs w:val="1"/>
                <w:color w:val="auto"/>
              </w:rPr>
            </w:pPr>
          </w:p>
        </w:tc>
      </w:tr>
      <w:tr>
        <w:trPr>
          <w:trHeight w:val="23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(9,623,255)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376,156,650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related to ESPP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(10,799,791)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5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366,772,027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1,560.8</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274.0</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 data;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2260" w:type="dxa"/>
            <w:vAlign w:val="bottom"/>
            <w:gridSpan w:val="4"/>
            <w:vMerge w:val="restart"/>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420" w:type="dxa"/>
            <w:vAlign w:val="bottom"/>
            <w:gridSpan w:val="3"/>
          </w:tcPr>
          <w:p>
            <w:pPr>
              <w:jc w:val="center"/>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98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120" w:type="dxa"/>
            <w:vAlign w:val="bottom"/>
          </w:tcPr>
          <w:p>
            <w:pPr>
              <w:jc w:val="center"/>
              <w:ind w:right="32"/>
              <w:spacing w:after="0" w:line="193"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33"/>
        </w:trPr>
        <w:tc>
          <w:tcPr>
            <w:tcW w:w="384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5"/>
        </w:trPr>
        <w:tc>
          <w:tcPr>
            <w:tcW w:w="3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404,083,262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0" w:type="dxa"/>
            <w:vAlign w:val="bottom"/>
          </w:tcPr>
          <w:p>
            <w:pPr>
              <w:spacing w:after="0"/>
              <w:rPr>
                <w:sz w:val="1"/>
                <w:szCs w:val="1"/>
                <w:color w:val="auto"/>
              </w:rPr>
            </w:pP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 and</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403,514,079</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668,323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related to ESPP</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 and</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(2,847,121)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5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401,302,563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20" w:type="dxa"/>
            <w:vAlign w:val="bottom"/>
          </w:tcPr>
          <w:p>
            <w:pPr>
              <w:spacing w:after="0"/>
              <w:rPr>
                <w:sz w:val="20"/>
                <w:szCs w:val="20"/>
                <w:color w:val="auto"/>
              </w:rPr>
            </w:pPr>
          </w:p>
        </w:tc>
        <w:tc>
          <w:tcPr>
            <w:tcW w:w="310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2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3"/>
        </w:trPr>
        <w:tc>
          <w:tcPr>
            <w:tcW w:w="7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20"/>
                <w:szCs w:val="20"/>
                <w:color w:val="auto"/>
              </w:rPr>
            </w:pPr>
          </w:p>
        </w:tc>
      </w:tr>
      <w:tr>
        <w:trPr>
          <w:trHeight w:val="26"/>
        </w:trPr>
        <w:tc>
          <w:tcPr>
            <w:tcW w:w="7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86"/>
        </w:trPr>
        <w:tc>
          <w:tcPr>
            <w:tcW w:w="7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6"/>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6"/>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6"/>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impairments and lease abandonment charges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6"/>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receivable agreement remeasurement</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6"/>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
        </w:trPr>
        <w:tc>
          <w:tcPr>
            <w:tcW w:w="7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8"/>
        </w:trPr>
        <w:tc>
          <w:tcPr>
            <w:tcW w:w="7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73"/>
        </w:trPr>
        <w:tc>
          <w:tcPr>
            <w:tcW w:w="7520" w:type="dxa"/>
            <w:vAlign w:val="bottom"/>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4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 assets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6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6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5"/>
        </w:trPr>
        <w:tc>
          <w:tcPr>
            <w:tcW w:w="7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86"/>
        </w:trPr>
        <w:tc>
          <w:tcPr>
            <w:tcW w:w="75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consideration</w:t>
            </w: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debt</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debt issuance and modification costs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9"/>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the ESPP</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receivable agreement payments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6"/>
        </w:trPr>
        <w:tc>
          <w:tcPr>
            <w:tcW w:w="7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8"/>
        </w:trPr>
        <w:tc>
          <w:tcPr>
            <w:tcW w:w="7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86"/>
        </w:trPr>
        <w:tc>
          <w:tcPr>
            <w:tcW w:w="75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5"/>
        </w:trPr>
        <w:tc>
          <w:tcPr>
            <w:tcW w:w="7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8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192405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 (continued)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20" w:type="dxa"/>
            <w:vAlign w:val="bottom"/>
          </w:tcPr>
          <w:p>
            <w:pPr>
              <w:spacing w:after="0"/>
              <w:rPr>
                <w:sz w:val="20"/>
                <w:szCs w:val="20"/>
                <w:color w:val="auto"/>
              </w:rPr>
            </w:pPr>
          </w:p>
        </w:tc>
        <w:tc>
          <w:tcPr>
            <w:tcW w:w="312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3"/>
        </w:trPr>
        <w:tc>
          <w:tcPr>
            <w:tcW w:w="75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20"/>
                <w:szCs w:val="20"/>
                <w:color w:val="auto"/>
              </w:rPr>
            </w:pPr>
          </w:p>
        </w:tc>
      </w:tr>
      <w:tr>
        <w:trPr>
          <w:trHeight w:val="26"/>
        </w:trPr>
        <w:tc>
          <w:tcPr>
            <w:tcW w:w="75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r>
      <w:tr>
        <w:trPr>
          <w:trHeight w:val="239"/>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tcPr>
          <w:p>
            <w:pPr>
              <w:spacing w:after="0"/>
              <w:rPr>
                <w:sz w:val="20"/>
                <w:szCs w:val="20"/>
                <w:color w:val="auto"/>
              </w:rPr>
            </w:pP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6"/>
        </w:trPr>
        <w:tc>
          <w:tcPr>
            <w:tcW w:w="7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3"/>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0" w:type="dxa"/>
            <w:vAlign w:val="bottom"/>
            <w:tcBorders>
              <w:top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r>
      <w:tr>
        <w:trPr>
          <w:trHeight w:val="25"/>
        </w:trPr>
        <w:tc>
          <w:tcPr>
            <w:tcW w:w="75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5"/>
        </w:trPr>
        <w:tc>
          <w:tcPr>
            <w:tcW w:w="75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6"/>
        </w:trPr>
        <w:tc>
          <w:tcPr>
            <w:tcW w:w="7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 in cash</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9"/>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taxes</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6"/>
        </w:trPr>
        <w:tc>
          <w:tcPr>
            <w:tcW w:w="7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9"/>
        </w:trPr>
        <w:tc>
          <w:tcPr>
            <w:tcW w:w="7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activities:</w:t>
            </w: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6"/>
        </w:trPr>
        <w:tc>
          <w:tcPr>
            <w:tcW w:w="7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 and other current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7"/>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 included in capitalized software</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3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ZoomInfo Technologies Inc.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millions, except share/unit data and per share/unit amounts, unless otherwise noted)</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1</w:t>
            </w:r>
          </w:p>
        </w:tc>
        <w:tc>
          <w:tcPr>
            <w:tcW w:w="80" w:type="dxa"/>
            <w:vAlign w:val="bottom"/>
          </w:tcPr>
          <w:p>
            <w:pPr>
              <w:spacing w:after="0"/>
              <w:rPr>
                <w:sz w:val="17"/>
                <w:szCs w:val="17"/>
                <w:color w:val="auto"/>
              </w:rPr>
            </w:pP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Business, Basis of Presentation and Summary of Significant Accounting Policies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2</w:t>
            </w:r>
          </w:p>
        </w:tc>
        <w:tc>
          <w:tcPr>
            <w:tcW w:w="80" w:type="dxa"/>
            <w:vAlign w:val="bottom"/>
          </w:tcPr>
          <w:p>
            <w:pPr>
              <w:spacing w:after="0"/>
              <w:rPr>
                <w:sz w:val="21"/>
                <w:szCs w:val="21"/>
                <w:color w:val="auto"/>
              </w:rPr>
            </w:pP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Revenue from Contracts with Customers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3</w:t>
            </w:r>
          </w:p>
        </w:tc>
        <w:tc>
          <w:tcPr>
            <w:tcW w:w="80" w:type="dxa"/>
            <w:vAlign w:val="bottom"/>
          </w:tcPr>
          <w:p>
            <w:pPr>
              <w:spacing w:after="0"/>
              <w:rPr>
                <w:sz w:val="21"/>
                <w:szCs w:val="21"/>
                <w:color w:val="auto"/>
              </w:rPr>
            </w:pP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Cash, Cash Equivalents, and Short-term Investments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4</w:t>
            </w:r>
          </w:p>
        </w:tc>
        <w:tc>
          <w:tcPr>
            <w:tcW w:w="80" w:type="dxa"/>
            <w:vAlign w:val="bottom"/>
          </w:tcPr>
          <w:p>
            <w:pPr>
              <w:spacing w:after="0"/>
              <w:rPr>
                <w:sz w:val="21"/>
                <w:szCs w:val="21"/>
                <w:color w:val="auto"/>
              </w:rPr>
            </w:pP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Property and Equipment</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5</w:t>
            </w:r>
          </w:p>
        </w:tc>
        <w:tc>
          <w:tcPr>
            <w:tcW w:w="80" w:type="dxa"/>
            <w:vAlign w:val="bottom"/>
          </w:tcPr>
          <w:p>
            <w:pPr>
              <w:spacing w:after="0"/>
              <w:rPr>
                <w:sz w:val="21"/>
                <w:szCs w:val="21"/>
                <w:color w:val="auto"/>
              </w:rPr>
            </w:pP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Goodwill and Acquired Intangible Assets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6</w:t>
            </w:r>
          </w:p>
        </w:tc>
        <w:tc>
          <w:tcPr>
            <w:tcW w:w="80" w:type="dxa"/>
            <w:vAlign w:val="bottom"/>
          </w:tcPr>
          <w:p>
            <w:pPr>
              <w:spacing w:after="0"/>
              <w:rPr>
                <w:sz w:val="21"/>
                <w:szCs w:val="21"/>
                <w:color w:val="auto"/>
              </w:rPr>
            </w:pP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Financing Arrangements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7</w:t>
            </w:r>
          </w:p>
        </w:tc>
        <w:tc>
          <w:tcPr>
            <w:tcW w:w="80" w:type="dxa"/>
            <w:vAlign w:val="bottom"/>
          </w:tcPr>
          <w:p>
            <w:pPr>
              <w:spacing w:after="0"/>
              <w:rPr>
                <w:sz w:val="21"/>
                <w:szCs w:val="21"/>
                <w:color w:val="auto"/>
              </w:rPr>
            </w:pP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Derivatives and Hedging Activities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8</w:t>
            </w:r>
          </w:p>
        </w:tc>
        <w:tc>
          <w:tcPr>
            <w:tcW w:w="80" w:type="dxa"/>
            <w:vAlign w:val="bottom"/>
          </w:tcPr>
          <w:p>
            <w:pPr>
              <w:spacing w:after="0"/>
              <w:rPr>
                <w:sz w:val="21"/>
                <w:szCs w:val="21"/>
                <w:color w:val="auto"/>
              </w:rPr>
            </w:pP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Fair Value</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4"/>
              </w:rPr>
              <w:t>Note 9</w:t>
            </w:r>
          </w:p>
        </w:tc>
        <w:tc>
          <w:tcPr>
            <w:tcW w:w="80" w:type="dxa"/>
            <w:vAlign w:val="bottom"/>
            <w:vMerge w:val="restart"/>
          </w:tcPr>
          <w:p>
            <w:pPr>
              <w:spacing w:after="0"/>
              <w:rPr>
                <w:sz w:val="24"/>
                <w:szCs w:val="24"/>
                <w:color w:val="auto"/>
              </w:rPr>
            </w:pP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1920" w:type="dxa"/>
            <w:vAlign w:val="bottom"/>
            <w:vMerge w:val="restart"/>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144"/>
        </w:trPr>
        <w:tc>
          <w:tcPr>
            <w:tcW w:w="480" w:type="dxa"/>
            <w:vAlign w:val="bottom"/>
            <w:tcBorders>
              <w:bottom w:val="single" w:sz="8" w:color="0000FF"/>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80" w:type="dxa"/>
            <w:vAlign w:val="bottom"/>
            <w:tcBorders>
              <w:bottom w:val="single" w:sz="8" w:color="0000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10</w:t>
            </w: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Earnings (Loss) Per Share</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11</w:t>
            </w: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Leases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12</w:t>
            </w: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Equity-based Compensation</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5660" w:type="dxa"/>
            <w:vAlign w:val="bottom"/>
            <w:tcBorders>
              <w:left w:val="single" w:sz="8" w:color="0000FF"/>
            </w:tcBorders>
            <w:gridSpan w:val="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13</w:t>
            </w: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Tax Receivable Agreements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14</w:t>
            </w: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Income Taxes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15</w:t>
            </w:r>
          </w:p>
        </w:tc>
        <w:tc>
          <w:tcPr>
            <w:tcW w:w="828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0000FF"/>
              </w:rPr>
              <w:t>Subsequent Events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(the “Company”, “we”, “us”, “our”, and “ZoomInfo”) provides a go-to-market intelligence and engagement platform for sales and marketing teams.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2023 Form 10-K.</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2024 are not necessarily indicative of the operating results that may be expected for the full fiscal year ending December 31, 2024 or any future period.</w:t>
      </w:r>
    </w:p>
    <w:p>
      <w:pPr>
        <w:spacing w:after="0" w:line="11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contain all adjustments necessary for a fair statement of financial position as of June 30, 2024, and results of operations for the three and six months ended June 30, 2024 and 2023, and cash flows for the six months ended June 30, 2024 and 2023.</w:t>
      </w:r>
    </w:p>
    <w:p>
      <w:pPr>
        <w:spacing w:after="0" w:line="8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Effective the second quarter of 2024, the Company removed the presentation of </w:t>
      </w:r>
      <w:r>
        <w:rPr>
          <w:rFonts w:ascii="Times New Roman" w:cs="Times New Roman" w:eastAsia="Times New Roman" w:hAnsi="Times New Roman"/>
          <w:sz w:val="18"/>
          <w:szCs w:val="18"/>
          <w:i w:val="1"/>
          <w:iCs w:val="1"/>
          <w:color w:val="auto"/>
        </w:rPr>
        <w:t>Restructuring and transaction-related expenses</w:t>
      </w:r>
      <w:r>
        <w:rPr>
          <w:rFonts w:ascii="Times New Roman" w:cs="Times New Roman" w:eastAsia="Times New Roman" w:hAnsi="Times New Roman"/>
          <w:sz w:val="18"/>
          <w:szCs w:val="18"/>
          <w:color w:val="auto"/>
        </w:rPr>
        <w:t xml:space="preserve"> from the Consolidated Statements of Operations. These expenses will be allocated to the remaining financial statement line items. For comparability, the prior period amounts have been recast to reflect the current period presentation with no impact to net income or comprehensive income previously reported.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consist of our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collectibility of accounts receivable. The Company performs ongoing credit evaluations of its customers and maintains allowances for possible losses. Refer to the section below regarding the change in accounting estimate during the second quarter of 2024. No single customer accounted for 10% or more of our revenue for the three and six months ended June 30, 2024 and 2023, or accounted for more than 10% of accounts receivable as of June 30, 2024 and December 31, 2023.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Accounts receivable is comprised of invoices of revenue, net of allowance for expected credit losses, and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As of June 30, 2024, the allowance for expected credit losses was $19.5 million. See the section further below regarding the change in accounting estimate during the second quarter of 2024.</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Effective as of June 30, 2024, the Company made a change in its accounting estimate of the collectibility of accounts receivable and changed operational procedures to require upfront pre-payment for services from certain smaller customers. This change in accounting estimate resulted in a reduction in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of $15.3 million and an increase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of $13.7 million, for a total impact to </w:t>
      </w: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xml:space="preserve"> of $29.0 million ($21.1 million net of tax, or $0.06 per share, basic and diluted) during the three and six months ended June 30, 2024.</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to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Deferred sales commissions are amortized on a straight-line basis over the estimated period of benefit from the customer relationship which we have determined to be two and four years for renewals and new clients, respectively. We determined the period of benefit by taking into consideration our customer contracts, our technology, and other factors. Amortization expense related to these capitalized commissions is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13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Commissions payable at June 30, 2024 were $32.4 million, of which the current portion of $29.4 million was included in </w:t>
      </w:r>
      <w:r>
        <w:rPr>
          <w:rFonts w:ascii="Times New Roman" w:cs="Times New Roman" w:eastAsia="Times New Roman" w:hAnsi="Times New Roman"/>
          <w:sz w:val="18"/>
          <w:szCs w:val="18"/>
          <w:i w:val="1"/>
          <w:iCs w:val="1"/>
          <w:color w:val="auto"/>
        </w:rPr>
        <w:t>Accrued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on our Consolidated Balance Sheets, and the long-term portion of $3.0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Balance Sheets. Commissions payable at December 31, 2023 were $37.7 million, of which the current portion of $34.4 million was included in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on our Consolidated Balance Sheets, and the long-term portion of $3.3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 Consolidated Balance Sheets.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commissions are not capitalized as they do not represent incremental costs of obtaining a contract. Such commissions are expensed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expenses advertising costs as incurred. Advertising expenses of $8.9 million and $19.3 million were recorded for the three and six months ended June 30, 2024. Advertising expenses of $7.4 million and $15.9 million were recorded for the three and six months ended June 30, 2023. Advertising expenses are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the fair value of a reporting unit may be below its carrying value. The company has one reporting unit.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Acquired technology, customer relationships, trade names or brand portfolios, and other intangible assets are related to historical acquisitions (refer to Note 5 - Goodwill and Acquired Intangible Assets). Acquired intangible assets are amortized on a straight-line basis over the estimated period over which we expect to realize economic value related to the intangible asset. The amortization periods generally range from 2 years to 15 years. Any costs incurred to renew or extend the life of an intangible or long-lived asset are reviewed for capitalization.</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Indefinite-lived intangible assets consist of brand portfolios acquired from Pre-Acquisition ZI and represent costs paid to legally register phrases and graphic designs that identify and distinguish products sold by the Company. Indefinite-lived intangible assets are not subject to amortization. Instead, they are subject to an annual assessment for potential impairment, or more frequently upon the occurrence of a triggering event when circumstances indicate that the book value is greater than its fair value. The Company first assesses qualitative factors to determine whether it is more likely than not that the fair value of the indefinite-lived intangible asset is less than the carrying value as a basis to determine whether further impairment testing is necessary. The Company conducts its impairment assessment during the fourth quarter of each fiscal year. No impairment charges relating to acquired goodwill or indefinite lived intangible assets were recorded for the three and six month periods ended June 30, 2024 and 2023.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and Abandonment of Long-lived Assets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Long-lived assets, such as property and equipment, acquired intangible assets, and right-of-use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The estimated future cash flows associated with the right-of-use assets under Accounting Standards Codification (“ASC”) 842 were developed by incorporating current market data and forecasts provided by reputable external real estate brokers and data sources. These projections consider prevailing rental rates, anticipated lease renewals, expected vacancy periods, and other relevant market factors that contribute to the estimation of recoverable cash flows for the impaired office spaces we do not intend to occupy. During the three and six months ended June 30, 2024, we recorded impairment charges of $44.6 million to reduce the carrying values of our existing right-of-use assets associated with our Ra’anana, Waltham, Vancouver, and Grand Rapids offices. Impairment charges were immaterial for the three and six month periods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a lease right-of-use asset has been abandoned, the estimated useful life of the asset is updated to reflect the cease use date, and the remaining carrying value of the asset is amortized ratably over the period between the commitment date and the cease use date. During the three and six months ended June 30, 2024, we recorded lease abandonment charges of $4.1 million related to the accelerated amortization of right-of-use assets. No lease abandonment charges were recorded for the three and six month periods ended June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which includes property and equipment, net and operating lease right-of-use assets, net. As of June 30, 2024, long-lived assets held in the United States and Israel were $175.7 million and $20.3 million, respectively, representing approximately 97% of the consolidated total. As of December 31, 2023, long-lived assets held in the United States and Israel were $120.2 million and $20.2 million, respectively, representing approximately 96% of the consolidated total.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Short-term leases, defined as leases having an original lease term less than or equal to one year, are excluded from our right-of-use assets and lease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FASB’s ASC 815—Derivatives and Hedging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required by ASC 815, the Company records all derivatives as either assets or liabilities on our Consolidated Balance Sheets and measures them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To receive hedge accounting treatment, all hedging relationships are formally documented at the inception of the hedge, and the hedges must be highly effective in offsetting changes to future cash flows on hedged transactions.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 w:cs="Times New Roman" w:eastAsia="Times New Roman" w:hAnsi="Times New Roman"/>
          <w:sz w:val="18"/>
          <w:szCs w:val="18"/>
          <w:i w:val="1"/>
          <w:iCs w:val="1"/>
          <w:color w:val="auto"/>
        </w:rPr>
        <w:t>Unearned revenue, current portion</w:t>
      </w:r>
      <w:r>
        <w:rPr>
          <w:rFonts w:ascii="Times New Roman" w:cs="Times New Roman" w:eastAsia="Times New Roman" w:hAnsi="Times New Roman"/>
          <w:sz w:val="18"/>
          <w:szCs w:val="18"/>
          <w:color w:val="auto"/>
        </w:rPr>
        <w:t xml:space="preserve"> and the remaining portion is included in </w:t>
      </w:r>
      <w:r>
        <w:rPr>
          <w:rFonts w:ascii="Times New Roman" w:cs="Times New Roman" w:eastAsia="Times New Roman" w:hAnsi="Times New Roman"/>
          <w:sz w:val="18"/>
          <w:szCs w:val="18"/>
          <w:i w:val="1"/>
          <w:iCs w:val="1"/>
          <w:color w:val="auto"/>
        </w:rPr>
        <w:t xml:space="preserve">Unearned revenue, net of current portion </w:t>
      </w:r>
      <w:r>
        <w:rPr>
          <w:rFonts w:ascii="Times New Roman" w:cs="Times New Roman" w:eastAsia="Times New Roman" w:hAnsi="Times New Roman"/>
          <w:sz w:val="18"/>
          <w:szCs w:val="18"/>
          <w:color w:val="auto"/>
        </w:rPr>
        <w:t>on our Consolidated Balance Sheets.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 w:cs="Times New Roman" w:eastAsia="Times New Roman" w:hAnsi="Times New Roman"/>
          <w:sz w:val="18"/>
          <w:szCs w:val="18"/>
          <w:i w:val="1"/>
          <w:iCs w:val="1"/>
          <w:color w:val="auto"/>
        </w:rPr>
        <w:t>Loss on debt modification and extinguishment</w:t>
      </w:r>
      <w:r>
        <w:rPr>
          <w:rFonts w:ascii="Times New Roman" w:cs="Times New Roman" w:eastAsia="Times New Roman" w:hAnsi="Times New Roman"/>
          <w:sz w:val="18"/>
          <w:szCs w:val="18"/>
          <w:color w:val="auto"/>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two Tax Receivable Agreements (“TRA” or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account for amounts payable under the TRA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Amounts payable under the TRA are accrued by a charge to income when it is probable that a liability has been incurred and the amount is estimable. TRA related liabilities are classified as current or noncurrent based on the expected date of payment and are included on our Consolidated Balance Sheets under the captions </w:t>
      </w:r>
      <w:r>
        <w:rPr>
          <w:rFonts w:ascii="Times New Roman" w:cs="Times New Roman" w:eastAsia="Times New Roman" w:hAnsi="Times New Roman"/>
          <w:sz w:val="18"/>
          <w:szCs w:val="18"/>
          <w:i w:val="1"/>
          <w:iCs w:val="1"/>
          <w:color w:val="auto"/>
        </w:rPr>
        <w:t>Current portion of 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liability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Tax receivable agreements liability, net of current portion, </w:t>
      </w:r>
      <w:r>
        <w:rPr>
          <w:rFonts w:ascii="Times New Roman" w:cs="Times New Roman" w:eastAsia="Times New Roman" w:hAnsi="Times New Roman"/>
          <w:sz w:val="18"/>
          <w:szCs w:val="18"/>
          <w:color w:val="auto"/>
        </w:rPr>
        <w:t>respectively. Subsequent changes to the measurement of the TRA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recognized on our Consolidated Statements of Operations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Refer to Note 13 - Tax Receivable Agreements for further details on the TRA liability.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Deferred tax assets and liabilities are measured using enacted tax rates in effect for the year in which the differences are expected to reverse. The effect on deferred tax assets and liabilities of a change in tax law is recognized in the Consolidated Statements of Operations in the period that includes the enactment date.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need for valuation allowances is regularly evaluated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on the 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periodically grants incentive awards to employees and non-employees, which generally vest over periods of up to four years. Incentive awards may be in the form of various equity-based awards such as restricted stock and restricted stock units, and common stock options.</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 Compensation expense for market-based restricted stock units is measured at the estimated fair value using a Monte Carlo simulation model, which requires the use of various assumptions, including the stock price volatility and risk-free interest rate as of the valuation date corresponding to the length of time remaining in the performance period. This expense is recognized using the accelerated attribution method over the service period and is not reversed if the market condition is not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differ.</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expense related to the Company’s Employee Stock Purchase Plan is measured at the estimated fair value using the Black-Scholes option pricing model using the estimated number of awards as of the beginning of the offering period.</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spacing w:after="0" w:line="12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March 2023, the Board authorized a program to repurchase the Company’s common stock (the “Share Repurchase Program”). The total authorizations in 2023 and 2024 were $600.0 million and $500.0 million, respectively, of which $399.4 million remained available and authorized for repurchases as of June 30, 2024.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13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During the three months ended June 30, 2024, the Company repurchased and subsequently retired 10,799,791 shares of common stock at an average price of $13.65, for an aggregate $147.4 million. During the six months ended June 30, 2024, the Company repurchased and subsequently retired 20,423,046 shares of common stock at an average price of $14.71, for an aggregate $300.5 million. During the three months ended June 30, 2023, the Company repurchased and subsequently retired 2,847,121 shares of common stock at an average price of $21.99, for an aggregate $62.6 million. During the six months ended June 30, 2023, the Company repurchased and subsequently retired 3,905,412 shares of common stock at an average price of $22.26, for an aggregate $87.0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The amendments in this ASU are intended to increase transparency through improvements to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primarily related to the rate reconciliation and income taxes paid information. This standard is effective for annual periods beginning after December 15, 2024 (i.e., a January 1, 2025 effective date), with early adoption permitted. The Company is currently evaluating the disclosure impacts of ASU 2023-09 on its consolidated financial statements as well as the impacts to its financial reporting process and related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amendments in this ASU incorporate into the FASB’s ASC certain SEC disclosure requirements that were referred to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overlap with, but require incremental information to, U.S. GAAP. The effective date for each amendment will be the date on which the SEC’s removal of that related disclosure from Regulation S-X or Regulation S-K becomes effective, with early adoption prohibited, and applied prospectively. If by June 30, 2027, the SEC has not removed the applicable requirement from Regulation S-X or Regulation S-K, the pending content of the related amendment will be removed from FASB’s ASC and will not become effective for any entity. The Company does not expect this ASU to have a material impact on its consolidated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ASU are intended to improve reportable segment disclosure primarily through enhanced disclosures about significant segment expenses. This standard is effective for fiscal years beginning after December 15, 2023 (i.e., a January 1, 2024 effective date), and interim periods within fiscal years beginning after December 15, 2024 (i.e., the first quarter of 2025). The amendments in this ASU should be applied retrospectively to all prior periods presented in the financial statements. Early adoption is permitted. The Company adopted this standard beginning in 2024 and expects to provide incremental qualitative segment-related disclosures beginning with the Company’s Annual Report on Form 10-K for the fiscal year ended December 31, 2024. However, there was no impact to the consolidated financial statements upon adoption.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 comprised the following service offerings: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0"/>
                <w:szCs w:val="20"/>
                <w:color w:val="auto"/>
              </w:rPr>
            </w:pPr>
          </w:p>
        </w:tc>
        <w:tc>
          <w:tcPr>
            <w:tcW w:w="3420" w:type="dxa"/>
            <w:vAlign w:val="bottom"/>
            <w:gridSpan w:val="4"/>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5"/>
        </w:trPr>
        <w:tc>
          <w:tcPr>
            <w:tcW w:w="3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2"/>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r>
      <w:tr>
        <w:trPr>
          <w:trHeight w:val="24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Usage-based</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
        </w:trPr>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8"/>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w:t>
            </w:r>
          </w:p>
        </w:tc>
      </w:tr>
      <w:tr>
        <w:trPr>
          <w:trHeight w:val="20"/>
        </w:trPr>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3" w:lineRule="exact"/>
        <w:rPr>
          <w:sz w:val="20"/>
          <w:szCs w:val="20"/>
          <w:color w:val="auto"/>
        </w:rPr>
      </w:pPr>
    </w:p>
    <w:p>
      <w:pPr>
        <w:ind w:left="320" w:hanging="314"/>
        <w:spacing w:after="0" w:line="269" w:lineRule="auto"/>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six months ended June 30, 2024 include a $15.3 million reduction associated with the change in accounting estimate. Refer to Note 1 - Business, Basis of Presentation, and Summary of Significant Accounting Policies for further information.</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revenue is comprised largely of implementation and professional services fees. We recognize other revenue as services are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total revenue recognized in the three and six months ended June 30, 2024, $122.2 million and $367.4 million, respectively, were included in the unearned revenue balance as of December 31, 2023. Of the total revenue recognized in the three and six months ended June 30, 2023, $103.4 million and $316.7 million, respectively, were included in the unearned revenue balance as of December 31, 2022. Revenue recognized from performance obligations satisfied (or partially satisfied) in previous periods was not material.</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Revenues derived from customers and partners located outside the United States, as determined based on the address provided by our customers and partners, accounted for approximately 12% and 13% of our total revenues for the three months ended June 30, 2024 and 2023, respectively. Revenues derived from customers and partners located outside the United States, as determined based on the address provided by our customers and partners, accounted for approximately 12% and 13% of our total revenues for the six months ended June 30, 2024 and 2023, respectively. Contracts denominated in currencies other than U.S. Dollar were not material for the three and six months ended June 30, 2024 and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Unearned Revenue</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As of June 30, 2024 and December 31, 2023, the Company had contract assets of $6.3 million and $5.9 million, respectively, which are recorded within </w:t>
      </w:r>
      <w:r>
        <w:rPr>
          <w:rFonts w:ascii="Times New Roman" w:cs="Times New Roman" w:eastAsia="Times New Roman" w:hAnsi="Times New Roman"/>
          <w:sz w:val="18"/>
          <w:szCs w:val="18"/>
          <w:i w:val="1"/>
          <w:iCs w:val="1"/>
          <w:color w:val="auto"/>
        </w:rPr>
        <w:t xml:space="preserve">Prepaid expenses and other current assets </w:t>
      </w:r>
      <w:r>
        <w:rPr>
          <w:rFonts w:ascii="Times New Roman" w:cs="Times New Roman" w:eastAsia="Times New Roman" w:hAnsi="Times New Roman"/>
          <w:sz w:val="18"/>
          <w:szCs w:val="18"/>
          <w:color w:val="auto"/>
        </w:rPr>
        <w:t>on our Consolidated Balance Sheets. As of June 30, 2024 and December 31, 2023, the Company had unearned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$440.4 million and $441.9 million, respectively.</w:t>
      </w:r>
    </w:p>
    <w:p>
      <w:pPr>
        <w:spacing w:after="0" w:line="12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3"/>
        </w:trPr>
        <w:tc>
          <w:tcPr>
            <w:tcW w:w="6320" w:type="dxa"/>
            <w:vAlign w:val="bottom"/>
          </w:tcPr>
          <w:p>
            <w:pPr>
              <w:spacing w:after="0"/>
              <w:rPr>
                <w:sz w:val="24"/>
                <w:szCs w:val="24"/>
                <w:color w:val="auto"/>
              </w:rPr>
            </w:pP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Recognized within</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one year</w:t>
            </w:r>
          </w:p>
        </w:tc>
        <w:tc>
          <w:tcPr>
            <w:tcW w:w="22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40" w:type="dxa"/>
            <w:vAlign w:val="bottom"/>
          </w:tcPr>
          <w:p>
            <w:pPr>
              <w:spacing w:after="0"/>
              <w:rPr>
                <w:sz w:val="21"/>
                <w:szCs w:val="21"/>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2024</w:t>
            </w:r>
          </w:p>
        </w:tc>
        <w:tc>
          <w:tcPr>
            <w:tcW w:w="2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r>
      <w:tr>
        <w:trPr>
          <w:trHeight w:val="24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Short-term Investments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1"/>
        </w:trPr>
        <w:tc>
          <w:tcPr>
            <w:tcW w:w="77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consisted of the following as of June 30, 2024:</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3"/>
        </w:trPr>
        <w:tc>
          <w:tcPr>
            <w:tcW w:w="5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Estimated Fair</w:t>
            </w:r>
          </w:p>
        </w:tc>
      </w:tr>
      <w:tr>
        <w:trPr>
          <w:trHeight w:val="25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6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1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6"/>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3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5"/>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r>
      <w:tr>
        <w:trPr>
          <w:trHeight w:val="22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5"/>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0"/>
        </w:trPr>
        <w:tc>
          <w:tcPr>
            <w:tcW w:w="5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consisted of the following as of December 31,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Estimated Fair</w:t>
            </w:r>
          </w:p>
        </w:tc>
      </w:tr>
      <w:tr>
        <w:trPr>
          <w:trHeight w:val="25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6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5"/>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33"/>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5"/>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2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5"/>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5"/>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government securities</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5"/>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8 - Fair Value for further information regarding the fair value of our financial instruments.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unrealized losses on our available-for sale securities were immaterial at June 30, 2024 and December 31, 2023.</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cost and estimated fair value of the securities classified as short-term investments based on stated effective maturities as of June 30, 2024 and December 31,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0"/>
                <w:szCs w:val="20"/>
                <w:color w:val="auto"/>
              </w:rPr>
            </w:pPr>
          </w:p>
        </w:tc>
        <w:tc>
          <w:tcPr>
            <w:tcW w:w="3720" w:type="dxa"/>
            <w:vAlign w:val="bottom"/>
            <w:gridSpan w:val="4"/>
          </w:tcPr>
          <w:p>
            <w:pPr>
              <w:jc w:val="right"/>
              <w:ind w:right="117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6"/>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1"/>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Pr>
          <w:p>
            <w:pPr>
              <w:spacing w:after="0"/>
              <w:rPr>
                <w:sz w:val="21"/>
                <w:szCs w:val="21"/>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40" w:type="dxa"/>
            <w:vAlign w:val="bottom"/>
          </w:tcPr>
          <w:p>
            <w:pPr>
              <w:spacing w:after="0"/>
              <w:rPr>
                <w:sz w:val="21"/>
                <w:szCs w:val="21"/>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Estimated Fair Value</w:t>
            </w:r>
          </w:p>
        </w:tc>
      </w:tr>
      <w:tr>
        <w:trPr>
          <w:trHeight w:val="265"/>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5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1"/>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Company’s property and equipment consist of the following:</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4"/>
        </w:trPr>
        <w:tc>
          <w:tcPr>
            <w:tcW w:w="80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8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100" w:type="dxa"/>
            <w:vAlign w:val="bottom"/>
            <w:tcBorders>
              <w:bottom w:val="single" w:sz="8" w:color="CCEEFF"/>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6"/>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100" w:type="dxa"/>
            <w:vAlign w:val="bottom"/>
            <w:tcBorders>
              <w:top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153.0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5"/>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58"/>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Depreciation expense was $5.9 million and $4.7 million for the three months ended June 30, 2024 and 2023, respectively. Depreciation expense was $11.0 million and $9.6 million for the six months ended June 30, 2024 and 2023,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other than goodwill, consisted of the following as of June 30, 2024 and December 31, 2023, respectively: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52"/>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21"/>
                <w:szCs w:val="21"/>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r>
      <w:tr>
        <w:trPr>
          <w:trHeight w:val="232"/>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14.5</w:t>
            </w:r>
          </w:p>
        </w:tc>
      </w:tr>
      <w:tr>
        <w:trPr>
          <w:trHeight w:val="25"/>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5"/>
        </w:trPr>
        <w:tc>
          <w:tcPr>
            <w:tcW w:w="4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6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6.3</w:t>
            </w:r>
          </w:p>
        </w:tc>
      </w:tr>
      <w:tr>
        <w:trPr>
          <w:trHeight w:val="24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7.8</w:t>
            </w:r>
          </w:p>
        </w:tc>
      </w:tr>
      <w:tr>
        <w:trPr>
          <w:trHeight w:val="25"/>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8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5"/>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8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28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5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1"/>
                <w:szCs w:val="21"/>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r>
      <w:tr>
        <w:trPr>
          <w:trHeight w:val="232"/>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14.5</w:t>
            </w:r>
          </w:p>
        </w:tc>
      </w:tr>
      <w:tr>
        <w:trPr>
          <w:trHeight w:val="26"/>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6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6.3</w:t>
            </w:r>
          </w:p>
        </w:tc>
      </w:tr>
      <w:tr>
        <w:trPr>
          <w:trHeight w:val="23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7.9</w:t>
            </w:r>
          </w:p>
        </w:tc>
      </w:tr>
      <w:tr>
        <w:trPr>
          <w:trHeight w:val="26"/>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9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9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28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Amortization expense was $15.1 million and $15.0 million for the three months ended June 30, 2024 and 2023, respectively. Amortization expense was $29.9 million and $31.1 million for the six months ended June 30, 2024 and 2023, respectively.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Goodwill was $1,692.7 million as of June 30, 2024 and December 31, 2023.</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events or circumstances indicating that goodwill might be impaired as of June 30,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Arrangements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2024 and December 31, 2023, the carrying values of the Company’s borrowings were as follows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3"/>
        </w:trPr>
        <w:tc>
          <w:tcPr>
            <w:tcW w:w="25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Elected Interest Rate</w:t>
            </w:r>
          </w:p>
        </w:tc>
        <w:tc>
          <w:tcPr>
            <w:tcW w:w="12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2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28, 2030</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SOFR + 1.75%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r>
      <w:tr>
        <w:trPr>
          <w:trHeight w:val="24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28, 2028</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SOFR + 2.10%</w:t>
            </w: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2, 2021</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2029</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w:t>
            </w:r>
          </w:p>
        </w:tc>
      </w:tr>
      <w:tr>
        <w:trPr>
          <w:trHeight w:val="233"/>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w:t>
            </w: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8"/>
        </w:trPr>
        <w:tc>
          <w:tcPr>
            <w:tcW w:w="4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1,226.4</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0"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June 2024, we entered into an amendment to our existing First Lien Credit Agreement (the “Seventh Amendment”), pursuant to which the Company completed a repricing of its First Lien Term Loan Facility, which decreased the applicable rate for Base Rate loans from 1.25% to 0.75% and SOFR based loans from 2.25% to 1.75%. The Company recognized an immaterial loss in connection with the repricing during the three and six months ended June 30, 2024 within </w:t>
      </w:r>
      <w:r>
        <w:rPr>
          <w:rFonts w:ascii="Times New Roman" w:cs="Times New Roman" w:eastAsia="Times New Roman" w:hAnsi="Times New Roman"/>
          <w:sz w:val="18"/>
          <w:szCs w:val="18"/>
          <w:i w:val="1"/>
          <w:iCs w:val="1"/>
          <w:color w:val="auto"/>
        </w:rPr>
        <w:t>Loss on debt modification and extinguishment</w:t>
      </w:r>
      <w:r>
        <w:rPr>
          <w:rFonts w:ascii="Times New Roman" w:cs="Times New Roman" w:eastAsia="Times New Roman" w:hAnsi="Times New Roman"/>
          <w:sz w:val="18"/>
          <w:szCs w:val="18"/>
          <w:color w:val="auto"/>
        </w:rPr>
        <w:t xml:space="preserve"> on the Consolidated Statements of Operations. Under the terms of the Seventh Amendment, the Company is obligated to make principal payments in the amount of 0.25% of the aggregate outstanding amount as of the latest amendment.</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December 2023, we entered into an amendment to our existing First Lien Credit Agreement (the “Sixth Amendment”), pursuant to which the Company completed a repricing of its First Lien Term Loan Facility, which decreased the applicable rate for Base Rate loans from 1.75% to 1.25% and SOFR based loans from 2.85% to 2.25%, and included the removal of the 0.1% credit spread adjustment.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2023, we entered into an amendment to our existing First Lien Credit Agreement (the “Fifth Amendment”), pursuant to which the Company completed a repricing of its First Lien Term Loan Facility, which provided for an extension of the maturity date to February 28, 2030. The first lien term debt had a variable interest rate whereby the Company can elect to use a Base Rate or SOFR plus an applicable rate. Pursuant to the Fifth Amendment, the applicable rate decreased for Base Rate loans from 2.00% to 1.75% and from 3.10% to 2.85% for SOFR based loans.</w:t>
      </w:r>
    </w:p>
    <w:p>
      <w:pPr>
        <w:spacing w:after="0" w:line="12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The Company recognized an immaterial loss in connection with the repricing in the fiscal year ending December 31, 2023 within </w:t>
      </w:r>
      <w:r>
        <w:rPr>
          <w:rFonts w:ascii="Times New Roman" w:cs="Times New Roman" w:eastAsia="Times New Roman" w:hAnsi="Times New Roman"/>
          <w:sz w:val="18"/>
          <w:szCs w:val="18"/>
          <w:i w:val="1"/>
          <w:iCs w:val="1"/>
          <w:color w:val="auto"/>
        </w:rPr>
        <w:t>Loss on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modification and extinguishment </w:t>
      </w:r>
      <w:r>
        <w:rPr>
          <w:rFonts w:ascii="Times New Roman" w:cs="Times New Roman" w:eastAsia="Times New Roman" w:hAnsi="Times New Roman"/>
          <w:sz w:val="18"/>
          <w:szCs w:val="18"/>
          <w:color w:val="auto"/>
        </w:rPr>
        <w:t>on the Consolidated Statements of Operations.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effective interest rate on the first lien debt was 7.30% and 7.83% as of June 30, 2024 and December 31,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Pursuant to the Fifth Amendment, the Company also extended the maturity date of $213.0 million of our $250.0 million existing commitments of the first lien revolving credit facility to February 28, 2028. Pursuant to the Sixth Amendment, $26.0 million of the non-extended commitments were extended to February 28, 2028. With respect to the $11.0 million commitments which were not extended, the maturity date is November 2, 2025. Debt issuance costs were incurred in connection with the repricing of the revolving credit facility. These debt issuance costs are amortized into interest expense over the expected life of the arrangement. Unamortized debt issuance costs are immaterial and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revolving debt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exposed to risks from changes in interest rates related to the first lien term loan (See Note 6 -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June 30, 2024, the Company’s interest rate cap contract matured. As of June 30, 2024, the Company had the following outstanding interest rate derivatives that were designated as cash flow hedges of interest rate risk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Notional Aggregate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3"/>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Interest Rate Derivatives (Level 2)</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Instruments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 Swap Rate</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6"/>
        </w:trPr>
        <w:tc>
          <w:tcPr>
            <w:tcW w:w="3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Two</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0.370 %</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January 30, 2026</w:t>
            </w:r>
          </w:p>
        </w:tc>
      </w:tr>
      <w:tr>
        <w:trPr>
          <w:trHeight w:val="25"/>
        </w:trPr>
        <w:tc>
          <w:tcPr>
            <w:tcW w:w="37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derivative interest rate swaps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when the underlying transaction has an impact on earnings. The Company expects to recognize approximately $22.5 million of net pre-tax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other comprehensive income as a reduction of interest expense in the next twelve months associated with its interest rate swap.</w:t>
      </w:r>
    </w:p>
    <w:p>
      <w:pPr>
        <w:spacing w:after="0" w:line="12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(Loss) for amounts reclassified from </w:t>
      </w:r>
      <w:r>
        <w:rPr>
          <w:rFonts w:ascii="Times New Roman" w:cs="Times New Roman" w:eastAsia="Times New Roman" w:hAnsi="Times New Roman"/>
          <w:sz w:val="18"/>
          <w:szCs w:val="18"/>
          <w:i w:val="1"/>
          <w:iCs w:val="1"/>
          <w:color w:val="auto"/>
        </w:rPr>
        <w:t>Accumulated 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into earnings related to the Company’s derivative instruments designated as cash flow hedging instruments for each of the reporting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changes in currency exchange rates, primarily relating to changes in the Israeli Shekel. Consequently, from time to time, we may use foreign exchange forward contracts or other financial instruments to manage our exposure to foreign exchange rate movements. Our primary objective in holding derivatives is to reduce the volatility of cash flows associated with changes in foreign exchange rates. We do not enter into derivative transactions for speculative or trading purposes.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second quarter of 2024, the Company engaged in foreign currency forward contract activities, settling a portion of our contracts with a cumulative notional amount of $8.6 million within the three months ended June 30, 2024. These transactions resulted in an immaterial loss which offset lower operating expenses due to favorable changes in the foreign currency. At June 30, 2024, our derivative financial instruments consisted of foreign currency forward contracts with a total notional value of $23.3 million with maturities extending to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derivative foreign currency forward contracts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revenue or operating expenses depending on the nature of the underlying transaction, when the underlying transaction has an impact on earnings. Impacts on </w:t>
      </w: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are presented as operating cash flows on our Consolidated Statements of Cash Flows in the period contracts are settled.</w:t>
      </w:r>
    </w:p>
    <w:p>
      <w:pPr>
        <w:spacing w:after="0" w:line="12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on our Consolidated Balance Sheets for derivatives as of June 30, 2024 and December 31, 2023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0"/>
                <w:szCs w:val="20"/>
                <w:color w:val="auto"/>
              </w:rPr>
            </w:pPr>
          </w:p>
        </w:tc>
        <w:tc>
          <w:tcPr>
            <w:tcW w:w="354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
        </w:trPr>
        <w:tc>
          <w:tcPr>
            <w:tcW w:w="37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tcPr>
          <w:p>
            <w:pPr>
              <w:spacing w:after="0"/>
              <w:rPr>
                <w:sz w:val="20"/>
                <w:szCs w:val="20"/>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0" w:type="dxa"/>
            <w:vAlign w:val="bottom"/>
          </w:tcPr>
          <w:p>
            <w:pPr>
              <w:spacing w:after="0"/>
              <w:rPr>
                <w:sz w:val="1"/>
                <w:szCs w:val="1"/>
                <w:color w:val="auto"/>
              </w:rPr>
            </w:pPr>
          </w:p>
        </w:tc>
      </w:tr>
      <w:tr>
        <w:trPr>
          <w:trHeight w:val="26"/>
        </w:trPr>
        <w:tc>
          <w:tcPr>
            <w:tcW w:w="3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22"/>
                <w:szCs w:val="22"/>
                <w:color w:val="auto"/>
                <w:vertAlign w:val="superscript"/>
              </w:rPr>
              <w:t>(3)</w:t>
            </w: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7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designated derivative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55"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Prepaid expenses and other current assets</w:t>
      </w:r>
      <w:r>
        <w:rPr>
          <w:rFonts w:ascii="Times New Roman" w:cs="Times New Roman" w:eastAsia="Times New Roman" w:hAnsi="Times New Roman"/>
          <w:sz w:val="14"/>
          <w:szCs w:val="14"/>
          <w:color w:val="auto"/>
        </w:rPr>
        <w:t xml:space="preserve"> on our Consolidated Balance Sheets.</w:t>
      </w:r>
    </w:p>
    <w:p>
      <w:pPr>
        <w:spacing w:after="0" w:line="24"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Deferred costs and other assets, net of current portion</w:t>
      </w:r>
      <w:r>
        <w:rPr>
          <w:rFonts w:ascii="Times New Roman" w:cs="Times New Roman" w:eastAsia="Times New Roman" w:hAnsi="Times New Roman"/>
          <w:sz w:val="14"/>
          <w:szCs w:val="14"/>
          <w:color w:val="auto"/>
        </w:rPr>
        <w:t xml:space="preserve"> on our Consolidated Balance Sheets.</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xml:space="preserve"> on our Consolidated Balance Sheets.</w:t>
      </w:r>
    </w:p>
    <w:p>
      <w:pPr>
        <w:spacing w:after="0" w:line="16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(Loss) for amounts reclassified from </w:t>
      </w:r>
      <w:r>
        <w:rPr>
          <w:rFonts w:ascii="Times New Roman" w:cs="Times New Roman" w:eastAsia="Times New Roman" w:hAnsi="Times New Roman"/>
          <w:sz w:val="18"/>
          <w:szCs w:val="18"/>
          <w:i w:val="1"/>
          <w:iCs w:val="1"/>
          <w:color w:val="auto"/>
        </w:rPr>
        <w:t>Accumulated 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into earnings related to the Company’s derivative instruments designated as cash flow hedging instruments for each of the reporting periods.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within the fair value hierarchy. We classify our corporate debt securities, securities guaranteed by the U.S. government, certificates of deposits, and other governmental securities as Level 2 within the fair value hierarchy. The fair value of our first term lien debt and Senior Notes was $590.3 million and $585.0 million as of June 30, 2024, and $595.5 million and $588.3 million as of December 31, 2023, respectively, based on observable market prices in less active markets and categorized as Level 2 within the fair value measurement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(short-term OIS rates and long-term OIS swap rates).</w:t>
      </w:r>
    </w:p>
    <w:p>
      <w:pPr>
        <w:spacing w:after="0" w:line="14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spacing w:after="0" w:line="8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9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The fair value of our financial assets (liabilities) was determined using the following inputs (in millions):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2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2024</w:t>
            </w:r>
          </w:p>
        </w:tc>
        <w:tc>
          <w:tcPr>
            <w:tcW w:w="3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5"/>
        </w:trPr>
        <w:tc>
          <w:tcPr>
            <w:tcW w:w="6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6D6D6D"/>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Pr>
          <w:p>
            <w:pPr>
              <w:spacing w:after="0"/>
              <w:rPr>
                <w:sz w:val="20"/>
                <w:szCs w:val="20"/>
                <w:color w:val="auto"/>
              </w:rPr>
            </w:pP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0"/>
                <w:szCs w:val="20"/>
                <w:color w:val="auto"/>
              </w:rPr>
            </w:pP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60" w:type="dxa"/>
            <w:vAlign w:val="bottom"/>
            <w:tcBorders>
              <w:bottom w:val="single" w:sz="8" w:color="CCEEFF"/>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r>
      <w:tr>
        <w:trPr>
          <w:trHeight w:val="238"/>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Impaired lease-related assets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5"/>
        </w:trPr>
        <w:tc>
          <w:tcPr>
            <w:tcW w:w="6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8"/>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5"/>
        </w:trPr>
        <w:tc>
          <w:tcPr>
            <w:tcW w:w="6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3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top w:val="single" w:sz="8" w:color="6D6D6D"/>
            </w:tcBorders>
          </w:tcPr>
          <w:p>
            <w:pPr>
              <w:spacing w:after="0"/>
              <w:rPr>
                <w:sz w:val="20"/>
                <w:szCs w:val="20"/>
                <w:color w:val="auto"/>
              </w:rPr>
            </w:pP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top w:val="single" w:sz="8" w:color="6D6D6D"/>
            </w:tcBorders>
          </w:tcPr>
          <w:p>
            <w:pPr>
              <w:spacing w:after="0"/>
              <w:rPr>
                <w:sz w:val="20"/>
                <w:szCs w:val="20"/>
                <w:color w:val="auto"/>
              </w:rPr>
            </w:pP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2"/>
        </w:trPr>
        <w:tc>
          <w:tcPr>
            <w:tcW w:w="6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Impaired lease-related assets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3"/>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6D6D6D"/>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6D6D6D"/>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measurements levels during the three and six months ended June 30, 2024.</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3 - Cash, Cash Equivalents, and Short-term Investments for further information regarding the fair value of our financial instruments. Refer to Note 7 - Derivatives and Hedging Activities for further information regarding the fair value of our derivative instruments.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2024, we had additional outstanding non-cancelable purchase obligations of $12.0 million over the corresponding amount disclosed in the audited financial statements in our 2023 Form 10-K, mainly related to third-party cloud hosting and software as a service arrangements. For information regarding financing-related obligations, refer to Note 6 - Financing Arrangements. For information regarding lease-related obligations, refer to Note 11 -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payments</w:t>
      </w:r>
    </w:p>
    <w:p>
      <w:pPr>
        <w:spacing w:after="0" w:line="168"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 connection with the acquisition of Dogpatch Advisors, LLC in April 2022, the Company could be required to issue remaining equity awards up to $0.6 million. As of June 30, 2024, the Company has paid $1.9 million. Refer to Note 4 - Business Combinations in our 2023 Form 10-K for additional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acquisition-related payments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acquisition of Insent, the Company paid $2.0 million during the six months ended June 30, 2024, of which $0.7 million represents deferred consideration. Refer to Note 4 - Business Combinations in our 2023 Form 10-K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except where otherwise indicated, it is not possible to provide an estimated amount of any loss or range of loss that may occur with respect to these matters, including without limitation the matters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Additionally, 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In June 2024, the Illinois District Court preliminarily approved a settlement agreement between ZoomInfo and the plaintiffs in the Illinois class action that, if granted final approval, will resolve the Illinois class action, the California class action and similar, unfiled claims in the states of Indiana and Nevada (the “Class Actions”). Under the terms of settlement, ZoomInfo has agreed to pay approximately $29.5 million, equal to 3% of the statutory damages for each eligible class member in the affected states. The Company has 30 days after the preliminary approval to move the settlement amount into an escrow account. Upon final approval, the settlement would release all claims by any class member against ZoomInfo based on the alleged use of such class member’s identity, persona, name, image, likeness, or personal information for any commercial purpose without consent, including any claims alleging a violation of any right of publicity law. The settlement is not an admission of fault or wrongdoing by ZoomInfo. However, it believes that a resolution of these claims at this time is in the best interest of the Company given the costs and risks inherent in litigation. During the six months ended June 30, 2024, the Company incurred charges $30.2 million, which includes both the estimated settlement amount and other legal costs, of which $0.7 million of legal costs has been paid. The remaining accrual of $29.5 million as of June 30, 2024 is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Consolidated Balance Sheets.</w:t>
      </w:r>
    </w:p>
    <w:p>
      <w:pPr>
        <w:spacing w:after="0" w:line="14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is pending in the United States District Court for the Northern District of Illinois (Eastern Division). The Company intends to vigorously defend against this lawsuit.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March 8, 2023, a putative class action lawsuit was filed against Datanyze, LLC in the United States District Court for the Northern District of Ohio alleging Datanyze's use of Ohio residents names in a free trial violates the Ohio Right of Publicity Statute, and seeking statutory damages, costs, and attorneys’ fees. On November 17, 2023, the court dismissed the plaintiffs’ claims with prejudice, and the plaintiffs have since appealed the dismissal. The Company intends to continue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(Loss) Per Share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tables set forth the computation of basic and diluted net income per share of </w:t>
      </w:r>
      <w:r>
        <w:rPr>
          <w:rFonts w:ascii="Times New Roman" w:cs="Times New Roman" w:eastAsia="Times New Roman" w:hAnsi="Times New Roman"/>
          <w:sz w:val="18"/>
          <w:szCs w:val="18"/>
          <w:color w:val="242424"/>
        </w:rPr>
        <w:t>common stock</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33020</wp:posOffset>
            </wp:positionV>
            <wp:extent cx="22129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shares and per share amounts)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 attributable to common stockholders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371,431,165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401,194,485</w:t>
            </w:r>
          </w:p>
        </w:tc>
      </w:tr>
      <w:tr>
        <w:trPr>
          <w:trHeight w:val="25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1"/>
        </w:trPr>
        <w:tc>
          <w:tcPr>
            <w:tcW w:w="7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 stockholders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371,431,165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401,194,485</w:t>
            </w: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3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338,840</w:t>
            </w: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35,833</w:t>
            </w:r>
          </w:p>
        </w:tc>
      </w:tr>
      <w:tr>
        <w:trPr>
          <w:trHeight w:val="24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155,845</w:t>
            </w:r>
          </w:p>
        </w:tc>
      </w:tr>
      <w:tr>
        <w:trPr>
          <w:trHeight w:val="25"/>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0"/>
        </w:trPr>
        <w:tc>
          <w:tcPr>
            <w:tcW w:w="7760" w:type="dxa"/>
            <w:vAlign w:val="bottom"/>
            <w:shd w:val="clear" w:color="auto" w:fill="CCEEFF"/>
          </w:tcPr>
          <w:p>
            <w:pPr>
              <w:ind w:left="240"/>
              <w:spacing w:after="0" w:line="201" w:lineRule="exact"/>
              <w:rPr>
                <w:sz w:val="20"/>
                <w:szCs w:val="20"/>
                <w:color w:val="auto"/>
              </w:rPr>
            </w:pPr>
            <w:r>
              <w:rPr>
                <w:rFonts w:ascii="Times New Roman" w:cs="Times New Roman" w:eastAsia="Times New Roman" w:hAnsi="Times New Roman"/>
                <w:sz w:val="18"/>
                <w:szCs w:val="18"/>
                <w:color w:val="auto"/>
              </w:rPr>
              <w:t>Weighted average shares of common stock outstanding used to calculate diluted net income (loss) per</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57"/>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371,431,165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401,725,003</w:t>
            </w:r>
          </w:p>
        </w:tc>
      </w:tr>
      <w:tr>
        <w:trPr>
          <w:trHeight w:val="25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(Loss) Per Share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33020</wp:posOffset>
            </wp:positionV>
            <wp:extent cx="22129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shares and per share amounts)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 attributable to common stockholders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375,199,183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402,301,486</w:t>
            </w:r>
          </w:p>
        </w:tc>
      </w:tr>
      <w:tr>
        <w:trPr>
          <w:trHeight w:val="25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2"/>
        </w:trPr>
        <w:tc>
          <w:tcPr>
            <w:tcW w:w="7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 stockholders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375,199,183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402,301,486</w:t>
            </w: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3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392,842</w:t>
            </w: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51,260</w:t>
            </w:r>
          </w:p>
        </w:tc>
      </w:tr>
      <w:tr>
        <w:trPr>
          <w:trHeight w:val="239"/>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175,728</w:t>
            </w:r>
          </w:p>
        </w:tc>
      </w:tr>
      <w:tr>
        <w:trPr>
          <w:trHeight w:val="26"/>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0"/>
        </w:trPr>
        <w:tc>
          <w:tcPr>
            <w:tcW w:w="7760" w:type="dxa"/>
            <w:vAlign w:val="bottom"/>
            <w:shd w:val="clear" w:color="auto" w:fill="CCEEFF"/>
          </w:tcPr>
          <w:p>
            <w:pPr>
              <w:ind w:left="240"/>
              <w:spacing w:after="0" w:line="201" w:lineRule="exact"/>
              <w:rPr>
                <w:sz w:val="20"/>
                <w:szCs w:val="20"/>
                <w:color w:val="auto"/>
              </w:rPr>
            </w:pPr>
            <w:r>
              <w:rPr>
                <w:rFonts w:ascii="Times New Roman" w:cs="Times New Roman" w:eastAsia="Times New Roman" w:hAnsi="Times New Roman"/>
                <w:sz w:val="18"/>
                <w:szCs w:val="18"/>
                <w:color w:val="auto"/>
              </w:rPr>
              <w:t>Weighted average shares of common stock outstanding used to calculate diluted net income (loss) per</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57"/>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375,199,183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402,921,316</w:t>
            </w:r>
          </w:p>
        </w:tc>
      </w:tr>
      <w:tr>
        <w:trPr>
          <w:trHeight w:val="25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42424"/>
        </w:rPr>
        <w:t>In periods of loss, the number of shares used to calculate diluted net income (loss) per share is the same as basic net income (loss) per share. The following weighted-average potentially dilutive securities were evaluated under the treasury stock method for potentially dilutive effects and have been excluded from diluted net income (loss) per share in the periods presented due to their anti-dilutive effect: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40005</wp:posOffset>
            </wp:positionV>
            <wp:extent cx="21958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95830" cy="8255"/>
                    </a:xfrm>
                    <a:prstGeom prst="rect">
                      <a:avLst/>
                    </a:prstGeom>
                    <a:noFill/>
                  </pic:spPr>
                </pic:pic>
              </a:graphicData>
            </a:graphic>
          </wp:anchor>
        </w:drawing>
      </w:r>
    </w:p>
    <w:p>
      <w:pPr>
        <w:spacing w:after="0" w:line="63" w:lineRule="exact"/>
        <w:rPr>
          <w:sz w:val="20"/>
          <w:szCs w:val="20"/>
          <w:color w:val="auto"/>
        </w:rPr>
      </w:pPr>
    </w:p>
    <w:p>
      <w:pPr>
        <w:ind w:left="486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40005</wp:posOffset>
            </wp:positionV>
            <wp:extent cx="21958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95830" cy="8255"/>
                    </a:xfrm>
                    <a:prstGeom prst="rect">
                      <a:avLst/>
                    </a:prstGeom>
                    <a:noFill/>
                  </pic:spPr>
                </pic:pic>
              </a:graphicData>
            </a:graphic>
          </wp:anchor>
        </w:drawing>
      </w:r>
    </w:p>
    <w:p>
      <w:pPr>
        <w:spacing w:after="0" w:line="63"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2023</w:t>
      </w:r>
    </w:p>
    <w:p>
      <w:pPr>
        <w:spacing w:after="0" w:line="43"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119,173</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15,462,604</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14,049,822</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15,468,537</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13,658,628</w:t>
            </w:r>
          </w:p>
        </w:tc>
      </w:tr>
      <w:tr>
        <w:trPr>
          <w:trHeight w:val="25"/>
        </w:trPr>
        <w:tc>
          <w:tcPr>
            <w:tcW w:w="4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5"/>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168,052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127,157</w:t>
            </w:r>
          </w:p>
        </w:tc>
        <w:tc>
          <w:tcPr>
            <w:tcW w:w="120" w:type="dxa"/>
            <w:vAlign w:val="bottom"/>
          </w:tcPr>
          <w:p>
            <w:pPr>
              <w:spacing w:after="0"/>
              <w:rPr>
                <w:sz w:val="20"/>
                <w:szCs w:val="20"/>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101,709</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2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4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15,850,949</w:t>
            </w:r>
          </w:p>
        </w:tc>
        <w:tc>
          <w:tcPr>
            <w:tcW w:w="12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14,049,822</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15,870,981</w:t>
            </w:r>
          </w:p>
        </w:tc>
        <w:tc>
          <w:tcPr>
            <w:tcW w:w="12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13,658,628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6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adoption of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subleases two offices. The subleases have remaining lease terms of less than seven years. Sublease income, which is recorded as a reduction of rent expense and allocated to the appropriate financial statement line items to arrive at </w:t>
      </w: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xml:space="preserve"> on our Consolidated Statements of Operations, was immaterial for the three and six months ended June 30, 2024 and 2023.</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are additional details related to operating leases recorded on our Consolidated Balance Sheets as of June 30, 2024 and December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8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8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6"/>
        </w:trPr>
        <w:tc>
          <w:tcPr>
            <w:tcW w:w="7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2"/>
        </w:trPr>
        <w:tc>
          <w:tcPr>
            <w:tcW w:w="75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80" w:type="dxa"/>
            <w:vAlign w:val="bottom"/>
            <w:tcBorders>
              <w:bottom w:val="single" w:sz="8" w:color="CCEEFF"/>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5"/>
        </w:trPr>
        <w:tc>
          <w:tcPr>
            <w:tcW w:w="75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8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Rent expense was $11.0 million, inclusive of $4.1 million accelerated amortization of right-of-use assets, and $3.6 million for the three months ended June 30, 2024 and 2023, respectively. Rent expense was $16.7 million, inclusive of $4.1 million accelerated amortization of right-of-use assets, and $7.6 million for the six months ended June 30, 2024 and 2023,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24"/>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40" w:type="dxa"/>
            <w:vAlign w:val="bottom"/>
          </w:tcPr>
          <w:p>
            <w:pPr>
              <w:spacing w:after="0"/>
              <w:rPr>
                <w:sz w:val="24"/>
                <w:szCs w:val="24"/>
                <w:color w:val="auto"/>
              </w:rPr>
            </w:pPr>
          </w:p>
        </w:tc>
      </w:tr>
      <w:tr>
        <w:trPr>
          <w:trHeight w:val="25"/>
        </w:trPr>
        <w:tc>
          <w:tcPr>
            <w:tcW w:w="4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2"/>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Pr>
          <w:p>
            <w:pPr>
              <w:spacing w:after="0"/>
              <w:rPr>
                <w:sz w:val="21"/>
                <w:szCs w:val="21"/>
                <w:color w:val="auto"/>
              </w:rPr>
            </w:pPr>
          </w:p>
        </w:tc>
        <w:tc>
          <w:tcPr>
            <w:tcW w:w="130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1"/>
                <w:szCs w:val="21"/>
                <w:color w:val="auto"/>
              </w:rPr>
            </w:pPr>
          </w:p>
        </w:tc>
      </w:tr>
      <w:tr>
        <w:trPr>
          <w:trHeight w:val="232"/>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12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
        </w:trPr>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for tenant incentive reimbursement</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4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Lease liabilities arising from obtaining 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new and existing lease agreements and modifications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0"/>
                <w:szCs w:val="20"/>
                <w:color w:val="auto"/>
              </w:rPr>
            </w:pP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92.2</w:t>
            </w:r>
          </w:p>
        </w:tc>
        <w:tc>
          <w:tcPr>
            <w:tcW w:w="12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530"/>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
        </w:trPr>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6"/>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233"/>
        </w:trPr>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74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
        </w:trPr>
        <w:tc>
          <w:tcPr>
            <w:tcW w:w="4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to the total lease liabilities recognized as of June 30, 2024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0"/>
                <w:szCs w:val="20"/>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5"/>
        </w:trPr>
        <w:tc>
          <w:tcPr>
            <w:tcW w:w="9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six months ended June 30,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6"/>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r>
      <w:tr>
        <w:trPr>
          <w:trHeight w:val="26"/>
        </w:trPr>
        <w:tc>
          <w:tcPr>
            <w:tcW w:w="9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8"/>
        </w:trPr>
        <w:tc>
          <w:tcPr>
            <w:tcW w:w="9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4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5"/>
        </w:trPr>
        <w:tc>
          <w:tcPr>
            <w:tcW w:w="9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3"/>
        </w:trPr>
        <w:tc>
          <w:tcPr>
            <w:tcW w:w="9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table above does not include any legally binding minimum lease payments for leases signed but not yet commenced. Included in the undiscounted future minimum lease payments for the years ended December 31, 2024 and 2025 are future tenant improvement allowance reimbursements related to our Ra’anana, Israel, Vancouver, Washington, and Waltham, Massachusetts leases.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Expense associated with short-term leases and variable lease costs were immaterial for the three and six months ended June 30, 2024 and 2023. The expense related to short-term leases reasonably reflected our short-term lease commitments.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Undiscounted lease payments under all leases executed and not yet commenced are anticipated to be $71.2 million, of which $28.9 million relate to leases expected to commence in the three months ended September 30, 2024 and $43.5 million relate to leases expected to commence in 2024 (excluding the six months ended June 30, 2024). These payments are not included in the tabular disclosure of undiscounted future minimum lease payments under non-cancelable leases above.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Leasing Activity</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Relating to our office space in Waltham, Massachusetts, the third and fourth phases of the lease commenced in April 2024 which, collectively, resulted in additional lease liabilities arising from obtaining right-of-use assets of $8.5 million. The remaining phases (i.e., the fifth and sixth phases) have not yet commenced. We recognized impairment charges of $4.3 million to reduce the carrying value of the associated right-of-use assets. Additionally, we recognized impairment charges of $4.8 million to reduce the carrying value of the right-of-use asset associated with the second phase of the lease. These charges were recorded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during the three and six months ended June 30, 2024 on the Consolidated Statements of Operations and relate to certain spaces which were intended to sublease. During the second quarter of 2024, the Company committed to the cease-use of all phases except for the first and second phases. As a result, we incurred lease abandonment charges of $4.1 million during the three and six months ended June 30, 2024 for the vacated spaces. These charges were allocated among the respective cost line items on the Consolidated Statements of Operations. Subsequently, the Company executed an agreement to restructure its lease commitments (refer to Note 15 -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Relating to our new corporate headquarters in Vancouver, Washington, the sixth floor of the lease commenced in March 2024. The commencement of the floor resulted in additional lease liabilities arising from obtaining right-of-use assets of $27.5 million. The seventh, eighth, and ninth floors of the lease commenced in April, May, and June, respectively. The commencement of these floors resulted in additional lease liabilities arising from obtaining right-of-use assets of $59.2 million. As the commencement of the remaining subsequent floors of this lease are expected to occur between July 2024 and October 2024, the Company has not recorded operating lease right-of-use assets or lease liabilities for these floors as of June 30, 2024. During the three and six months ended June 30, 2024, we recognized impairment charges of $29.2 million to reduce the carrying value of the right-of-use assets associated with certain spaces of the leased premises which were intended to sublease. These charges were recorded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Relating to our office space in Ra’anana, Israel, which commenced during the third quarter of 2023, we recognized additional impairment charges of $5.9 million during the three and six months ended June 30, 2024 related to certain spaces of the leased premises which were intended to sublease. These charges were recorded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26, 2020, the Board adopted the Omnibus Plan. The Omnibus Plan provides for potential grants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awards with respect to shares of the Company’s common stock or securities valued by reference to, or otherwise determined by reference to or based on, shares of common stock: (i) incentive stock options qualified as such under U.S. federal income tax laws; (ii) non-qualified stock options or any other form of stock options; (iii) stock appreciation rights; (iv) restricted stock; (v) restricted stock units; (vi) interests in a limited liability company that is a subsidiary of the Company, and (vii) other equity-based and cash-based incentive awards as determined by the compensation committee of the Board or any properly delegated subcommittee.</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maximum aggregate number of shares of common stock that could be issued pursuant to awards under the Omnibus Plan was 18,650,000 shares (including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common stock options, and restricted stock. In addition, the Company recognizes equity-based compensation expense from awards granted to employees as further described below under HSKB Phantom Units.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Except where indicated otherwise, the equity-based compensation awards described below are subject to time-based service requirements. For all grants issued, the service vesting condition is generally four years with 25% vesting on the one-year anniversary of the grant date of the award and 6.25% vesting quarterly thereafter; or three years with 33% vesting on the one-year anniversary of the grant date of the award and 8.375% vesting quarterly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issued PRSUs which will vest in annual tranches over a three-year service period. Total PRSUs earned for grants made in 2024 may vary between 0% and 150% of the PRSUs granted based on the attainment of company specific-performance targets during the related performance period and continued service. During the year ended December 31, 2023, the Company issued PRSUs, which were recommended by the Compensation Committee of the Board and approved by the full Board. The service vesting condition for one of the issued awards is one year. Each of the remaining PRSUs will vest in annual tranches over a three-year service period. Total PRSUs earned for grants made in 2023 may vary between 0% and 200% of the PRSUs granted based on the attainment of company-specific performance targets during the related performance period and continued service. All of the PRSUs earned will be settled through the issuance of an equivalent number of shares of the Company’s common stock based on the payout level achieved.</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issued market-based RSUs, which were approved by the Board. These awards will vest over the performance period which commenced on June 20, 2024, and will conclude on April 1, 2027. The vesting is based on the attainment of an average 30-day closing price of the applicable stock price threshold of the Company’s common stock at any time during the performance period and subject to continuous employment through the vesting dates.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Number of Eligible Market-Based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Satisfaction of Minimum Service</w:t>
            </w:r>
          </w:p>
        </w:tc>
        <w:tc>
          <w:tcPr>
            <w:tcW w:w="0" w:type="dxa"/>
            <w:vAlign w:val="bottom"/>
          </w:tcPr>
          <w:p>
            <w:pPr>
              <w:spacing w:after="0"/>
              <w:rPr>
                <w:sz w:val="1"/>
                <w:szCs w:val="1"/>
                <w:color w:val="auto"/>
              </w:rPr>
            </w:pPr>
          </w:p>
        </w:tc>
      </w:tr>
      <w:tr>
        <w:trPr>
          <w:trHeight w:val="233"/>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Tranche</w:t>
            </w:r>
          </w:p>
        </w:tc>
        <w:tc>
          <w:tcPr>
            <w:tcW w:w="28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Stock Price Target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Requirement</w:t>
            </w:r>
          </w:p>
        </w:tc>
        <w:tc>
          <w:tcPr>
            <w:tcW w:w="0" w:type="dxa"/>
            <w:vAlign w:val="bottom"/>
          </w:tcPr>
          <w:p>
            <w:pPr>
              <w:spacing w:after="0"/>
              <w:rPr>
                <w:sz w:val="1"/>
                <w:szCs w:val="1"/>
                <w:color w:val="auto"/>
              </w:rPr>
            </w:pPr>
          </w:p>
        </w:tc>
      </w:tr>
      <w:tr>
        <w:trPr>
          <w:trHeight w:val="26"/>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$15.11</w:t>
            </w:r>
          </w:p>
        </w:tc>
        <w:tc>
          <w:tcPr>
            <w:tcW w:w="80" w:type="dxa"/>
            <w:vAlign w:val="bottom"/>
            <w:shd w:val="clear" w:color="auto" w:fill="CCEEFF"/>
          </w:tcPr>
          <w:p>
            <w:pPr>
              <w:spacing w:after="0"/>
              <w:rPr>
                <w:sz w:val="18"/>
                <w:szCs w:val="18"/>
                <w:color w:val="auto"/>
              </w:rPr>
            </w:pP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110,295</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Service through and including</w:t>
            </w:r>
          </w:p>
        </w:tc>
        <w:tc>
          <w:tcPr>
            <w:tcW w:w="0" w:type="dxa"/>
            <w:vAlign w:val="bottom"/>
          </w:tcPr>
          <w:p>
            <w:pPr>
              <w:spacing w:after="0"/>
              <w:rPr>
                <w:sz w:val="1"/>
                <w:szCs w:val="1"/>
                <w:color w:val="auto"/>
              </w:rPr>
            </w:pPr>
          </w:p>
        </w:tc>
      </w:tr>
      <w:tr>
        <w:trPr>
          <w:trHeight w:val="125"/>
        </w:trPr>
        <w:tc>
          <w:tcPr>
            <w:tcW w:w="27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7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7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w:t>
            </w:r>
          </w:p>
        </w:tc>
        <w:tc>
          <w:tcPr>
            <w:tcW w:w="0" w:type="dxa"/>
            <w:vAlign w:val="bottom"/>
          </w:tcPr>
          <w:p>
            <w:pPr>
              <w:spacing w:after="0"/>
              <w:rPr>
                <w:sz w:val="1"/>
                <w:szCs w:val="1"/>
                <w:color w:val="auto"/>
              </w:rPr>
            </w:pPr>
          </w:p>
        </w:tc>
      </w:tr>
      <w:tr>
        <w:trPr>
          <w:trHeight w:val="112"/>
        </w:trPr>
        <w:tc>
          <w:tcPr>
            <w:tcW w:w="27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7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7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7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17.61</w:t>
            </w:r>
          </w:p>
        </w:tc>
        <w:tc>
          <w:tcPr>
            <w:tcW w:w="80" w:type="dxa"/>
            <w:vAlign w:val="bottom"/>
          </w:tcPr>
          <w:p>
            <w:pPr>
              <w:spacing w:after="0"/>
              <w:rPr>
                <w:sz w:val="19"/>
                <w:szCs w:val="19"/>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Service through and including</w:t>
            </w:r>
          </w:p>
        </w:tc>
        <w:tc>
          <w:tcPr>
            <w:tcW w:w="0" w:type="dxa"/>
            <w:vAlign w:val="bottom"/>
          </w:tcPr>
          <w:p>
            <w:pPr>
              <w:spacing w:after="0"/>
              <w:rPr>
                <w:sz w:val="1"/>
                <w:szCs w:val="1"/>
                <w:color w:val="auto"/>
              </w:rPr>
            </w:pPr>
          </w:p>
        </w:tc>
      </w:tr>
      <w:tr>
        <w:trPr>
          <w:trHeight w:val="125"/>
        </w:trPr>
        <w:tc>
          <w:tcPr>
            <w:tcW w:w="2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October 1, 2025</w:t>
            </w:r>
          </w:p>
        </w:tc>
        <w:tc>
          <w:tcPr>
            <w:tcW w:w="0" w:type="dxa"/>
            <w:vAlign w:val="bottom"/>
          </w:tcPr>
          <w:p>
            <w:pPr>
              <w:spacing w:after="0"/>
              <w:rPr>
                <w:sz w:val="1"/>
                <w:szCs w:val="1"/>
                <w:color w:val="auto"/>
              </w:rPr>
            </w:pPr>
          </w:p>
        </w:tc>
      </w:tr>
      <w:tr>
        <w:trPr>
          <w:trHeight w:val="106"/>
        </w:trPr>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20.11</w:t>
            </w:r>
          </w:p>
        </w:tc>
        <w:tc>
          <w:tcPr>
            <w:tcW w:w="80" w:type="dxa"/>
            <w:vAlign w:val="bottom"/>
            <w:shd w:val="clear" w:color="auto" w:fill="CCEEFF"/>
          </w:tcPr>
          <w:p>
            <w:pPr>
              <w:spacing w:after="0"/>
              <w:rPr>
                <w:sz w:val="19"/>
                <w:szCs w:val="19"/>
                <w:color w:val="auto"/>
              </w:rPr>
            </w:pP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Service through and including July 1,</w:t>
            </w:r>
          </w:p>
        </w:tc>
        <w:tc>
          <w:tcPr>
            <w:tcW w:w="0" w:type="dxa"/>
            <w:vAlign w:val="bottom"/>
          </w:tcPr>
          <w:p>
            <w:pPr>
              <w:spacing w:after="0"/>
              <w:rPr>
                <w:sz w:val="1"/>
                <w:szCs w:val="1"/>
                <w:color w:val="auto"/>
              </w:rPr>
            </w:pPr>
          </w:p>
        </w:tc>
      </w:tr>
      <w:tr>
        <w:trPr>
          <w:trHeight w:val="125"/>
        </w:trPr>
        <w:tc>
          <w:tcPr>
            <w:tcW w:w="27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7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7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40" w:type="dxa"/>
            <w:vAlign w:val="bottom"/>
            <w:vMerge w:val="restart"/>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11"/>
        </w:trPr>
        <w:tc>
          <w:tcPr>
            <w:tcW w:w="27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7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7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7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22.61</w:t>
            </w:r>
          </w:p>
        </w:tc>
        <w:tc>
          <w:tcPr>
            <w:tcW w:w="80" w:type="dxa"/>
            <w:vAlign w:val="bottom"/>
          </w:tcPr>
          <w:p>
            <w:pPr>
              <w:spacing w:after="0"/>
              <w:rPr>
                <w:sz w:val="19"/>
                <w:szCs w:val="19"/>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 through and including April</w:t>
            </w:r>
          </w:p>
        </w:tc>
        <w:tc>
          <w:tcPr>
            <w:tcW w:w="0" w:type="dxa"/>
            <w:vAlign w:val="bottom"/>
          </w:tcPr>
          <w:p>
            <w:pPr>
              <w:spacing w:after="0"/>
              <w:rPr>
                <w:sz w:val="1"/>
                <w:szCs w:val="1"/>
                <w:color w:val="auto"/>
              </w:rPr>
            </w:pPr>
          </w:p>
        </w:tc>
      </w:tr>
      <w:tr>
        <w:trPr>
          <w:trHeight w:val="125"/>
        </w:trPr>
        <w:tc>
          <w:tcPr>
            <w:tcW w:w="2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rPr>
              <w:t>1, 2027</w:t>
            </w:r>
          </w:p>
        </w:tc>
        <w:tc>
          <w:tcPr>
            <w:tcW w:w="0" w:type="dxa"/>
            <w:vAlign w:val="bottom"/>
          </w:tcPr>
          <w:p>
            <w:pPr>
              <w:spacing w:after="0"/>
              <w:rPr>
                <w:sz w:val="1"/>
                <w:szCs w:val="1"/>
                <w:color w:val="auto"/>
              </w:rPr>
            </w:pPr>
          </w:p>
        </w:tc>
      </w:tr>
      <w:tr>
        <w:trPr>
          <w:trHeight w:val="106"/>
        </w:trPr>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additional grants have other vesting periods approved by the Compensation Committee of the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unit activity was as follows during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Six Months Ended June 30,</w:t>
            </w:r>
          </w:p>
        </w:tc>
      </w:tr>
      <w:tr>
        <w:trPr>
          <w:trHeight w:val="233"/>
        </w:trPr>
        <w:tc>
          <w:tcPr>
            <w:tcW w:w="4560" w:type="dxa"/>
            <w:vAlign w:val="bottom"/>
          </w:tcPr>
          <w:p>
            <w:pPr>
              <w:spacing w:after="0"/>
              <w:rPr>
                <w:sz w:val="20"/>
                <w:szCs w:val="20"/>
                <w:color w:val="auto"/>
              </w:rPr>
            </w:pPr>
          </w:p>
        </w:tc>
        <w:tc>
          <w:tcPr>
            <w:tcW w:w="430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5"/>
        </w:trPr>
        <w:tc>
          <w:tcPr>
            <w:tcW w:w="45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11"/>
        </w:trPr>
        <w:tc>
          <w:tcPr>
            <w:tcW w:w="4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Weighted Average Grant</w:t>
            </w:r>
          </w:p>
        </w:tc>
        <w:tc>
          <w:tcPr>
            <w:tcW w:w="2380" w:type="dxa"/>
            <w:vAlign w:val="bottom"/>
          </w:tcPr>
          <w:p>
            <w:pPr>
              <w:spacing w:after="0"/>
              <w:rPr>
                <w:sz w:val="18"/>
                <w:szCs w:val="18"/>
                <w:color w:val="auto"/>
              </w:rPr>
            </w:pPr>
          </w:p>
        </w:tc>
      </w:tr>
      <w:tr>
        <w:trPr>
          <w:trHeight w:val="233"/>
        </w:trPr>
        <w:tc>
          <w:tcPr>
            <w:tcW w:w="4560" w:type="dxa"/>
            <w:vAlign w:val="bottom"/>
          </w:tcPr>
          <w:p>
            <w:pPr>
              <w:spacing w:after="0"/>
              <w:rPr>
                <w:sz w:val="20"/>
                <w:szCs w:val="20"/>
                <w:color w:val="auto"/>
              </w:rPr>
            </w:pPr>
          </w:p>
        </w:tc>
        <w:tc>
          <w:tcPr>
            <w:tcW w:w="20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Restricted Stock Units</w:t>
            </w:r>
          </w:p>
        </w:tc>
      </w:tr>
      <w:tr>
        <w:trPr>
          <w:trHeight w:val="25"/>
        </w:trPr>
        <w:tc>
          <w:tcPr>
            <w:tcW w:w="45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12,636,460</w:t>
            </w:r>
          </w:p>
        </w:tc>
        <w:tc>
          <w:tcPr>
            <w:tcW w:w="38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10,377,568</w:t>
            </w: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7,080,903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6,134,671</w:t>
            </w:r>
          </w:p>
        </w:tc>
      </w:tr>
      <w:tr>
        <w:trPr>
          <w:trHeight w:val="25"/>
        </w:trPr>
        <w:tc>
          <w:tcPr>
            <w:tcW w:w="45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 performance-based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509,824</w:t>
            </w: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 - market-based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5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(1,301,660)</w:t>
            </w: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(1,670,581)</w:t>
            </w:r>
          </w:p>
        </w:tc>
      </w:tr>
      <w:tr>
        <w:trPr>
          <w:trHeight w:val="25"/>
        </w:trPr>
        <w:tc>
          <w:tcPr>
            <w:tcW w:w="45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8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15,462,604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14,049,822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6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Restricted stock activity was as follows during the periods indicated: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430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Weighted Average Grant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20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0" w:type="dxa"/>
            <w:vAlign w:val="bottom"/>
          </w:tcPr>
          <w:p>
            <w:pPr>
              <w:spacing w:after="0"/>
              <w:rPr>
                <w:sz w:val="1"/>
                <w:szCs w:val="1"/>
                <w:color w:val="auto"/>
              </w:rPr>
            </w:pPr>
          </w:p>
        </w:tc>
      </w:tr>
      <w:tr>
        <w:trPr>
          <w:trHeight w:val="25"/>
        </w:trPr>
        <w:tc>
          <w:tcPr>
            <w:tcW w:w="45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347,976</w:t>
            </w:r>
          </w:p>
        </w:tc>
        <w:tc>
          <w:tcPr>
            <w:tcW w:w="34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858,560</w:t>
            </w:r>
          </w:p>
        </w:tc>
        <w:tc>
          <w:tcPr>
            <w:tcW w:w="0" w:type="dxa"/>
            <w:vAlign w:val="bottom"/>
          </w:tcPr>
          <w:p>
            <w:pPr>
              <w:spacing w:after="0"/>
              <w:rPr>
                <w:sz w:val="1"/>
                <w:szCs w:val="1"/>
                <w:color w:val="auto"/>
              </w:rPr>
            </w:pP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(397,124)</w:t>
            </w: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r>
        <w:trPr>
          <w:trHeight w:val="25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22"/>
                <w:szCs w:val="22"/>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450,668</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Options</w:t>
            </w: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45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Options activity was as follows during the period indicated:</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430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202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Options</w:t>
            </w:r>
          </w:p>
        </w:tc>
        <w:tc>
          <w:tcPr>
            <w:tcW w:w="0" w:type="dxa"/>
            <w:vAlign w:val="bottom"/>
          </w:tcPr>
          <w:p>
            <w:pPr>
              <w:spacing w:after="0"/>
              <w:rPr>
                <w:sz w:val="1"/>
                <w:szCs w:val="1"/>
                <w:color w:val="auto"/>
              </w:rPr>
            </w:pPr>
          </w:p>
        </w:tc>
      </w:tr>
      <w:tr>
        <w:trPr>
          <w:trHeight w:val="25"/>
        </w:trPr>
        <w:tc>
          <w:tcPr>
            <w:tcW w:w="45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279,553</w:t>
            </w:r>
          </w:p>
        </w:tc>
        <w:tc>
          <w:tcPr>
            <w:tcW w:w="34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323,002</w:t>
            </w:r>
          </w:p>
        </w:tc>
        <w:tc>
          <w:tcPr>
            <w:tcW w:w="0" w:type="dxa"/>
            <w:vAlign w:val="bottom"/>
          </w:tcPr>
          <w:p>
            <w:pPr>
              <w:spacing w:after="0"/>
              <w:rPr>
                <w:sz w:val="1"/>
                <w:szCs w:val="1"/>
                <w:color w:val="auto"/>
              </w:rPr>
            </w:pP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(17,322)</w:t>
            </w: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0" w:type="dxa"/>
            <w:vAlign w:val="bottom"/>
          </w:tcPr>
          <w:p>
            <w:pPr>
              <w:spacing w:after="0"/>
              <w:rPr>
                <w:sz w:val="1"/>
                <w:szCs w:val="1"/>
                <w:color w:val="auto"/>
              </w:rPr>
            </w:pP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5"/>
        </w:trPr>
        <w:tc>
          <w:tcPr>
            <w:tcW w:w="45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287,934</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Options have a maximum contractual term of ten years. The aggregate intrinsic value and weighted average remaining contractual terms of options outstanding and options exercisable were as follows as of June 30,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5"/>
        </w:trPr>
        <w:tc>
          <w:tcPr>
            <w:tcW w:w="8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5"/>
        </w:trPr>
        <w:tc>
          <w:tcPr>
            <w:tcW w:w="884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8"/>
                <w:szCs w:val="18"/>
                <w:color w:val="auto"/>
              </w:rPr>
              <w:t>Aggregate intrinsic value (in millions)</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r>
      <w:tr>
        <w:trPr>
          <w:trHeight w:val="240"/>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term (in years)</w:t>
            </w: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
        </w:trPr>
        <w:tc>
          <w:tcPr>
            <w:tcW w:w="8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98"/>
              </w:rPr>
              <w:t>5.7 years</w:t>
            </w:r>
          </w:p>
        </w:tc>
      </w:tr>
      <w:tr>
        <w:trPr>
          <w:trHeight w:val="240"/>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400" w:type="dxa"/>
            <w:vAlign w:val="bottom"/>
          </w:tcPr>
          <w:p>
            <w:pPr>
              <w:spacing w:after="0"/>
              <w:rPr>
                <w:sz w:val="20"/>
                <w:szCs w:val="20"/>
                <w:color w:val="auto"/>
              </w:rPr>
            </w:pPr>
          </w:p>
        </w:tc>
        <w:tc>
          <w:tcPr>
            <w:tcW w:w="20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8"/>
              </w:rPr>
              <w:t>5.7 years</w:t>
            </w:r>
          </w:p>
        </w:tc>
      </w:tr>
      <w:tr>
        <w:trPr>
          <w:trHeight w:val="280"/>
        </w:trPr>
        <w:tc>
          <w:tcPr>
            <w:tcW w:w="88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156"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intrinsic value of options outstanding and exercisable is zero, as all options are out of the money.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Compensation Committee of the Board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maximum aggregate number of shares of the common stock that may be issued under the ESPP is no more than 7,500,000 shares (the “ESPP Plan Share Reserve”). The ESPP plan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the ESPP purchase was determined using the Black-Scholes option pricing model.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60" w:type="dxa"/>
            <w:vAlign w:val="bottom"/>
          </w:tcPr>
          <w:p>
            <w:pPr>
              <w:spacing w:after="0"/>
              <w:rPr>
                <w:sz w:val="20"/>
                <w:szCs w:val="20"/>
                <w:color w:val="auto"/>
              </w:rPr>
            </w:pPr>
          </w:p>
        </w:tc>
        <w:tc>
          <w:tcPr>
            <w:tcW w:w="488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Three and Six Months Ended June 30,</w:t>
            </w:r>
          </w:p>
        </w:tc>
      </w:tr>
      <w:tr>
        <w:trPr>
          <w:trHeight w:val="26"/>
        </w:trPr>
        <w:tc>
          <w:tcPr>
            <w:tcW w:w="636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3"/>
        </w:trPr>
        <w:tc>
          <w:tcPr>
            <w:tcW w:w="636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5"/>
        </w:trPr>
        <w:tc>
          <w:tcPr>
            <w:tcW w:w="636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57.3%</w:t>
            </w:r>
          </w:p>
        </w:tc>
        <w:tc>
          <w:tcPr>
            <w:tcW w:w="8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50.4%</w:t>
            </w:r>
          </w:p>
        </w:tc>
      </w:tr>
      <w:tr>
        <w:trPr>
          <w:trHeight w:val="24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4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0.5 years</w:t>
            </w:r>
          </w:p>
        </w:tc>
        <w:tc>
          <w:tcPr>
            <w:tcW w:w="2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0.5 years</w:t>
            </w:r>
          </w:p>
        </w:tc>
      </w:tr>
      <w:tr>
        <w:trPr>
          <w:trHeight w:val="25"/>
        </w:trPr>
        <w:tc>
          <w:tcPr>
            <w:tcW w:w="6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5.4%</w:t>
            </w:r>
          </w:p>
        </w:tc>
      </w:tr>
      <w:tr>
        <w:trPr>
          <w:trHeight w:val="24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5"/>
        </w:trPr>
        <w:tc>
          <w:tcPr>
            <w:tcW w:w="6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unit</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$3.33</w:t>
            </w:r>
          </w:p>
        </w:tc>
        <w:tc>
          <w:tcPr>
            <w:tcW w:w="80" w:type="dxa"/>
            <w:vAlign w:val="bottom"/>
            <w:shd w:val="clear" w:color="auto" w:fill="CCEEFF"/>
          </w:tcPr>
          <w:p>
            <w:pPr>
              <w:spacing w:after="0"/>
              <w:rPr>
                <w:sz w:val="20"/>
                <w:szCs w:val="20"/>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$6.72</w:t>
            </w:r>
          </w:p>
        </w:tc>
      </w:tr>
      <w:tr>
        <w:trPr>
          <w:trHeight w:val="25"/>
        </w:trPr>
        <w:tc>
          <w:tcPr>
            <w:tcW w:w="63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Company withheld $0.5 million and $2.6 million worth of ESPP contributions for the three and six months ended June 30, 2024, respectively, on behalf of participating employees through payroll deductions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Consolidated Balance Sheets. The Company withheld $1.4 million and $4.4 million worth of ESPP contributions for the three and six months ended June 30, 2023, respectively, on behalf of participating employees through payroll deductions. The Company purchased 248,742 shares of Common Stock under the ESPP for the three and six months ended June 30, 2024. The Company purchased 181,931 shares of Common Stock under the ESPP for the three and six months ended June 30, 2023. The Company recognized $0.4 million and $1.2 million of equity-based compensation expense related to the ESPP for the three and six months ended June 30, 2024. The Company recognized $0.8 million and $2.0 million of equity-based compensation expense related to the ESPP for the three and six months ended June 30,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Phantom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the HSKB Phantom Units, refer to Note 15 — Equity-based Compensation in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Unamortized Equity-based Compensation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2024, unamortized equity-based compensation costs related to each equity-based incentive award described above is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 Service</w:t>
            </w:r>
          </w:p>
        </w:tc>
      </w:tr>
      <w:tr>
        <w:trPr>
          <w:trHeight w:val="25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Period (in years)</w:t>
            </w: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8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r>
      <w:tr>
        <w:trPr>
          <w:trHeight w:val="24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r>
      <w:tr>
        <w:trPr>
          <w:trHeight w:val="25"/>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r>
      <w:tr>
        <w:trPr>
          <w:trHeight w:val="24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r>
      <w:tr>
        <w:trPr>
          <w:trHeight w:val="25"/>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83"/>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8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Tax Receivable Agreements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our TRAs, refer to Note 17 - Tax Receivable Agreements in our 2023 Form 10-K.</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As of June 30, 2024 and December 31, 2023, the Company had a liability of $2,795.5 million and $2,818.0 million, respectively, related to its projected obligations under the TRAs. This liability, or a portion thereof, becomes payable once the tax attributes under the TRAs reduce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on our Consolidated Balance Sheets under the captions </w:t>
      </w:r>
      <w:r>
        <w:rPr>
          <w:rFonts w:ascii="Times New Roman" w:cs="Times New Roman" w:eastAsia="Times New Roman" w:hAnsi="Times New Roman"/>
          <w:sz w:val="18"/>
          <w:szCs w:val="18"/>
          <w:i w:val="1"/>
          <w:iCs w:val="1"/>
          <w:color w:val="auto"/>
        </w:rPr>
        <w:t>Current portion of tax receivable agreements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liability, net of current portion</w:t>
      </w:r>
      <w:r>
        <w:rPr>
          <w:rFonts w:ascii="Times New Roman" w:cs="Times New Roman" w:eastAsia="Times New Roman" w:hAnsi="Times New Roman"/>
          <w:sz w:val="18"/>
          <w:szCs w:val="18"/>
          <w:color w:val="auto"/>
        </w:rPr>
        <w:t>, respectively.</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No payment was made to TRA holders pursuant to the TRA during the three months ended June 30, 2024 and 2023. During the three months ended June 30, 2024, we recognized a TRA measurement gain of $0.2 million, principally due to revaluation for the blended state tax rate and updates to tax attributes, net of interest expense accrued on the current portion of the TRA liability,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on our Consolidated Statements of Operations. During the three months ended June 30, 2023, we recognized a TRA measurement gain of $1.1 million, principally due to updates to tax attributes and movements in our blended state tax rate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on our Consolidated Statements of Operations.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During the six months ended June 30, 2024, $31.6 million was paid to TRA holders pursuant to the TRA. No payment was made during the six months ended June 30, 2023. During the six months ended June 30, 2024, we recognized a TRA measurement loss of $9.2 million, principally due to revaluation for the blended state tax rate, an increase to the cumulative liability due to TRA Holders resulting from a reduction in the management allocation percent withheld, and interest expense accrued on the current portion of the TRA liability,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on our Consolidated Statements of Operations. During the six months ended June 30, 2023, we recognized a TRA measurement gain of $11.2 million, principally due to updates to tax attributes and movements in our blended state tax rate,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on our Consolidated Statements of Operations.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66" w:lineRule="exact"/>
        <w:rPr>
          <w:sz w:val="20"/>
          <w:szCs w:val="20"/>
          <w:color w:val="auto"/>
        </w:rPr>
      </w:pPr>
    </w:p>
    <w:p>
      <w:pPr>
        <w:jc w:val="both"/>
        <w:ind w:right="20" w:firstLine="318"/>
        <w:spacing w:after="0" w:line="304" w:lineRule="auto"/>
        <w:rPr>
          <w:sz w:val="20"/>
          <w:szCs w:val="20"/>
          <w:color w:val="auto"/>
        </w:rPr>
      </w:pPr>
      <w:r>
        <w:rPr>
          <w:rFonts w:ascii="Times New Roman" w:cs="Times New Roman" w:eastAsia="Times New Roman" w:hAnsi="Times New Roman"/>
          <w:sz w:val="17"/>
          <w:szCs w:val="17"/>
          <w:color w:val="auto"/>
        </w:rPr>
        <w:t>The Company’s provision (benefit) for income taxes for both the three and six months ended June 30, 2024 and 2023 was based on our projected annual effective tax rate for fiscal year 2024 and 2023, respectively, adjusted for specific items that are required to be recognized in the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inclusive of items specific to the period, for the three months ended June 30, 2024 and 2023 was 0.7% and 30.3%, respectively. The Company recorded income tax benefit of $0.2 million and income tax expense of $16.6 million for the three months ended June 30, 2024 and 2023, respectively.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effective tax rate, inclusive of items specific to the period, for the six months ended June 30, 2024 and 2023 was 288.9% and 32.8%, respectively.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income tax expense of $14.2 million and $40.3 million for the six months ended June 30, 2024 and 2023, respectively.</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projected 2024 annual effective tax rate differed from the U.S. federal statutory rate of 21.0% due to U.S. state taxes, foreign taxes and non-deductible equity compensation expense, offset by research and development credits. Further, the Company’s annual effective tax rate included period specific costs associated with non-deductible executive compensation and shortfalls in tax-deductible equity compensation compared to amounts recognized in our financial accounts.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gross liabilities for unrecognized tax benefits, which is reflected as a reduction of deferred tax assets, were $12.8 million and $12.6 million as of June 30, 2024 and December 31, 2023, respectively. No interest or penalties are accrued with respect to the unrecognized tax benefits. If the unrecognized tax benefits as of June 30, 2024 were recognized, the entire balance would impact the effective tax rate. It is not anticipated any of the unrecognized tax benefit will be recognized within the next twelve months.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has evaluated subsequent events from June 30, 2024 through the date the financial statement was available to be issued and has determined there are no material subsequent events that require disclosure other than those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Subsequent to June 30, 2024 and up through August 2, 2024, the Company repurchased and subsequently retired 1,747,542 shares of the Company’s common stock in the open market at a cost of $20.8 million, for an average price of $11.93 per share, under the Share Repurchase Program described further in Note 1 - Business, Basis of Presentation, and Summary of Significant Accounting Policies to the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Waltham Lease Agreement Amendment</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July 2024, the Company executed an agreement to restructure its lease commitments in Waltham, Massachusetts. Pursuant to the agreement, the Company made a payment of $59.1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related notes included in our 2023 Form 10-K, the information included under “Management’s Discussion and Analysis of Financial Condition and Results of Operations” in Part II, Item 7 of our 2023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2023 Form 10-K. Numerical figures included in this Form 10-Q have been subject to rounding adjustments. Accordingly, numerical figures shown as totals in various tables may not be arithmetic aggregations of the figures that precede them.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teams. Our cloud-based platform delivers comprehensive and high-quality intelligence and analytics to provide sales, marketing, operations, and recruiting professionals accurate information and insights on the organizations and professionals they target. This enables our customers to shorten sales cycles and increase win rates by empowering sellers, marketers, and recruiters to deliver the right message to the right person at the right time in the right way.</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defines the modern go-to-market technology stack across three distinct layers that build upon each other:</w:t>
      </w:r>
    </w:p>
    <w:p>
      <w:pPr>
        <w:spacing w:after="0" w:line="164" w:lineRule="exact"/>
        <w:rPr>
          <w:sz w:val="20"/>
          <w:szCs w:val="20"/>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Intelligence Layer is the foundation of our data-driven strategy. Our best-in-class data, curated through first- and third-party sources, includes billions of data points about companies and contacts, such as intent, hierarchy, location, and financial information.</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Orchestration Layer integrates and enriches our data sources. At this stage, our products assign and route data, leads, and insights to the appropriate people. This creates a dataset that is continuously updated and can be used to power automated business workflows. Our services connect with major CRM providers.</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Engagement Layer allows sales, marketing, operations, and recruiting professionals to put data-driven insights into action to identify and communicate with prospects and customers. In ZoomInfo Sales, frontline teams, managers, and leaders use Engage for multi-touch and multi-channel sales engagement, as well as Chorus for call and web meeting recording, transcription, insight generation, and coaching. In ZoomInfo Marketing, marketers drive awareness, lead generation, and deal acceleration campaigns through account-based marketing, advertising, and onsite conversion optimization solutions, along with ZoomInfo Chat for intelligent onsite experiences through live conversation and chatbots. In ZoomInfo Talent, recruiters and talent acquisition professionals access a platform that helps them efficiently find candidates. Recruiters can filter and reach more good-fit candidates, use pipeline management tools to collaborate and organize the hiring process, and automate the candidate outreach process. In ZoomInfo Operations, our sales operations customers use a suite of products, services, and solutions to ingest, match, enrich, and connect data feeds into multiple systems.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sales of subscriptions to our platform. Subscriptions include the use of our platform and access to customer support. Subscriptions generally range from one to three years in length. Over 45% of customer contracts (based on annualized value) are multi-year agreements. We typically bill our customers at the beginning of each annual, semi-annual, or quarterly period and recognize revenue ratably over the term of the subscription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sell access to our platform to both new and existing customers. We price our subscriptions based on the functionality, users, and records under management that are included in each product edition. Our paid products are ZoomInfo Sales, ZoomInfo Marketing, ZoomInfo Operations, and ZoomInfo Talent (with add-on options for some products). Additionally, customers can gain free access to ZoomInfo through ZoomInfo Lite (formerly Community Edition).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and financial condition have and may continue to be impacted by adverse macroeconomic conditions. See “Risk Factors - Geopolitical Risks” in Part I, Item 1A of our 2023 Form 10-K for further discussion of the possible impact of these issues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2024, we entered into an amendment to our existing First Lien Credit Agreement (the "Seventh Amendment"), pursuant to which the Company completed a repricing of its First Lien Term Loan Facility, which decreased the applicable rate for both Base Rate loans and SOFR based loans by 50 basis points.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Acquire New Customers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in the United States and around the world. While we added new customers over the last 24 months that contributed incremental revenues for the three months ended June 30, 2024 as compared to the three months ended June 30, 2023, our total revenues decreased period over period primarily as a result of the change in accounting estimate during the current period. Refer to the “Factors Affecting the Comparability of Our Results of Operations” section further below. Our operating results and growth prospects will depend in part on our ability to continue to attract new customers. Additionally, acquiring new customers strengthens the power of our contributory networks. We plan to continue to invest in our efficient go-to-market effort to acquire new customers.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Usage of Our Platform</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 Our net revenue retention rate was 85% as of June 30, 2024. In the near term, we expect our net retention rate to be impacted by macroeconomic conditions. See section "Recent Developments - Impact of Macroeconomic Conditions." We also measure our success in expanding relationships with existing customers by the number of customers that contract for more than $100,000 in ACV. As of June 30, 2024, we had 1,797 customers with over $100,000 in ACV.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historical results of operations are not comparable from period to period and may not be comparable to our financial results of operations in future periods. Set forth below is a brief discussion of the key factor impacting the comparability of our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the Mix of Our Customer Base and Reducing Write-offs and Bad Debts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second quarter of 2024, we deployed a new business risk model to flag and require upfront pre-payment from prospects at the greatest risk of non-payment. This process was incorporated to mitigate the risk of future write-offs and invest in the long-term health of the Company. Concurrently, our efforts have shifted to customers more likely to pay, renew, and grow with us over time.</w:t>
      </w:r>
    </w:p>
    <w:p>
      <w:pPr>
        <w:spacing w:after="0" w:line="12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As a result, we recorded an incremental charge during the three and six months ended June 30, 2024 impacting our reported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expenses</w:t>
      </w:r>
      <w:r>
        <w:rPr>
          <w:rFonts w:ascii="Times New Roman" w:cs="Times New Roman" w:eastAsia="Times New Roman" w:hAnsi="Times New Roman"/>
          <w:sz w:val="18"/>
          <w:szCs w:val="18"/>
          <w:color w:val="auto"/>
        </w:rPr>
        <w:t>. The charge represents a revision to our reserves for uncollectible accounts receivable, made up primarily of historical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SMB customers from 2023. Refer to the Change in Accounting Estimate section in Note 1 - Business, Basis of Presentation, and Summary of Significant Accounting Policies of our consolidated financial statements included in Part I, Item 1 of this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derive primarily all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 The unearned revenue balance does not represent the total contract value of annual or multi-year, non-cancelable subscription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w:t>
      </w:r>
    </w:p>
    <w:p>
      <w:pPr>
        <w:spacing w:after="0" w:line="16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excluding amortization of acquired technology. </w:t>
      </w:r>
      <w:r>
        <w:rPr>
          <w:rFonts w:ascii="Times New Roman" w:cs="Times New Roman" w:eastAsia="Times New Roman" w:hAnsi="Times New Roman"/>
          <w:sz w:val="18"/>
          <w:szCs w:val="18"/>
          <w:color w:val="auto"/>
        </w:rPr>
        <w:t>Cost of service, excluding amortization of acquired technology, includes direct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support and operations of our services and research teams including salaries, benefits, equity-based compensation, and related expenses, such as employer taxes, allocated overhead for facilities, technology, third-party hosting fees, third-party data costs, and amortization of internally developed capitalized software.</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we will continue to invest in cost of service and that cost of service as a percentage of revenue will remain consistent or modestly decrease as we realize operating leverage 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acquired technology will increase if we make additional acquisitions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Our operating expenses consist of sales and marketing, research and development, general and administrative, and amortization of other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marketing, and restructuring and transaction-related expenses. We anticipate that restructuring and transaction-related expenses, including potential impairments, will be influenced by future acquisition activity, strategic restructuring activities, and the commencement of new leases. Specifically, as new leases commence, we may face increased impairment expenses for spaces that we do not intend to occupy and/or that we plan to sublease, which could cause these costs to vary, potentially significantly, from our historic levels. Refer to Note 11 - Leases for further information.</w:t>
      </w:r>
    </w:p>
    <w:p>
      <w:pPr>
        <w:spacing w:after="0" w:line="11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2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anticipate that we will continue to invest in sales and marketing capacity to enable future growth. We anticipate that sales and marketing expense excluding equity-based compensation as a percentage of revenue will fluctuate from period to period depending on the interplay of our growing investments in sales and marketing capacity excluding equity-based compensation, the recognition of revenue, and the amortization of contract acquisition costs.</w:t>
      </w:r>
    </w:p>
    <w:p>
      <w:pPr>
        <w:spacing w:after="0" w:line="10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w:t>
      </w:r>
    </w:p>
    <w:p>
      <w:pPr>
        <w:spacing w:after="0" w:line="13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short-term, but will modestly decrease in the long-term as we drive efficiencies in that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General and administrative expenses also include impairment charges associated with our leasing activity. Refer to Note 11 - Leases for further information. We also incur charges associated with litigation settlements, such as the Class Action settlement previously disclosed, which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general and administrative expenses as a percentage of revenue to remain consistent or modestly decrease as we realize operating leverage in the business.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Amortization of other acquired intangibles</w:t>
      </w:r>
      <w:r>
        <w:rPr>
          <w:rFonts w:ascii="Times New Roman" w:cs="Times New Roman" w:eastAsia="Times New Roman" w:hAnsi="Times New Roman"/>
          <w:sz w:val="17"/>
          <w:szCs w:val="17"/>
          <w:color w:val="auto"/>
        </w:rPr>
        <w:t>. Amortization of acquired intangibles consists of amortization of customer relationships and brand portfolios.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increase if we make additional acquisitions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represents the interest payable on our debt obligations and the amortization of debt discounts and debt issuance costs, less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interest expense could be impacted by changes in variable interest rates or the issuance of additional debt.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modification and extinguishment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Loss on debt modification and extinguishment </w:t>
      </w:r>
      <w:r>
        <w:rPr>
          <w:rFonts w:ascii="Times New Roman" w:cs="Times New Roman" w:eastAsia="Times New Roman" w:hAnsi="Times New Roman"/>
          <w:sz w:val="18"/>
          <w:szCs w:val="18"/>
          <w:color w:val="auto"/>
        </w:rPr>
        <w:t>consists of prepayment penalties and impairment of deferred financing costs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or extinguishment of debt, as well as new fees incurred with third parties in connection with debt modifications.</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losses related to debt modification and extinguishment will only occur if we extinguish indebtedness before the contractual repayment dates or amend our existing financing arrangements.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consists primarily of the revaluation of TRA liabilities, investment income, and foreign currency realized and unrealized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related to the impact of transactions denominated in a foreign currency.</w:t>
      </w:r>
    </w:p>
    <w:p>
      <w:pPr>
        <w:spacing w:after="0" w:line="10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Changes to existing tax law including changes to the corporate income tax rates and the Company’s state tax footprint could lead to substantial revaluations of the TRA liability recorded through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Additionally, the magnitude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may increase as we expand operations internationally and add complexity to our operations. Refer to the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section below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as well as from net operating loss and tax credit carryforwards. We evaluate the recoverability of these future deductible temporary differences, net operating losses and credits by assessing the carryforward period and adequacy of future expected taxable income from all sources, including reversing taxable temporary differences, future growth, and forecasted earnings, as well as historical earnings, taxable income in prior years, if carryback is permitted under the law, and prudent and feasible tax planning strategies. A valuation allowance is established if it is more likely than not that all or a portion of the deferred tax asset will not be realized.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significant U.S. deferred tax assets, including deferred tax assets created by various historical restructuring events. The preponderance of our deferred tax assets have long lives or are otherwise indefinite. We regularly review whether it is more likely than not that our U.S. deferred tax assets will be realizable. As of June 30, 2024, a valuation allowance continues to be recorded against certain state-level attributes.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value of our deferred tax assets are regularly remeasured to consider the impact of statutory changes and other guidance, as well as changes in our state income apportionment factors. Given the amount of our deferred tax assets, minor changes can materially affect our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A significant portion of our deferred tax assets are associated with our TRA, and upon a remeasurement of our deferred tax assets, the TRA liability is typically concurrently remeasured with a partially offsetting impact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on the Consolidated Statements of Operations.</w:t>
      </w:r>
    </w:p>
    <w:p>
      <w:pPr>
        <w:spacing w:after="0" w:line="12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We have regularly taken tax positions, including with respect to our various corporate events and restructurings in the ordinary course of determining our </w:t>
      </w:r>
      <w:r>
        <w:rPr>
          <w:rFonts w:ascii="Times New Roman" w:cs="Times New Roman" w:eastAsia="Times New Roman" w:hAnsi="Times New Roman"/>
          <w:sz w:val="17"/>
          <w:szCs w:val="17"/>
          <w:i w:val="1"/>
          <w:iCs w:val="1"/>
          <w:color w:val="auto"/>
        </w:rPr>
        <w:t>Provision (benefit) for income taxes</w:t>
      </w:r>
      <w:r>
        <w:rPr>
          <w:rFonts w:ascii="Times New Roman" w:cs="Times New Roman" w:eastAsia="Times New Roman" w:hAnsi="Times New Roman"/>
          <w:sz w:val="17"/>
          <w:szCs w:val="17"/>
          <w:color w:val="auto"/>
        </w:rPr>
        <w:t>. We recognize the tax benefit of an uncertain tax position only if it is more likely than not the position is sustainable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examination by the taxing authority based on the technical merits.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 w:cs="Times New Roman" w:eastAsia="Times New Roman" w:hAnsi="Times New Roman"/>
          <w:sz w:val="17"/>
          <w:szCs w:val="17"/>
          <w:i w:val="1"/>
          <w:iCs w:val="1"/>
          <w:color w:val="auto"/>
        </w:rPr>
        <w:t>Provision (benefit)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in the period in which we make the change, which could have a material impact on our effective tax rate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808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8"/>
              </w:rPr>
              <w:t>The following table presents our results of operations for the three and six months ended June 30, 2024 and 2023:</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440" w:type="dxa"/>
            <w:vAlign w:val="bottom"/>
            <w:tcBorders>
              <w:bottom w:val="single" w:sz="8" w:color="CCEEFF"/>
            </w:tcBorders>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4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70.2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40"/>
        </w:trPr>
        <w:tc>
          <w:tcPr>
            <w:tcW w:w="4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19.1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5"/>
        </w:trPr>
        <w:tc>
          <w:tcPr>
            <w:tcW w:w="3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440" w:type="dxa"/>
            <w:vAlign w:val="bottom"/>
            <w:tcBorders>
              <w:bottom w:val="single" w:sz="8" w:color="CCEEFF"/>
            </w:tcBorders>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21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44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65"/>
        </w:trPr>
        <w:tc>
          <w:tcPr>
            <w:tcW w:w="4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92.0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65"/>
        </w:trPr>
        <w:tc>
          <w:tcPr>
            <w:tcW w:w="4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9"/>
        </w:trPr>
        <w:tc>
          <w:tcPr>
            <w:tcW w:w="4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10.8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6"/>
        </w:trPr>
        <w:tc>
          <w:tcPr>
            <w:tcW w:w="3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1220" w:type="dxa"/>
            <w:vAlign w:val="bottom"/>
            <w:tcBorders>
              <w:bottom w:val="single" w:sz="8" w:color="6D6D6D"/>
            </w:tcBorders>
          </w:tcPr>
          <w:p>
            <w:pPr>
              <w:spacing w:after="0"/>
              <w:rPr>
                <w:sz w:val="2"/>
                <w:szCs w:val="2"/>
                <w:color w:val="auto"/>
              </w:rPr>
            </w:pPr>
          </w:p>
        </w:tc>
        <w:tc>
          <w:tcPr>
            <w:tcW w:w="60" w:type="dxa"/>
            <w:vAlign w:val="bottom"/>
            <w:tcBorders>
              <w:bottom w:val="single" w:sz="8" w:color="6D6D6D"/>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14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20" w:type="dxa"/>
            <w:vAlign w:val="bottom"/>
            <w:tcBorders>
              <w:bottom w:val="single" w:sz="8" w:color="6D6D6D"/>
            </w:tcBorders>
          </w:tcPr>
          <w:p>
            <w:pPr>
              <w:spacing w:after="0"/>
              <w:rPr>
                <w:sz w:val="2"/>
                <w:szCs w:val="2"/>
                <w:color w:val="auto"/>
              </w:rPr>
            </w:pPr>
          </w:p>
        </w:tc>
        <w:tc>
          <w:tcPr>
            <w:tcW w:w="60" w:type="dxa"/>
            <w:vAlign w:val="bottom"/>
            <w:tcBorders>
              <w:bottom w:val="single" w:sz="8" w:color="6D6D6D"/>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6D6D6D"/>
            </w:tcBorders>
          </w:tcPr>
          <w:p>
            <w:pPr>
              <w:spacing w:after="0"/>
              <w:rPr>
                <w:sz w:val="2"/>
                <w:szCs w:val="2"/>
                <w:color w:val="auto"/>
              </w:rPr>
            </w:pPr>
          </w:p>
        </w:tc>
        <w:tc>
          <w:tcPr>
            <w:tcW w:w="920" w:type="dxa"/>
            <w:vAlign w:val="bottom"/>
            <w:tcBorders>
              <w:bottom w:val="single" w:sz="8" w:color="6D6D6D"/>
            </w:tcBorders>
            <w:gridSpan w:val="2"/>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6D6D6D"/>
            </w:tcBorders>
          </w:tcPr>
          <w:p>
            <w:pPr>
              <w:spacing w:after="0"/>
              <w:rPr>
                <w:sz w:val="2"/>
                <w:szCs w:val="2"/>
                <w:color w:val="auto"/>
              </w:rPr>
            </w:pPr>
          </w:p>
        </w:tc>
        <w:tc>
          <w:tcPr>
            <w:tcW w:w="900" w:type="dxa"/>
            <w:vAlign w:val="bottom"/>
            <w:tcBorders>
              <w:bottom w:val="single" w:sz="8" w:color="6D6D6D"/>
            </w:tcBorders>
          </w:tcPr>
          <w:p>
            <w:pPr>
              <w:spacing w:after="0"/>
              <w:rPr>
                <w:sz w:val="2"/>
                <w:szCs w:val="2"/>
                <w:color w:val="auto"/>
              </w:rPr>
            </w:pPr>
          </w:p>
        </w:tc>
        <w:tc>
          <w:tcPr>
            <w:tcW w:w="42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 w:type="dxa"/>
            <w:vAlign w:val="bottom"/>
            <w:tcBorders>
              <w:bottom w:val="single" w:sz="8" w:color="CCEEFF"/>
            </w:tcBorders>
            <w:shd w:val="clear" w:color="auto" w:fill="CCEEFF"/>
          </w:tcPr>
          <w:p>
            <w:pPr>
              <w:spacing w:after="0"/>
              <w:rPr>
                <w:sz w:val="22"/>
                <w:szCs w:val="22"/>
                <w:color w:val="auto"/>
              </w:rPr>
            </w:pPr>
          </w:p>
        </w:tc>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440" w:type="dxa"/>
            <w:vAlign w:val="bottom"/>
            <w:tcBorders>
              <w:bottom w:val="single" w:sz="8" w:color="CCEEFF"/>
            </w:tcBorders>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3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23.0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0"/>
        </w:trPr>
        <w:tc>
          <w:tcPr>
            <w:tcW w:w="4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(9.3)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Amounts include equity-based compensation expense, as follows: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8"/>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8"/>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bottom w:val="single" w:sz="8" w:color="CCEEFF"/>
            </w:tcBorders>
          </w:tcPr>
          <w:p>
            <w:pPr>
              <w:spacing w:after="0"/>
              <w:rPr>
                <w:sz w:val="20"/>
                <w:szCs w:val="20"/>
                <w:color w:val="auto"/>
              </w:rPr>
            </w:pPr>
          </w:p>
        </w:tc>
        <w:tc>
          <w:tcPr>
            <w:tcW w:w="60" w:type="dxa"/>
            <w:vAlign w:val="bottom"/>
            <w:tcBorders>
              <w:top w:val="single" w:sz="8" w:color="auto"/>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0" w:type="dxa"/>
            <w:vAlign w:val="bottom"/>
          </w:tcPr>
          <w:p>
            <w:pPr>
              <w:spacing w:after="0"/>
              <w:rPr>
                <w:sz w:val="21"/>
                <w:szCs w:val="21"/>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6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and 2023</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was $291.5 million for the three months ended June 30, 2024, a decrease of $17.1 million, or 6%, as compared to $308.6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2023. The decrease was primarily due to the change in accounting estimate that reduced revenue by $15.3 million.</w:t>
      </w:r>
    </w:p>
    <w:p>
      <w:pPr>
        <w:spacing w:after="0" w:line="10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$45.9 million for the three months ended June 30, 2024, an increase of $2.3 million, or 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$43.6 million for the three months ended June 30, 2023. Excluding equity-based compensation expenses, cost of service was $43.2 million for three months ended June 30, 2024, an increase of $3.0 million, or 7%, as compared to $40.2 million for three months ended June 30, 2023, primarily due to increased amortization expense on internally developed capitalized software, hosting fees, and facilities expense.</w:t>
      </w:r>
    </w:p>
    <w:p>
      <w:pPr>
        <w:sectPr>
          <w:pgSz w:w="11900" w:h="16838" w:orient="portrait"/>
          <w:cols w:equalWidth="0" w:num="1">
            <w:col w:w="11240"/>
          </w:cols>
          <w:pgMar w:left="320" w:top="2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for three months ended June 30, 2024 was $245.6 million and represented a gross margin of 84%. Gross profit for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2023 was $265.0 million and represented a gross margin of 86%. The decrease in gross profit in the three months ended June 30, 2024 relative to the three months ended June 30, 2023 was $19.4 million, or 7%, primarily due to lower revenues, as described above, and increased amortization expense on internally developed capitalized software.</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$265.6 million for the three months ended June 30, 2024, an increase of $60.2 million, or 29%,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$205.4 million for the three months ended June 30, 2023. Excluding equity-based compensation expenses, operating expenses were $231.9 million for the three months ended June 30, 2024, an increase of $69.4 million, or 43%, as compared to $162.5 million for the three months ended June 30, 2023.</w:t>
      </w:r>
    </w:p>
    <w:p>
      <w:pPr>
        <w:spacing w:after="0" w:line="126" w:lineRule="exact"/>
        <w:rPr>
          <w:sz w:val="20"/>
          <w:szCs w:val="20"/>
          <w:color w:val="auto"/>
        </w:rPr>
      </w:pPr>
    </w:p>
    <w:p>
      <w:pPr>
        <w:jc w:val="both"/>
        <w:ind w:left="640" w:hanging="316"/>
        <w:spacing w:after="0" w:line="259"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for the three months ended June 30, 2024 was $100.5 million, representing a decrease of $4.0 million, or 4%, as compared to $104.5 million for the three months ended June 30, 2023. Sales and marketing, excluding equity-based compensation, for the three months ended June 30, 2024 was $86.5 million, relatively flat as compared to $86.9 million for the three months ended June 30, 2023.</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for the three months ended June 30, 2024 was $48.3 million representing a decrease of $5.0 million, or 9%, as compared to $53.3 million for the three months ended June 30, 2023. Research and development, excluding equity-based compensation, for the three months ended June 30, 2024 was $38.1 million, relatively flat as compared to $37.9 million for the three months ended June 30, 2023.</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for the three months ended June 30, 2024 was $111.3 million representing an increase of $69.2 million, or 164%, as compared to $42.1 million for the three months ended June 30, 2023. General and administrative, excluding equity-based compensation, for the three months ended June 30, 2024 was $101.8 million, representing an increase of $69.6 million, or 216%, as compared to $32.2 million for the three months ended June 30, 2023, primarily due to charges incurred related to lease impairment and abandonment charges, as well as incremental bad debt expense resulting from the change in accounting estimate.</w:t>
      </w:r>
    </w:p>
    <w:p>
      <w:pPr>
        <w:spacing w:after="0" w:line="132"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other acquired intangibles was $5.5 million for the three months ended June 30, 2024, relatively flat as compared to $5.5 million for the three months ended June 30, 2023.</w:t>
      </w:r>
    </w:p>
    <w:p>
      <w:pPr>
        <w:spacing w:after="0" w:line="10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expense. </w:t>
      </w:r>
      <w:r>
        <w:rPr>
          <w:rFonts w:ascii="Times New Roman" w:cs="Times New Roman" w:eastAsia="Times New Roman" w:hAnsi="Times New Roman"/>
          <w:sz w:val="18"/>
          <w:szCs w:val="18"/>
          <w:color w:val="auto"/>
        </w:rPr>
        <w:t>Equity-based compensation expense was $36.4 million for the three months ended June 30, 2024,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$9.9 million, or 21%, as compared to $46.3 million for the three months ended June 30, 2023, due to lower grant date fair values of grants being amortized in the current period compared to those that were amortized in the prior year, capitalization of equity-based compensation, and terminations.</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Loss from operations was $20.0 million for the three months ended June 30, 2024, a decrease of $79.6 million, or 134%,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income from operations of $59.6 million for the three months ended June 30, 2023. The decrease is primarily due to charges incurred related to lease impairment and abandonment charges and the change in accounting estimate of collectibility of accounts receivable. Operating loss margin was 7% for three months ended June 30, 2024 as compared to operating income margin of 19% for the three months ended June 30, 2023.</w:t>
      </w:r>
    </w:p>
    <w:p>
      <w:pPr>
        <w:spacing w:after="0" w:line="12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7"/>
          <w:szCs w:val="17"/>
          <w:i w:val="1"/>
          <w:iCs w:val="1"/>
          <w:color w:val="auto"/>
        </w:rPr>
        <w:t>Other income, net</w:t>
      </w:r>
      <w:r>
        <w:rPr>
          <w:rFonts w:ascii="Times New Roman" w:cs="Times New Roman" w:eastAsia="Times New Roman" w:hAnsi="Times New Roman"/>
          <w:sz w:val="17"/>
          <w:szCs w:val="17"/>
          <w:color w:val="auto"/>
        </w:rPr>
        <w:t>. Other income, net was $5.9 million for the three months ended June 30, 2024, which primarily consists of $3.6 million of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as compared to other income of $7.1 million for the three months ended June 30, 2023, which consists of $6.5 million of investment income.</w:t>
      </w:r>
    </w:p>
    <w:p>
      <w:pPr>
        <w:spacing w:after="0" w:line="8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$9.8 million for the three months ended June 30, 2024, a decrease of $2.2 million, or 18%,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 million for the three months ended June 30, 2023, primarily due to both lower interest rates and higher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The Company is subject to income taxes in the United States and various foreign jurisdictions. Benefit for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for the three months ended June 30, 2024 was $0.2 million, representing an effective tax rate of 0.7%, as compared to provision for income taxes of $16.6 million, representing an effective tax rate of 30.3%, for the three months ended June 30, 2023. The income tax benefit for the three months ended June 30, 2024 was primarily due to a loss before taxes. The annual effective tax rate differed from the U.S. federal statutory rate due to non-deductible equity compensation costs, U.S. state taxes including the remeasurement of deferred tax assets for the effect of state law changes, foreign taxes, and tax costs accrued for future repatriations of foreign earnings, partially offset by research and development credits. Refer to Note 14 - Income Taxes of our unaudited consolidated financial statements included in Part I, Item 1 of this Form 10-Q for additional information related to the components of our income tax provision.</w:t>
      </w:r>
    </w:p>
    <w:p>
      <w:pPr>
        <w:spacing w:after="0" w:line="13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Net loss was $24.4 million for three months ended June 30, 2024, a decrease of $62.5 million or 164%, as compared to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$38.1 million for the three months ended June 30, 2023. The decrease was primarily due to costs incurred related to lease impairment and abandonment charges and the change in accounting estimate of collectibility of accounts receivable, partially offset by lower income tax expense.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and 2023</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was $601.6 million for the six months ended June 30, 2024, a decrease of $7.7 million, or 1%, as compared to $609.3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2023. The decrease was primarily due to the change in accounting estimate resulting in reduced revenues by $15.3 million, partially offset by the addition of new customers over the past 12 months.</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$89.3 million for the six months ended June 30, 2024, an increase of $0.2 million, or less than 1%,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$89.1 million for the six months ended June 30, 2023. Excluding equity-based compensation expenses, cost of service was $84.1 million for six months ended June 30, 2024, an increase of $2.5 million, or 3%, as compared to $81.6 million for six months ended June 30, 2023, primarily due to increased amortization expense on internally developed capitalized software and hosting expenses.</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for the six months ended June 30, 2024 was $512.3 million and represented a gross margin of 85%. Gross profit for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2023 was $520.2 million and represented a gross margin of 85%. The decrease in gross profit in the six months ended June 30, 2024 relative to the six months ended June 30, 2023 was $7.9 million, or 2%, primarily due to lower revenues, as described above, and increased amortization expense on internally developed capitalized software.</w:t>
      </w:r>
    </w:p>
    <w:p>
      <w:pPr>
        <w:spacing w:after="0" w:line="124"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Operating expenses. </w:t>
      </w:r>
      <w:r>
        <w:rPr>
          <w:rFonts w:ascii="Times New Roman" w:cs="Times New Roman" w:eastAsia="Times New Roman" w:hAnsi="Times New Roman"/>
          <w:sz w:val="17"/>
          <w:szCs w:val="17"/>
          <w:color w:val="auto"/>
        </w:rPr>
        <w:t>Operating expenses were $489.3 million for the six months ended June 30, 2024, an increase of $95.0 million, or 24%, as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$394.3 million for the six months ended June 30, 2023. Excluding equity-based compensation expenses, operating expenses were $426.9 million for the six months ended June 30, 2024, an increase of $109.1 million, or 34%, as compared to $317.8 million for the six months ended June 30, 2023.</w:t>
      </w:r>
    </w:p>
    <w:p>
      <w:pPr>
        <w:spacing w:after="0" w:line="105" w:lineRule="exact"/>
        <w:rPr>
          <w:sz w:val="20"/>
          <w:szCs w:val="20"/>
          <w:color w:val="auto"/>
        </w:rPr>
      </w:pPr>
    </w:p>
    <w:p>
      <w:pPr>
        <w:jc w:val="both"/>
        <w:ind w:left="640" w:hanging="316"/>
        <w:spacing w:after="0" w:line="252"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for the six months ended June 30, 2024 was $200.1 million, representing a decrease of $7.6 million, or 4%, as compared to $207.7 million for the six months ended June 30, 2023. Sales and marketing, excluding equity-based compensation, for the six months ended June 30, 2024 was $174.3 million, representing an increase of $3.7 million, or 2%, as compared to $170.6 million for the six months ended June 30, 2023, primarily due to additional marketing, employee-related benefits, facilities expenses and lease abandonment charges, partially offset by lower amortization of commissions.</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for the six months ended June 30, 2024 was $92.0 million representing a decrease of $3.6 million, or 4%, as compared to $95.6 million for the six months ended June 30, 2023. Research and development, excluding equity-based compensation, for the six months ended June 30, 2024 was $73.0 million, relatively flat as compared to $73.3 million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640" w:hanging="316"/>
        <w:spacing w:after="0" w:line="25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for the six months ended June 30, 2024 was $186.4 million representing an increase of $106.5 million, or 133%, as compared to $79.9 million for the six months ended June 30, 2023. General and administrative, excluding equity-based compensation, for the six months ended June 30, 2024 was $168.8 million, representing an increase of $106.0 million, or 169%, as compared to $62.8 million for the six months ended June 30, 2023, primarily due to charges incurred related to the Class Actions (See Note 9 - Commitments and Contingencies for further information) and lease impairment and abandonment charges, as well as incremental bad debt expense resulting from the change in accounting estimate.</w:t>
      </w:r>
    </w:p>
    <w:p>
      <w:pPr>
        <w:spacing w:after="0" w:line="132"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other acquired intangibles was $10.8 million, representing a decrease of $0.3 million, or 3%, for the six months ended June 30, 2024 as compared to $11.1 million for the six months ended June 30, 2023.</w:t>
      </w:r>
    </w:p>
    <w:p>
      <w:pPr>
        <w:spacing w:after="0" w:line="10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expense. </w:t>
      </w:r>
      <w:r>
        <w:rPr>
          <w:rFonts w:ascii="Times New Roman" w:cs="Times New Roman" w:eastAsia="Times New Roman" w:hAnsi="Times New Roman"/>
          <w:sz w:val="18"/>
          <w:szCs w:val="18"/>
          <w:color w:val="auto"/>
        </w:rPr>
        <w:t>Equity-based compensation expense was $67.6 million for the six months ended June 30, 2024,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$16.4 million, or 20%, as compared to $84.0 million for the six months ended June 30, 2023, due to lower grant date fair values of grants being amortized in the current period compared to those that were amortized in the prior year, capitalization of equity-based compensation, and terminations.</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Income from operations was $23.0 million for the six months ended June 30, 2024, a decrease of $102.9 million, or 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$125.9 million for the six months ended June 30, 2023. The decrease was primarily due to costs incurred related to the Class Actions, lease impairment and abandonment charges, and the change in accounting estimate of collectibility of accounts receivable. Operating income margin was 4% for the six months ended June 30, 2024 as compared to 21% for the six months ended June 30, 2023.</w:t>
      </w:r>
    </w:p>
    <w:p>
      <w:pPr>
        <w:spacing w:after="0" w:line="12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was $2.5 million for the six months ended June 30, 2024, which primarily consists of $7.3 million of investment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$9.2 million of TRA remeasurement loss, as compared to other income of $21.1 million for the six months ended June 30, 2023, which primarily consists of $11.2 million of TRA remeasurement gain, and $10.5 million of investment income.</w:t>
      </w:r>
    </w:p>
    <w:p>
      <w:pPr>
        <w:spacing w:after="0" w:line="12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Interest expense, net In</w:t>
      </w:r>
      <w:r>
        <w:rPr>
          <w:rFonts w:ascii="Times New Roman" w:cs="Times New Roman" w:eastAsia="Times New Roman" w:hAnsi="Times New Roman"/>
          <w:sz w:val="18"/>
          <w:szCs w:val="18"/>
          <w:color w:val="auto"/>
        </w:rPr>
        <w:t>terest expense, net was $19.9 million for the six months ended June 30, 2024, a decrease of $2.0 million, or 9%,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$21.9 million for the six months ended June 30, 2023, primarily due to the lower interest rates.</w:t>
      </w:r>
    </w:p>
    <w:p>
      <w:pPr>
        <w:spacing w:after="0" w:line="107"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i w:val="1"/>
          <w:iCs w:val="1"/>
          <w:color w:val="auto"/>
        </w:rPr>
        <w:t>Provision (benefit) for income taxes</w:t>
      </w:r>
      <w:r>
        <w:rPr>
          <w:rFonts w:ascii="Times New Roman" w:cs="Times New Roman" w:eastAsia="Times New Roman" w:hAnsi="Times New Roman"/>
          <w:sz w:val="17"/>
          <w:szCs w:val="17"/>
          <w:color w:val="auto"/>
        </w:rPr>
        <w:t>. The Company is subject to income taxes in the United States and various foreign jurisdictions. Provision for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taxes for the six months ended June 30, 2024 was $14.2 million, representing an effective tax rate of 288.9%, as compared to provision for income taxes of $40.3 million, representing an effective tax rate of 32.8%, for the six months ended June 30, 2023. The decrease in income tax expense was primarily due to a reduction in income before taxes. The annual effective tax rate differed from the U.S. federal statutory rate due to non-deductible equity compensation costs, U.S. state taxes including the remeasurement of deferred tax assets for the effect of state law changes, foreign taxes, and tax costs accrued for future repatriations of foreign earnings, partially offset by research and development credits. Refer to Note 14 - Income Taxes of our unaudited consolidated financial statements included in Part I, Item 1 of this Form 10-Q for additional information related to the components of our income tax provision.</w:t>
      </w:r>
    </w:p>
    <w:p>
      <w:pPr>
        <w:spacing w:after="0" w:line="11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Net loss was $9.3 million for six months ended June 30, 2024, a decrease of $91.9 million or 111%, as compared to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$82.6 million for the six months ended June 30, 2023. The decrease was primarily due to charges incurred related to the Class Actions, lease impairment and abandonment charges, and the change in accounting estimate of collectibility of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Adjusted Operating Income Margin, and Adjusted Net Income</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define Adjusted Operating Income as income (loss) from operations adjusted for, as applicable, (i) the impact of fair value adjustments to acquired unearned revenue, (ii) amortization of acquired technology and other acquired intangibles, (iii) equity-based compensation expense, (iv) restructuring and transaction-related expenses, (v) integration costs and acquisition-related expenses, and (vi) legal settlement.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We have also excluded charges associated with the litigation settlement related to the Class Actions previously disclosed because we believe it represents an extraordinary litigation expense outside of our ordinary course of business and is not indicative of our operative performance.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define Adjusted Net Income as net income (loss) adjusted for, as applicable, (i) the impact of fair value adjustments to acquired unearned revenue, (ii) loss on debt modification and extinguishment, (iii) amortization of acquired technology and other acquired intangibles, (iv) equity-based compensation expense, (v) restructuring and transaction-related expenses, (vi) integration costs and acquisition-related expenses, (vii) legal settlement, (viii) TRA liability remeasurement (benefit) expense, (ix) other (income) loss, net and (x) 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xml:space="preserve"> to Adjusted Operating Income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0"/>
                <w:szCs w:val="20"/>
                <w:color w:val="auto"/>
              </w:rPr>
            </w:pPr>
          </w:p>
        </w:tc>
        <w:tc>
          <w:tcPr>
            <w:tcW w:w="3180" w:type="dxa"/>
            <w:vAlign w:val="bottom"/>
            <w:gridSpan w:val="4"/>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6"/>
        </w:trPr>
        <w:tc>
          <w:tcPr>
            <w:tcW w:w="3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1"/>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 (GAAP)</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125.9</w:t>
            </w:r>
          </w:p>
        </w:tc>
      </w:tr>
      <w:tr>
        <w:trPr>
          <w:trHeight w:val="217"/>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fair value adjustments to acquired</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unearned revenue</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2"/>
                <w:szCs w:val="22"/>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r>
      <w:tr>
        <w:trPr>
          <w:trHeight w:val="239"/>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r>
      <w:tr>
        <w:trPr>
          <w:trHeight w:val="26"/>
        </w:trPr>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84.0</w:t>
            </w:r>
          </w:p>
        </w:tc>
      </w:tr>
      <w:tr>
        <w:trPr>
          <w:trHeight w:val="265"/>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(2)</w:t>
            </w:r>
          </w:p>
        </w:tc>
        <w:tc>
          <w:tcPr>
            <w:tcW w:w="38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r>
      <w:tr>
        <w:trPr>
          <w:trHeight w:val="265"/>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(3)</w:t>
            </w:r>
          </w:p>
        </w:tc>
        <w:tc>
          <w:tcPr>
            <w:tcW w:w="38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(Non-GAAP)</w:t>
            </w:r>
          </w:p>
        </w:tc>
        <w:tc>
          <w:tcPr>
            <w:tcW w:w="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Pr>
          <w:p>
            <w:pPr>
              <w:spacing w:after="0"/>
              <w:rPr>
                <w:sz w:val="20"/>
                <w:szCs w:val="20"/>
                <w:color w:val="auto"/>
              </w:rPr>
            </w:pPr>
          </w:p>
        </w:tc>
        <w:tc>
          <w:tcPr>
            <w:tcW w:w="4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245.9</w:t>
            </w:r>
          </w:p>
        </w:tc>
      </w:tr>
      <w:tr>
        <w:trPr>
          <w:trHeight w:val="25"/>
        </w:trPr>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3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291.5</w:t>
            </w:r>
          </w:p>
        </w:tc>
        <w:tc>
          <w:tcPr>
            <w:tcW w:w="16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308.6</w:t>
            </w:r>
          </w:p>
        </w:tc>
        <w:tc>
          <w:tcPr>
            <w:tcW w:w="12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609.3</w:t>
            </w:r>
          </w:p>
        </w:tc>
      </w:tr>
      <w:tr>
        <w:trPr>
          <w:trHeight w:val="25"/>
        </w:trPr>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fair value adjustments to acquired</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revenue</w:t>
            </w:r>
          </w:p>
        </w:tc>
        <w:tc>
          <w:tcPr>
            <w:tcW w:w="3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r>
      <w:tr>
        <w:trPr>
          <w:trHeight w:val="198"/>
        </w:trPr>
        <w:tc>
          <w:tcPr>
            <w:tcW w:w="3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Revenue for adjusted operating margin calculation</w:t>
            </w:r>
          </w:p>
        </w:tc>
        <w:tc>
          <w:tcPr>
            <w:tcW w:w="3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3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291.5</w:t>
            </w:r>
          </w:p>
        </w:tc>
        <w:tc>
          <w:tcPr>
            <w:tcW w:w="16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308.7</w:t>
            </w:r>
          </w:p>
        </w:tc>
        <w:tc>
          <w:tcPr>
            <w:tcW w:w="12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601.6</w:t>
            </w:r>
          </w:p>
        </w:tc>
        <w:tc>
          <w:tcPr>
            <w:tcW w:w="12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609.4</w:t>
            </w:r>
          </w:p>
        </w:tc>
      </w:tr>
      <w:tr>
        <w:trPr>
          <w:trHeight w:val="25"/>
        </w:trPr>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2"/>
        </w:trPr>
        <w:tc>
          <w:tcPr>
            <w:tcW w:w="39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Income (Loss) Margin (GAAP)</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5"/>
        </w:trPr>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Operating Income Margin (Non-GAAP)</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5"/>
        </w:trPr>
        <w:tc>
          <w:tcPr>
            <w:tcW w:w="3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0"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47"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and six months ended June 30, 2024, this expense is primarily related to lease impairment and abandonment charges. For the three and six months ended June 30, 2023, this expense is primarily related to costs associated with a June 2023 reduction in force.</w:t>
      </w:r>
    </w:p>
    <w:p>
      <w:pPr>
        <w:spacing w:after="0" w:line="1" w:lineRule="exact"/>
        <w:rPr>
          <w:rFonts w:ascii="Times New Roman" w:cs="Times New Roman" w:eastAsia="Times New Roman" w:hAnsi="Times New Roman"/>
          <w:sz w:val="16"/>
          <w:szCs w:val="16"/>
          <w:color w:val="auto"/>
        </w:rPr>
      </w:pPr>
    </w:p>
    <w:p>
      <w:pPr>
        <w:ind w:left="320" w:hanging="314"/>
        <w:spacing w:after="0" w:line="280"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charges associated with certain legal settlements. For the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6"/>
          <w:szCs w:val="16"/>
          <w:color w:val="auto"/>
        </w:rPr>
        <w:t xml:space="preserve"> months ended June 30, 2024, these charges are related to costs incurred due to the Class Actions. See Note 9 - Commitments and Contingencies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Operating Income for the three months ended June 30, 2024 was $81.6 million and represented an Adjusted Operating Income Margin of 28%. Adjusted Operating Income for the three months ended June 30, 2023 was $125.6 million and represented an Adjusted Operating Income Margin of 41%. The decrease of $44.0 million, or 35%, in Adjusted Operating Income was primarily due to the change in accounting estimate of collectibility of accounts receivable resulting in both reduced revenues as well as incremental bad debt expense.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Operating Income for the six months ended June 30, 2024 was $200.9 million and represented an Adjusted Operating Income Margin of 33%. Adjusted Operating Income for the six months ended June 30, 2023 was $245.9 million and represented an Adjusted Operating Income Margin of 40%. The decrease of $45.0 million, or 18%, in Adjusted Operating Income was primarily due to the change in accounting estimate of collectibility of accounts receivable resulting in both reduced revenues as well as incremental bad debt expense.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to Adjusted Net Income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12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5"/>
        </w:trPr>
        <w:tc>
          <w:tcPr>
            <w:tcW w:w="4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2"/>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17"/>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0"/>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0"/>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
        </w:trPr>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0"/>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5"/>
        </w:trPr>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5"/>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5"/>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(3)</w:t>
            </w:r>
          </w:p>
        </w:tc>
        <w:tc>
          <w:tcPr>
            <w:tcW w:w="3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 liability remeasurement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0"/>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5"/>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impacts of adjustments to net income (loss)</w:t>
            </w:r>
            <w:r>
              <w:rPr>
                <w:rFonts w:ascii="Times New Roman" w:cs="Times New Roman" w:eastAsia="Times New Roman" w:hAnsi="Times New Roman"/>
                <w:sz w:val="22"/>
                <w:szCs w:val="22"/>
                <w:color w:val="auto"/>
                <w:vertAlign w:val="superscript"/>
              </w:rPr>
              <w:t>(4)</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(Non-GAAP)</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166.4</w:t>
            </w:r>
          </w:p>
        </w:tc>
        <w:tc>
          <w:tcPr>
            <w:tcW w:w="160" w:type="dxa"/>
            <w:vAlign w:val="bottom"/>
          </w:tcPr>
          <w:p>
            <w:pPr>
              <w:spacing w:after="0"/>
              <w:rPr>
                <w:sz w:val="22"/>
                <w:szCs w:val="22"/>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206.0</w:t>
            </w:r>
          </w:p>
        </w:tc>
      </w:tr>
      <w:tr>
        <w:trPr>
          <w:trHeight w:val="20"/>
        </w:trPr>
        <w:tc>
          <w:tcPr>
            <w:tcW w:w="4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0"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47"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and six months ended June 30, 2024, this expense is primarily related to lease impairment and abandonment charges. For the three and six months ended June 30, 2023, this expense is primarily related to costs associated with a June 2023 reduction in force.</w:t>
      </w:r>
    </w:p>
    <w:p>
      <w:pPr>
        <w:spacing w:after="0" w:line="1" w:lineRule="exact"/>
        <w:rPr>
          <w:rFonts w:ascii="Times New Roman" w:cs="Times New Roman" w:eastAsia="Times New Roman" w:hAnsi="Times New Roman"/>
          <w:sz w:val="16"/>
          <w:szCs w:val="16"/>
          <w:color w:val="auto"/>
        </w:rPr>
      </w:pPr>
    </w:p>
    <w:p>
      <w:pPr>
        <w:ind w:left="320" w:hanging="314"/>
        <w:spacing w:after="0" w:line="250"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six months ended June 30, 2024, these charges related to costs incurred due to the Class Actions. See Note 9 - Commitments and Contingencies for further information.</w:t>
      </w:r>
    </w:p>
    <w:p>
      <w:pPr>
        <w:ind w:left="320" w:hanging="314"/>
        <w:spacing w:after="0" w:line="261"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tax expense associated with GAAP Net income (loss) excluded from Adjusted Net Income (Non-GAAP). This includes the tax effects associated with equity compensation, remeasurement of deferred tax assets for the effect of state law changes, and TRA liability remeasurement.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Net Income for the three months ended June 30, 2024 was $66.0 million compared to $106.4 million, representing a decrease of $40.4 million, or 38%, relative to the three months ended June 30, 2023. This decrease was primarily due to the change in accounting estimate of collectibility of accounts receivable resulting in both reduced revenues as well as incremental bad debt expense.</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Net Income for the six months ended June 30, 2024 was $166.4 million compared to $206.0 million, representing a decrease of $39.6 million, or 19%, relative to the six months ended June 30, 2023. This decrease was primarily due to the change in accounting estimate of collectibility of accounts receivable resulting in both reduced revenues as well as incremental bad debt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Management further adjusts EBITDA to exclude certain items of a significant or unusual nature, as applicable, including other (income) expense, net, loss on debt modification and extinguishment, impact of certain non-cash items, such as fair value adjustments to acquired unearned revenue and equity-based compensation, restructuring and transaction-related expenses, integration costs and acquisition-related compensation, and legal settlement.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EBITDA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60" w:type="dxa"/>
            <w:vAlign w:val="bottom"/>
          </w:tcPr>
          <w:p>
            <w:pPr>
              <w:spacing w:after="0"/>
              <w:rPr>
                <w:sz w:val="21"/>
                <w:szCs w:val="21"/>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58"/>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5"/>
        </w:trPr>
        <w:tc>
          <w:tcPr>
            <w:tcW w:w="4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
        </w:trPr>
        <w:tc>
          <w:tcPr>
            <w:tcW w:w="4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
        </w:trPr>
        <w:tc>
          <w:tcPr>
            <w:tcW w:w="4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65"/>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2"/>
                <w:szCs w:val="22"/>
                <w:color w:val="auto"/>
                <w:vertAlign w:val="superscript"/>
              </w:rPr>
              <w:t>(1)</w:t>
            </w:r>
          </w:p>
        </w:tc>
        <w:tc>
          <w:tcPr>
            <w:tcW w:w="1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7"/>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6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2"/>
                <w:szCs w:val="22"/>
                <w:color w:val="auto"/>
                <w:vertAlign w:val="superscript"/>
              </w:rPr>
              <w:t>(2)</w:t>
            </w:r>
          </w:p>
        </w:tc>
        <w:tc>
          <w:tcPr>
            <w:tcW w:w="1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5"/>
        </w:trPr>
        <w:tc>
          <w:tcPr>
            <w:tcW w:w="4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(3)</w:t>
            </w:r>
          </w:p>
        </w:tc>
        <w:tc>
          <w:tcPr>
            <w:tcW w:w="1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5"/>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(4)</w:t>
            </w:r>
          </w:p>
        </w:tc>
        <w:tc>
          <w:tcPr>
            <w:tcW w:w="11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3"/>
                <w:szCs w:val="2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3"/>
                <w:szCs w:val="23"/>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tc>
        <w:tc>
          <w:tcPr>
            <w:tcW w:w="112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TRA liability and investment income.</w:t>
      </w:r>
    </w:p>
    <w:p>
      <w:pPr>
        <w:spacing w:after="0" w:line="7" w:lineRule="exact"/>
        <w:rPr>
          <w:rFonts w:ascii="Times New Roman" w:cs="Times New Roman" w:eastAsia="Times New Roman" w:hAnsi="Times New Roman"/>
          <w:sz w:val="16"/>
          <w:szCs w:val="16"/>
          <w:color w:val="auto"/>
        </w:rPr>
      </w:pPr>
    </w:p>
    <w:p>
      <w:pPr>
        <w:ind w:left="320" w:hanging="314"/>
        <w:spacing w:after="0" w:line="261"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0"/>
        <w:spacing w:after="0" w:line="256" w:lineRule="auto"/>
        <w:rPr>
          <w:sz w:val="20"/>
          <w:szCs w:val="20"/>
          <w:color w:val="auto"/>
        </w:rPr>
      </w:pPr>
      <w:r>
        <w:rPr>
          <w:rFonts w:ascii="Times New Roman" w:cs="Times New Roman" w:eastAsia="Times New Roman" w:hAnsi="Times New Roman"/>
          <w:sz w:val="16"/>
          <w:szCs w:val="16"/>
          <w:color w:val="auto"/>
        </w:rPr>
        <w:t>recognized based on management’s estimate of fair value of acquired unearned revenue and the receipts billed prior to the acquisition less revenue recognized prior to the acquisition.</w:t>
      </w:r>
    </w:p>
    <w:p>
      <w:pPr>
        <w:spacing w:after="0" w:line="1" w:lineRule="exact"/>
        <w:rPr>
          <w:sz w:val="20"/>
          <w:szCs w:val="20"/>
          <w:color w:val="auto"/>
        </w:rPr>
      </w:pPr>
    </w:p>
    <w:p>
      <w:pPr>
        <w:jc w:val="both"/>
        <w:ind w:left="320" w:hanging="314"/>
        <w:spacing w:after="0" w:line="251"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three and six months ended June 30, 2024, this expense is primarily related to lease impairment and abandonment charges. For the three and six months ended June 30, 2023, this expense is primarily related to costs associated with a June 2023 reduction in force.</w:t>
      </w:r>
    </w:p>
    <w:p>
      <w:pPr>
        <w:spacing w:after="0" w:line="1" w:lineRule="exact"/>
        <w:rPr>
          <w:rFonts w:ascii="Times New Roman" w:cs="Times New Roman" w:eastAsia="Times New Roman" w:hAnsi="Times New Roman"/>
          <w:sz w:val="16"/>
          <w:szCs w:val="16"/>
          <w:color w:val="auto"/>
        </w:rPr>
      </w:pPr>
    </w:p>
    <w:p>
      <w:pPr>
        <w:ind w:left="320" w:hanging="314"/>
        <w:spacing w:after="0" w:line="249"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six months ended June 30, 2024, these charges related to costs incurred due to the Class Actions. See Note 9 - Commitments and Contingencies for further information.</w:t>
      </w:r>
    </w:p>
    <w:p>
      <w:pPr>
        <w:spacing w:after="0" w:line="13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EBITDA for the three months ended June 30, 2024 was $87.4 million, a decrease of $43.0 million, or 33%, relative to the three months ended June 30, 2023. This decrease was primarily due to the change in accounting estimate of collectibility of accounts receivable resulting in both reduced revenues as well as incremental bad debt expense.</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EBITDA for the six months ended June 30, 2024 was $212.0 million, a decrease of $43.5 million, or 17%, relative to the six months ended June 30, 2023. This decrease was primarily due to the change in accounting estimate of collectibility of accounts receivable resulting in both reduced revenues as well as incremental bad debt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2024, we had $385.9 million of cash and cash equivalents, $13.4 million of short-term investments,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10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invoice our subscription customers annually, semi-annually, or quarterly in advance of our subscription services.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June 30, 2024, we had unearned revenue of $440.4 million, of which $438.9 million was recorded as a current liability and is expected to be recorded as revenue in the next 12 months, provided all other revenue recognition criteria have been met.</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76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22129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p>
        </w:tc>
        <w:tc>
          <w:tcPr>
            <w:tcW w:w="13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65"/>
        </w:trPr>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65"/>
        </w:trPr>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5"/>
        </w:trPr>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5"/>
        </w:trPr>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10" w:lineRule="exact"/>
        <w:rPr>
          <w:sz w:val="20"/>
          <w:szCs w:val="20"/>
          <w:color w:val="auto"/>
        </w:rPr>
      </w:pPr>
    </w:p>
    <w:p>
      <w:pPr>
        <w:sectPr>
          <w:pgSz w:w="11900" w:h="16838" w:orient="portrait"/>
          <w:cols w:equalWidth="0" w:num="2">
            <w:col w:w="7040" w:space="720"/>
            <w:col w:w="3480"/>
          </w:cols>
          <w:pgMar w:left="320" w:top="280" w:right="339" w:bottom="1440" w:gutter="0" w:footer="0" w:header="0"/>
        </w:sect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$242.2 million for the six months ended June 30, 2024 as a result of net loss of $9.3 million, adjusted by non-cash charges of $242.6 million and the net change in our operating and liabilities of $8.9 million. The non-cash charges are primarily comprised of equity-based compensation of $67.6 million, asset impairments and lease abandonment charges of $48.7 million, depreciation and amortization of $40.9 million, amortization of deferred commission costs of $33.6 million, provision for bad debt expense of $32.5 million, TRA remeasurement of $9.2 million, and a decrease in deferred tax assets net of deferred tax liabilities of $8.3 million. The net change in operating assets and liabilities was primarily the result of a decrease in accounts receivable of $49.6 million and an increase in accrued expenses and other liabilities of $18.3 million, partially offset by an increase in deferred costs and other assets of $35.5 million and a decrease in accounts payable of $15.1 million.</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operations was $225.2 million for the six months ended June 30, 2023 as a result of net income of $82.6 million, adjusted by non-cash charges of $209.1 million and the net change in our operating assets and liabilities of $66.5 million. The non-cash charges are primarily comprised of equity-based compensation of $84.0 million, a decrease in deferred tax assets net of deferred tax liabilities of $42.0 million, depreciation and amortization of $40.7 million, amortization of deferred commission costs of $38.3 million, and provision for bad debt expense of $11.3 million, partially offset by TRA remeasurement of $11.2 million. The net change in operating assets and liabilities was primarily the result of an increase in deferred costs and other assets of $39.2 million, a decrease in accrued expenses and other liabilities of $28.5 million, a decrease in accounts payable of $12.7 million, an increase in prepaid expenses and other current assets of $11.0 million, partially offset by an increase in unearned revenue of $23.2 million.</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make future acquisitions as part of our business strategy which may require the use of capital resources and drive additional future restructuring and transaction-related cash expenditures as well as integration and acquisition-related compensation cash costs. During the six months ended June 30, 2024, and 2023, we incurred the following cash expenditures:</w:t>
      </w:r>
    </w:p>
    <w:p>
      <w:pPr>
        <w:spacing w:after="0" w:line="176"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33020</wp:posOffset>
            </wp:positionV>
            <wp:extent cx="22129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6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costs and acquisition-related compensation paid in cash</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30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settlement payments</w:t>
            </w:r>
            <w:r>
              <w:rPr>
                <w:rFonts w:ascii="Times New Roman" w:cs="Times New Roman" w:eastAsia="Times New Roman" w:hAnsi="Times New Roman"/>
                <w:sz w:val="22"/>
                <w:szCs w:val="22"/>
                <w:color w:val="auto"/>
                <w:vertAlign w:val="superscript"/>
              </w:rPr>
              <w:t>(3)</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73" w:lineRule="exact"/>
        <w:rPr>
          <w:sz w:val="20"/>
          <w:szCs w:val="20"/>
          <w:color w:val="auto"/>
        </w:rPr>
      </w:pPr>
    </w:p>
    <w:p>
      <w:pPr>
        <w:jc w:val="both"/>
        <w:ind w:left="320" w:hanging="314"/>
        <w:spacing w:after="0" w:line="258"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acquisition or disposal activities, including employee severance and termination benefits, contract termination fees and penalties, and other exit or disposal costs. For the six months ended June 30, 2024, these payments related primarily to obsolete software purchase commitments, Waltham sublease cost and various lease impairment charges. For the six months ended June 30, 2023, these payments related primarily to legal costs paid related to 2021 and 2022 acquisitions and Waltham sublease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20" w:hanging="314"/>
        <w:spacing w:after="0" w:line="255"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integration activities for acquisitions and acquisition-related compensation, which includes transaction bonuses and retention awards. For the six months ended June 30, 2024, these payments related to deferred compensation from the acquisition of Insent. For the six months ended June 30, 2023, these payments related to retention compensation from the Insent acquisition.</w:t>
      </w:r>
    </w:p>
    <w:p>
      <w:pPr>
        <w:spacing w:after="0" w:line="1" w:lineRule="exact"/>
        <w:rPr>
          <w:rFonts w:ascii="Times New Roman" w:cs="Times New Roman" w:eastAsia="Times New Roman" w:hAnsi="Times New Roman"/>
          <w:sz w:val="16"/>
          <w:szCs w:val="16"/>
          <w:color w:val="auto"/>
        </w:rPr>
      </w:pPr>
    </w:p>
    <w:p>
      <w:pPr>
        <w:ind w:left="320" w:hanging="314"/>
        <w:spacing w:after="0" w:line="266"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associated with legal settlements and associated legal fees. For the six months ended June 30, 2024, these payments related to legal costs incurred due to the Class Actions. See Note 9 - Commitments and Contingencies for further information.</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2024 was $44.6 million, primarily consisting of maturities of short-term investments of $69.0 million, partially offset by purchases of property and equipment and other assets of $23.9 million.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2023 was $33.0 million, consisting of purchases of short-term investments of $114.7 million, purchases of property and equipment and other assets of $12.6 million, offset by maturities of short-term investments of $94.3 million.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we continue to grow and invest in our business, we expect to continue to invest in property and equipment and opportunistically pursue acquisitions.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2024 was $348.2 million and comprised of payments relating to the repurchase of common stock of $299.2 million, TRA payments of $31.6 million, payments of taxes related to net share settlement of equity awards of $14.6 million, repayment of debt of $3.0 million, payments of debt issuance and modification costs of $1.9 million, and payments of deferred consideration of $0.7 million, partially offset by proceeds from issuance of common stock under the employee stock purchase plan of $2.8 million.</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2023 was $96.9 million, comprised of payments relating to the repurchase of common stock of $87.0 million, payments of taxes related to net share settlement of equity awards of $8.6 million, repayment of debt of $3.0 million, payments of debt issuance and modification costs of $2.7 million, and payments of deferred consideration of $0.4 million, partially offset by proceeds from issuance of common stock under the employee stock purchase plan of $4.4 million, and proceeds from exercise of stock options of $0.4 million.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6 - Financing Arrangements of our consolidated financial statements for additional information related to each of our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June 30, 2024, the aggregate remaining balance of $650.0 million of 3.875% Senior Notes is due, in its entirety, at the contractual maturity date of February 1, 2029. Interest on the Senior Notes is payable semi-annually in arrears beginning on August 1, 2021. As of June 30, 2024, the Company has a remaining balance of $591.0 million with respect to its first lien term loans. The Company is obligated to make principal payments each quarter in the amount of 0.25% of the aggregate outstanding amount as of the latest amendment, with the remaining balance due at the contractual maturity date of February 28, 2030. The foregoing currently represent the only existing required future debt principal repayment obligations that will require future uses of the Company’s cash.</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term debt has a variable interest rate whereby the Company can elect to use a Base Rate or SOFR plus an applicable rate. The applicable rate is 0.75% for Base Rate loans or 1.75% for SOFR loans. The effective interest rate on the first lien debt was 7.30% and 7.83% as of June 30, 2024 and December 31, 2023, respectively.</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revolving credit facility, which had no amount outstanding as of June 30, 2024,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June 30, 2024 was $474.7 million. Our total net leverage ratio to Adjusted EBITDA as of June 30, 2024 was 1.8x.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4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restricted cash, and short-term investments</w:t>
            </w:r>
          </w:p>
        </w:tc>
        <w:tc>
          <w:tcPr>
            <w:tcW w:w="1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r>
      <w:tr>
        <w:trPr>
          <w:trHeight w:val="25"/>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Adjusted EBITDA</w:t>
            </w:r>
          </w:p>
        </w:tc>
        <w:tc>
          <w:tcPr>
            <w:tcW w:w="118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r>
      <w:tr>
        <w:trPr>
          <w:trHeight w:val="25"/>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the agreement governing our existing first lien credit facilities (the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June 30, 2024 was $475.3 million. Our consolidated first lien net leverage ratio as of June 30, 2024 was 0.4x.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2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First Lien indebtedness</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r>
      <w:tr>
        <w:trPr>
          <w:trHeight w:val="24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short-term investments</w:t>
            </w:r>
          </w:p>
        </w:tc>
        <w:tc>
          <w:tcPr>
            <w:tcW w:w="1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5"/>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First Lien indebtedness</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240" w:type="dxa"/>
            <w:vAlign w:val="bottom"/>
            <w:tcBorders>
              <w:top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5"/>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June 30, 2024 was $475.3 million. Our total net leverage ratio to Cash EBITDA as of June 30, 2024 was 1.8x.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4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restricted cash, and short-term investments</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r>
      <w:tr>
        <w:trPr>
          <w:trHeight w:val="25"/>
        </w:trPr>
        <w:tc>
          <w:tcPr>
            <w:tcW w:w="8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outstanding indebtedness</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6"/>
        </w:trPr>
        <w:tc>
          <w:tcPr>
            <w:tcW w:w="8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Cash EBITDA</w:t>
            </w:r>
          </w:p>
        </w:tc>
        <w:tc>
          <w:tcPr>
            <w:tcW w:w="220" w:type="dxa"/>
            <w:vAlign w:val="bottom"/>
            <w:tcBorders>
              <w:bottom w:val="single" w:sz="8" w:color="auto"/>
            </w:tcBorders>
            <w:shd w:val="clear" w:color="auto" w:fill="CCEEFF"/>
          </w:tcPr>
          <w:p>
            <w:pPr>
              <w:spacing w:after="0"/>
              <w:rPr>
                <w:sz w:val="24"/>
                <w:szCs w:val="24"/>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8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Trailing Twelve Months as of</w:t>
            </w:r>
          </w:p>
        </w:tc>
      </w:tr>
      <w:tr>
        <w:trPr>
          <w:trHeight w:val="284"/>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6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3"/>
                <w:szCs w:val="23"/>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6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23"/>
                <w:szCs w:val="23"/>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6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23"/>
                <w:szCs w:val="23"/>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65"/>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(4)</w:t>
            </w:r>
          </w:p>
        </w:tc>
        <w:tc>
          <w:tcPr>
            <w:tcW w:w="2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revenue adjustment</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rent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lender adjustments</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
        </w:trPr>
        <w:tc>
          <w:tcPr>
            <w:tcW w:w="8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EBITDA (Non-GAAP)</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TRA liability and investment income.</w:t>
      </w:r>
    </w:p>
    <w:p>
      <w:pPr>
        <w:spacing w:after="0" w:line="20" w:lineRule="exact"/>
        <w:rPr>
          <w:rFonts w:ascii="Times New Roman" w:cs="Times New Roman" w:eastAsia="Times New Roman" w:hAnsi="Times New Roman"/>
          <w:sz w:val="16"/>
          <w:szCs w:val="16"/>
          <w:color w:val="auto"/>
        </w:rPr>
      </w:pPr>
    </w:p>
    <w:p>
      <w:pPr>
        <w:jc w:val="both"/>
        <w:ind w:left="320" w:hanging="314"/>
        <w:spacing w:after="0" w:line="247"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6"/>
          <w:szCs w:val="16"/>
          <w:color w:val="auto"/>
        </w:rPr>
      </w:pPr>
    </w:p>
    <w:p>
      <w:pPr>
        <w:ind w:left="320" w:hanging="314"/>
        <w:spacing w:after="0" w:line="247"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trailing twelve months ended June 30, 2024, this expense related primarily to lease impairment and abandonment charges.</w:t>
      </w:r>
    </w:p>
    <w:p>
      <w:pPr>
        <w:spacing w:after="0" w:line="1" w:lineRule="exact"/>
        <w:rPr>
          <w:rFonts w:ascii="Times New Roman" w:cs="Times New Roman" w:eastAsia="Times New Roman" w:hAnsi="Times New Roman"/>
          <w:sz w:val="16"/>
          <w:szCs w:val="16"/>
          <w:color w:val="auto"/>
        </w:rPr>
      </w:pPr>
    </w:p>
    <w:p>
      <w:pPr>
        <w:ind w:left="320" w:hanging="314"/>
        <w:spacing w:after="0" w:line="266"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trailing twelve months ended June 30, 2024, these charges related to costs incurred due to the Class Actions. See Note 9 - Commitments and Contingencies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Capital expenditures increased by $11.3 million, or 90%, to $23.9 million for six months ended June 30, 2024 compared to the six months ended June 30, 2023, as a result of increased expenditures related to new facilities and increased capitalization of development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our TRA, refer to Note 17 - Tax Receivable Agreements in our 2023 Form 10-K.</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2024, the Company had a liability of $2,795.5 million related to its projected obligations under the TRA. During the six months ended June 30, 2024, $31.6 million was paid to TRA holders pursuant to the TRA. During the six months ended June 30, 2023, no payment was made pursuant to the TRA.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June 30, 2024, we had additional operating leases for office space that have not yet commenced with anticipated undiscounted future lease payments of $71.2 million. Refer to Note 11 - Leases of the notes to our unaudited consolidated financial statements included elsewhere in this Quarterly Report on Form 10-Q for further details. In July 2024, the Company executed a termination agreement with the landlord. Pursuant to the amended lease agreement with respect to Waltham, Massachusetts, the Company made a payment of $59.1 million. Refer to Note 15 - Subsequent Events of the notes to our unaudited consolidated financial statements included elsewhere in this Quarterly Report on Form 10-Q.</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Except as set forth above and in Note 9 -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2023 Form 10-K.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2023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1 - Business, Basis of Presentation, and Summary of Significant Accounting Policies of our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Geopolitical Risks” in Part I, Item 1A of our 2023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first lien term loan, which bears a variable interest rate based on SOFR. As of June 30, 2024, the total principal balance outstanding was $591.0 million. We have implemented a hedging strategy to mitigate the interest rate risk by entering into certain derivative instruments (refer to Note 6 - Financing Arrangements of our consolidated financial statements included in Part I, Item 1 of this Form 10-Q). Based on the outstanding balances and interest rates of our debt as of June 30, 2024, a hypothetical relative increase or decrease in our effective interest rate by 100 basis points or 1% would have caused an immaterial corresponding change over the next 12 months.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from time to time, we have dedesignated certain cash flow hedging relationships due to repricing of the terms and partial prepayment of the outstanding principal of our first lien term loan since loan inception. As of June 30, 2024, all cash flow hedging relationships are designated as accounting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date, our sales contracts have primarily been denominated in U.S. dollars. We have foreign entities established in Israel, Canada, United Kingdom, India, and Australia.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manage the foreign currency exchange rate risk and to reduce the volatility associated with the fluctuation of foreign currencies, we may use foreign exchange forward contracts or other financial instruments from time to time. In the second quarter of 2024, the Company initiated a foreign currency hedging program (see Note 7 - Derivatives and Hedging Activities). This program aimed to mitigate potential adverse effects on our financial results from significant currency movements.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June 30, 2024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a description of certain legal and regulatory proceedings, please read “Legal Matters” in </w:t>
      </w:r>
      <w:r>
        <w:rPr>
          <w:rFonts w:ascii="Times New Roman" w:cs="Times New Roman" w:eastAsia="Times New Roman" w:hAnsi="Times New Roman"/>
          <w:sz w:val="18"/>
          <w:szCs w:val="18"/>
          <w:i w:val="1"/>
          <w:iCs w:val="1"/>
          <w:color w:val="auto"/>
        </w:rPr>
        <w:t>Note 9 - Commitments and Contingencies</w:t>
      </w:r>
      <w:r>
        <w:rPr>
          <w:rFonts w:ascii="Times New Roman" w:cs="Times New Roman" w:eastAsia="Times New Roman" w:hAnsi="Times New Roman"/>
          <w:sz w:val="18"/>
          <w:szCs w:val="18"/>
          <w:color w:val="auto"/>
        </w:rPr>
        <w:t xml:space="preserve"> to our unaudited consolidated financial statements included in Part I, Item 1 of this Form 10-Q, which is incorporated herein by reference.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2023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2023 Form 10-K.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shares of common stock purchased by the Company during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Maximum Number (or</w:t>
            </w:r>
          </w:p>
        </w:tc>
      </w:tr>
      <w:tr>
        <w:trPr>
          <w:trHeight w:val="212"/>
        </w:trPr>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12"/>
        </w:trPr>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20" w:type="dxa"/>
            <w:vAlign w:val="bottom"/>
          </w:tcPr>
          <w:p>
            <w:pPr>
              <w:spacing w:after="0"/>
              <w:rPr>
                <w:sz w:val="18"/>
                <w:szCs w:val="18"/>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 that May Yet be Purchased</w:t>
            </w:r>
          </w:p>
        </w:tc>
      </w:tr>
      <w:tr>
        <w:trPr>
          <w:trHeight w:val="209"/>
        </w:trPr>
        <w:tc>
          <w:tcPr>
            <w:tcW w:w="1920" w:type="dxa"/>
            <w:vAlign w:val="bottom"/>
          </w:tcPr>
          <w:p>
            <w:pPr>
              <w:spacing w:after="0"/>
              <w:rPr>
                <w:sz w:val="18"/>
                <w:szCs w:val="18"/>
                <w:color w:val="auto"/>
              </w:rPr>
            </w:pPr>
          </w:p>
        </w:tc>
        <w:tc>
          <w:tcPr>
            <w:tcW w:w="21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 Paid Per</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 Part of Publicly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Under the Plan or Programs (in</w:t>
            </w:r>
          </w:p>
        </w:tc>
      </w:tr>
      <w:tr>
        <w:trPr>
          <w:trHeight w:val="262"/>
        </w:trPr>
        <w:tc>
          <w:tcPr>
            <w:tcW w:w="1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2"/>
                <w:szCs w:val="22"/>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0" w:type="dxa"/>
            <w:vAlign w:val="bottom"/>
            <w:tcBorders>
              <w:bottom w:val="single" w:sz="8" w:color="CCEEFF"/>
            </w:tcBorders>
          </w:tcPr>
          <w:p>
            <w:pPr>
              <w:spacing w:after="0"/>
              <w:rPr>
                <w:sz w:val="22"/>
                <w:szCs w:val="22"/>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Announced Plans or Programs</w:t>
            </w:r>
            <w:r>
              <w:rPr>
                <w:rFonts w:ascii="Times New Roman" w:cs="Times New Roman" w:eastAsia="Times New Roman" w:hAnsi="Times New Roman"/>
                <w:sz w:val="22"/>
                <w:szCs w:val="22"/>
                <w:b w:val="1"/>
                <w:bCs w:val="1"/>
                <w:color w:val="auto"/>
                <w:w w:val="96"/>
                <w:vertAlign w:val="superscript"/>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millions)</w:t>
            </w:r>
          </w:p>
        </w:tc>
      </w:tr>
      <w:tr>
        <w:trPr>
          <w:trHeight w:val="238"/>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2,952,427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2,949,791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r>
      <w:tr>
        <w:trPr>
          <w:trHeight w:val="24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4,705,212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20"/>
                <w:szCs w:val="20"/>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r>
      <w:tr>
        <w:trPr>
          <w:trHeight w:val="25"/>
        </w:trPr>
        <w:tc>
          <w:tcPr>
            <w:tcW w:w="1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65"/>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3,155,285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58"/>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10,812,924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10,799,791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20"/>
        </w:trPr>
        <w:tc>
          <w:tcPr>
            <w:tcW w:w="19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51"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50"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2023, the Board authorized a program to repurchase the Company’s common stock (the “Share Repurchase Program”). The total authorizations in 2023 and 2024 were $600.0 million and $500.0 million, respectively, of which $399.4 million remained available and authorized for repurchases as of June 30, 2024.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7, 2024, Ali Dasdan, the Chief Technology Officer of the Company, adopted a Rule 10b5-1 trading arrangement. The duration of the trading arrangement begins on September 6, 2024, and ends on June 15, 2025. The Rule 10b5-1 trading arrangement provides for the sale of a portion of the net shares acquired by Mr. Dasdan (net of shares withheld to cover the recipient’s tax liability in connection with vesting) resulting from the vesting (if applicable) of up to 214,797 previously granted restricted stock units, including 203,033 time-based restricted stock units and 11,764 performance-based restricted stock units. The volume of sales will be determined, in part, based on pricing triggers outlined in the trading arrangement, with a maximum potential sale under the plan of up to 75% of the vested shares from such awards during the term of the plan. Mr. Dasdan's trading arrangement was entered into during an open insider trading window and is intended to satisfy the affirmative defense of Rule 10b5-1(c) under the Exchange Act and the Company’s policies regarding insider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212"/>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640" w:type="dxa"/>
            <w:vAlign w:val="bottom"/>
            <w:gridSpan w:val="19"/>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40" w:type="dxa"/>
            <w:vAlign w:val="bottom"/>
          </w:tcPr>
          <w:p>
            <w:pPr>
              <w:jc w:val="center"/>
              <w:ind w:right="45"/>
              <w:spacing w:after="0"/>
              <w:rPr>
                <w:sz w:val="20"/>
                <w:szCs w:val="20"/>
                <w:color w:val="auto"/>
              </w:rPr>
            </w:pPr>
            <w:r>
              <w:rPr>
                <w:rFonts w:ascii="Times New Roman" w:cs="Times New Roman" w:eastAsia="Times New Roman" w:hAnsi="Times New Roman"/>
                <w:sz w:val="18"/>
                <w:szCs w:val="18"/>
                <w:b w:val="1"/>
                <w:bCs w:val="1"/>
                <w:color w:val="auto"/>
                <w:w w:val="98"/>
              </w:rPr>
              <w:t>Report or Registration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 File or</w:t>
            </w:r>
          </w:p>
        </w:tc>
        <w:tc>
          <w:tcPr>
            <w:tcW w:w="980" w:type="dxa"/>
            <w:vAlign w:val="bottom"/>
          </w:tcPr>
          <w:p>
            <w:pPr>
              <w:jc w:val="center"/>
              <w:ind w:left="145"/>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0" w:type="dxa"/>
            <w:vAlign w:val="bottom"/>
          </w:tcPr>
          <w:p>
            <w:pPr>
              <w:spacing w:after="0"/>
              <w:rPr>
                <w:sz w:val="1"/>
                <w:szCs w:val="1"/>
                <w:color w:val="auto"/>
              </w:rPr>
            </w:pPr>
          </w:p>
        </w:tc>
      </w:tr>
      <w:tr>
        <w:trPr>
          <w:trHeight w:val="212"/>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640" w:type="dxa"/>
            <w:vAlign w:val="bottom"/>
            <w:gridSpan w:val="19"/>
            <w:vMerge w:val="continue"/>
          </w:tcPr>
          <w:p>
            <w:pPr>
              <w:spacing w:after="0"/>
              <w:rPr>
                <w:sz w:val="18"/>
                <w:szCs w:val="18"/>
                <w:color w:val="auto"/>
              </w:rPr>
            </w:pPr>
          </w:p>
        </w:tc>
        <w:tc>
          <w:tcPr>
            <w:tcW w:w="2040" w:type="dxa"/>
            <w:vAlign w:val="bottom"/>
          </w:tcPr>
          <w:p>
            <w:pPr>
              <w:jc w:val="center"/>
              <w:ind w:right="45"/>
              <w:spacing w:after="0"/>
              <w:rPr>
                <w:sz w:val="20"/>
                <w:szCs w:val="20"/>
                <w:color w:val="auto"/>
              </w:rPr>
            </w:pPr>
            <w:r>
              <w:rPr>
                <w:rFonts w:ascii="Times New Roman" w:cs="Times New Roman" w:eastAsia="Times New Roman" w:hAnsi="Times New Roman"/>
                <w:sz w:val="18"/>
                <w:szCs w:val="18"/>
                <w:b w:val="1"/>
                <w:bCs w:val="1"/>
                <w:color w:val="auto"/>
                <w:w w:val="97"/>
              </w:rPr>
              <w:t>Statement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980" w:type="dxa"/>
            <w:vAlign w:val="bottom"/>
          </w:tcPr>
          <w:p>
            <w:pPr>
              <w:jc w:val="center"/>
              <w:ind w:left="145"/>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0" w:type="dxa"/>
            <w:vAlign w:val="bottom"/>
          </w:tcPr>
          <w:p>
            <w:pPr>
              <w:spacing w:after="0"/>
              <w:rPr>
                <w:sz w:val="1"/>
                <w:szCs w:val="1"/>
                <w:color w:val="auto"/>
              </w:rPr>
            </w:pPr>
          </w:p>
        </w:tc>
      </w:tr>
      <w:tr>
        <w:trPr>
          <w:trHeight w:val="233"/>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rPr>
              <w:t>3.1</w:t>
            </w:r>
          </w:p>
        </w:tc>
        <w:tc>
          <w:tcPr>
            <w:tcW w:w="518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Second Amended and Restated Certificate of Incorporation of ZoomInfo Technologies Inc.</w:t>
              </w:r>
            </w:hyperlink>
          </w:p>
        </w:tc>
        <w:tc>
          <w:tcPr>
            <w:tcW w:w="460" w:type="dxa"/>
            <w:vAlign w:val="bottom"/>
            <w:gridSpan w:val="10"/>
          </w:tcPr>
          <w:p>
            <w:pPr>
              <w:spacing w:after="0"/>
              <w:rPr>
                <w:sz w:val="16"/>
                <w:szCs w:val="16"/>
                <w:color w:val="auto"/>
              </w:rPr>
            </w:pPr>
          </w:p>
        </w:tc>
        <w:tc>
          <w:tcPr>
            <w:tcW w:w="2040" w:type="dxa"/>
            <w:vAlign w:val="bottom"/>
          </w:tcPr>
          <w:p>
            <w:pPr>
              <w:jc w:val="center"/>
              <w:ind w:right="25"/>
              <w:spacing w:after="0"/>
              <w:rPr>
                <w:sz w:val="20"/>
                <w:szCs w:val="20"/>
                <w:color w:val="auto"/>
              </w:rPr>
            </w:pPr>
            <w:r>
              <w:rPr>
                <w:rFonts w:ascii="Times New Roman" w:cs="Times New Roman" w:eastAsia="Times New Roman" w:hAnsi="Times New Roman"/>
                <w:sz w:val="14"/>
                <w:szCs w:val="14"/>
                <w:color w:val="auto"/>
              </w:rPr>
              <w:t>8-K filed May 19, 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65"/>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5"/>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rPr>
              <w:t>3.2</w:t>
            </w:r>
          </w:p>
        </w:tc>
        <w:tc>
          <w:tcPr>
            <w:tcW w:w="358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Amended and Restated Bylaws of ZoomInfo Technologies Inc.</w:t>
              </w:r>
            </w:hyperlink>
          </w:p>
        </w:tc>
        <w:tc>
          <w:tcPr>
            <w:tcW w:w="2060" w:type="dxa"/>
            <w:vAlign w:val="bottom"/>
            <w:gridSpan w:val="15"/>
          </w:tcPr>
          <w:p>
            <w:pPr>
              <w:spacing w:after="0"/>
              <w:rPr>
                <w:sz w:val="17"/>
                <w:szCs w:val="17"/>
                <w:color w:val="auto"/>
              </w:rPr>
            </w:pPr>
          </w:p>
        </w:tc>
        <w:tc>
          <w:tcPr>
            <w:tcW w:w="2040" w:type="dxa"/>
            <w:vAlign w:val="bottom"/>
          </w:tcPr>
          <w:p>
            <w:pPr>
              <w:jc w:val="center"/>
              <w:ind w:right="45"/>
              <w:spacing w:after="0"/>
              <w:rPr>
                <w:sz w:val="20"/>
                <w:szCs w:val="20"/>
                <w:color w:val="auto"/>
              </w:rPr>
            </w:pPr>
            <w:r>
              <w:rPr>
                <w:rFonts w:ascii="Times New Roman" w:cs="Times New Roman" w:eastAsia="Times New Roman" w:hAnsi="Times New Roman"/>
                <w:sz w:val="14"/>
                <w:szCs w:val="14"/>
                <w:color w:val="auto"/>
              </w:rPr>
              <w:t>10-Q filed October 30, 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65"/>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5"/>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rPr>
              <w:t>4.1</w:t>
            </w:r>
          </w:p>
        </w:tc>
        <w:tc>
          <w:tcPr>
            <w:tcW w:w="5640" w:type="dxa"/>
            <w:vAlign w:val="bottom"/>
            <w:gridSpan w:val="19"/>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Indenture, dated as of February 2, 2021, by and among ZoomInfo Technologies LLC, ZoomInfo</w:t>
              </w:r>
            </w:hyperlink>
          </w:p>
        </w:tc>
        <w:tc>
          <w:tcPr>
            <w:tcW w:w="2040" w:type="dxa"/>
            <w:vAlign w:val="bottom"/>
          </w:tcPr>
          <w:p>
            <w:pPr>
              <w:jc w:val="center"/>
              <w:ind w:right="45"/>
              <w:spacing w:after="0"/>
              <w:rPr>
                <w:sz w:val="20"/>
                <w:szCs w:val="20"/>
                <w:color w:val="auto"/>
              </w:rPr>
            </w:pPr>
            <w:r>
              <w:rPr>
                <w:rFonts w:ascii="Times New Roman" w:cs="Times New Roman" w:eastAsia="Times New Roman" w:hAnsi="Times New Roman"/>
                <w:sz w:val="14"/>
                <w:szCs w:val="14"/>
                <w:color w:val="auto"/>
              </w:rPr>
              <w:t>8-K filed July 15, 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65"/>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440" w:type="dxa"/>
            <w:vAlign w:val="bottom"/>
            <w:tcBorders>
              <w:top w:val="single" w:sz="8" w:color="0000FF"/>
            </w:tcBorders>
            <w:gridSpan w:val="17"/>
          </w:tcPr>
          <w:p>
            <w:pPr>
              <w:spacing w:after="0" w:line="152" w:lineRule="exact"/>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Finance Corp., the guarantors named on the signature pages thereto, and Wells Fargo National</w:t>
              </w:r>
            </w:hyperlink>
          </w:p>
        </w:tc>
        <w:tc>
          <w:tcPr>
            <w:tcW w:w="200" w:type="dxa"/>
            <w:vAlign w:val="bottom"/>
            <w:gridSpan w:val="2"/>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Association, as trustee</w:t>
              </w:r>
            </w:hyperlink>
          </w:p>
        </w:tc>
        <w:tc>
          <w:tcPr>
            <w:tcW w:w="4040" w:type="dxa"/>
            <w:vAlign w:val="bottom"/>
            <w:tcBorders>
              <w:top w:val="single" w:sz="8" w:color="0000FF"/>
            </w:tcBorders>
            <w:gridSpan w:val="10"/>
          </w:tcPr>
          <w:p>
            <w:pPr>
              <w:spacing w:after="0"/>
              <w:rPr>
                <w:sz w:val="13"/>
                <w:szCs w:val="13"/>
                <w:color w:val="auto"/>
              </w:rPr>
            </w:pPr>
          </w:p>
        </w:tc>
        <w:tc>
          <w:tcPr>
            <w:tcW w:w="320" w:type="dxa"/>
            <w:vAlign w:val="bottom"/>
            <w:gridSpan w:val="7"/>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rPr>
              <w:t>4.2</w:t>
            </w:r>
          </w:p>
        </w:tc>
        <w:tc>
          <w:tcPr>
            <w:tcW w:w="5640" w:type="dxa"/>
            <w:vAlign w:val="bottom"/>
            <w:gridSpan w:val="19"/>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Supplemental Indenture, dated as of July 15, 2021, by and among ZoomInfo Technologies LLC,</w:t>
              </w:r>
            </w:hyperlink>
          </w:p>
        </w:tc>
        <w:tc>
          <w:tcPr>
            <w:tcW w:w="2040" w:type="dxa"/>
            <w:vAlign w:val="bottom"/>
          </w:tcPr>
          <w:p>
            <w:pPr>
              <w:jc w:val="center"/>
              <w:ind w:right="45"/>
              <w:spacing w:after="0"/>
              <w:rPr>
                <w:sz w:val="20"/>
                <w:szCs w:val="20"/>
                <w:color w:val="auto"/>
              </w:rPr>
            </w:pPr>
            <w:r>
              <w:rPr>
                <w:rFonts w:ascii="Times New Roman" w:cs="Times New Roman" w:eastAsia="Times New Roman" w:hAnsi="Times New Roman"/>
                <w:sz w:val="14"/>
                <w:szCs w:val="14"/>
                <w:color w:val="auto"/>
              </w:rPr>
              <w:t>8-K filed July 15, 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65"/>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440" w:type="dxa"/>
            <w:vAlign w:val="bottom"/>
            <w:tcBorders>
              <w:top w:val="single" w:sz="8" w:color="0000FF"/>
            </w:tcBorders>
            <w:gridSpan w:val="17"/>
          </w:tcPr>
          <w:p>
            <w:pPr>
              <w:spacing w:after="0" w:line="152" w:lineRule="exact"/>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ZoomInfo Finance Corp., the guarantors named on the signature pages thereto, and Wells Fargo</w:t>
              </w:r>
            </w:hyperlink>
          </w:p>
        </w:tc>
        <w:tc>
          <w:tcPr>
            <w:tcW w:w="200" w:type="dxa"/>
            <w:vAlign w:val="bottom"/>
            <w:gridSpan w:val="2"/>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National Association, as trustee</w:t>
              </w:r>
            </w:hyperlink>
          </w:p>
        </w:tc>
        <w:tc>
          <w:tcPr>
            <w:tcW w:w="3600" w:type="dxa"/>
            <w:vAlign w:val="bottom"/>
            <w:tcBorders>
              <w:top w:val="single" w:sz="8" w:color="0000FF"/>
            </w:tcBorders>
            <w:gridSpan w:val="12"/>
          </w:tcPr>
          <w:p>
            <w:pPr>
              <w:spacing w:after="0"/>
              <w:rPr>
                <w:sz w:val="13"/>
                <w:szCs w:val="13"/>
                <w:color w:val="auto"/>
              </w:rPr>
            </w:pPr>
          </w:p>
        </w:tc>
        <w:tc>
          <w:tcPr>
            <w:tcW w:w="240" w:type="dxa"/>
            <w:vAlign w:val="bottom"/>
            <w:gridSpan w:val="4"/>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rPr>
              <w:t>4.3</w:t>
            </w:r>
          </w:p>
        </w:tc>
        <w:tc>
          <w:tcPr>
            <w:tcW w:w="5640" w:type="dxa"/>
            <w:vAlign w:val="bottom"/>
            <w:gridSpan w:val="19"/>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Form of 3.875% Senior Note due 2029 (included in Exhibit 4.1)</w:t>
              </w:r>
            </w:hyperlink>
          </w:p>
        </w:tc>
        <w:tc>
          <w:tcPr>
            <w:tcW w:w="2040" w:type="dxa"/>
            <w:vAlign w:val="bottom"/>
          </w:tcPr>
          <w:p>
            <w:pPr>
              <w:jc w:val="center"/>
              <w:ind w:right="45"/>
              <w:spacing w:after="0"/>
              <w:rPr>
                <w:sz w:val="20"/>
                <w:szCs w:val="20"/>
                <w:color w:val="auto"/>
              </w:rPr>
            </w:pPr>
            <w:r>
              <w:rPr>
                <w:rFonts w:ascii="Times New Roman" w:cs="Times New Roman" w:eastAsia="Times New Roman" w:hAnsi="Times New Roman"/>
                <w:sz w:val="14"/>
                <w:szCs w:val="14"/>
                <w:color w:val="auto"/>
              </w:rPr>
              <w:t>8-K filed July 15, 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65"/>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w w:val="97"/>
              </w:rPr>
              <w:t>10.1</w:t>
            </w:r>
          </w:p>
        </w:tc>
        <w:tc>
          <w:tcPr>
            <w:tcW w:w="522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Amendment No. 7 to First Lien Credit Agreement, dated as of June 10, 2024, by and among</w:t>
              </w:r>
            </w:hyperlink>
          </w:p>
        </w:tc>
        <w:tc>
          <w:tcPr>
            <w:tcW w:w="420" w:type="dxa"/>
            <w:vAlign w:val="bottom"/>
            <w:gridSpan w:val="9"/>
          </w:tcPr>
          <w:p>
            <w:pPr>
              <w:spacing w:after="0"/>
              <w:rPr>
                <w:sz w:val="17"/>
                <w:szCs w:val="17"/>
                <w:color w:val="auto"/>
              </w:rPr>
            </w:pPr>
          </w:p>
        </w:tc>
        <w:tc>
          <w:tcPr>
            <w:tcW w:w="2040" w:type="dxa"/>
            <w:vAlign w:val="bottom"/>
          </w:tcPr>
          <w:p>
            <w:pPr>
              <w:jc w:val="center"/>
              <w:ind w:right="25"/>
              <w:spacing w:after="0"/>
              <w:rPr>
                <w:sz w:val="20"/>
                <w:szCs w:val="20"/>
                <w:color w:val="auto"/>
              </w:rPr>
            </w:pPr>
            <w:r>
              <w:rPr>
                <w:rFonts w:ascii="Times New Roman" w:cs="Times New Roman" w:eastAsia="Times New Roman" w:hAnsi="Times New Roman"/>
                <w:sz w:val="14"/>
                <w:szCs w:val="14"/>
                <w:color w:val="auto"/>
              </w:rPr>
              <w:t>8-K filed June 12, 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45"/>
              <w:spacing w:after="0"/>
              <w:rPr>
                <w:sz w:val="20"/>
                <w:szCs w:val="20"/>
                <w:color w:val="auto"/>
              </w:rPr>
            </w:pPr>
            <w:r>
              <w:rPr>
                <w:rFonts w:ascii="Times New Roman" w:cs="Times New Roman" w:eastAsia="Times New Roman" w:hAnsi="Times New Roman"/>
                <w:sz w:val="14"/>
                <w:szCs w:val="14"/>
                <w:color w:val="auto"/>
                <w:w w:val="97"/>
              </w:rPr>
              <w:t>10.1</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4800" w:type="dxa"/>
            <w:vAlign w:val="bottom"/>
            <w:tcBorders>
              <w:bottom w:val="single" w:sz="8" w:color="0000FF"/>
            </w:tcBorders>
            <w:gridSpan w:val="7"/>
          </w:tcPr>
          <w:p>
            <w:pPr>
              <w:spacing w:after="0" w:line="152"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ZoomInfo LLC (f/k/a DiscoverOrg, LLC), a Delaware limited liability company (the</w:t>
              </w:r>
            </w:hyperlink>
          </w:p>
        </w:tc>
        <w:tc>
          <w:tcPr>
            <w:tcW w:w="840" w:type="dxa"/>
            <w:vAlign w:val="bottom"/>
            <w:gridSpan w:val="12"/>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640" w:type="dxa"/>
            <w:vAlign w:val="bottom"/>
            <w:gridSpan w:val="19"/>
          </w:tcPr>
          <w:p>
            <w:pPr>
              <w:spacing w:after="0" w:line="152"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“Borrower”), ZoomInfo Technologies LLC, a Delaware limited liability company (the “Co-</w:t>
              </w:r>
            </w:hyperlink>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0" w:type="dxa"/>
            <w:vAlign w:val="bottom"/>
          </w:tcPr>
          <w:p>
            <w:pPr>
              <w:spacing w:after="0"/>
              <w:rPr>
                <w:sz w:val="12"/>
                <w:szCs w:val="12"/>
                <w:color w:val="auto"/>
              </w:rPr>
            </w:pPr>
          </w:p>
        </w:tc>
        <w:tc>
          <w:tcPr>
            <w:tcW w:w="5520" w:type="dxa"/>
            <w:vAlign w:val="bottom"/>
            <w:tcBorders>
              <w:bottom w:val="single" w:sz="8" w:color="0000FF"/>
            </w:tcBorders>
            <w:gridSpan w:val="18"/>
          </w:tcPr>
          <w:p>
            <w:pPr>
              <w:spacing w:after="0" w:line="139"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Borrower”), ZoomInfo Midco LLC (f/k/a DiscoverOrg Midco, LLC), a Delaware limited liability</w:t>
              </w:r>
            </w:hyperlink>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180" w:type="dxa"/>
            <w:vAlign w:val="bottom"/>
            <w:tcBorders>
              <w:bottom w:val="single" w:sz="8" w:color="0000FF"/>
            </w:tcBorders>
            <w:gridSpan w:val="9"/>
          </w:tcPr>
          <w:p>
            <w:pPr>
              <w:spacing w:after="0" w:line="152"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company (“Holdings”), the other guarantors party thereto, each lender and L/C issuer party</w:t>
              </w:r>
            </w:hyperlink>
          </w:p>
        </w:tc>
        <w:tc>
          <w:tcPr>
            <w:tcW w:w="460" w:type="dxa"/>
            <w:vAlign w:val="bottom"/>
            <w:gridSpan w:val="10"/>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360" w:type="dxa"/>
            <w:vAlign w:val="bottom"/>
            <w:tcBorders>
              <w:bottom w:val="single" w:sz="8" w:color="0000FF"/>
            </w:tcBorders>
            <w:gridSpan w:val="13"/>
          </w:tcPr>
          <w:p>
            <w:pPr>
              <w:spacing w:after="0" w:line="152"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thereto, and Morgan Stanley Senior Funding, Inc., as administrative agent, collateral agent and</w:t>
              </w:r>
            </w:hyperlink>
          </w:p>
        </w:tc>
        <w:tc>
          <w:tcPr>
            <w:tcW w:w="280" w:type="dxa"/>
            <w:vAlign w:val="bottom"/>
            <w:gridSpan w:val="6"/>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640" w:type="dxa"/>
            <w:vAlign w:val="bottom"/>
            <w:gridSpan w:val="19"/>
          </w:tcPr>
          <w:p>
            <w:pPr>
              <w:spacing w:after="0" w:line="152"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L/C issuer</w:t>
              </w:r>
            </w:hyperlink>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w w:val="98"/>
              </w:rPr>
              <w:t>+31.1</w:t>
            </w:r>
          </w:p>
        </w:tc>
        <w:tc>
          <w:tcPr>
            <w:tcW w:w="56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 and 15d-</w:t>
            </w:r>
          </w:p>
        </w:tc>
        <w:tc>
          <w:tcPr>
            <w:tcW w:w="2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420" w:type="dxa"/>
            <w:vAlign w:val="bottom"/>
            <w:tcBorders>
              <w:top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14(a), as adopted pursuant to Section 302 of the Sarbanes-Oxley Act of 2002.</w:t>
            </w:r>
          </w:p>
        </w:tc>
        <w:tc>
          <w:tcPr>
            <w:tcW w:w="220" w:type="dxa"/>
            <w:vAlign w:val="bottom"/>
            <w:gridSpan w:val="3"/>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80" w:type="dxa"/>
            <w:vAlign w:val="bottom"/>
            <w:gridSpan w:val="6"/>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w w:val="98"/>
              </w:rPr>
              <w:t>+31.2</w:t>
            </w:r>
          </w:p>
        </w:tc>
        <w:tc>
          <w:tcPr>
            <w:tcW w:w="56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Exchange Act Rules 13a-14(a) and 15d-</w:t>
            </w:r>
          </w:p>
        </w:tc>
        <w:tc>
          <w:tcPr>
            <w:tcW w:w="2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380" w:type="dxa"/>
            <w:vAlign w:val="bottom"/>
            <w:tcBorders>
              <w:top w:val="single" w:sz="8" w:color="0000FF"/>
            </w:tcBorders>
            <w:gridSpan w:val="14"/>
          </w:tcPr>
          <w:p>
            <w:pPr>
              <w:spacing w:after="0" w:line="152" w:lineRule="exact"/>
              <w:rPr>
                <w:sz w:val="20"/>
                <w:szCs w:val="20"/>
                <w:color w:val="auto"/>
              </w:rPr>
            </w:pPr>
            <w:r>
              <w:rPr>
                <w:rFonts w:ascii="Times New Roman" w:cs="Times New Roman" w:eastAsia="Times New Roman" w:hAnsi="Times New Roman"/>
                <w:sz w:val="14"/>
                <w:szCs w:val="14"/>
                <w:color w:val="0000FF"/>
              </w:rPr>
              <w:t>14(a), as adopted pursuant to Section 302 of the Sarbanes-Oxley Act of 2002.</w:t>
            </w:r>
          </w:p>
        </w:tc>
        <w:tc>
          <w:tcPr>
            <w:tcW w:w="260" w:type="dxa"/>
            <w:vAlign w:val="bottom"/>
            <w:gridSpan w:val="5"/>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80" w:type="dxa"/>
            <w:vAlign w:val="bottom"/>
            <w:gridSpan w:val="6"/>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+32.1*</w:t>
            </w:r>
          </w:p>
        </w:tc>
        <w:tc>
          <w:tcPr>
            <w:tcW w:w="51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Certifications of Principal Executive Officer and Principal Financial Officer pursuant to 18</w:t>
            </w:r>
          </w:p>
        </w:tc>
        <w:tc>
          <w:tcPr>
            <w:tcW w:w="500" w:type="dxa"/>
            <w:vAlign w:val="bottom"/>
            <w:gridSpan w:val="11"/>
          </w:tcPr>
          <w:p>
            <w:pPr>
              <w:spacing w:after="0"/>
              <w:rPr>
                <w:sz w:val="17"/>
                <w:szCs w:val="17"/>
                <w:color w:val="auto"/>
              </w:rPr>
            </w:pPr>
          </w:p>
        </w:tc>
        <w:tc>
          <w:tcPr>
            <w:tcW w:w="2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64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 the Sarbanes-Oxley Act of 2002.</w:t>
            </w: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+101.INS</w:t>
            </w:r>
          </w:p>
        </w:tc>
        <w:tc>
          <w:tcPr>
            <w:tcW w:w="52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400" w:type="dxa"/>
            <w:vAlign w:val="bottom"/>
            <w:gridSpan w:val="8"/>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+101.SCH</w:t>
            </w:r>
          </w:p>
        </w:tc>
        <w:tc>
          <w:tcPr>
            <w:tcW w:w="56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2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w w:val="99"/>
              </w:rPr>
              <w:t>+101.CAL</w:t>
            </w:r>
          </w:p>
        </w:tc>
        <w:tc>
          <w:tcPr>
            <w:tcW w:w="56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+101.DEF</w:t>
            </w:r>
          </w:p>
        </w:tc>
        <w:tc>
          <w:tcPr>
            <w:tcW w:w="56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w w:val="99"/>
              </w:rPr>
              <w:t>+101.LAB</w:t>
            </w:r>
          </w:p>
        </w:tc>
        <w:tc>
          <w:tcPr>
            <w:tcW w:w="56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w w:val="99"/>
              </w:rPr>
              <w:t>+101.PRE</w:t>
            </w:r>
          </w:p>
        </w:tc>
        <w:tc>
          <w:tcPr>
            <w:tcW w:w="56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000" w:hanging="610"/>
        <w:spacing w:after="0"/>
        <w:tabs>
          <w:tab w:leader="none" w:pos="100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93" w:lineRule="exact"/>
        <w:rPr>
          <w:rFonts w:ascii="Times New Roman" w:cs="Times New Roman" w:eastAsia="Times New Roman" w:hAnsi="Times New Roman"/>
          <w:sz w:val="14"/>
          <w:szCs w:val="14"/>
          <w:color w:val="auto"/>
        </w:rPr>
      </w:pPr>
    </w:p>
    <w:p>
      <w:pPr>
        <w:jc w:val="both"/>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 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57" w:lineRule="exact"/>
        <w:rPr>
          <w:sz w:val="20"/>
          <w:szCs w:val="20"/>
          <w:color w:val="auto"/>
        </w:rPr>
      </w:pPr>
    </w:p>
    <w:p>
      <w:pPr>
        <w:ind w:left="7040"/>
        <w:spacing w:after="0"/>
        <w:tabs>
          <w:tab w:leader="none" w:pos="7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31750</wp:posOffset>
            </wp:positionV>
            <wp:extent cx="23641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5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P. Cameron Hyzer</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(Principal Financial Officer and Authorized</w:t>
      </w:r>
    </w:p>
    <w:p>
      <w:pPr>
        <w:spacing w:after="0" w:line="24"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Signatory)</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28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44" w:lineRule="exact"/>
        <w:rPr>
          <w:sz w:val="20"/>
          <w:szCs w:val="20"/>
          <w:color w:val="auto"/>
        </w:rPr>
      </w:pPr>
    </w:p>
    <w:p>
      <w:pPr>
        <w:ind w:left="180" w:hanging="174"/>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43"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60" w:firstLine="6"/>
        <w:spacing w:after="0" w:line="259" w:lineRule="auto"/>
        <w:tabs>
          <w:tab w:leader="none" w:pos="1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88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8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960" w:right="740" w:hanging="318"/>
        <w:spacing w:after="0" w:line="304" w:lineRule="auto"/>
        <w:tabs>
          <w:tab w:leader="none" w:pos="88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960" w:right="320" w:hanging="318"/>
        <w:spacing w:after="0" w:line="259" w:lineRule="auto"/>
        <w:tabs>
          <w:tab w:leader="none" w:pos="8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274" w:lineRule="auto"/>
        <w:tabs>
          <w:tab w:leader="none" w:pos="1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960" w:right="120" w:hanging="318"/>
        <w:spacing w:after="0" w:line="274" w:lineRule="auto"/>
        <w:tabs>
          <w:tab w:leader="none" w:pos="9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bookmarkStart w:id="75" w:name="page76"/>
    <w:bookmarkEnd w:id="75"/>
    <w:p>
      <w:pPr>
        <w:spacing w:after="0" w:line="200" w:lineRule="exact"/>
        <w:rPr>
          <w:sz w:val="20"/>
          <w:szCs w:val="20"/>
          <w:color w:val="auto"/>
        </w:rPr>
      </w:pPr>
    </w:p>
    <w:p>
      <w:pPr>
        <w:spacing w:after="0" w:line="3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40005</wp:posOffset>
            </wp:positionV>
            <wp:extent cx="3079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51"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7"/>
          <w:szCs w:val="17"/>
          <w:color w:val="auto"/>
        </w:rPr>
        <w:t>Henry Schuck</w:t>
      </w:r>
    </w:p>
    <w:p>
      <w:pPr>
        <w:spacing w:after="0" w:line="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Cameron Hyzer, certify that:</w:t>
      </w:r>
    </w:p>
    <w:p>
      <w:pPr>
        <w:spacing w:after="0" w:line="244" w:lineRule="exact"/>
        <w:rPr>
          <w:sz w:val="20"/>
          <w:szCs w:val="20"/>
          <w:color w:val="auto"/>
        </w:rPr>
      </w:pPr>
    </w:p>
    <w:p>
      <w:pPr>
        <w:ind w:left="180" w:hanging="174"/>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43"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60" w:firstLine="6"/>
        <w:spacing w:after="0" w:line="259" w:lineRule="auto"/>
        <w:tabs>
          <w:tab w:leader="none" w:pos="1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88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8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960" w:right="740" w:hanging="318"/>
        <w:spacing w:after="0" w:line="304" w:lineRule="auto"/>
        <w:tabs>
          <w:tab w:leader="none" w:pos="88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960" w:right="320" w:hanging="318"/>
        <w:spacing w:after="0" w:line="259" w:lineRule="auto"/>
        <w:tabs>
          <w:tab w:leader="none" w:pos="8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274" w:lineRule="auto"/>
        <w:tabs>
          <w:tab w:leader="none" w:pos="1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960" w:right="200" w:hanging="318"/>
        <w:spacing w:after="0" w:line="274" w:lineRule="auto"/>
        <w:tabs>
          <w:tab w:leader="none" w:pos="8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bookmarkStart w:id="77" w:name="page78"/>
    <w:bookmarkEnd w:id="77"/>
    <w:p>
      <w:pPr>
        <w:spacing w:after="0" w:line="200" w:lineRule="exact"/>
        <w:rPr>
          <w:sz w:val="20"/>
          <w:szCs w:val="20"/>
          <w:color w:val="auto"/>
        </w:rPr>
      </w:pPr>
    </w:p>
    <w:p>
      <w:pPr>
        <w:spacing w:after="0" w:line="337"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7"/>
          <w:szCs w:val="17"/>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40005</wp:posOffset>
            </wp:positionV>
            <wp:extent cx="30791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6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 Cameron Hyzer</w:t>
      </w:r>
    </w:p>
    <w:p>
      <w:pPr>
        <w:spacing w:after="0" w:line="7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4" w:lineRule="exact"/>
        <w:rPr>
          <w:sz w:val="20"/>
          <w:szCs w:val="20"/>
          <w:color w:val="auto"/>
        </w:rPr>
      </w:pPr>
    </w:p>
    <w:p>
      <w:pPr>
        <w:ind w:right="20" w:firstLine="636"/>
        <w:spacing w:after="0" w:line="291" w:lineRule="auto"/>
        <w:rPr>
          <w:sz w:val="20"/>
          <w:szCs w:val="20"/>
          <w:color w:val="auto"/>
        </w:rPr>
      </w:pPr>
      <w:r>
        <w:rPr>
          <w:rFonts w:ascii="Times New Roman" w:cs="Times New Roman" w:eastAsia="Times New Roman" w:hAnsi="Times New Roman"/>
          <w:sz w:val="18"/>
          <w:szCs w:val="18"/>
          <w:color w:val="auto"/>
        </w:rPr>
        <w:t>In connection with the Quarterly Report on Form 10-Q of ZoomInfo Technologies Inc. (the “Company”) for the quarterly period ended June 30, 2024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202" w:lineRule="exact"/>
        <w:rPr>
          <w:sz w:val="20"/>
          <w:szCs w:val="20"/>
          <w:color w:val="auto"/>
        </w:rPr>
      </w:pPr>
    </w:p>
    <w:p>
      <w:pPr>
        <w:ind w:left="900" w:hanging="25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8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40005</wp:posOffset>
            </wp:positionV>
            <wp:extent cx="30962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Henry Schuck</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40005</wp:posOffset>
            </wp:positionV>
            <wp:extent cx="30962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 Cameron Hyzer</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3"/>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2"/>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w:numFmt w:val="bullet"/>
      <w:start w:val="1"/>
    </w:lvl>
    <w:lvl w:ilvl="1">
      <w:lvlJc w:val="left"/>
      <w:lvlText w:val="%2"/>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97" Type="http://schemas.openxmlformats.org/officeDocument/2006/relationships/hyperlink" Target="https://www.sec.gov/Archives/edgar/data/1794515/000179451522000095/zi-ex31x20220518.htm" TargetMode="External"/><Relationship Id="rId98" Type="http://schemas.openxmlformats.org/officeDocument/2006/relationships/hyperlink" Target="https://www.sec.gov/Archives/edgar/data/1794515/000179451523000169/zi-ex32x20231030.htm" TargetMode="External"/><Relationship Id="rId99" Type="http://schemas.openxmlformats.org/officeDocument/2006/relationships/hyperlink" Target="https://www.sec.gov/Archives/edgar/data/0001794515/000179451521000034/exhibit041xclosingxindent.htm" TargetMode="External"/><Relationship Id="rId100" Type="http://schemas.openxmlformats.org/officeDocument/2006/relationships/hyperlink" Target="https://www.sec.gov/Archives/edgar/data/0001794515/000179451521000174/zi-8kex42x20210715.htm" TargetMode="External"/><Relationship Id="rId101" Type="http://schemas.openxmlformats.org/officeDocument/2006/relationships/hyperlink" Target="https://www.sec.gov/Archives/edgar/data/1794515/000179451521000034/exhibit041xclosingxindent.htm" TargetMode="External"/><Relationship Id="rId102" Type="http://schemas.openxmlformats.org/officeDocument/2006/relationships/hyperlink" Target="https://www.sec.gov/Archives/edgar/data/1794515/000179451524000114/zi-ex101x202406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2024-08-06T16:23:49Z</dcterms:created>
  <dcterms:modified xsi:type="dcterms:W3CDTF">2024-08-06T16:23:49Z</dcterms:modified>
</cp:coreProperties>
</file>