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408940</wp:posOffset>
            </wp:positionH>
            <wp:positionV relativeFrom="page">
              <wp:posOffset>341630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408940</wp:posOffset>
            </wp:positionH>
            <wp:positionV relativeFrom="page">
              <wp:posOffset>366395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5"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52705</wp:posOffset>
            </wp:positionV>
            <wp:extent cx="1228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182"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70485</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337"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(Mark One)</w:t>
      </w:r>
    </w:p>
    <w:p>
      <w:pPr>
        <w:spacing w:after="0" w:line="162" w:lineRule="exact"/>
        <w:rPr>
          <w:sz w:val="24"/>
          <w:szCs w:val="24"/>
          <w:color w:val="auto"/>
        </w:rPr>
      </w:pPr>
    </w:p>
    <w:p>
      <w:pPr>
        <w:ind w:left="4120" w:right="2080" w:hanging="3796"/>
        <w:spacing w:after="0" w:line="430" w:lineRule="auto"/>
        <w:tabs>
          <w:tab w:leader="none" w:pos="532"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2023</w:t>
      </w: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4" w:lineRule="exact"/>
        <w:rPr>
          <w:sz w:val="24"/>
          <w:szCs w:val="24"/>
          <w:color w:val="auto"/>
        </w:rPr>
      </w:pPr>
    </w:p>
    <w:p>
      <w:pPr>
        <w:ind w:left="3860" w:right="1720" w:hanging="3536"/>
        <w:spacing w:after="0" w:line="430" w:lineRule="auto"/>
        <w:tabs>
          <w:tab w:leader="none" w:pos="525"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from________to________</w:t>
      </w:r>
    </w:p>
    <w:p>
      <w:pPr>
        <w:ind w:left="43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001-39310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167640</wp:posOffset>
            </wp:positionV>
            <wp:extent cx="12280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32"/>
          <w:szCs w:val="32"/>
          <w:b w:val="1"/>
          <w:bCs w:val="1"/>
          <w:color w:val="auto"/>
        </w:rPr>
        <w:t>ZoomInfo Technologies Inc.</w:t>
      </w:r>
    </w:p>
    <w:p>
      <w:pPr>
        <w:spacing w:after="0" w:line="46"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91440</wp:posOffset>
            </wp:positionV>
            <wp:extent cx="12280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320" w:lineRule="exact"/>
        <w:rPr>
          <w:sz w:val="24"/>
          <w:szCs w:val="24"/>
          <w:color w:val="auto"/>
        </w:rPr>
      </w:pPr>
    </w:p>
    <w:tbl>
      <w:tblPr>
        <w:tblLayout w:type="fixed"/>
        <w:tblInd w:w="2060" w:type="dxa"/>
        <w:tblCellMar>
          <w:top w:w="0" w:type="dxa"/>
          <w:left w:w="0" w:type="dxa"/>
          <w:bottom w:w="0" w:type="dxa"/>
          <w:right w:w="0" w:type="dxa"/>
        </w:tblCellMar>
      </w:tblPr>
      <w:tr>
        <w:trPr>
          <w:trHeight w:val="210"/>
        </w:trPr>
        <w:tc>
          <w:tcPr>
            <w:tcW w:w="3900" w:type="dxa"/>
            <w:vAlign w:val="bottom"/>
          </w:tcPr>
          <w:p>
            <w:pPr>
              <w:jc w:val="center"/>
              <w:ind w:right="1986"/>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180" w:type="dxa"/>
            <w:vAlign w:val="bottom"/>
          </w:tcPr>
          <w:p>
            <w:pPr>
              <w:jc w:val="center"/>
              <w:ind w:left="2006"/>
              <w:spacing w:after="0"/>
              <w:rPr>
                <w:sz w:val="20"/>
                <w:szCs w:val="20"/>
                <w:color w:val="auto"/>
              </w:rPr>
            </w:pPr>
            <w:r>
              <w:rPr>
                <w:rFonts w:ascii="Times New Roman" w:cs="Times New Roman" w:eastAsia="Times New Roman" w:hAnsi="Times New Roman"/>
                <w:sz w:val="16"/>
                <w:szCs w:val="16"/>
                <w:b w:val="1"/>
                <w:bCs w:val="1"/>
                <w:color w:val="auto"/>
              </w:rPr>
              <w:t>87-3037521</w:t>
            </w:r>
          </w:p>
        </w:tc>
      </w:tr>
      <w:tr>
        <w:trPr>
          <w:trHeight w:val="192"/>
        </w:trPr>
        <w:tc>
          <w:tcPr>
            <w:tcW w:w="3900" w:type="dxa"/>
            <w:vAlign w:val="bottom"/>
          </w:tcPr>
          <w:p>
            <w:pPr>
              <w:jc w:val="center"/>
              <w:ind w:right="1986"/>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80" w:type="dxa"/>
            <w:vAlign w:val="bottom"/>
          </w:tcPr>
          <w:p>
            <w:pPr>
              <w:jc w:val="center"/>
              <w:ind w:left="2006"/>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6"/>
        </w:trPr>
        <w:tc>
          <w:tcPr>
            <w:tcW w:w="3900" w:type="dxa"/>
            <w:vAlign w:val="bottom"/>
          </w:tcPr>
          <w:p>
            <w:pPr>
              <w:jc w:val="center"/>
              <w:ind w:right="1986"/>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80" w:type="dxa"/>
            <w:vAlign w:val="bottom"/>
          </w:tcPr>
          <w:p>
            <w:pPr>
              <w:jc w:val="center"/>
              <w:ind w:left="2006"/>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133350</wp:posOffset>
            </wp:positionV>
            <wp:extent cx="1228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293"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6"/>
          <w:szCs w:val="16"/>
          <w:b w:val="1"/>
          <w:bCs w:val="1"/>
          <w:color w:val="auto"/>
        </w:rPr>
        <w:t>805 Broadway Street, Suite 900</w:t>
      </w:r>
    </w:p>
    <w:p>
      <w:pPr>
        <w:spacing w:after="0" w:line="22"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6"/>
          <w:szCs w:val="16"/>
          <w:b w:val="1"/>
          <w:bCs w:val="1"/>
          <w:color w:val="auto"/>
        </w:rPr>
        <w:t>Vancouver, Washington 98660</w:t>
      </w:r>
    </w:p>
    <w:p>
      <w:pPr>
        <w:spacing w:after="0" w:line="2"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6"/>
          <w:szCs w:val="16"/>
          <w:b w:val="1"/>
          <w:bCs w:val="1"/>
          <w:color w:val="auto"/>
        </w:rPr>
        <w:t>Telephone: (800) 914-1220</w:t>
      </w:r>
    </w:p>
    <w:p>
      <w:pPr>
        <w:spacing w:after="0" w:line="4"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156"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85" w:lineRule="exact"/>
        <w:rPr>
          <w:sz w:val="24"/>
          <w:szCs w:val="24"/>
          <w:color w:val="auto"/>
        </w:rPr>
      </w:pPr>
    </w:p>
    <w:tbl>
      <w:tblPr>
        <w:tblLayout w:type="fixed"/>
        <w:tblInd w:w="10" w:type="dxa"/>
        <w:tblCellMar>
          <w:top w:w="0" w:type="dxa"/>
          <w:left w:w="0" w:type="dxa"/>
          <w:bottom w:w="0" w:type="dxa"/>
          <w:right w:w="0" w:type="dxa"/>
        </w:tblCellMar>
      </w:tblPr>
      <w:tr>
        <w:trPr>
          <w:trHeight w:val="224"/>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Title of Each Class</w:t>
            </w:r>
          </w:p>
        </w:tc>
        <w:tc>
          <w:tcPr>
            <w:tcW w:w="28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4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220"/>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ZI</w:t>
            </w:r>
          </w:p>
        </w:tc>
        <w:tc>
          <w:tcPr>
            <w:tcW w:w="4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59"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66675</wp:posOffset>
            </wp:positionV>
            <wp:extent cx="1228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194" w:lineRule="exact"/>
        <w:rPr>
          <w:sz w:val="24"/>
          <w:szCs w:val="24"/>
          <w:color w:val="auto"/>
        </w:rPr>
      </w:pPr>
    </w:p>
    <w:p>
      <w:pPr>
        <w:ind w:left="320"/>
        <w:spacing w:after="0" w:line="184" w:lineRule="exact"/>
        <w:rPr>
          <w:sz w:val="20"/>
          <w:szCs w:val="20"/>
          <w:color w:val="auto"/>
        </w:rPr>
      </w:pPr>
      <w:r>
        <w:rPr>
          <w:rFonts w:ascii="Times New Roman" w:cs="Times New Roman" w:eastAsia="Times New Roman" w:hAnsi="Times New Roman"/>
          <w:sz w:val="16"/>
          <w:szCs w:val="16"/>
          <w:color w:val="auto"/>
        </w:rPr>
        <w:t xml:space="preserve">Indicate by a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08" w:lineRule="exact"/>
        <w:rPr>
          <w:sz w:val="24"/>
          <w:szCs w:val="24"/>
          <w:color w:val="auto"/>
        </w:rPr>
      </w:pPr>
    </w:p>
    <w:p>
      <w:pPr>
        <w:ind w:left="32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7" w:lineRule="exact"/>
        <w:rPr>
          <w:sz w:val="24"/>
          <w:szCs w:val="24"/>
          <w:color w:val="auto"/>
        </w:rPr>
      </w:pPr>
    </w:p>
    <w:p>
      <w:pPr>
        <w:jc w:val="both"/>
        <w:ind w:firstLine="318"/>
        <w:spacing w:after="0" w:line="20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2" w:lineRule="exact"/>
        <w:rPr>
          <w:sz w:val="24"/>
          <w:szCs w:val="24"/>
          <w:color w:val="auto"/>
        </w:rPr>
      </w:pPr>
    </w:p>
    <w:p>
      <w:pPr>
        <w:jc w:val="both"/>
        <w:ind w:firstLine="318"/>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3" w:lineRule="exact"/>
        <w:rPr>
          <w:sz w:val="24"/>
          <w:szCs w:val="24"/>
          <w:color w:val="auto"/>
        </w:rPr>
      </w:pPr>
    </w:p>
    <w:p>
      <w:pPr>
        <w:ind w:right="20" w:firstLine="318"/>
        <w:spacing w:after="0" w:line="297"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12"/>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6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360" w:type="dxa"/>
            <w:vAlign w:val="bottom"/>
          </w:tcPr>
          <w:p>
            <w:pPr>
              <w:ind w:left="3240"/>
              <w:spacing w:after="0"/>
              <w:rPr>
                <w:sz w:val="20"/>
                <w:szCs w:val="20"/>
                <w:color w:val="auto"/>
              </w:rPr>
            </w:pPr>
            <w:r>
              <w:rPr>
                <w:rFonts w:ascii="Times New Roman" w:cs="Times New Roman" w:eastAsia="Times New Roman" w:hAnsi="Times New Roman"/>
                <w:sz w:val="16"/>
                <w:szCs w:val="16"/>
                <w:color w:val="auto"/>
              </w:rPr>
              <w:t>Accelerated filer</w:t>
            </w:r>
          </w:p>
        </w:tc>
        <w:tc>
          <w:tcPr>
            <w:tcW w:w="5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2"/>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6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360" w:type="dxa"/>
            <w:vAlign w:val="bottom"/>
          </w:tcPr>
          <w:p>
            <w:pPr>
              <w:ind w:left="32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68"/>
        </w:trPr>
        <w:tc>
          <w:tcPr>
            <w:tcW w:w="164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5360" w:type="dxa"/>
            <w:vAlign w:val="bottom"/>
          </w:tcPr>
          <w:p>
            <w:pPr>
              <w:ind w:left="3240"/>
              <w:spacing w:after="0"/>
              <w:rPr>
                <w:sz w:val="20"/>
                <w:szCs w:val="20"/>
                <w:color w:val="auto"/>
              </w:rPr>
            </w:pPr>
            <w:r>
              <w:rPr>
                <w:rFonts w:ascii="Times New Roman" w:cs="Times New Roman" w:eastAsia="Times New Roman" w:hAnsi="Times New Roman"/>
                <w:sz w:val="16"/>
                <w:szCs w:val="16"/>
                <w:color w:val="auto"/>
              </w:rPr>
              <w:t>Emerging growth company</w:t>
            </w:r>
          </w:p>
        </w:tc>
        <w:tc>
          <w:tcPr>
            <w:tcW w:w="5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13" w:lineRule="exact"/>
        <w:rPr>
          <w:sz w:val="24"/>
          <w:szCs w:val="24"/>
          <w:color w:val="auto"/>
        </w:rPr>
      </w:pPr>
    </w:p>
    <w:p>
      <w:pPr>
        <w:ind w:right="460" w:firstLine="318"/>
        <w:spacing w:after="0" w:line="215"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1" w:lineRule="exact"/>
        <w:rPr>
          <w:sz w:val="24"/>
          <w:szCs w:val="24"/>
          <w:color w:val="auto"/>
        </w:rPr>
      </w:pPr>
    </w:p>
    <w:p>
      <w:pPr>
        <w:ind w:right="100" w:firstLine="318"/>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73" w:lineRule="exact"/>
        <w:rPr>
          <w:sz w:val="24"/>
          <w:szCs w:val="24"/>
          <w:color w:val="auto"/>
        </w:rPr>
      </w:pPr>
    </w:p>
    <w:p>
      <w:pPr>
        <w:ind w:right="20" w:firstLine="318"/>
        <w:spacing w:after="0" w:line="209"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236220</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62" w:right="339" w:bottom="1440" w:gutter="0" w:footer="0" w:header="0"/>
        </w:sectPr>
      </w:pPr>
    </w:p>
    <w:bookmarkStart w:id="1" w:name="page2"/>
    <w:bookmarkEnd w:id="1"/>
    <w:p>
      <w:pPr>
        <w:jc w:val="both"/>
        <w:ind w:firstLine="318"/>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90" w:lineRule="exact"/>
        <w:rPr>
          <w:sz w:val="20"/>
          <w:szCs w:val="20"/>
          <w:color w:val="auto"/>
        </w:rPr>
      </w:pPr>
    </w:p>
    <w:p>
      <w:pPr>
        <w:ind w:left="32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by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As of June 30, 2023, the aggregate market value of the registrant’s voting and non-voting common equity held by non-affiliates was approximately $8.7 billion.</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As of January 31, 2024, there were 379,702,492 shares of the registrant’s common stock outstanding.</w:t>
      </w:r>
    </w:p>
    <w:p>
      <w:pPr>
        <w:spacing w:after="0" w:line="48"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Portions of the registrant’s definitive proxy statement relating to the 2024 Annual Meeting of Stockholders of ZoomInfo Technologies Inc., which will be filed with the Securities and Exchange Commission within 120 days of December 31, 2023, are incorporated by reference in Item 10, Item 11, Item 12, Item 13 and Item 14 of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372745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124460</wp:posOffset>
            </wp:positionV>
            <wp:extent cx="7134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149860</wp:posOffset>
            </wp:positionV>
            <wp:extent cx="7134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60" w:type="dxa"/>
            <w:vAlign w:val="bottom"/>
            <w:gridSpan w:val="5"/>
          </w:tcPr>
          <w:p>
            <w:pPr>
              <w:jc w:val="center"/>
              <w:ind w:left="673"/>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0"/>
        </w:trPr>
        <w:tc>
          <w:tcPr>
            <w:tcW w:w="1220" w:type="dxa"/>
            <w:vAlign w:val="bottom"/>
          </w:tcPr>
          <w:p>
            <w:pPr>
              <w:spacing w:after="0"/>
              <w:rPr>
                <w:sz w:val="18"/>
                <w:szCs w:val="18"/>
                <w:color w:val="auto"/>
              </w:rPr>
            </w:pP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Glossary</w:t>
            </w:r>
          </w:p>
        </w:tc>
        <w:tc>
          <w:tcPr>
            <w:tcW w:w="8060" w:type="dxa"/>
            <w:vAlign w:val="bottom"/>
            <w:gridSpan w:val="30"/>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Borders>
              <w:bottom w:val="single" w:sz="8" w:color="0000FF"/>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0000FF"/>
                <w:w w:val="99"/>
              </w:rPr>
              <w:t>ii</w:t>
            </w:r>
          </w:p>
        </w:tc>
        <w:tc>
          <w:tcPr>
            <w:tcW w:w="80" w:type="dxa"/>
            <w:vAlign w:val="bottom"/>
            <w:gridSpan w:val="2"/>
          </w:tcPr>
          <w:p>
            <w:pPr>
              <w:spacing w:after="0"/>
              <w:rPr>
                <w:sz w:val="18"/>
                <w:szCs w:val="18"/>
                <w:color w:val="auto"/>
              </w:rPr>
            </w:pPr>
          </w:p>
        </w:tc>
      </w:tr>
      <w:tr>
        <w:trPr>
          <w:trHeight w:val="205"/>
        </w:trPr>
        <w:tc>
          <w:tcPr>
            <w:tcW w:w="1220" w:type="dxa"/>
            <w:vAlign w:val="bottom"/>
          </w:tcPr>
          <w:p>
            <w:pPr>
              <w:spacing w:after="0"/>
              <w:rPr>
                <w:sz w:val="17"/>
                <w:szCs w:val="17"/>
                <w:color w:val="auto"/>
              </w:rPr>
            </w:pPr>
          </w:p>
        </w:tc>
        <w:tc>
          <w:tcPr>
            <w:tcW w:w="4440" w:type="dxa"/>
            <w:vAlign w:val="bottom"/>
            <w:tcBorders>
              <w:bottom w:val="single" w:sz="8" w:color="0000FF"/>
            </w:tcBorders>
            <w:gridSpan w:val="21"/>
          </w:tcPr>
          <w:p>
            <w:pPr>
              <w:spacing w:after="0" w:line="205" w:lineRule="exact"/>
              <w:rPr>
                <w:sz w:val="20"/>
                <w:szCs w:val="20"/>
                <w:color w:val="auto"/>
              </w:rPr>
            </w:pPr>
            <w:r>
              <w:rPr>
                <w:rFonts w:ascii="Times New Roman" w:cs="Times New Roman" w:eastAsia="Times New Roman" w:hAnsi="Times New Roman"/>
                <w:sz w:val="18"/>
                <w:szCs w:val="18"/>
                <w:color w:val="0000FF"/>
                <w:w w:val="97"/>
              </w:rPr>
              <w:t>Cautionary Statement Regarding Forward-Looking Statements</w:t>
            </w:r>
          </w:p>
        </w:tc>
        <w:tc>
          <w:tcPr>
            <w:tcW w:w="4260" w:type="dxa"/>
            <w:vAlign w:val="bottom"/>
            <w:gridSpan w:val="10"/>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Borders>
              <w:bottom w:val="single" w:sz="8" w:color="0000FF"/>
            </w:tcBorders>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0000FF"/>
                <w:w w:val="85"/>
              </w:rPr>
              <w:t>iv</w:t>
            </w:r>
          </w:p>
        </w:tc>
        <w:tc>
          <w:tcPr>
            <w:tcW w:w="80" w:type="dxa"/>
            <w:vAlign w:val="bottom"/>
            <w:gridSpan w:val="2"/>
          </w:tcPr>
          <w:p>
            <w:pPr>
              <w:spacing w:after="0"/>
              <w:rPr>
                <w:sz w:val="17"/>
                <w:szCs w:val="17"/>
                <w:color w:val="auto"/>
              </w:rPr>
            </w:pPr>
          </w:p>
        </w:tc>
      </w:tr>
      <w:tr>
        <w:trPr>
          <w:trHeight w:val="417"/>
        </w:trPr>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40" w:type="dxa"/>
            <w:vAlign w:val="bottom"/>
            <w:gridSpan w:val="13"/>
          </w:tcPr>
          <w:p>
            <w:pPr>
              <w:jc w:val="center"/>
              <w:ind w:right="4080"/>
              <w:spacing w:after="0"/>
              <w:rPr>
                <w:sz w:val="20"/>
                <w:szCs w:val="20"/>
                <w:color w:val="auto"/>
              </w:rPr>
            </w:pPr>
            <w:r>
              <w:rPr>
                <w:rFonts w:ascii="Times New Roman" w:cs="Times New Roman" w:eastAsia="Times New Roman" w:hAnsi="Times New Roman"/>
                <w:sz w:val="18"/>
                <w:szCs w:val="18"/>
                <w:color w:val="0000FF"/>
                <w:w w:val="96"/>
              </w:rPr>
              <w:t>Part I</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5"/>
        </w:trPr>
        <w:tc>
          <w:tcPr>
            <w:tcW w:w="1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96"/>
              </w:rPr>
              <w:t>Business</w:t>
            </w:r>
          </w:p>
        </w:tc>
        <w:tc>
          <w:tcPr>
            <w:tcW w:w="3560" w:type="dxa"/>
            <w:vAlign w:val="bottom"/>
            <w:gridSpan w:val="18"/>
          </w:tcPr>
          <w:p>
            <w:pPr>
              <w:spacing w:after="0"/>
              <w:rPr>
                <w:sz w:val="17"/>
                <w:szCs w:val="17"/>
                <w:color w:val="auto"/>
              </w:rPr>
            </w:pPr>
          </w:p>
        </w:tc>
        <w:tc>
          <w:tcPr>
            <w:tcW w:w="380" w:type="dxa"/>
            <w:vAlign w:val="bottom"/>
            <w:tcBorders>
              <w:top w:val="single" w:sz="8" w:color="0000FF"/>
            </w:tcBorders>
            <w:gridSpan w:val="3"/>
          </w:tcPr>
          <w:p>
            <w:pPr>
              <w:spacing w:after="0"/>
              <w:rPr>
                <w:sz w:val="17"/>
                <w:szCs w:val="17"/>
                <w:color w:val="auto"/>
              </w:rPr>
            </w:pPr>
          </w:p>
        </w:tc>
        <w:tc>
          <w:tcPr>
            <w:tcW w:w="4120" w:type="dxa"/>
            <w:vAlign w:val="bottom"/>
            <w:gridSpan w:val="9"/>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1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FF"/>
            </w:tcBorders>
            <w:gridSpan w:val="4"/>
          </w:tcPr>
          <w:p>
            <w:pPr>
              <w:spacing w:after="0" w:line="205" w:lineRule="exact"/>
              <w:rPr>
                <w:sz w:val="20"/>
                <w:szCs w:val="20"/>
                <w:color w:val="auto"/>
              </w:rPr>
            </w:pPr>
            <w:r>
              <w:rPr>
                <w:rFonts w:ascii="Times New Roman" w:cs="Times New Roman" w:eastAsia="Times New Roman" w:hAnsi="Times New Roman"/>
                <w:sz w:val="18"/>
                <w:szCs w:val="18"/>
                <w:color w:val="0000FF"/>
                <w:w w:val="97"/>
              </w:rPr>
              <w:t>Risk Factors</w:t>
            </w:r>
          </w:p>
        </w:tc>
        <w:tc>
          <w:tcPr>
            <w:tcW w:w="7800" w:type="dxa"/>
            <w:vAlign w:val="bottom"/>
            <w:gridSpan w:val="27"/>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rPr>
              <w:t>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1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Item 1B.</w:t>
            </w:r>
          </w:p>
        </w:tc>
        <w:tc>
          <w:tcPr>
            <w:tcW w:w="2020" w:type="dxa"/>
            <w:vAlign w:val="bottom"/>
            <w:tcBorders>
              <w:bottom w:val="single" w:sz="8" w:color="0000FF"/>
            </w:tcBorders>
            <w:gridSpan w:val="11"/>
          </w:tcPr>
          <w:p>
            <w:pPr>
              <w:spacing w:after="0" w:line="205" w:lineRule="exact"/>
              <w:rPr>
                <w:sz w:val="20"/>
                <w:szCs w:val="20"/>
                <w:color w:val="auto"/>
              </w:rPr>
            </w:pPr>
            <w:r>
              <w:rPr>
                <w:rFonts w:ascii="Times New Roman" w:cs="Times New Roman" w:eastAsia="Times New Roman" w:hAnsi="Times New Roman"/>
                <w:sz w:val="18"/>
                <w:szCs w:val="18"/>
                <w:color w:val="0000FF"/>
                <w:w w:val="97"/>
              </w:rPr>
              <w:t>Unresolved Staff Comments</w:t>
            </w:r>
          </w:p>
        </w:tc>
        <w:tc>
          <w:tcPr>
            <w:tcW w:w="6680" w:type="dxa"/>
            <w:vAlign w:val="bottom"/>
            <w:gridSpan w:val="20"/>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Borders>
              <w:bottom w:val="single" w:sz="8" w:color="0000FF"/>
            </w:tcBorders>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31</w:t>
            </w:r>
          </w:p>
        </w:tc>
        <w:tc>
          <w:tcPr>
            <w:tcW w:w="60" w:type="dxa"/>
            <w:vAlign w:val="bottom"/>
          </w:tcPr>
          <w:p>
            <w:pPr>
              <w:spacing w:after="0"/>
              <w:rPr>
                <w:sz w:val="17"/>
                <w:szCs w:val="17"/>
                <w:color w:val="auto"/>
              </w:rPr>
            </w:pPr>
          </w:p>
        </w:tc>
      </w:tr>
      <w:tr>
        <w:trPr>
          <w:trHeight w:val="205"/>
        </w:trPr>
        <w:tc>
          <w:tcPr>
            <w:tcW w:w="1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Item 1C.</w:t>
            </w:r>
          </w:p>
        </w:tc>
        <w:tc>
          <w:tcPr>
            <w:tcW w:w="1000" w:type="dxa"/>
            <w:vAlign w:val="bottom"/>
            <w:tcBorders>
              <w:bottom w:val="single" w:sz="8" w:color="0000FF"/>
            </w:tcBorders>
            <w:gridSpan w:val="5"/>
          </w:tcPr>
          <w:p>
            <w:pPr>
              <w:spacing w:after="0" w:line="205" w:lineRule="exact"/>
              <w:rPr>
                <w:sz w:val="20"/>
                <w:szCs w:val="20"/>
                <w:color w:val="auto"/>
              </w:rPr>
            </w:pPr>
            <w:r>
              <w:rPr>
                <w:rFonts w:ascii="Times New Roman" w:cs="Times New Roman" w:eastAsia="Times New Roman" w:hAnsi="Times New Roman"/>
                <w:sz w:val="18"/>
                <w:szCs w:val="18"/>
                <w:color w:val="0000FF"/>
                <w:w w:val="96"/>
              </w:rPr>
              <w:t>Cybersecurity</w:t>
            </w:r>
          </w:p>
        </w:tc>
        <w:tc>
          <w:tcPr>
            <w:tcW w:w="7700" w:type="dxa"/>
            <w:vAlign w:val="bottom"/>
            <w:gridSpan w:val="26"/>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Borders>
              <w:bottom w:val="single" w:sz="8" w:color="0000FF"/>
            </w:tcBorders>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32</w:t>
            </w:r>
          </w:p>
        </w:tc>
        <w:tc>
          <w:tcPr>
            <w:tcW w:w="60" w:type="dxa"/>
            <w:vAlign w:val="bottom"/>
          </w:tcPr>
          <w:p>
            <w:pPr>
              <w:spacing w:after="0"/>
              <w:rPr>
                <w:sz w:val="17"/>
                <w:szCs w:val="17"/>
                <w:color w:val="auto"/>
              </w:rPr>
            </w:pPr>
          </w:p>
        </w:tc>
      </w:tr>
      <w:tr>
        <w:trPr>
          <w:trHeight w:val="205"/>
        </w:trPr>
        <w:tc>
          <w:tcPr>
            <w:tcW w:w="1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95"/>
              </w:rPr>
              <w:t>Properties</w:t>
            </w:r>
          </w:p>
        </w:tc>
        <w:tc>
          <w:tcPr>
            <w:tcW w:w="7960" w:type="dxa"/>
            <w:vAlign w:val="bottom"/>
            <w:gridSpan w:val="29"/>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Borders>
              <w:bottom w:val="single" w:sz="8" w:color="0000FF"/>
            </w:tcBorders>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35</w:t>
            </w:r>
          </w:p>
        </w:tc>
        <w:tc>
          <w:tcPr>
            <w:tcW w:w="60" w:type="dxa"/>
            <w:vAlign w:val="bottom"/>
          </w:tcPr>
          <w:p>
            <w:pPr>
              <w:spacing w:after="0"/>
              <w:rPr>
                <w:sz w:val="17"/>
                <w:szCs w:val="17"/>
                <w:color w:val="auto"/>
              </w:rPr>
            </w:pPr>
          </w:p>
        </w:tc>
      </w:tr>
      <w:tr>
        <w:trPr>
          <w:trHeight w:val="205"/>
        </w:trPr>
        <w:tc>
          <w:tcPr>
            <w:tcW w:w="1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Item 3.</w:t>
            </w:r>
          </w:p>
        </w:tc>
        <w:tc>
          <w:tcPr>
            <w:tcW w:w="1320" w:type="dxa"/>
            <w:vAlign w:val="bottom"/>
            <w:tcBorders>
              <w:bottom w:val="single" w:sz="8" w:color="0000FF"/>
            </w:tcBorders>
            <w:gridSpan w:val="7"/>
          </w:tcPr>
          <w:p>
            <w:pPr>
              <w:spacing w:after="0" w:line="205" w:lineRule="exact"/>
              <w:rPr>
                <w:sz w:val="20"/>
                <w:szCs w:val="20"/>
                <w:color w:val="auto"/>
              </w:rPr>
            </w:pPr>
            <w:r>
              <w:rPr>
                <w:rFonts w:ascii="Times New Roman" w:cs="Times New Roman" w:eastAsia="Times New Roman" w:hAnsi="Times New Roman"/>
                <w:sz w:val="18"/>
                <w:szCs w:val="18"/>
                <w:color w:val="0000FF"/>
                <w:w w:val="97"/>
              </w:rPr>
              <w:t>Legal Proceedings</w:t>
            </w:r>
          </w:p>
        </w:tc>
        <w:tc>
          <w:tcPr>
            <w:tcW w:w="7380" w:type="dxa"/>
            <w:vAlign w:val="bottom"/>
            <w:gridSpan w:val="24"/>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Borders>
              <w:bottom w:val="single" w:sz="8" w:color="0000FF"/>
            </w:tcBorders>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35</w:t>
            </w:r>
          </w:p>
        </w:tc>
        <w:tc>
          <w:tcPr>
            <w:tcW w:w="60" w:type="dxa"/>
            <w:vAlign w:val="bottom"/>
          </w:tcPr>
          <w:p>
            <w:pPr>
              <w:spacing w:after="0"/>
              <w:rPr>
                <w:sz w:val="17"/>
                <w:szCs w:val="17"/>
                <w:color w:val="auto"/>
              </w:rPr>
            </w:pPr>
          </w:p>
        </w:tc>
      </w:tr>
      <w:tr>
        <w:trPr>
          <w:trHeight w:val="205"/>
        </w:trPr>
        <w:tc>
          <w:tcPr>
            <w:tcW w:w="1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Item 4.</w:t>
            </w:r>
          </w:p>
        </w:tc>
        <w:tc>
          <w:tcPr>
            <w:tcW w:w="8700" w:type="dxa"/>
            <w:vAlign w:val="bottom"/>
            <w:gridSpan w:val="31"/>
          </w:tcPr>
          <w:p>
            <w:pPr>
              <w:spacing w:after="0" w:line="205" w:lineRule="exact"/>
              <w:rPr>
                <w:sz w:val="20"/>
                <w:szCs w:val="20"/>
                <w:color w:val="auto"/>
              </w:rPr>
            </w:pPr>
            <w:r>
              <w:rPr>
                <w:rFonts w:ascii="Times New Roman" w:cs="Times New Roman" w:eastAsia="Times New Roman" w:hAnsi="Times New Roman"/>
                <w:sz w:val="18"/>
                <w:szCs w:val="18"/>
                <w:color w:val="0000FF"/>
              </w:rPr>
              <w:t>Mine Safety Disclosures</w:t>
            </w:r>
          </w:p>
        </w:tc>
        <w:tc>
          <w:tcPr>
            <w:tcW w:w="1000" w:type="dxa"/>
            <w:vAlign w:val="bottom"/>
            <w:gridSpan w:val="4"/>
          </w:tcPr>
          <w:p>
            <w:pPr>
              <w:jc w:val="center"/>
              <w:ind w:left="733"/>
              <w:spacing w:after="0" w:line="205" w:lineRule="exact"/>
              <w:rPr>
                <w:sz w:val="20"/>
                <w:szCs w:val="20"/>
                <w:color w:val="auto"/>
              </w:rPr>
            </w:pPr>
            <w:r>
              <w:rPr>
                <w:rFonts w:ascii="Times New Roman" w:cs="Times New Roman" w:eastAsia="Times New Roman" w:hAnsi="Times New Roman"/>
                <w:sz w:val="18"/>
                <w:szCs w:val="18"/>
                <w:color w:val="0000FF"/>
                <w:w w:val="99"/>
              </w:rPr>
              <w:t>35</w:t>
            </w:r>
          </w:p>
        </w:tc>
        <w:tc>
          <w:tcPr>
            <w:tcW w:w="60" w:type="dxa"/>
            <w:vAlign w:val="bottom"/>
          </w:tcPr>
          <w:p>
            <w:pPr>
              <w:spacing w:after="0"/>
              <w:rPr>
                <w:sz w:val="17"/>
                <w:szCs w:val="17"/>
                <w:color w:val="auto"/>
              </w:rPr>
            </w:pPr>
          </w:p>
        </w:tc>
      </w:tr>
      <w:tr>
        <w:trPr>
          <w:trHeight w:val="417"/>
        </w:trPr>
        <w:tc>
          <w:tcPr>
            <w:tcW w:w="12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40" w:type="dxa"/>
            <w:vAlign w:val="bottom"/>
            <w:gridSpan w:val="13"/>
          </w:tcPr>
          <w:p>
            <w:pPr>
              <w:jc w:val="center"/>
              <w:ind w:right="4100"/>
              <w:spacing w:after="0"/>
              <w:rPr>
                <w:sz w:val="20"/>
                <w:szCs w:val="20"/>
                <w:color w:val="auto"/>
              </w:rPr>
            </w:pPr>
            <w:r>
              <w:rPr>
                <w:rFonts w:ascii="Times New Roman" w:cs="Times New Roman" w:eastAsia="Times New Roman" w:hAnsi="Times New Roman"/>
                <w:sz w:val="18"/>
                <w:szCs w:val="18"/>
                <w:color w:val="0000FF"/>
                <w:w w:val="96"/>
              </w:rPr>
              <w:t>Part II</w:t>
            </w:r>
          </w:p>
        </w:tc>
        <w:tc>
          <w:tcPr>
            <w:tcW w:w="8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1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Item 5.</w:t>
            </w:r>
          </w:p>
        </w:tc>
        <w:tc>
          <w:tcPr>
            <w:tcW w:w="8700" w:type="dxa"/>
            <w:vAlign w:val="bottom"/>
            <w:gridSpan w:val="31"/>
          </w:tcPr>
          <w:p>
            <w:pPr>
              <w:spacing w:after="0" w:line="205"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000" w:type="dxa"/>
            <w:vAlign w:val="bottom"/>
            <w:gridSpan w:val="4"/>
          </w:tcPr>
          <w:p>
            <w:pPr>
              <w:jc w:val="center"/>
              <w:ind w:left="733"/>
              <w:spacing w:after="0" w:line="205" w:lineRule="exact"/>
              <w:rPr>
                <w:sz w:val="20"/>
                <w:szCs w:val="20"/>
                <w:color w:val="auto"/>
              </w:rPr>
            </w:pPr>
            <w:r>
              <w:rPr>
                <w:rFonts w:ascii="Times New Roman" w:cs="Times New Roman" w:eastAsia="Times New Roman" w:hAnsi="Times New Roman"/>
                <w:sz w:val="18"/>
                <w:szCs w:val="18"/>
                <w:color w:val="0000FF"/>
                <w:w w:val="99"/>
              </w:rPr>
              <w:t>36</w:t>
            </w:r>
          </w:p>
        </w:tc>
        <w:tc>
          <w:tcPr>
            <w:tcW w:w="60" w:type="dxa"/>
            <w:vAlign w:val="bottom"/>
          </w:tcPr>
          <w:p>
            <w:pPr>
              <w:spacing w:after="0"/>
              <w:rPr>
                <w:sz w:val="17"/>
                <w:szCs w:val="17"/>
                <w:color w:val="auto"/>
              </w:rPr>
            </w:pPr>
          </w:p>
        </w:tc>
      </w:tr>
      <w:tr>
        <w:trPr>
          <w:trHeight w:val="205"/>
        </w:trPr>
        <w:tc>
          <w:tcPr>
            <w:tcW w:w="1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Item 6.</w:t>
            </w:r>
          </w:p>
        </w:tc>
        <w:tc>
          <w:tcPr>
            <w:tcW w:w="780" w:type="dxa"/>
            <w:vAlign w:val="bottom"/>
            <w:tcBorders>
              <w:top w:val="single" w:sz="8" w:color="0000FF"/>
              <w:bottom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6"/>
              </w:rPr>
              <w:t>[Reserved]</w:t>
            </w:r>
          </w:p>
        </w:tc>
        <w:tc>
          <w:tcPr>
            <w:tcW w:w="7140" w:type="dxa"/>
            <w:vAlign w:val="bottom"/>
            <w:tcBorders>
              <w:top w:val="single" w:sz="8" w:color="0000FF"/>
            </w:tcBorders>
            <w:gridSpan w:val="27"/>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Borders>
              <w:top w:val="single" w:sz="8" w:color="0000FF"/>
              <w:bottom w:val="single" w:sz="8" w:color="0000FF"/>
            </w:tcBorders>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37</w:t>
            </w:r>
          </w:p>
        </w:tc>
        <w:tc>
          <w:tcPr>
            <w:tcW w:w="60" w:type="dxa"/>
            <w:vAlign w:val="bottom"/>
          </w:tcPr>
          <w:p>
            <w:pPr>
              <w:spacing w:after="0"/>
              <w:rPr>
                <w:sz w:val="17"/>
                <w:szCs w:val="17"/>
                <w:color w:val="auto"/>
              </w:rPr>
            </w:pPr>
          </w:p>
        </w:tc>
      </w:tr>
      <w:tr>
        <w:trPr>
          <w:trHeight w:val="205"/>
        </w:trPr>
        <w:tc>
          <w:tcPr>
            <w:tcW w:w="1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Item 7.</w:t>
            </w:r>
          </w:p>
        </w:tc>
        <w:tc>
          <w:tcPr>
            <w:tcW w:w="6340" w:type="dxa"/>
            <w:vAlign w:val="bottom"/>
            <w:tcBorders>
              <w:bottom w:val="single" w:sz="8" w:color="0000FF"/>
            </w:tcBorders>
            <w:gridSpan w:val="27"/>
          </w:tcPr>
          <w:p>
            <w:pPr>
              <w:spacing w:after="0" w:line="205" w:lineRule="exact"/>
              <w:rPr>
                <w:sz w:val="20"/>
                <w:szCs w:val="20"/>
                <w:color w:val="auto"/>
              </w:rPr>
            </w:pPr>
            <w:r>
              <w:rPr>
                <w:rFonts w:ascii="Times New Roman" w:cs="Times New Roman" w:eastAsia="Times New Roman" w:hAnsi="Times New Roman"/>
                <w:sz w:val="18"/>
                <w:szCs w:val="18"/>
                <w:color w:val="0000FF"/>
                <w:w w:val="97"/>
              </w:rPr>
              <w:t>Management’s Discussion and Analysis of Financial Condition and Results of Operations</w:t>
            </w:r>
          </w:p>
        </w:tc>
        <w:tc>
          <w:tcPr>
            <w:tcW w:w="2360" w:type="dxa"/>
            <w:vAlign w:val="bottom"/>
            <w:gridSpan w:val="4"/>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Borders>
              <w:bottom w:val="single" w:sz="8" w:color="0000FF"/>
            </w:tcBorders>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38</w:t>
            </w:r>
          </w:p>
        </w:tc>
        <w:tc>
          <w:tcPr>
            <w:tcW w:w="60" w:type="dxa"/>
            <w:vAlign w:val="bottom"/>
          </w:tcPr>
          <w:p>
            <w:pPr>
              <w:spacing w:after="0"/>
              <w:rPr>
                <w:sz w:val="17"/>
                <w:szCs w:val="17"/>
                <w:color w:val="auto"/>
              </w:rPr>
            </w:pPr>
          </w:p>
        </w:tc>
      </w:tr>
      <w:tr>
        <w:trPr>
          <w:trHeight w:val="205"/>
        </w:trPr>
        <w:tc>
          <w:tcPr>
            <w:tcW w:w="1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Item 7A.</w:t>
            </w:r>
          </w:p>
        </w:tc>
        <w:tc>
          <w:tcPr>
            <w:tcW w:w="4280" w:type="dxa"/>
            <w:vAlign w:val="bottom"/>
            <w:tcBorders>
              <w:bottom w:val="single" w:sz="8" w:color="0000FF"/>
            </w:tcBorders>
            <w:gridSpan w:val="20"/>
          </w:tcPr>
          <w:p>
            <w:pPr>
              <w:spacing w:after="0" w:line="205" w:lineRule="exact"/>
              <w:rPr>
                <w:sz w:val="20"/>
                <w:szCs w:val="20"/>
                <w:color w:val="auto"/>
              </w:rPr>
            </w:pPr>
            <w:r>
              <w:rPr>
                <w:rFonts w:ascii="Times New Roman" w:cs="Times New Roman" w:eastAsia="Times New Roman" w:hAnsi="Times New Roman"/>
                <w:sz w:val="18"/>
                <w:szCs w:val="18"/>
                <w:color w:val="0000FF"/>
                <w:w w:val="97"/>
              </w:rPr>
              <w:t>Quantitative and Qualitative Disclosures About Market Risk</w:t>
            </w:r>
          </w:p>
        </w:tc>
        <w:tc>
          <w:tcPr>
            <w:tcW w:w="4420" w:type="dxa"/>
            <w:vAlign w:val="bottom"/>
            <w:gridSpan w:val="11"/>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Borders>
              <w:bottom w:val="single" w:sz="8" w:color="0000FF"/>
            </w:tcBorders>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62</w:t>
            </w:r>
          </w:p>
        </w:tc>
        <w:tc>
          <w:tcPr>
            <w:tcW w:w="60" w:type="dxa"/>
            <w:vAlign w:val="bottom"/>
          </w:tcPr>
          <w:p>
            <w:pPr>
              <w:spacing w:after="0"/>
              <w:rPr>
                <w:sz w:val="17"/>
                <w:szCs w:val="17"/>
                <w:color w:val="auto"/>
              </w:rPr>
            </w:pPr>
          </w:p>
        </w:tc>
      </w:tr>
      <w:tr>
        <w:trPr>
          <w:trHeight w:val="205"/>
        </w:trPr>
        <w:tc>
          <w:tcPr>
            <w:tcW w:w="1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Item 8.</w:t>
            </w:r>
          </w:p>
        </w:tc>
        <w:tc>
          <w:tcPr>
            <w:tcW w:w="8700" w:type="dxa"/>
            <w:vAlign w:val="bottom"/>
            <w:gridSpan w:val="31"/>
          </w:tcPr>
          <w:p>
            <w:pPr>
              <w:spacing w:after="0" w:line="205"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000" w:type="dxa"/>
            <w:vAlign w:val="bottom"/>
            <w:gridSpan w:val="4"/>
          </w:tcPr>
          <w:p>
            <w:pPr>
              <w:jc w:val="center"/>
              <w:ind w:left="733"/>
              <w:spacing w:after="0" w:line="205" w:lineRule="exact"/>
              <w:rPr>
                <w:sz w:val="20"/>
                <w:szCs w:val="20"/>
                <w:color w:val="auto"/>
              </w:rPr>
            </w:pPr>
            <w:r>
              <w:rPr>
                <w:rFonts w:ascii="Times New Roman" w:cs="Times New Roman" w:eastAsia="Times New Roman" w:hAnsi="Times New Roman"/>
                <w:sz w:val="18"/>
                <w:szCs w:val="18"/>
                <w:color w:val="0000FF"/>
                <w:w w:val="99"/>
              </w:rPr>
              <w:t>64</w:t>
            </w:r>
          </w:p>
        </w:tc>
        <w:tc>
          <w:tcPr>
            <w:tcW w:w="60" w:type="dxa"/>
            <w:vAlign w:val="bottom"/>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1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Item 9.</w:t>
            </w:r>
          </w:p>
        </w:tc>
        <w:tc>
          <w:tcPr>
            <w:tcW w:w="6360" w:type="dxa"/>
            <w:vAlign w:val="bottom"/>
            <w:gridSpan w:val="28"/>
          </w:tcPr>
          <w:p>
            <w:pPr>
              <w:spacing w:after="0" w:line="205" w:lineRule="exact"/>
              <w:rPr>
                <w:sz w:val="20"/>
                <w:szCs w:val="20"/>
                <w:color w:val="auto"/>
              </w:rPr>
            </w:pPr>
            <w:r>
              <w:rPr>
                <w:rFonts w:ascii="Times New Roman" w:cs="Times New Roman" w:eastAsia="Times New Roman" w:hAnsi="Times New Roman"/>
                <w:sz w:val="18"/>
                <w:szCs w:val="18"/>
                <w:color w:val="0000FF"/>
                <w:w w:val="97"/>
              </w:rPr>
              <w:t>Changes in and Disagreements with Accountants on Accounting and Financial Disclosure</w:t>
            </w:r>
          </w:p>
        </w:tc>
        <w:tc>
          <w:tcPr>
            <w:tcW w:w="2340" w:type="dxa"/>
            <w:vAlign w:val="bottom"/>
            <w:gridSpan w:val="3"/>
          </w:tcPr>
          <w:p>
            <w:pPr>
              <w:spacing w:after="0"/>
              <w:rPr>
                <w:sz w:val="17"/>
                <w:szCs w:val="17"/>
                <w:color w:val="auto"/>
              </w:rPr>
            </w:pPr>
          </w:p>
        </w:tc>
        <w:tc>
          <w:tcPr>
            <w:tcW w:w="1060" w:type="dxa"/>
            <w:vAlign w:val="bottom"/>
            <w:gridSpan w:val="5"/>
          </w:tcPr>
          <w:p>
            <w:pPr>
              <w:jc w:val="center"/>
              <w:ind w:left="673"/>
              <w:spacing w:after="0" w:line="205" w:lineRule="exact"/>
              <w:rPr>
                <w:sz w:val="20"/>
                <w:szCs w:val="20"/>
                <w:color w:val="auto"/>
              </w:rPr>
            </w:pPr>
            <w:r>
              <w:rPr>
                <w:rFonts w:ascii="Times New Roman" w:cs="Times New Roman" w:eastAsia="Times New Roman" w:hAnsi="Times New Roman"/>
                <w:sz w:val="18"/>
                <w:szCs w:val="18"/>
                <w:color w:val="0000FF"/>
                <w:w w:val="96"/>
              </w:rPr>
              <w:t>125</w:t>
            </w:r>
          </w:p>
        </w:tc>
      </w:tr>
      <w:tr>
        <w:trPr>
          <w:trHeight w:val="20"/>
        </w:trPr>
        <w:tc>
          <w:tcPr>
            <w:tcW w:w="1220" w:type="dxa"/>
            <w:vAlign w:val="bottom"/>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7"/>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05"/>
        </w:trPr>
        <w:tc>
          <w:tcPr>
            <w:tcW w:w="1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Item 9A.</w:t>
            </w:r>
          </w:p>
        </w:tc>
        <w:tc>
          <w:tcPr>
            <w:tcW w:w="1740" w:type="dxa"/>
            <w:vAlign w:val="bottom"/>
            <w:gridSpan w:val="9"/>
          </w:tcPr>
          <w:p>
            <w:pPr>
              <w:spacing w:after="0" w:line="205" w:lineRule="exact"/>
              <w:rPr>
                <w:sz w:val="20"/>
                <w:szCs w:val="20"/>
                <w:color w:val="auto"/>
              </w:rPr>
            </w:pPr>
            <w:r>
              <w:rPr>
                <w:rFonts w:ascii="Times New Roman" w:cs="Times New Roman" w:eastAsia="Times New Roman" w:hAnsi="Times New Roman"/>
                <w:sz w:val="18"/>
                <w:szCs w:val="18"/>
                <w:color w:val="0000FF"/>
                <w:w w:val="97"/>
              </w:rPr>
              <w:t>Controls and Procedures</w:t>
            </w:r>
          </w:p>
        </w:tc>
        <w:tc>
          <w:tcPr>
            <w:tcW w:w="4620" w:type="dxa"/>
            <w:vAlign w:val="bottom"/>
            <w:gridSpan w:val="19"/>
          </w:tcPr>
          <w:p>
            <w:pPr>
              <w:spacing w:after="0"/>
              <w:rPr>
                <w:sz w:val="17"/>
                <w:szCs w:val="17"/>
                <w:color w:val="auto"/>
              </w:rPr>
            </w:pPr>
          </w:p>
        </w:tc>
        <w:tc>
          <w:tcPr>
            <w:tcW w:w="2340" w:type="dxa"/>
            <w:vAlign w:val="bottom"/>
            <w:gridSpan w:val="3"/>
          </w:tcPr>
          <w:p>
            <w:pPr>
              <w:spacing w:after="0"/>
              <w:rPr>
                <w:sz w:val="17"/>
                <w:szCs w:val="17"/>
                <w:color w:val="auto"/>
              </w:rPr>
            </w:pPr>
          </w:p>
        </w:tc>
        <w:tc>
          <w:tcPr>
            <w:tcW w:w="1060" w:type="dxa"/>
            <w:vAlign w:val="bottom"/>
            <w:gridSpan w:val="5"/>
          </w:tcPr>
          <w:p>
            <w:pPr>
              <w:jc w:val="center"/>
              <w:ind w:left="673"/>
              <w:spacing w:after="0" w:line="205" w:lineRule="exact"/>
              <w:rPr>
                <w:sz w:val="20"/>
                <w:szCs w:val="20"/>
                <w:color w:val="auto"/>
              </w:rPr>
            </w:pPr>
            <w:r>
              <w:rPr>
                <w:rFonts w:ascii="Times New Roman" w:cs="Times New Roman" w:eastAsia="Times New Roman" w:hAnsi="Times New Roman"/>
                <w:sz w:val="18"/>
                <w:szCs w:val="18"/>
                <w:color w:val="0000FF"/>
                <w:w w:val="96"/>
              </w:rPr>
              <w:t>125</w:t>
            </w:r>
          </w:p>
        </w:tc>
      </w:tr>
      <w:tr>
        <w:trPr>
          <w:trHeight w:val="20"/>
        </w:trPr>
        <w:tc>
          <w:tcPr>
            <w:tcW w:w="1220" w:type="dxa"/>
            <w:vAlign w:val="bottom"/>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05"/>
        </w:trPr>
        <w:tc>
          <w:tcPr>
            <w:tcW w:w="1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Item 9B.</w:t>
            </w:r>
          </w:p>
        </w:tc>
        <w:tc>
          <w:tcPr>
            <w:tcW w:w="1300" w:type="dxa"/>
            <w:vAlign w:val="bottom"/>
            <w:gridSpan w:val="6"/>
          </w:tcPr>
          <w:p>
            <w:pPr>
              <w:spacing w:after="0" w:line="205" w:lineRule="exact"/>
              <w:rPr>
                <w:sz w:val="20"/>
                <w:szCs w:val="20"/>
                <w:color w:val="auto"/>
              </w:rPr>
            </w:pPr>
            <w:r>
              <w:rPr>
                <w:rFonts w:ascii="Times New Roman" w:cs="Times New Roman" w:eastAsia="Times New Roman" w:hAnsi="Times New Roman"/>
                <w:sz w:val="18"/>
                <w:szCs w:val="18"/>
                <w:color w:val="0000FF"/>
                <w:w w:val="97"/>
              </w:rPr>
              <w:t>Other Information</w:t>
            </w:r>
          </w:p>
        </w:tc>
        <w:tc>
          <w:tcPr>
            <w:tcW w:w="440" w:type="dxa"/>
            <w:vAlign w:val="bottom"/>
            <w:gridSpan w:val="3"/>
          </w:tcPr>
          <w:p>
            <w:pPr>
              <w:spacing w:after="0"/>
              <w:rPr>
                <w:sz w:val="17"/>
                <w:szCs w:val="17"/>
                <w:color w:val="auto"/>
              </w:rPr>
            </w:pPr>
          </w:p>
        </w:tc>
        <w:tc>
          <w:tcPr>
            <w:tcW w:w="6960" w:type="dxa"/>
            <w:vAlign w:val="bottom"/>
            <w:gridSpan w:val="22"/>
          </w:tcPr>
          <w:p>
            <w:pPr>
              <w:spacing w:after="0"/>
              <w:rPr>
                <w:sz w:val="17"/>
                <w:szCs w:val="17"/>
                <w:color w:val="auto"/>
              </w:rPr>
            </w:pPr>
          </w:p>
        </w:tc>
        <w:tc>
          <w:tcPr>
            <w:tcW w:w="1060" w:type="dxa"/>
            <w:vAlign w:val="bottom"/>
            <w:gridSpan w:val="5"/>
          </w:tcPr>
          <w:p>
            <w:pPr>
              <w:jc w:val="center"/>
              <w:ind w:left="673"/>
              <w:spacing w:after="0" w:line="205" w:lineRule="exact"/>
              <w:rPr>
                <w:sz w:val="20"/>
                <w:szCs w:val="20"/>
                <w:color w:val="auto"/>
              </w:rPr>
            </w:pPr>
            <w:r>
              <w:rPr>
                <w:rFonts w:ascii="Times New Roman" w:cs="Times New Roman" w:eastAsia="Times New Roman" w:hAnsi="Times New Roman"/>
                <w:sz w:val="18"/>
                <w:szCs w:val="18"/>
                <w:color w:val="0000FF"/>
                <w:w w:val="96"/>
              </w:rPr>
              <w:t>126</w:t>
            </w:r>
          </w:p>
        </w:tc>
      </w:tr>
      <w:tr>
        <w:trPr>
          <w:trHeight w:val="20"/>
        </w:trPr>
        <w:tc>
          <w:tcPr>
            <w:tcW w:w="1220" w:type="dxa"/>
            <w:vAlign w:val="bottom"/>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25"/>
        </w:trPr>
        <w:tc>
          <w:tcPr>
            <w:tcW w:w="1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Item 9C.</w:t>
            </w:r>
          </w:p>
        </w:tc>
        <w:tc>
          <w:tcPr>
            <w:tcW w:w="8700" w:type="dxa"/>
            <w:vAlign w:val="bottom"/>
            <w:gridSpan w:val="31"/>
          </w:tcPr>
          <w:p>
            <w:pPr>
              <w:spacing w:after="0" w:line="205"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060" w:type="dxa"/>
            <w:vAlign w:val="bottom"/>
            <w:gridSpan w:val="5"/>
          </w:tcPr>
          <w:p>
            <w:pPr>
              <w:jc w:val="center"/>
              <w:ind w:left="673"/>
              <w:spacing w:after="0" w:line="205" w:lineRule="exact"/>
              <w:rPr>
                <w:sz w:val="20"/>
                <w:szCs w:val="20"/>
                <w:color w:val="auto"/>
              </w:rPr>
            </w:pPr>
            <w:r>
              <w:rPr>
                <w:rFonts w:ascii="Times New Roman" w:cs="Times New Roman" w:eastAsia="Times New Roman" w:hAnsi="Times New Roman"/>
                <w:sz w:val="18"/>
                <w:szCs w:val="18"/>
                <w:color w:val="0000FF"/>
                <w:w w:val="96"/>
              </w:rPr>
              <w:t>126</w:t>
            </w:r>
          </w:p>
        </w:tc>
      </w:tr>
      <w:tr>
        <w:trPr>
          <w:trHeight w:val="397"/>
        </w:trPr>
        <w:tc>
          <w:tcPr>
            <w:tcW w:w="12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gridSpan w:val="9"/>
          </w:tcPr>
          <w:p>
            <w:pPr>
              <w:jc w:val="center"/>
              <w:ind w:right="140"/>
              <w:spacing w:after="0"/>
              <w:rPr>
                <w:sz w:val="20"/>
                <w:szCs w:val="20"/>
                <w:color w:val="auto"/>
              </w:rPr>
            </w:pPr>
            <w:r>
              <w:rPr>
                <w:rFonts w:ascii="Times New Roman" w:cs="Times New Roman" w:eastAsia="Times New Roman" w:hAnsi="Times New Roman"/>
                <w:sz w:val="18"/>
                <w:szCs w:val="18"/>
                <w:color w:val="0000FF"/>
                <w:w w:val="97"/>
              </w:rPr>
              <w:t>Part III</w:t>
            </w:r>
          </w:p>
        </w:tc>
        <w:tc>
          <w:tcPr>
            <w:tcW w:w="3900" w:type="dxa"/>
            <w:vAlign w:val="bottom"/>
            <w:gridSpan w:val="6"/>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r>
      <w:tr>
        <w:trPr>
          <w:trHeight w:val="205"/>
        </w:trPr>
        <w:tc>
          <w:tcPr>
            <w:tcW w:w="1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Item 10.</w:t>
            </w:r>
          </w:p>
        </w:tc>
        <w:tc>
          <w:tcPr>
            <w:tcW w:w="4120" w:type="dxa"/>
            <w:vAlign w:val="bottom"/>
            <w:gridSpan w:val="16"/>
          </w:tcPr>
          <w:p>
            <w:pPr>
              <w:spacing w:after="0" w:line="205"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20" w:type="dxa"/>
            <w:vAlign w:val="bottom"/>
          </w:tcPr>
          <w:p>
            <w:pPr>
              <w:spacing w:after="0"/>
              <w:rPr>
                <w:sz w:val="17"/>
                <w:szCs w:val="17"/>
                <w:color w:val="auto"/>
              </w:rPr>
            </w:pPr>
          </w:p>
        </w:tc>
        <w:tc>
          <w:tcPr>
            <w:tcW w:w="500" w:type="dxa"/>
            <w:vAlign w:val="bottom"/>
            <w:tcBorders>
              <w:top w:val="single" w:sz="8" w:color="0000FF"/>
            </w:tcBorders>
            <w:gridSpan w:val="7"/>
          </w:tcPr>
          <w:p>
            <w:pPr>
              <w:spacing w:after="0"/>
              <w:rPr>
                <w:sz w:val="17"/>
                <w:szCs w:val="17"/>
                <w:color w:val="auto"/>
              </w:rPr>
            </w:pPr>
          </w:p>
        </w:tc>
        <w:tc>
          <w:tcPr>
            <w:tcW w:w="4060" w:type="dxa"/>
            <w:vAlign w:val="bottom"/>
            <w:gridSpan w:val="7"/>
          </w:tcPr>
          <w:p>
            <w:pPr>
              <w:spacing w:after="0"/>
              <w:rPr>
                <w:sz w:val="17"/>
                <w:szCs w:val="17"/>
                <w:color w:val="auto"/>
              </w:rPr>
            </w:pPr>
          </w:p>
        </w:tc>
        <w:tc>
          <w:tcPr>
            <w:tcW w:w="1060" w:type="dxa"/>
            <w:vAlign w:val="bottom"/>
            <w:gridSpan w:val="5"/>
          </w:tcPr>
          <w:p>
            <w:pPr>
              <w:jc w:val="center"/>
              <w:ind w:left="673"/>
              <w:spacing w:after="0" w:line="205" w:lineRule="exact"/>
              <w:rPr>
                <w:sz w:val="20"/>
                <w:szCs w:val="20"/>
                <w:color w:val="auto"/>
              </w:rPr>
            </w:pPr>
            <w:r>
              <w:rPr>
                <w:rFonts w:ascii="Times New Roman" w:cs="Times New Roman" w:eastAsia="Times New Roman" w:hAnsi="Times New Roman"/>
                <w:sz w:val="18"/>
                <w:szCs w:val="18"/>
                <w:color w:val="0000FF"/>
                <w:w w:val="96"/>
              </w:rPr>
              <w:t>127</w:t>
            </w:r>
          </w:p>
        </w:tc>
      </w:tr>
      <w:tr>
        <w:trPr>
          <w:trHeight w:val="20"/>
        </w:trPr>
        <w:tc>
          <w:tcPr>
            <w:tcW w:w="1220" w:type="dxa"/>
            <w:vAlign w:val="bottom"/>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05"/>
        </w:trPr>
        <w:tc>
          <w:tcPr>
            <w:tcW w:w="1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Item 11.</w:t>
            </w:r>
          </w:p>
        </w:tc>
        <w:tc>
          <w:tcPr>
            <w:tcW w:w="2800" w:type="dxa"/>
            <w:vAlign w:val="bottom"/>
            <w:gridSpan w:val="12"/>
          </w:tcPr>
          <w:p>
            <w:pPr>
              <w:spacing w:after="0" w:line="205" w:lineRule="exact"/>
              <w:rPr>
                <w:sz w:val="20"/>
                <w:szCs w:val="20"/>
                <w:color w:val="auto"/>
              </w:rPr>
            </w:pPr>
            <w:r>
              <w:rPr>
                <w:rFonts w:ascii="Times New Roman" w:cs="Times New Roman" w:eastAsia="Times New Roman" w:hAnsi="Times New Roman"/>
                <w:sz w:val="18"/>
                <w:szCs w:val="18"/>
                <w:color w:val="0000FF"/>
              </w:rPr>
              <w:t>Executive Compensation</w:t>
            </w:r>
          </w:p>
        </w:tc>
        <w:tc>
          <w:tcPr>
            <w:tcW w:w="1320" w:type="dxa"/>
            <w:vAlign w:val="bottom"/>
            <w:gridSpan w:val="4"/>
          </w:tcPr>
          <w:p>
            <w:pPr>
              <w:spacing w:after="0"/>
              <w:rPr>
                <w:sz w:val="17"/>
                <w:szCs w:val="17"/>
                <w:color w:val="auto"/>
              </w:rPr>
            </w:pPr>
          </w:p>
        </w:tc>
        <w:tc>
          <w:tcPr>
            <w:tcW w:w="4580" w:type="dxa"/>
            <w:vAlign w:val="bottom"/>
            <w:gridSpan w:val="15"/>
          </w:tcPr>
          <w:p>
            <w:pPr>
              <w:spacing w:after="0"/>
              <w:rPr>
                <w:sz w:val="17"/>
                <w:szCs w:val="17"/>
                <w:color w:val="auto"/>
              </w:rPr>
            </w:pPr>
          </w:p>
        </w:tc>
        <w:tc>
          <w:tcPr>
            <w:tcW w:w="1060" w:type="dxa"/>
            <w:vAlign w:val="bottom"/>
            <w:gridSpan w:val="5"/>
          </w:tcPr>
          <w:p>
            <w:pPr>
              <w:jc w:val="center"/>
              <w:ind w:left="673"/>
              <w:spacing w:after="0" w:line="205" w:lineRule="exact"/>
              <w:rPr>
                <w:sz w:val="20"/>
                <w:szCs w:val="20"/>
                <w:color w:val="auto"/>
              </w:rPr>
            </w:pPr>
            <w:r>
              <w:rPr>
                <w:rFonts w:ascii="Times New Roman" w:cs="Times New Roman" w:eastAsia="Times New Roman" w:hAnsi="Times New Roman"/>
                <w:sz w:val="18"/>
                <w:szCs w:val="18"/>
                <w:color w:val="0000FF"/>
                <w:w w:val="96"/>
              </w:rPr>
              <w:t>127</w:t>
            </w:r>
          </w:p>
        </w:tc>
      </w:tr>
      <w:tr>
        <w:trPr>
          <w:trHeight w:val="20"/>
        </w:trPr>
        <w:tc>
          <w:tcPr>
            <w:tcW w:w="1220" w:type="dxa"/>
            <w:vAlign w:val="bottom"/>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05"/>
        </w:trPr>
        <w:tc>
          <w:tcPr>
            <w:tcW w:w="1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Item 12.</w:t>
            </w:r>
          </w:p>
        </w:tc>
        <w:tc>
          <w:tcPr>
            <w:tcW w:w="7160" w:type="dxa"/>
            <w:vAlign w:val="bottom"/>
            <w:gridSpan w:val="29"/>
          </w:tcPr>
          <w:p>
            <w:pPr>
              <w:spacing w:after="0" w:line="205" w:lineRule="exact"/>
              <w:rPr>
                <w:sz w:val="20"/>
                <w:szCs w:val="20"/>
                <w:color w:val="auto"/>
              </w:rPr>
            </w:pPr>
            <w:r>
              <w:rPr>
                <w:rFonts w:ascii="Times New Roman" w:cs="Times New Roman" w:eastAsia="Times New Roman" w:hAnsi="Times New Roman"/>
                <w:sz w:val="18"/>
                <w:szCs w:val="18"/>
                <w:color w:val="0000FF"/>
                <w:w w:val="97"/>
              </w:rPr>
              <w:t>Security Ownership of Certain Beneficial Owners and Management and Related Stockholder Matters</w:t>
            </w:r>
          </w:p>
        </w:tc>
        <w:tc>
          <w:tcPr>
            <w:tcW w:w="1540" w:type="dxa"/>
            <w:vAlign w:val="bottom"/>
            <w:gridSpan w:val="2"/>
          </w:tcPr>
          <w:p>
            <w:pPr>
              <w:spacing w:after="0"/>
              <w:rPr>
                <w:sz w:val="17"/>
                <w:szCs w:val="17"/>
                <w:color w:val="auto"/>
              </w:rPr>
            </w:pPr>
          </w:p>
        </w:tc>
        <w:tc>
          <w:tcPr>
            <w:tcW w:w="1060" w:type="dxa"/>
            <w:vAlign w:val="bottom"/>
            <w:gridSpan w:val="5"/>
          </w:tcPr>
          <w:p>
            <w:pPr>
              <w:jc w:val="center"/>
              <w:ind w:left="673"/>
              <w:spacing w:after="0" w:line="205" w:lineRule="exact"/>
              <w:rPr>
                <w:sz w:val="20"/>
                <w:szCs w:val="20"/>
                <w:color w:val="auto"/>
              </w:rPr>
            </w:pPr>
            <w:r>
              <w:rPr>
                <w:rFonts w:ascii="Times New Roman" w:cs="Times New Roman" w:eastAsia="Times New Roman" w:hAnsi="Times New Roman"/>
                <w:sz w:val="18"/>
                <w:szCs w:val="18"/>
                <w:color w:val="0000FF"/>
                <w:w w:val="96"/>
              </w:rPr>
              <w:t>127</w:t>
            </w:r>
          </w:p>
        </w:tc>
      </w:tr>
      <w:tr>
        <w:trPr>
          <w:trHeight w:val="20"/>
        </w:trPr>
        <w:tc>
          <w:tcPr>
            <w:tcW w:w="1220" w:type="dxa"/>
            <w:vAlign w:val="bottom"/>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520" w:type="dxa"/>
            <w:vAlign w:val="bottom"/>
            <w:gridSpan w:val="8"/>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05"/>
        </w:trPr>
        <w:tc>
          <w:tcPr>
            <w:tcW w:w="1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Item 13.</w:t>
            </w:r>
          </w:p>
        </w:tc>
        <w:tc>
          <w:tcPr>
            <w:tcW w:w="5360" w:type="dxa"/>
            <w:vAlign w:val="bottom"/>
            <w:gridSpan w:val="26"/>
          </w:tcPr>
          <w:p>
            <w:pPr>
              <w:spacing w:after="0" w:line="205" w:lineRule="exact"/>
              <w:rPr>
                <w:sz w:val="20"/>
                <w:szCs w:val="20"/>
                <w:color w:val="auto"/>
              </w:rPr>
            </w:pPr>
            <w:r>
              <w:rPr>
                <w:rFonts w:ascii="Times New Roman" w:cs="Times New Roman" w:eastAsia="Times New Roman" w:hAnsi="Times New Roman"/>
                <w:sz w:val="18"/>
                <w:szCs w:val="18"/>
                <w:color w:val="0000FF"/>
                <w:w w:val="97"/>
              </w:rPr>
              <w:t>Certain Relationships and Related Transactions, and Director Independence</w:t>
            </w:r>
          </w:p>
        </w:tc>
        <w:tc>
          <w:tcPr>
            <w:tcW w:w="1800" w:type="dxa"/>
            <w:vAlign w:val="bottom"/>
            <w:gridSpan w:val="3"/>
          </w:tcPr>
          <w:p>
            <w:pPr>
              <w:spacing w:after="0"/>
              <w:rPr>
                <w:sz w:val="17"/>
                <w:szCs w:val="17"/>
                <w:color w:val="auto"/>
              </w:rPr>
            </w:pPr>
          </w:p>
        </w:tc>
        <w:tc>
          <w:tcPr>
            <w:tcW w:w="1540" w:type="dxa"/>
            <w:vAlign w:val="bottom"/>
            <w:gridSpan w:val="2"/>
          </w:tcPr>
          <w:p>
            <w:pPr>
              <w:spacing w:after="0"/>
              <w:rPr>
                <w:sz w:val="17"/>
                <w:szCs w:val="17"/>
                <w:color w:val="auto"/>
              </w:rPr>
            </w:pPr>
          </w:p>
        </w:tc>
        <w:tc>
          <w:tcPr>
            <w:tcW w:w="1060" w:type="dxa"/>
            <w:vAlign w:val="bottom"/>
            <w:gridSpan w:val="5"/>
          </w:tcPr>
          <w:p>
            <w:pPr>
              <w:jc w:val="center"/>
              <w:ind w:left="673"/>
              <w:spacing w:after="0" w:line="205" w:lineRule="exact"/>
              <w:rPr>
                <w:sz w:val="20"/>
                <w:szCs w:val="20"/>
                <w:color w:val="auto"/>
              </w:rPr>
            </w:pPr>
            <w:r>
              <w:rPr>
                <w:rFonts w:ascii="Times New Roman" w:cs="Times New Roman" w:eastAsia="Times New Roman" w:hAnsi="Times New Roman"/>
                <w:sz w:val="18"/>
                <w:szCs w:val="18"/>
                <w:color w:val="0000FF"/>
                <w:w w:val="96"/>
              </w:rPr>
              <w:t>127</w:t>
            </w:r>
          </w:p>
        </w:tc>
      </w:tr>
      <w:tr>
        <w:trPr>
          <w:trHeight w:val="20"/>
        </w:trPr>
        <w:tc>
          <w:tcPr>
            <w:tcW w:w="1220" w:type="dxa"/>
            <w:vAlign w:val="bottom"/>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520" w:type="dxa"/>
            <w:vAlign w:val="bottom"/>
            <w:gridSpan w:val="8"/>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340" w:type="dxa"/>
            <w:vAlign w:val="bottom"/>
            <w:gridSpan w:val="5"/>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05"/>
        </w:trPr>
        <w:tc>
          <w:tcPr>
            <w:tcW w:w="1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Item 14.</w:t>
            </w:r>
          </w:p>
        </w:tc>
        <w:tc>
          <w:tcPr>
            <w:tcW w:w="5360" w:type="dxa"/>
            <w:vAlign w:val="bottom"/>
            <w:gridSpan w:val="26"/>
          </w:tcPr>
          <w:p>
            <w:pPr>
              <w:spacing w:after="0" w:line="205"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3340" w:type="dxa"/>
            <w:vAlign w:val="bottom"/>
            <w:gridSpan w:val="5"/>
          </w:tcPr>
          <w:p>
            <w:pPr>
              <w:spacing w:after="0"/>
              <w:rPr>
                <w:sz w:val="17"/>
                <w:szCs w:val="17"/>
                <w:color w:val="auto"/>
              </w:rPr>
            </w:pPr>
          </w:p>
        </w:tc>
        <w:tc>
          <w:tcPr>
            <w:tcW w:w="1060" w:type="dxa"/>
            <w:vAlign w:val="bottom"/>
            <w:gridSpan w:val="5"/>
          </w:tcPr>
          <w:p>
            <w:pPr>
              <w:jc w:val="center"/>
              <w:ind w:left="673"/>
              <w:spacing w:after="0" w:line="205" w:lineRule="exact"/>
              <w:rPr>
                <w:sz w:val="20"/>
                <w:szCs w:val="20"/>
                <w:color w:val="auto"/>
              </w:rPr>
            </w:pPr>
            <w:r>
              <w:rPr>
                <w:rFonts w:ascii="Times New Roman" w:cs="Times New Roman" w:eastAsia="Times New Roman" w:hAnsi="Times New Roman"/>
                <w:sz w:val="18"/>
                <w:szCs w:val="18"/>
                <w:color w:val="0000FF"/>
                <w:w w:val="96"/>
              </w:rPr>
              <w:t>127</w:t>
            </w:r>
          </w:p>
        </w:tc>
      </w:tr>
      <w:tr>
        <w:trPr>
          <w:trHeight w:val="417"/>
        </w:trPr>
        <w:tc>
          <w:tcPr>
            <w:tcW w:w="12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80" w:type="dxa"/>
            <w:vAlign w:val="bottom"/>
            <w:gridSpan w:val="15"/>
          </w:tcPr>
          <w:p>
            <w:pPr>
              <w:jc w:val="center"/>
              <w:ind w:right="4060"/>
              <w:spacing w:after="0"/>
              <w:rPr>
                <w:sz w:val="20"/>
                <w:szCs w:val="20"/>
                <w:color w:val="auto"/>
              </w:rPr>
            </w:pPr>
            <w:r>
              <w:rPr>
                <w:rFonts w:ascii="Times New Roman" w:cs="Times New Roman" w:eastAsia="Times New Roman" w:hAnsi="Times New Roman"/>
                <w:sz w:val="18"/>
                <w:szCs w:val="18"/>
                <w:color w:val="0000FF"/>
                <w:w w:val="98"/>
              </w:rPr>
              <w:t>Part IV</w:t>
            </w:r>
          </w:p>
        </w:tc>
        <w:tc>
          <w:tcPr>
            <w:tcW w:w="8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r>
      <w:tr>
        <w:trPr>
          <w:trHeight w:val="205"/>
        </w:trPr>
        <w:tc>
          <w:tcPr>
            <w:tcW w:w="1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Item 15.</w:t>
            </w:r>
          </w:p>
        </w:tc>
        <w:tc>
          <w:tcPr>
            <w:tcW w:w="3040" w:type="dxa"/>
            <w:vAlign w:val="bottom"/>
            <w:gridSpan w:val="13"/>
          </w:tcPr>
          <w:p>
            <w:pPr>
              <w:spacing w:after="0" w:line="205" w:lineRule="exact"/>
              <w:rPr>
                <w:sz w:val="20"/>
                <w:szCs w:val="20"/>
                <w:color w:val="auto"/>
              </w:rPr>
            </w:pPr>
            <w:r>
              <w:rPr>
                <w:rFonts w:ascii="Times New Roman" w:cs="Times New Roman" w:eastAsia="Times New Roman" w:hAnsi="Times New Roman"/>
                <w:sz w:val="18"/>
                <w:szCs w:val="18"/>
                <w:color w:val="0000FF"/>
                <w:w w:val="97"/>
              </w:rPr>
              <w:t>Exhibit and Financial Statement Schedules</w:t>
            </w:r>
          </w:p>
        </w:tc>
        <w:tc>
          <w:tcPr>
            <w:tcW w:w="1080" w:type="dxa"/>
            <w:vAlign w:val="bottom"/>
            <w:gridSpan w:val="3"/>
          </w:tcPr>
          <w:p>
            <w:pPr>
              <w:spacing w:after="0"/>
              <w:rPr>
                <w:sz w:val="17"/>
                <w:szCs w:val="17"/>
                <w:color w:val="auto"/>
              </w:rPr>
            </w:pPr>
          </w:p>
        </w:tc>
        <w:tc>
          <w:tcPr>
            <w:tcW w:w="520" w:type="dxa"/>
            <w:vAlign w:val="bottom"/>
            <w:tcBorders>
              <w:top w:val="single" w:sz="8" w:color="0000FF"/>
            </w:tcBorders>
            <w:gridSpan w:val="8"/>
          </w:tcPr>
          <w:p>
            <w:pPr>
              <w:spacing w:after="0"/>
              <w:rPr>
                <w:sz w:val="17"/>
                <w:szCs w:val="17"/>
                <w:color w:val="auto"/>
              </w:rPr>
            </w:pPr>
          </w:p>
        </w:tc>
        <w:tc>
          <w:tcPr>
            <w:tcW w:w="4060" w:type="dxa"/>
            <w:vAlign w:val="bottom"/>
            <w:gridSpan w:val="7"/>
          </w:tcPr>
          <w:p>
            <w:pPr>
              <w:spacing w:after="0"/>
              <w:rPr>
                <w:sz w:val="17"/>
                <w:szCs w:val="17"/>
                <w:color w:val="auto"/>
              </w:rPr>
            </w:pPr>
          </w:p>
        </w:tc>
        <w:tc>
          <w:tcPr>
            <w:tcW w:w="1060" w:type="dxa"/>
            <w:vAlign w:val="bottom"/>
            <w:gridSpan w:val="5"/>
          </w:tcPr>
          <w:p>
            <w:pPr>
              <w:jc w:val="center"/>
              <w:ind w:left="673"/>
              <w:spacing w:after="0" w:line="205" w:lineRule="exact"/>
              <w:rPr>
                <w:sz w:val="20"/>
                <w:szCs w:val="20"/>
                <w:color w:val="auto"/>
              </w:rPr>
            </w:pPr>
            <w:r>
              <w:rPr>
                <w:rFonts w:ascii="Times New Roman" w:cs="Times New Roman" w:eastAsia="Times New Roman" w:hAnsi="Times New Roman"/>
                <w:sz w:val="18"/>
                <w:szCs w:val="18"/>
                <w:color w:val="0000FF"/>
                <w:w w:val="96"/>
              </w:rPr>
              <w:t>128</w:t>
            </w:r>
          </w:p>
        </w:tc>
      </w:tr>
      <w:tr>
        <w:trPr>
          <w:trHeight w:val="20"/>
        </w:trPr>
        <w:tc>
          <w:tcPr>
            <w:tcW w:w="1220" w:type="dxa"/>
            <w:vAlign w:val="bottom"/>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5660" w:type="dxa"/>
            <w:vAlign w:val="bottom"/>
            <w:gridSpan w:val="18"/>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05"/>
        </w:trPr>
        <w:tc>
          <w:tcPr>
            <w:tcW w:w="1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Item 16.</w:t>
            </w:r>
          </w:p>
        </w:tc>
        <w:tc>
          <w:tcPr>
            <w:tcW w:w="3040" w:type="dxa"/>
            <w:vAlign w:val="bottom"/>
            <w:gridSpan w:val="13"/>
          </w:tcPr>
          <w:p>
            <w:pPr>
              <w:spacing w:after="0" w:line="205" w:lineRule="exact"/>
              <w:rPr>
                <w:sz w:val="20"/>
                <w:szCs w:val="20"/>
                <w:color w:val="auto"/>
              </w:rPr>
            </w:pPr>
            <w:r>
              <w:rPr>
                <w:rFonts w:ascii="Times New Roman" w:cs="Times New Roman" w:eastAsia="Times New Roman" w:hAnsi="Times New Roman"/>
                <w:sz w:val="18"/>
                <w:szCs w:val="18"/>
                <w:color w:val="0000FF"/>
              </w:rPr>
              <w:t>Form 10-K Summary</w:t>
            </w:r>
          </w:p>
        </w:tc>
        <w:tc>
          <w:tcPr>
            <w:tcW w:w="5660" w:type="dxa"/>
            <w:vAlign w:val="bottom"/>
            <w:gridSpan w:val="18"/>
          </w:tcPr>
          <w:p>
            <w:pPr>
              <w:spacing w:after="0"/>
              <w:rPr>
                <w:sz w:val="17"/>
                <w:szCs w:val="17"/>
                <w:color w:val="auto"/>
              </w:rPr>
            </w:pPr>
          </w:p>
        </w:tc>
        <w:tc>
          <w:tcPr>
            <w:tcW w:w="1060" w:type="dxa"/>
            <w:vAlign w:val="bottom"/>
            <w:gridSpan w:val="5"/>
          </w:tcPr>
          <w:p>
            <w:pPr>
              <w:jc w:val="center"/>
              <w:ind w:left="673"/>
              <w:spacing w:after="0" w:line="205" w:lineRule="exact"/>
              <w:rPr>
                <w:sz w:val="20"/>
                <w:szCs w:val="20"/>
                <w:color w:val="auto"/>
              </w:rPr>
            </w:pPr>
            <w:r>
              <w:rPr>
                <w:rFonts w:ascii="Times New Roman" w:cs="Times New Roman" w:eastAsia="Times New Roman" w:hAnsi="Times New Roman"/>
                <w:sz w:val="18"/>
                <w:szCs w:val="18"/>
                <w:color w:val="0000FF"/>
                <w:w w:val="96"/>
              </w:rPr>
              <w:t>132</w:t>
            </w:r>
          </w:p>
        </w:tc>
      </w:tr>
      <w:tr>
        <w:trPr>
          <w:trHeight w:val="20"/>
        </w:trPr>
        <w:tc>
          <w:tcPr>
            <w:tcW w:w="1220" w:type="dxa"/>
            <w:vAlign w:val="bottom"/>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7960" w:type="dxa"/>
            <w:vAlign w:val="bottom"/>
            <w:gridSpan w:val="29"/>
            <w:shd w:val="clear" w:color="auto" w:fill="0000FF"/>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05"/>
        </w:trPr>
        <w:tc>
          <w:tcPr>
            <w:tcW w:w="1220" w:type="dxa"/>
            <w:vAlign w:val="bottom"/>
          </w:tcPr>
          <w:p>
            <w:pPr>
              <w:spacing w:after="0"/>
              <w:rPr>
                <w:sz w:val="17"/>
                <w:szCs w:val="17"/>
                <w:color w:val="auto"/>
              </w:rPr>
            </w:pPr>
          </w:p>
        </w:tc>
        <w:tc>
          <w:tcPr>
            <w:tcW w:w="8700" w:type="dxa"/>
            <w:vAlign w:val="bottom"/>
            <w:gridSpan w:val="31"/>
          </w:tcPr>
          <w:p>
            <w:pPr>
              <w:spacing w:after="0" w:line="205" w:lineRule="exact"/>
              <w:rPr>
                <w:sz w:val="20"/>
                <w:szCs w:val="20"/>
                <w:color w:val="auto"/>
              </w:rPr>
            </w:pPr>
            <w:r>
              <w:rPr>
                <w:rFonts w:ascii="Times New Roman" w:cs="Times New Roman" w:eastAsia="Times New Roman" w:hAnsi="Times New Roman"/>
                <w:sz w:val="18"/>
                <w:szCs w:val="18"/>
                <w:color w:val="0000FF"/>
              </w:rPr>
              <w:t>Signatures</w:t>
            </w:r>
          </w:p>
        </w:tc>
        <w:tc>
          <w:tcPr>
            <w:tcW w:w="1060" w:type="dxa"/>
            <w:vAlign w:val="bottom"/>
            <w:gridSpan w:val="5"/>
          </w:tcPr>
          <w:p>
            <w:pPr>
              <w:jc w:val="center"/>
              <w:ind w:left="673"/>
              <w:spacing w:after="0" w:line="205" w:lineRule="exact"/>
              <w:rPr>
                <w:sz w:val="20"/>
                <w:szCs w:val="20"/>
                <w:color w:val="auto"/>
              </w:rPr>
            </w:pPr>
            <w:r>
              <w:rPr>
                <w:rFonts w:ascii="Times New Roman" w:cs="Times New Roman" w:eastAsia="Times New Roman" w:hAnsi="Times New Roman"/>
                <w:sz w:val="18"/>
                <w:szCs w:val="18"/>
                <w:color w:val="0000FF"/>
                <w:w w:val="96"/>
              </w:rPr>
              <w:t>133</w:t>
            </w:r>
          </w:p>
        </w:tc>
      </w:tr>
      <w:tr>
        <w:trPr>
          <w:trHeight w:val="20"/>
        </w:trPr>
        <w:tc>
          <w:tcPr>
            <w:tcW w:w="12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170180</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80"/>
          </w:cols>
          <w:pgMar w:left="340" w:top="1391" w:right="5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GLOSSARY</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As used in this Annual Report on Form 10-K (this “</w:t>
      </w:r>
      <w:r>
        <w:rPr>
          <w:rFonts w:ascii="Times New Roman" w:cs="Times New Roman" w:eastAsia="Times New Roman" w:hAnsi="Times New Roman"/>
          <w:sz w:val="18"/>
          <w:szCs w:val="18"/>
          <w:u w:val="single" w:color="auto"/>
          <w:color w:val="auto"/>
        </w:rPr>
        <w:t>Form 10-K</w:t>
      </w:r>
      <w:r>
        <w:rPr>
          <w:rFonts w:ascii="Times New Roman" w:cs="Times New Roman" w:eastAsia="Times New Roman" w:hAnsi="Times New Roman"/>
          <w:sz w:val="18"/>
          <w:szCs w:val="18"/>
          <w:color w:val="auto"/>
        </w:rPr>
        <w:t>”), the terms identified below have the meanings specified unless otherwise noted or the context indicates otherwise. References in this Form 10-K to “ZoomInfo Technologies Inc.” refer to ZoomInfo Technologies Inc. and not to any of its subsidiaries unless the context indicates otherwise. References in this Form 10-K to “ZoomInfo”, the “Company”, “we”, “us”, and “our” refer (1) prior to the consummation of the Reorganization Transactions, to ZoomInfo OpCo and its consolidated subsidiaries, (2) after the consummation of the Reorganization Transactions, to ZoomInfo Technologies Inc., and (3) after the consummation of the Holding Company Reorganization, to ZoomInfo Technologies Inc. (formerly known as ZoomInfo NewCo Inc.) and its consolidated subsidiaries unless the context indicates otherwise.</w:t>
      </w:r>
    </w:p>
    <w:p>
      <w:pPr>
        <w:spacing w:after="0" w:line="119" w:lineRule="exact"/>
        <w:rPr>
          <w:sz w:val="20"/>
          <w:szCs w:val="20"/>
          <w:color w:val="auto"/>
        </w:rPr>
      </w:pPr>
    </w:p>
    <w:p>
      <w:pPr>
        <w:ind w:left="640" w:hanging="316"/>
        <w:spacing w:after="0" w:line="257"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ACV</w:t>
      </w:r>
      <w:r>
        <w:rPr>
          <w:rFonts w:ascii="Times New Roman" w:cs="Times New Roman" w:eastAsia="Times New Roman" w:hAnsi="Times New Roman"/>
          <w:sz w:val="18"/>
          <w:szCs w:val="18"/>
          <w:color w:val="auto"/>
        </w:rPr>
        <w:t>” refers to annual contract value, or the total annualized value that a customer has agreed to pay for subscription services at any particular point in time under contract(s) that are or were enforceable at that point in time.</w:t>
      </w: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 Companies</w:t>
      </w:r>
      <w:r>
        <w:rPr>
          <w:rFonts w:ascii="Times New Roman" w:cs="Times New Roman" w:eastAsia="Times New Roman" w:hAnsi="Times New Roman"/>
          <w:sz w:val="18"/>
          <w:szCs w:val="18"/>
          <w:color w:val="auto"/>
        </w:rPr>
        <w:t>” refers to certain of our Pre-IPO OpCo Unitholders that are taxable as corporations for U.S. federal income tax purposes.</w:t>
      </w:r>
    </w:p>
    <w:p>
      <w:pPr>
        <w:spacing w:after="0" w:line="5" w:lineRule="exact"/>
        <w:rPr>
          <w:rFonts w:ascii="Times New Roman" w:cs="Times New Roman" w:eastAsia="Times New Roman" w:hAnsi="Times New Roman"/>
          <w:sz w:val="18"/>
          <w:szCs w:val="18"/>
          <w:color w:val="auto"/>
        </w:rPr>
      </w:pPr>
    </w:p>
    <w:p>
      <w:pPr>
        <w:ind w:left="640" w:right="20" w:hanging="316"/>
        <w:spacing w:after="0" w:line="245"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 Mergers</w:t>
      </w:r>
      <w:r>
        <w:rPr>
          <w:rFonts w:ascii="Times New Roman" w:cs="Times New Roman" w:eastAsia="Times New Roman" w:hAnsi="Times New Roman"/>
          <w:sz w:val="18"/>
          <w:szCs w:val="18"/>
          <w:color w:val="auto"/>
        </w:rPr>
        <w:t>” refers to the mergers described under “Reorganization Transactions” in Note 1 to our audited consolidated financial statements included in Part II, Item 8 of this Form 10-K.</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Carlyle</w:t>
      </w:r>
      <w:r>
        <w:rPr>
          <w:rFonts w:ascii="Times New Roman" w:cs="Times New Roman" w:eastAsia="Times New Roman" w:hAnsi="Times New Roman"/>
          <w:sz w:val="18"/>
          <w:szCs w:val="18"/>
          <w:color w:val="auto"/>
        </w:rPr>
        <w:t>” refers to investment funds associated with The Carlyle Group.</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P Units</w:t>
      </w:r>
      <w:r>
        <w:rPr>
          <w:rFonts w:ascii="Times New Roman" w:cs="Times New Roman" w:eastAsia="Times New Roman" w:hAnsi="Times New Roman"/>
          <w:sz w:val="18"/>
          <w:szCs w:val="18"/>
          <w:color w:val="auto"/>
        </w:rPr>
        <w:t>” refers to Class P Units (including, without limitation, any indirectly held Class P Units) of ZoomInfo OpCo.</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Option</w:t>
      </w:r>
      <w:r>
        <w:rPr>
          <w:rFonts w:ascii="Times New Roman" w:cs="Times New Roman" w:eastAsia="Times New Roman" w:hAnsi="Times New Roman"/>
          <w:sz w:val="18"/>
          <w:szCs w:val="18"/>
          <w:color w:val="auto"/>
        </w:rPr>
        <w:t>” refers to an award granted under Section 7 of the 2020 Omnibus Incentive Plan.</w:t>
      </w:r>
    </w:p>
    <w:p>
      <w:pPr>
        <w:spacing w:after="0" w:line="5"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Class P Unitholders</w:t>
      </w:r>
      <w:r>
        <w:rPr>
          <w:rFonts w:ascii="Times New Roman" w:cs="Times New Roman" w:eastAsia="Times New Roman" w:hAnsi="Times New Roman"/>
          <w:sz w:val="18"/>
          <w:szCs w:val="18"/>
          <w:color w:val="auto"/>
        </w:rPr>
        <w:t>” refers to certain Pre-IPO Owners who continued to hold Class P Units following the consummation of the Reorganization Transactions and the IPO.</w:t>
      </w:r>
    </w:p>
    <w:p>
      <w:pPr>
        <w:spacing w:after="0" w:line="1"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Members</w:t>
      </w:r>
      <w:r>
        <w:rPr>
          <w:rFonts w:ascii="Times New Roman" w:cs="Times New Roman" w:eastAsia="Times New Roman" w:hAnsi="Times New Roman"/>
          <w:sz w:val="18"/>
          <w:szCs w:val="18"/>
          <w:color w:val="auto"/>
        </w:rPr>
        <w:t>” refers to Pre-IPO Owners who continued to hold HoldCo Units or OpCo Units following the Reorganization Transactions and the IPO.</w:t>
      </w:r>
    </w:p>
    <w:p>
      <w:pPr>
        <w:spacing w:after="0" w:line="1" w:lineRule="exact"/>
        <w:rPr>
          <w:rFonts w:ascii="Times New Roman" w:cs="Times New Roman" w:eastAsia="Times New Roman" w:hAnsi="Times New Roman"/>
          <w:sz w:val="18"/>
          <w:szCs w:val="18"/>
          <w:color w:val="auto"/>
        </w:rPr>
      </w:pPr>
    </w:p>
    <w:p>
      <w:pPr>
        <w:ind w:left="640" w:hanging="316"/>
        <w:spacing w:after="0" w:line="260"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Customers</w:t>
      </w:r>
      <w:r>
        <w:rPr>
          <w:rFonts w:ascii="Times New Roman" w:cs="Times New Roman" w:eastAsia="Times New Roman" w:hAnsi="Times New Roman"/>
          <w:sz w:val="17"/>
          <w:szCs w:val="17"/>
          <w:color w:val="auto"/>
        </w:rPr>
        <w:t>” refers to companies that have contracted with us to use our services and, at the time of measurement, maintain one or more active paid subscriptions to our platform. Paid subscriptions will generally include access for a number of employees or other affiliated persons of the customer.</w:t>
      </w: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ESPP</w:t>
      </w:r>
      <w:r>
        <w:rPr>
          <w:rFonts w:ascii="Times New Roman" w:cs="Times New Roman" w:eastAsia="Times New Roman" w:hAnsi="Times New Roman"/>
          <w:sz w:val="18"/>
          <w:szCs w:val="18"/>
          <w:color w:val="auto"/>
        </w:rPr>
        <w:t>” refers to the ZoomInfo Technologies Inc. 2020 Employee Stock Purchase Plan.</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Tax Receivable Agreement</w:t>
      </w:r>
      <w:r>
        <w:rPr>
          <w:rFonts w:ascii="Times New Roman" w:cs="Times New Roman" w:eastAsia="Times New Roman" w:hAnsi="Times New Roman"/>
          <w:sz w:val="18"/>
          <w:szCs w:val="18"/>
          <w:color w:val="auto"/>
        </w:rPr>
        <w:t>” refers to the tax receivable agreement entered into with certain Pre-IPO OpCo Unitholders.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Founders</w:t>
      </w:r>
      <w:r>
        <w:rPr>
          <w:rFonts w:ascii="Times New Roman" w:cs="Times New Roman" w:eastAsia="Times New Roman" w:hAnsi="Times New Roman"/>
          <w:sz w:val="18"/>
          <w:szCs w:val="18"/>
          <w:color w:val="auto"/>
        </w:rPr>
        <w:t>” refers to Henry Schuck, our Chief Executive Officer, and Kirk Brown.</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HoldCo Units</w:t>
      </w:r>
      <w:r>
        <w:rPr>
          <w:rFonts w:ascii="Times New Roman" w:cs="Times New Roman" w:eastAsia="Times New Roman" w:hAnsi="Times New Roman"/>
          <w:sz w:val="18"/>
          <w:szCs w:val="18"/>
          <w:color w:val="auto"/>
        </w:rPr>
        <w:t>” refers to the class of units of ZoomInfo HoldCo.</w:t>
      </w:r>
    </w:p>
    <w:p>
      <w:pPr>
        <w:spacing w:after="0" w:line="5" w:lineRule="exact"/>
        <w:rPr>
          <w:rFonts w:ascii="Times New Roman" w:cs="Times New Roman" w:eastAsia="Times New Roman" w:hAnsi="Times New Roman"/>
          <w:sz w:val="18"/>
          <w:szCs w:val="18"/>
          <w:color w:val="auto"/>
        </w:rPr>
      </w:pPr>
    </w:p>
    <w:p>
      <w:pPr>
        <w:ind w:left="640" w:hanging="316"/>
        <w:spacing w:after="0" w:line="260"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Holding Company Reorganization</w:t>
      </w:r>
      <w:r>
        <w:rPr>
          <w:rFonts w:ascii="Times New Roman" w:cs="Times New Roman" w:eastAsia="Times New Roman" w:hAnsi="Times New Roman"/>
          <w:sz w:val="17"/>
          <w:szCs w:val="17"/>
          <w:color w:val="auto"/>
        </w:rPr>
        <w:t>” refers to the transactions described under “UP-C Corporate Structure and Multi-Class Voting Structure Elimination” in Note 1 - Organization and Background to our audited consolidated financial statements included in Part II, Item 8 of this Form 10-K.</w:t>
      </w:r>
    </w:p>
    <w:p>
      <w:pPr>
        <w:ind w:left="640" w:hanging="316"/>
        <w:spacing w:after="0" w:line="245"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HSKB</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HSKB I</w:t>
      </w:r>
      <w:r>
        <w:rPr>
          <w:rFonts w:ascii="Times New Roman" w:cs="Times New Roman" w:eastAsia="Times New Roman" w:hAnsi="Times New Roman"/>
          <w:sz w:val="18"/>
          <w:szCs w:val="18"/>
          <w:color w:val="auto"/>
        </w:rPr>
        <w:t>” refers to HSKB Funds, LLC, a privately held limited liability company formed on February 9, 2016 for the purpose of issuing equity to certain persons who had performed and would continue to perform services for ZoomInfo OpCo.</w:t>
      </w:r>
    </w:p>
    <w:p>
      <w:pPr>
        <w:spacing w:after="0" w:line="1" w:lineRule="exact"/>
        <w:rPr>
          <w:rFonts w:ascii="Times New Roman" w:cs="Times New Roman" w:eastAsia="Times New Roman" w:hAnsi="Times New Roman"/>
          <w:sz w:val="18"/>
          <w:szCs w:val="18"/>
          <w:color w:val="auto"/>
        </w:rPr>
      </w:pPr>
    </w:p>
    <w:p>
      <w:pPr>
        <w:jc w:val="both"/>
        <w:ind w:left="640" w:hanging="316"/>
        <w:spacing w:after="0" w:line="245"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HSKB II</w:t>
      </w:r>
      <w:r>
        <w:rPr>
          <w:rFonts w:ascii="Times New Roman" w:cs="Times New Roman" w:eastAsia="Times New Roman" w:hAnsi="Times New Roman"/>
          <w:sz w:val="18"/>
          <w:szCs w:val="18"/>
          <w:color w:val="auto"/>
        </w:rPr>
        <w:t>” refers to HSKB Funds II, LLC, a privately held limited liability company formed on May 28, 2020 for the purpose of effecting a reorganization of HSKB I at the time of the IPO and to issue equity to certain persons who had performed and would continue to perform services for ZoomInfo OpCo.</w:t>
      </w:r>
    </w:p>
    <w:p>
      <w:pPr>
        <w:spacing w:after="0" w:line="2"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refers to the initial public offering of Class A common stock of ZoomInfo Technologies Inc.</w:t>
      </w:r>
    </w:p>
    <w:p>
      <w:pPr>
        <w:spacing w:after="0" w:line="5"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LTIP Units</w:t>
      </w:r>
      <w:r>
        <w:rPr>
          <w:rFonts w:ascii="Times New Roman" w:cs="Times New Roman" w:eastAsia="Times New Roman" w:hAnsi="Times New Roman"/>
          <w:sz w:val="18"/>
          <w:szCs w:val="18"/>
          <w:color w:val="auto"/>
        </w:rPr>
        <w:t>” refers to a class of partnership units that are intended to qualify as “profit interests” in ZoomInfo OpCo for federal income tax purposes that, subject to certain conditions, including vesting, are convertible by the holder into OpCo Units.</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OpCo Units</w:t>
      </w:r>
      <w:r>
        <w:rPr>
          <w:rFonts w:ascii="Times New Roman" w:cs="Times New Roman" w:eastAsia="Times New Roman" w:hAnsi="Times New Roman"/>
          <w:sz w:val="18"/>
          <w:szCs w:val="18"/>
          <w:color w:val="auto"/>
        </w:rPr>
        <w:t>” refers to the class of units of ZoomInfo OpCo and does not include Class P Units.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Pre-Acquisition ZI</w:t>
      </w:r>
      <w:r>
        <w:rPr>
          <w:rFonts w:ascii="Times New Roman" w:cs="Times New Roman" w:eastAsia="Times New Roman" w:hAnsi="Times New Roman"/>
          <w:sz w:val="18"/>
          <w:szCs w:val="18"/>
          <w:color w:val="auto"/>
        </w:rPr>
        <w:t>” refers to Zoom Information Inc.</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Pre-IPO Blocker Holders</w:t>
      </w:r>
      <w:r>
        <w:rPr>
          <w:rFonts w:ascii="Times New Roman" w:cs="Times New Roman" w:eastAsia="Times New Roman" w:hAnsi="Times New Roman"/>
          <w:sz w:val="17"/>
          <w:szCs w:val="17"/>
          <w:color w:val="auto"/>
        </w:rPr>
        <w:t>” refers to the Pre-IPO Owners that held their interests in us through the Blocker Companies immediately prior to the IPO.</w:t>
      </w:r>
    </w:p>
    <w:p>
      <w:pPr>
        <w:spacing w:after="0" w:line="16" w:lineRule="exact"/>
        <w:rPr>
          <w:rFonts w:ascii="Times New Roman" w:cs="Times New Roman" w:eastAsia="Times New Roman" w:hAnsi="Times New Roman"/>
          <w:sz w:val="17"/>
          <w:szCs w:val="17"/>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Pre-IPO HoldCo Unitholders</w:t>
      </w:r>
      <w:r>
        <w:rPr>
          <w:rFonts w:ascii="Times New Roman" w:cs="Times New Roman" w:eastAsia="Times New Roman" w:hAnsi="Times New Roman"/>
          <w:sz w:val="18"/>
          <w:szCs w:val="18"/>
          <w:color w:val="auto"/>
        </w:rPr>
        <w:t>” refers to the Pre-IPO Owners that held HoldCo Units immediately prior to the IPO.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Pre-IPO OpCo Unitholders</w:t>
      </w:r>
      <w:r>
        <w:rPr>
          <w:rFonts w:ascii="Times New Roman" w:cs="Times New Roman" w:eastAsia="Times New Roman" w:hAnsi="Times New Roman"/>
          <w:sz w:val="18"/>
          <w:szCs w:val="18"/>
          <w:color w:val="auto"/>
        </w:rPr>
        <w:t>” refers to the Pre-IPO Owners that held OpCo Units immediately prior to the IPO.</w:t>
      </w:r>
    </w:p>
    <w:p>
      <w:pPr>
        <w:spacing w:after="0" w:line="24"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Pre-IPO Owners</w:t>
      </w:r>
      <w:r>
        <w:rPr>
          <w:rFonts w:ascii="Times New Roman" w:cs="Times New Roman" w:eastAsia="Times New Roman" w:hAnsi="Times New Roman"/>
          <w:sz w:val="18"/>
          <w:szCs w:val="18"/>
          <w:color w:val="auto"/>
        </w:rPr>
        <w:t>” refers collectively to the Sponsors, the Founders, and the management and other equity holders who were the owners of ZoomInfo OpCo immediately prior to the Reorganization Transactions.</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Reorganization Tax Receivable Agreement</w:t>
      </w:r>
      <w:r>
        <w:rPr>
          <w:rFonts w:ascii="Times New Roman" w:cs="Times New Roman" w:eastAsia="Times New Roman" w:hAnsi="Times New Roman"/>
          <w:sz w:val="18"/>
          <w:szCs w:val="18"/>
          <w:color w:val="auto"/>
        </w:rPr>
        <w:t>” refers to the tax receivable agreement entered into with the Pre-IPO Blocker Holders.</w:t>
      </w:r>
    </w:p>
    <w:p>
      <w:pPr>
        <w:spacing w:after="0" w:line="5"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Reorganization Transactions</w:t>
      </w:r>
      <w:r>
        <w:rPr>
          <w:rFonts w:ascii="Times New Roman" w:cs="Times New Roman" w:eastAsia="Times New Roman" w:hAnsi="Times New Roman"/>
          <w:sz w:val="18"/>
          <w:szCs w:val="18"/>
          <w:color w:val="auto"/>
        </w:rPr>
        <w:t>” refers to the transactions described under “Reorganization Transactions” in Note 1 to our audited consolidated financial statements included in Part II, Item 8 of this Form 10-K.</w:t>
      </w:r>
    </w:p>
    <w:p>
      <w:pPr>
        <w:spacing w:after="0" w:line="1" w:lineRule="exact"/>
        <w:rPr>
          <w:rFonts w:ascii="Times New Roman" w:cs="Times New Roman" w:eastAsia="Times New Roman" w:hAnsi="Times New Roman"/>
          <w:sz w:val="18"/>
          <w:szCs w:val="18"/>
          <w:color w:val="auto"/>
        </w:rPr>
      </w:pPr>
    </w:p>
    <w:p>
      <w:pPr>
        <w:jc w:val="both"/>
        <w:ind w:left="640" w:hanging="316"/>
        <w:spacing w:after="0" w:line="245"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refers to our common stock, subject to certain specified restrictions (which may include, without limitation, a requirement that the recipient remain continuously employed or provide continuous services for a specified period of time), granted under Section 8 of the 2020 Omnibus Incentive Plan.</w:t>
      </w:r>
    </w:p>
    <w:p>
      <w:pPr>
        <w:spacing w:after="0" w:line="2" w:lineRule="exact"/>
        <w:rPr>
          <w:rFonts w:ascii="Times New Roman" w:cs="Times New Roman" w:eastAsia="Times New Roman" w:hAnsi="Times New Roman"/>
          <w:sz w:val="18"/>
          <w:szCs w:val="18"/>
          <w:color w:val="auto"/>
        </w:rPr>
      </w:pPr>
    </w:p>
    <w:p>
      <w:pPr>
        <w:jc w:val="both"/>
        <w:ind w:left="640" w:hanging="316"/>
        <w:spacing w:after="0" w:line="245"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 Unit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RSU</w:t>
      </w:r>
      <w:r>
        <w:rPr>
          <w:rFonts w:ascii="Times New Roman" w:cs="Times New Roman" w:eastAsia="Times New Roman" w:hAnsi="Times New Roman"/>
          <w:sz w:val="18"/>
          <w:szCs w:val="18"/>
          <w:color w:val="auto"/>
        </w:rPr>
        <w:t>” refers to an unfunded and unsecured promise to deliver shares of our common stock, cash, other securities or other property, subject to certain restrictions (which may include, without limitation, a requirement that the recipient remain continuously employed or provide continuous services for a specified period of time), granted under Section 8 of the 2020 Omnibus Incentive Plan.</w:t>
      </w:r>
    </w:p>
    <w:p>
      <w:pPr>
        <w:spacing w:after="0" w:line="2"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SaaS</w:t>
      </w:r>
      <w:r>
        <w:rPr>
          <w:rFonts w:ascii="Times New Roman" w:cs="Times New Roman" w:eastAsia="Times New Roman" w:hAnsi="Times New Roman"/>
          <w:sz w:val="18"/>
          <w:szCs w:val="18"/>
          <w:color w:val="auto"/>
        </w:rPr>
        <w:t>” refers to the Software as a Service.</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refers to the Securities Act of 1933, as amended.</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refers to Secured Overnight Financing Rate.</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Sponsors</w:t>
      </w:r>
      <w:r>
        <w:rPr>
          <w:rFonts w:ascii="Times New Roman" w:cs="Times New Roman" w:eastAsia="Times New Roman" w:hAnsi="Times New Roman"/>
          <w:sz w:val="18"/>
          <w:szCs w:val="18"/>
          <w:color w:val="auto"/>
        </w:rPr>
        <w:t>” refers collectively to TA Associates, Carlyle, and investment funds associated with 22C Capital LLC and its predecessor.</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 Associates</w:t>
      </w:r>
      <w:r>
        <w:rPr>
          <w:rFonts w:ascii="Times New Roman" w:cs="Times New Roman" w:eastAsia="Times New Roman" w:hAnsi="Times New Roman"/>
          <w:sz w:val="18"/>
          <w:szCs w:val="18"/>
          <w:color w:val="auto"/>
        </w:rPr>
        <w:t>” refers to investment funds associated with TA Associates.</w:t>
      </w:r>
    </w:p>
    <w:p>
      <w:pPr>
        <w:spacing w:after="0" w:line="5"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Receivable Agreements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TRA</w:t>
      </w:r>
      <w:r>
        <w:rPr>
          <w:rFonts w:ascii="Times New Roman" w:cs="Times New Roman" w:eastAsia="Times New Roman" w:hAnsi="Times New Roman"/>
          <w:sz w:val="18"/>
          <w:szCs w:val="18"/>
          <w:color w:val="auto"/>
        </w:rPr>
        <w:t>” refers collectively to the Exchange Tax Receivable Agreement and the Reorganization Tax Receivable Agreement.</w:t>
      </w:r>
    </w:p>
    <w:p>
      <w:pPr>
        <w:spacing w:after="0" w:line="1"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ZoomInfo HoldCo</w:t>
      </w:r>
      <w:r>
        <w:rPr>
          <w:rFonts w:ascii="Times New Roman" w:cs="Times New Roman" w:eastAsia="Times New Roman" w:hAnsi="Times New Roman"/>
          <w:sz w:val="18"/>
          <w:szCs w:val="18"/>
          <w:color w:val="auto"/>
        </w:rPr>
        <w:t>” refers to ZoomInfo Intermediate Holdings LLC, a Delaware limited liability company, and a direct subsidiary of ZoomInfo Technologies Inc.</w:t>
      </w:r>
    </w:p>
    <w:p>
      <w:pPr>
        <w:spacing w:after="0" w:line="1"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ZoomInfo Intermediate</w:t>
      </w:r>
      <w:r>
        <w:rPr>
          <w:rFonts w:ascii="Times New Roman" w:cs="Times New Roman" w:eastAsia="Times New Roman" w:hAnsi="Times New Roman"/>
          <w:sz w:val="18"/>
          <w:szCs w:val="18"/>
          <w:color w:val="auto"/>
        </w:rPr>
        <w:t>” refers to ZoomInfo Intermediate Inc. (formerly known as ZoomInfo Technologies Inc.), a Delaware corporation, and a direct subsidiary of ZoomInfo Technologies Inc. (formerly known as ZoomInfo NewCo Inc.).</w:t>
      </w:r>
    </w:p>
    <w:p>
      <w:pPr>
        <w:spacing w:after="0" w:line="1"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ZoomInfo OpCo</w:t>
      </w:r>
      <w:r>
        <w:rPr>
          <w:rFonts w:ascii="Times New Roman" w:cs="Times New Roman" w:eastAsia="Times New Roman" w:hAnsi="Times New Roman"/>
          <w:sz w:val="18"/>
          <w:szCs w:val="18"/>
          <w:color w:val="auto"/>
        </w:rPr>
        <w:t>” refers to ZoomInfo Holdings LLC (formerly known as DiscoverOrg Holdings, LLC), a Delaware limited liability company, and a direct subsidiary of ZoomInfo HoldCo and indirect subsidiary of ZoomInfo Technologies Inc.</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ZoomInfo Tax Group</w:t>
      </w:r>
      <w:r>
        <w:rPr>
          <w:rFonts w:ascii="Times New Roman" w:cs="Times New Roman" w:eastAsia="Times New Roman" w:hAnsi="Times New Roman"/>
          <w:sz w:val="17"/>
          <w:szCs w:val="17"/>
          <w:color w:val="auto"/>
        </w:rPr>
        <w:t>" refers to, collectively, ZoomInfo Intermediate or any member of its affiliated, consolidated, combined, or unitary tax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66"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From time to time we make statements concerning our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This Annual Report on Form 10-K contains forward-looking statements that reflect our current views with respect to, among other things, our operations and financial performance. These forward-looking statements are included throughout this Annual Report on Form 10-K, including in the sections entitled “Business”, “Risk Factors”, and “Management’s Discussion and Analysis of Financial Condition and Results of Operations”, and relate to matters such as our industry, business strategy, goals and expectations concerning our market position, future operations, margins, profitability, capital expenditures, liquidity and capital resources and other financial and operating information. In some cases, you can identify these forward-looking statements by the use of words such as “anticipate,” “believe,” “can”, “continue”, “could”, “estimate”, “expect”, “forecast”, “goal”, “intend”, “may”, “might”, “objective”, “outlook”, “plan”, “potential”, “predict”, “projection”, “seek”, “should”, “target”, “trend”, “will”, “would” or the negative version of these words or other comparable words.</w:t>
      </w:r>
    </w:p>
    <w:p>
      <w:pPr>
        <w:spacing w:after="0" w:line="14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have based our forward-looking statements on beliefs and assumptions based on information available to us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w:t>
      </w:r>
    </w:p>
    <w:p>
      <w:pPr>
        <w:spacing w:after="0" w:line="12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 summary of some of the factors that could cause actual results to differ from those expressed or implied by our forward-looking statements, including forward-looking statements contained in this Annual Report on Form 10-K, is provided below under “Risk Factor Summary.” These factors should not be construed as exhaustive and should be read in conjunction with the other cautionary statements that are included in this Annual Report on Form 10-K and our other filings with the Securities and Exchange Commission (“SEC”). Should one or more of these risks or uncertainties materialize, or should any of our assumptions prove incorrect, our actual results may vary in material respects from those projected in these forward-looking statements. Factors or events that could cause our actual results to differ may emerge from time to time, and it is not possible for us to predict all of them. Our forward-looking statements do not reflect the potential impact of any future acquisitions, mergers, dispositions, joint ventures, investments, or other strategic transactions we may make. You should not place undue reliance on our forward-looking statements.</w:t>
      </w:r>
    </w:p>
    <w:p>
      <w:pPr>
        <w:spacing w:after="0" w:line="13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Each forward-looking statement speaks only as of the date of the particular statement, and we undertake no obligation to update or revise any forward-looking statements whether as a result of new information, future developments or otherwise, except as required by law.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are subject to various risks that could have a material adverse impact on our financial position, results of operations or cash flows. The following is a summary of the principal factors that make investing in our securities risky and may cause our actual results to differ materially from forward-looking statements included in this Annual Report on Form 10-K. The following is only a summary of the principal risks that may have a material adverse effect on our business, financial condition, results of operations and cash flows and should be read in conjunction with the more complete discussion of the risk factors we face, which are set forth in the section entitled “Risk Factors” in Part I, Item 1A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168" w:lineRule="exact"/>
        <w:rPr>
          <w:sz w:val="20"/>
          <w:szCs w:val="20"/>
          <w:color w:val="auto"/>
        </w:rPr>
      </w:pPr>
    </w:p>
    <w:p>
      <w:pPr>
        <w:ind w:left="640" w:hanging="316"/>
        <w:spacing w:after="0" w:line="257"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potential customers may reduce spending on sales, marketing, recruiting and other technology and information as a result of weaker economic conditions, which could harm our revenue, results of operations, and cash flows;</w:t>
      </w:r>
    </w:p>
    <w:p>
      <w:pPr>
        <w:ind w:left="640" w:hanging="316"/>
        <w:spacing w:after="0" w:line="245"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attract new customers, renew existing subscriptions, or expand existing subscriptions, which could harm our revenue growth and profitability;</w:t>
      </w:r>
    </w:p>
    <w:p>
      <w:pPr>
        <w:spacing w:after="0" w:line="1"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obtain and maintain accurate, comprehensive, or reliable data, we could experience reduced demand for our products and services and have an adverse effect on our business, results of operations, and financial condition;</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well-funded companies with significant resources may shift their existing business models to become more competitive with us;</w:t>
      </w:r>
    </w:p>
    <w:p>
      <w:pPr>
        <w:spacing w:after="0" w:line="5"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experience competition from other companies and technologies that allow companies to gather and aggregate sales, marketing, recruiting, and other data, and competing products and services could provide greater appeal to customers;</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in which we compete are rapidly evolving, which make it difficult to forecast demand for our services;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 integrates or otherwise works with third-party systems that we do not control;</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negatively affected by changes in search engine algorithms and dynamics or other traffic-generating arrangements;</w:t>
      </w:r>
    </w:p>
    <w:p>
      <w:pPr>
        <w:spacing w:after="0" w:line="5"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executive officers and other key employees, and the loss of or inability to attract, integrate and retain these and other highly skilled employees could harm our business;</w:t>
      </w:r>
    </w:p>
    <w:p>
      <w:pPr>
        <w:spacing w:after="0" w:line="1"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upgrade, or implement adequate operational and financial resources, including our IT systems, we may be unable to execute our business plan; and</w:t>
      </w:r>
    </w:p>
    <w:p>
      <w:pPr>
        <w:spacing w:after="0" w:line="1" w:lineRule="exact"/>
        <w:rPr>
          <w:rFonts w:ascii="Times New Roman" w:cs="Times New Roman" w:eastAsia="Times New Roman" w:hAnsi="Times New Roman"/>
          <w:sz w:val="18"/>
          <w:szCs w:val="18"/>
          <w:color w:val="auto"/>
        </w:rPr>
      </w:pPr>
    </w:p>
    <w:p>
      <w:pPr>
        <w:ind w:left="640" w:hanging="316"/>
        <w:spacing w:after="0" w:line="251"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successfully integrate acquired businesses, services, databases, and technologies into our operations, which could have an adverse effect on our business.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Privacy, Technology, and Security</w:t>
      </w:r>
    </w:p>
    <w:p>
      <w:pPr>
        <w:spacing w:after="0" w:line="168" w:lineRule="exact"/>
        <w:rPr>
          <w:sz w:val="20"/>
          <w:szCs w:val="20"/>
          <w:color w:val="auto"/>
        </w:rPr>
      </w:pPr>
    </w:p>
    <w:p>
      <w:pPr>
        <w:jc w:val="both"/>
        <w:ind w:left="640" w:hanging="316"/>
        <w:spacing w:after="0" w:line="253"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and public perception concerning data privacy, or changes in the patterns of enforcement of existing laws and regulations, could impact our ability to efficiently gather, process, update, and/or provide some or all of the information we currently provide or the ability of our customers and users to use some or all of our products or services;</w:t>
      </w:r>
    </w:p>
    <w:p>
      <w:pPr>
        <w:ind w:left="640" w:hanging="316"/>
        <w:spacing w:after="0" w:line="245"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litigation for any of a variety of claims, which could harm our reputation and adversely affect our business, results of operations, and financial condition;</w:t>
      </w:r>
    </w:p>
    <w:p>
      <w:pPr>
        <w:spacing w:after="0" w:line="1" w:lineRule="exact"/>
        <w:rPr>
          <w:rFonts w:ascii="Times New Roman" w:cs="Times New Roman" w:eastAsia="Times New Roman" w:hAnsi="Times New Roman"/>
          <w:sz w:val="18"/>
          <w:szCs w:val="18"/>
          <w:color w:val="auto"/>
        </w:rPr>
      </w:pPr>
    </w:p>
    <w:p>
      <w:pPr>
        <w:jc w:val="both"/>
        <w:ind w:left="640" w:hanging="316"/>
        <w:spacing w:after="0" w:line="245"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 changing laws and regulations may diminish the demand for our platform, restrict access to our platform, constrain the range of services we can provide, or require us to disclose or provide access to information in our possession, which could harm our business, results of operations, and financial condition;</w:t>
      </w:r>
    </w:p>
    <w:p>
      <w:pPr>
        <w:spacing w:after="0" w:line="2"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adequately protect or enforce our proprietary and intellectual property rights in our data or technology;</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our artificial intelligence (“AI”) capability introduces risks, which, if realized, could adversely impact our business;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Third-parties could use our products and services in a manner that is unlawful or contrary to our values or applicable law;</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and security vulnerabilities could result in serious harm to our reputation, business, and financial condition; and</w:t>
      </w:r>
    </w:p>
    <w:p>
      <w:pPr>
        <w:spacing w:after="0" w:line="5" w:lineRule="exact"/>
        <w:rPr>
          <w:rFonts w:ascii="Times New Roman" w:cs="Times New Roman" w:eastAsia="Times New Roman" w:hAnsi="Times New Roman"/>
          <w:sz w:val="18"/>
          <w:szCs w:val="18"/>
          <w:color w:val="auto"/>
        </w:rPr>
      </w:pPr>
    </w:p>
    <w:p>
      <w:pPr>
        <w:ind w:left="640" w:hanging="316"/>
        <w:spacing w:after="0" w:line="251"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problems or disruptions that affect either our customers’ ability to access our services could damage our reputation and brands and lead to reduced demand for our products and services, lower revenues, and increased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Credit and Financial Factors</w:t>
      </w:r>
    </w:p>
    <w:p>
      <w:pPr>
        <w:spacing w:after="0" w:line="168" w:lineRule="exact"/>
        <w:rPr>
          <w:sz w:val="20"/>
          <w:szCs w:val="20"/>
          <w:color w:val="auto"/>
        </w:rPr>
      </w:pPr>
    </w:p>
    <w:p>
      <w:pPr>
        <w:ind w:left="640" w:hanging="316"/>
        <w:spacing w:after="0" w:line="257"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 revenue from sales of subscriptions to our platform and data, and any decline in demand for the types of products and services we offer would negatively impact our business;</w:t>
      </w:r>
    </w:p>
    <w:p>
      <w:pPr>
        <w:ind w:left="640" w:hanging="316"/>
        <w:spacing w:after="0" w:line="245"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raise additional capital or generate cash flows necessary to expand our operations and invest in new technologies in the future could reduce our ability to compete successfully and harm our results of operations;</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Downturns or upturns in new sales and renewals are not immediately reflected in full within our results of operations;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anticipate increasing operating expenses in the future, and we may not be able to maintain profitability;</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indebtedness could adversely affect our financial position and our ability to raise additional capital and prevent us from fulfilling our obligations;</w:t>
      </w:r>
    </w:p>
    <w:p>
      <w:pPr>
        <w:spacing w:after="0" w:line="16" w:lineRule="exact"/>
        <w:rPr>
          <w:rFonts w:ascii="Times New Roman" w:cs="Times New Roman" w:eastAsia="Times New Roman" w:hAnsi="Times New Roman"/>
          <w:sz w:val="17"/>
          <w:szCs w:val="17"/>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generate sufficient cash to service all of our indebtedness;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fluctuations may affect our results of operations and financial condition;</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credit and other ratings could adversely impact our operations and lower our profitability;</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our effective tax rate and additional tax liabilities may impact our financial results; and</w:t>
      </w:r>
    </w:p>
    <w:p>
      <w:pPr>
        <w:spacing w:after="0" w:line="5" w:lineRule="exact"/>
        <w:rPr>
          <w:rFonts w:ascii="Times New Roman" w:cs="Times New Roman" w:eastAsia="Times New Roman" w:hAnsi="Times New Roman"/>
          <w:sz w:val="18"/>
          <w:szCs w:val="18"/>
          <w:color w:val="auto"/>
        </w:rPr>
      </w:pPr>
    </w:p>
    <w:p>
      <w:pPr>
        <w:ind w:left="640" w:hanging="316"/>
        <w:spacing w:after="0" w:line="251"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regulations in the various tax jurisdictions we are subject to that are applied adversely to us or our paying customers could increase the costs of our products and services and harm our business.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Geopolitical Factors</w:t>
      </w:r>
    </w:p>
    <w:p>
      <w:pPr>
        <w:spacing w:after="0" w:line="168" w:lineRule="exact"/>
        <w:rPr>
          <w:sz w:val="20"/>
          <w:szCs w:val="20"/>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and sales outside the United States expose us to risks inherent in international operations; and</w:t>
      </w:r>
    </w:p>
    <w:p>
      <w:pPr>
        <w:spacing w:after="0" w:line="24" w:lineRule="exact"/>
        <w:rPr>
          <w:rFonts w:ascii="Times New Roman" w:cs="Times New Roman" w:eastAsia="Times New Roman" w:hAnsi="Times New Roman"/>
          <w:sz w:val="18"/>
          <w:szCs w:val="18"/>
          <w:color w:val="auto"/>
        </w:rPr>
      </w:pPr>
    </w:p>
    <w:p>
      <w:pPr>
        <w:jc w:val="both"/>
        <w:ind w:left="640" w:hanging="316"/>
        <w:spacing w:after="0" w:line="248"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uncertainty and catastrophic events, including global pandemics such as the COVID-19 pandemic, continued hostilities such as those between Russia and Ukraine, and Israel and Hamas, have and may disrupt our business and adversely impact our business and future results of operations and financial condition.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Organizational Structure and Ownership of Our Common Stock</w:t>
      </w:r>
    </w:p>
    <w:p>
      <w:pPr>
        <w:spacing w:after="0" w:line="168" w:lineRule="exact"/>
        <w:rPr>
          <w:sz w:val="20"/>
          <w:szCs w:val="20"/>
          <w:color w:val="auto"/>
        </w:rPr>
      </w:pPr>
    </w:p>
    <w:p>
      <w:pPr>
        <w:ind w:left="640" w:hanging="316"/>
        <w:spacing w:after="0" w:line="257"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structure and our tax receivable agreements may restrict our ability to make certain payments, increase the costs to consummate certain transactions, and limit our ability to realize the value the certain tax attributes; and</w:t>
      </w: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our stockholders agreement have special rights and interests that may conflict with ours or yours in the future.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Disclosure</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intends to use its website as a distribution channel of material company information. Financial and other important information regarding the Company is routinely posted on and accessible through the Company’s website at https://ir.zoominfo.com. Accordingly, you should monitor the investor relations portion of our website at https://ir.zoominfo.com/ in addition to following our press releases, SEC filings, and public conference calls and webcasts (which are not incorporated herein or otherwise a part of this Annual Report on Form 10-K). In addition, you may automatically receive email alerts and other information about the Company when you enroll your email address by visiting the “Email Alerts” section of our investor relations page at https://ir.zoominfo.com. The information on our website is not incorporated herein or otherwise a part of this Annual Report on Form 10-K.</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References herein to the Company being a leader in a market or product category refer to our belief that we have a leading market share position in each specified market, unless the context otherwise requires.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ZoomInfo, formerly known as DiscoverOrg, was co-founded in 2007 by our chief executive officer (“CEO”), Henry Schuck. DiscoverOrg achieved significant organic growth since its founding and acquired Zoom Information, Inc. (“Pre-Acquisition ZI”) in February 2019 to further expand the breadth of our go-to-market intelligence, industry coverage, and addressable market opportunity. The combined business was incorporated as the former ZoomInfo Technologies Inc. (now ZoomInfo Intermediate Inc.) on November 14, 2019 for the purposes of facilitating an IPO. On June 8, 2020, ZoomInfo completed the IPO.</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October 29, 2021, ZoomInfo implemented a holding company reorganization in which ZoomInfo NewCo Inc., which subsequently was renamed “ZoomInfo Technologies Inc.,” became the successor registrant to its subsidiary, ZoomInfo Technologies Inc., which subsequently changed its name to “ZoomInfo Intermediate Inc.”.</w:t>
      </w:r>
    </w:p>
    <w:p>
      <w:pPr>
        <w:spacing w:after="0" w:line="12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corporate headquarters are located in Vancouver, Washington. The Company has additional offices in Waltham, Massachusetts; Bethesda, Maryland; Conshohocken, Pennsylvania; Grand Rapids, Michigan; San Francisco, California; Ra’anana, Israel; Toronto, Canada; Chennai, India; and London, England. Our primary website address is https://www.zoominfo.com. The information on our website is not incorporated herein or otherwise a part of this Annual Report on Form 10-K.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ZoomInfo is a global leader in modern go-to-market software, data, and intelligence for sales, marketing, operations, and recruiting teams. RevOS – our modern, cloud-based operating system for revenue professionals – delivers comprehensive and high-quality intelligence and analytics to provide sales, marketing, operations, and recruiting professionals accurate information and insights on the organizations and professionals they target. This enables our customers to shorten sales cycles and increase win rates by empowering sellers, marketers, and recruiters to deliver the right message to the right person at the right time.</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ZoomInfo defines the modern go-to-market technology stack across three distinct layers that build upon each other:</w:t>
      </w:r>
    </w:p>
    <w:p>
      <w:pPr>
        <w:spacing w:after="0" w:line="164" w:lineRule="exact"/>
        <w:rPr>
          <w:sz w:val="20"/>
          <w:szCs w:val="20"/>
          <w:color w:val="auto"/>
        </w:rPr>
      </w:pPr>
    </w:p>
    <w:p>
      <w:pPr>
        <w:ind w:left="640" w:hanging="316"/>
        <w:spacing w:after="0" w:line="274"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Intelligence Layer is the foundation of our data-driven strategy. Our best-in-class data, curated through first- and third-party sources, includes billions of data points about companies and contacts, such as intent, hierarchy, location, technographic, and financial information.</w:t>
      </w:r>
    </w:p>
    <w:p>
      <w:pPr>
        <w:spacing w:after="0" w:line="11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Orchestration Layer integrates and enriches our data sources. At this stage, our products assign and route data, leads, and insights to the appropriate people. This creates a dataset that is continuously updated and can be used to power automated business workflows. Our services connect with major customer relationship management (“CRM”) system providers.</w:t>
      </w:r>
    </w:p>
    <w:p>
      <w:pPr>
        <w:spacing w:after="0" w:line="124" w:lineRule="exact"/>
        <w:rPr>
          <w:rFonts w:ascii="Times New Roman" w:cs="Times New Roman" w:eastAsia="Times New Roman" w:hAnsi="Times New Roman"/>
          <w:sz w:val="18"/>
          <w:szCs w:val="18"/>
          <w:color w:val="auto"/>
        </w:rPr>
      </w:pPr>
    </w:p>
    <w:p>
      <w:pPr>
        <w:jc w:val="both"/>
        <w:ind w:left="640" w:hanging="316"/>
        <w:spacing w:after="0" w:line="266" w:lineRule="auto"/>
        <w:tabs>
          <w:tab w:leader="none" w:pos="63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Engagement Layer allows sales, marketing, operations, and recruiting professionals to put data-driven insights into action to identify and communicate with prospects and customers. In SalesOS, frontline teams, managers, and leaders use Engage for multi-touch and multi-channel sales engagement, as well as Chorus for call and web meeting recording, transcription, insight generation, and coaching. In MarketingOS, marketers drive awareness, lead generation, and deal acceleration campaigns through account-based marketing, advertising, and onsite conversion optimization solutions, along with ZoomInfo Chat for intelligent onsite experiences through live conversation and chatbots. In TalentOS, recruiters and talent acquisition professionals access a database that helps them efficiently find candidates. Recruiters can filter and reach more good-fit candidates, use pipeline management tools to collaborate and organize the hiring process, and automate the candidate outreach process. In OperationsOS, our sales operations customers use a suite of products, services, and solutions to ingest, match, enrich, and connect data feeds into multiple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are able to deliver high-quality intelligence at scale by leveraging an artificial intelligence (“AI”) and machine learning (“ML”) powered engine that gathers data from millions of sources and standardizes, matches to entities, verifies, cleans, and applies the processed data to companies and people at scale. This data engine along with our team of research analysts and data scientists enrich our platform by providing deep insights, such as personnel moves, pain points, or planned investments, technologies used by companies, intent signals, decision-maker contact information, advanced attributes (such as time series growth, granular department and location information, and employee trends), organizational charts, news and events, hierarchy information, locations, and funding details. Our customers access insights directly in our platform and can also integrate our data and insights directly into their CRM system or sales and marketing automation systems, to improve their existing go-to-market processes.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Platform</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modern, cloud-based operating system for revenue professionals delivers comprehensive and high-quality intelligence and analytics to provide sales, marketing, operations, and recruiting professionals accurate information and insights on the organizations and professionals they target.</w:t>
      </w:r>
    </w:p>
    <w:p>
      <w:pPr>
        <w:spacing w:after="0" w:line="11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enhance the breadth of this intelligence with deep insights, such as personnel moves, pain points, or planned investments, technologies used by companies, intent signals, decision-maker contact information, advanced attributes (such as time series growth, granular department and location information, and employee trends), organizational charts, news and events, hierarchy information, locations, and funding details. All of this can be integrated directly into our customers’ CRM and sales and marketing automation systems.</w:t>
      </w:r>
    </w:p>
    <w:p>
      <w:pPr>
        <w:spacing w:after="0" w:line="127"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This 360-degree view of key business insights provides detailed understanding, and coupled with our analytics, shortens sales cycles and increases win rates by enabling sellers, marketers, and recruiters to deliver the right message, to the right person, at the right time. Our intelligence is kept up to date in real time. This is accomplished through a combination of robust systems and processes leveraging AI, ML, and our proprietary human-in-the-loop approach.</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Data Engine</w:t>
      </w:r>
    </w:p>
    <w:p>
      <w:pPr>
        <w:spacing w:after="0" w:line="16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deliver high-quality intelligence at scale by leveraging an AI and ML-powered engine that gathers data from millions of sources and standardizes, matches to entities, verifies, cleans, and applies the processed data to companies and people at scale. We aggregate and extract distinct types of data, such as revenue, locations, technologies, keywords, contact information, including email addresses, titles, and phone numbers, and many others, from millions of public and proprietary sources. Our evidence-based ML algorithm scores, ranks, and makes determinations about these billions of data points each week. To help train our AI and ML technologies and augment our contributory network, we have a team of research analysts and data scientists with deep expertise in cleaning business-to-business data. This human-in-the-loop team plays a strategic role, focusing on quality assurance and addressing data and intelligence gaps that technology alone cannot solve. We have processes in place to use our research team to tag anomalies in data, review data pieces that require another manual verification, identify patterns to transform this understanding into algorithms, and identify methods to automate data gathering. We are able to provide a contractual guarantee of at least 95% accuracy with respect to certain data points as a result of our focus on quality.</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Competition</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believe there are currently no competitors who offer a sales, marketing, operations, and recruiting intelligence platform as comprehensive as ours. We are able to provide revenue improvement; accuracy, depth and coverage of data; unique data points to leverage insights; and a platform that can be integrated and automated with a variety of CRM, marketing, operations, or recruiting platforms. In limited circumstances, we will see other vendors that focus on specific use-cases, niche end-markets, or leveraging legacy and/or inaccurate data sets try to compete in potential deals. These potential competitors include LinkedIn Sales Navigator, D&amp;B Hoovers, and TechTarget.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believe the principal factors that drive competition between vendors in the market include:</w:t>
      </w:r>
    </w:p>
    <w:p>
      <w:pPr>
        <w:spacing w:after="0" w:line="164" w:lineRule="exact"/>
        <w:rPr>
          <w:sz w:val="20"/>
          <w:szCs w:val="20"/>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platform offering;</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and accuracy of data;</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and depth of data;</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and deployment;</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tangible benefits relative to pricing and ROI for customers;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privacy and security;</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integrate with customers’ CRM and sales and marketing automation systems;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sophistication of solutions used to manage, maintain, and combine intelligence.</w:t>
      </w:r>
    </w:p>
    <w:p>
      <w:pPr>
        <w:spacing w:after="0" w:line="164"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We believe we compete favorably across these factors. We have achieved a median sales cycle of less than 30 days from opportunity creation to close. For additional information regarding the competitive business conditions we face, see “Risk Factors” in Part I, Item 1A of this Annual Report on Form 10-K.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large and diversified customer base spans a wide variety of industry verticals, including software, business services, manufacturing, telecommunications, financial services, media and internet, transportation, education, hospitality, and real estate. Our customers range from the largest global enterprises, to mid-market companies, down to small businesses. No single customer contributed more than 1% of revenue for the year ended December 31, 2023.</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sell access to our platform to both new and existing customers. We price our subscriptions based on the functionality, users, and records under management that are included in of our contracts. Our paid products are SalesOS, MarketingOS, OperationsOS, and TalentOS (with add-on options for some products), and we have a free community edition, ZoomInfo Lite.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Protecting our intellectual property and proprietary technology is an important aspect of our business. We rely on a combination of patent, copyright, trademark and trade secret laws in the United States and other jurisdictions, as well as written agreements and other contractual provisions, to protect our proprietary technology, processes, and other intellectual property.</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own a number of patents, registered trademarks (including ZOOMINFO and DISCOVERORG, among others), and copyrights in the United States.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have a portfolio of registered domain names (including zoominfo.com) for websites that we use in our business.</w:t>
      </w:r>
    </w:p>
    <w:p>
      <w:pPr>
        <w:spacing w:after="0" w:line="14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addition, we generally enter into confidentiality agreements and invention or work product assignment agreements with employees and contractors involved in the development of our proprietary intellectual property.</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intend to pursue additional intellectual property protection to the extent we believe it would be beneficial and cost-effective.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Privacy and Protection</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business contact information and other data we collect and process are an integral part of our products and services. Our respect for laws and regulations regarding the collection and processing of personal data underlies our commitment to top-notch compliance as well as our strategy to improve our customer experience and build trust. Our privacy team is devoted to processing and fulfilling any requests regarding access to and deletion of their contact information in our platform. In particular, we have developed a “Privacy Center” on our website as a one-stop-shop for any person to submit access requests, request opt-out, or delete their information from our database. We have implemented a program for providing direct notifications to individuals. In addition, we endeavor to honor opt-out requests across our entire database.</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privacy and legal teams are focused on any applicable privacy laws and regulations and monitor changes to such laws and regulations with a view to implementing what we believe are best practices in the industry. Our sales, privacy, and data practices teams are well versed in helping customers and prospective customers navigate relevant privacy concerns and requirements with respect to our platform.</w:t>
      </w:r>
    </w:p>
    <w:p>
      <w:pPr>
        <w:spacing w:after="0" w:line="125"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Regulators around the world have adopted or proposed requirements regarding the collection, use, transfer, security, storage, destruction, and other processing of personal data. In recent years, there has been an increase in attention to and regulation of data protection and data privacy across the globe, including the Federal Trade Commission’s (“FTC”) increasingly active approach to enforcing data privacy in the United States, as well as the enactment of European Union’s General Data Protection Regulation (“GDPR”), the United Kingdom’s transposition of GDPR into its domestic laws in the United Kingdom’s exit from the European Union (“Brexit”) in January 2021, California’s Consumer Privacy Act (“CCPA”), as amended by the California Privacy Rights Act of 2020 (“CPRA”), and similar comprehensive privacy laws adopted in other states, including Colorado, Connecticut, Virginia, and Utah. Additionally, new state privacy laws are expected to become effective in 2024, including privacy laws in Oregon, Texas, and Montana, and additional states are expected to follow in future years. At the federal level, efforts have been made to establish a comprehensive privacy regime including many of the concepts found in other state and federal privacy bills and laws, such as consent requirements for entities providing services to the public that collect, store, process, use, or otherwise control sensitive personal information, and it is possible such a federal law could be enacted in the future. Meanwhile, around the world data privacy and protection laws continue to evolve, including new laws, such as India’s Digital Personal Data Protection Act passed in August 2023 and the Saudi Arabia Personal Data Protection Law, which became effective in September 2023. There are also ongoing discussions about how best to revise and modernize existing laws in jurisdictions such as Canada and Australia. Laws such as these give rise to an increasingly complex set of compliance obligations on us, as well as on many of our customers. These laws are not always uniform in the way they define and treat certain data types, including business-to-business data, biometric data or so called “sensitive” data and we must often update our consumer notices and adapt our compliance programs to account for the differences between applicable laws. These laws impose restrictions on our ability to gather personal data and provide such personal data to our customers, provide individuals with additional rights around their personal data, and place downstream obligations on our customers relating to their use of the information we provide.</w:t>
      </w:r>
    </w:p>
    <w:p>
      <w:pPr>
        <w:spacing w:after="0" w:line="14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FTC has also undertaken proposed rulemaking regarding commercial surveillance and data security, which is intended to address harms to consumers arising from lax data security or commercial surveillance practices. In addition, the Consumer Financial Protection Bureau (“CFPB”) has announced plans to propose a rule in 2024 to regulate data brokers under its authority. This development follows a request for information about business models that collect and sell consumer data, including data brokers and aggregators.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7"/>
          <w:szCs w:val="17"/>
          <w:color w:val="auto"/>
        </w:rPr>
        <w:t>These complex laws may be implemented, interpreted, or enforced in a non-uniform or inconsistent way across jurisdictions and we may not be aware of every development that impacts our business. These laws may also require us to make additional changes to our services in order for us or our customers to comply with such legal requirements. It may also increase our potential liability as a result of higher potential penalties for noncompliance. These and other legal requirements could reduce our ability to gather personal data used in our products and services. They could reduce demand for our services, require us to take on more onerous obligations in our contracts, add new provisions in data processing agreements (“DPA”) related to the processing of personal information, and restrict our ability to store, transfer and process personal data. In some cases, it may impact our ability or our customers’ ability to offer our services in certain locations, to deploy our solutions, to reach current and prospective customers, or to derive insights from data globally. One area of particular risk remains data transfers between the United States and the European Union. On July 10, 2023, the European Commission adopted its adequacy decision for the EU-US Data Privacy Framework (“DPF”), 18 months after its predecessor, the EU-US Privacy Shield, was invalidated. While this does, for the time, assert that entities operating in the United States who have certified to the DPF ensure an adequate level of protection for transferring personal data from the European Union to the United States, future challenges seem imminent. The privacy advocacy organization NOYB, which previously challenged and facilitated the demise of both the Safe Harbor (Schrems I) and Privacy Shield (Schrems II) has already criticized the DPF for not doing enough to provide non-US citizens with reasonable privacy protections afforded to US citizens under the Fourth Amendment of the U.S. Constitution. ZoomInfo is certified</w:t>
      </w:r>
    </w:p>
    <w:p>
      <w:pPr>
        <w:spacing w:after="0" w:line="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DPF, but still utilizes Standard Contractual Clauses as its cross-border transfer mechanism due to the uncertain future of the DPF. In the event any court blocks personal data transfers to or from a particular jurisdiction on the basis that certain or all such transfer mechanisms are not legally adequate, this could give rise to operational interruption in the performance of services for customers and internal processing of employee information, greater costs to implement alternative data transfer mechanisms that are still permitted, regulatory liabilities, or reputational harm.</w:t>
      </w:r>
    </w:p>
    <w:p>
      <w:pPr>
        <w:spacing w:after="0" w:line="12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cost of complying with existing or new data privacy or data protection laws and regulations may limit our ability to gather the personal data needed to provide our products and services. It could negatively impact the use or adoption of our products and services or products and services similar to ours, reduce overall demand for our products and services, or products and services similar to ours, make it more difficult for us or competitive solutions to meet expectations from or commitments to customers and users, lead to significant fines, penalties, or liabilities for noncompliance, impact our reputation, or slow the pace at which we close sales transactions, any of which could harm our business.</w:t>
      </w:r>
    </w:p>
    <w:p>
      <w:pPr>
        <w:spacing w:after="0" w:line="13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Furthermore, the uncertain and shifting regulatory environment and trust climate may cause concerns regarding data privacy and may cause our vendors, customers, users, or our customers’ customers to decline to provide the data necessary to allow us to offer our services to our customers and users effectively, or could prompt individuals to opt out of our collection of their personal data. Even the perception that the privacy of personal data is not satisfactorily protected or does not meet regulatory requirements could discourage prospective customers from subscribing to our products or services or discourage current customers from renewing their subscriptions.</w:t>
      </w:r>
    </w:p>
    <w:p>
      <w:pPr>
        <w:spacing w:after="0" w:line="13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Compliance with any of the foregoing laws and regulations can be costly and can delay or impede the development of new products or services. We may incur substantial fines if we violate any laws or regulations relating to the collection or use of personal data. Our actual or alleged failure to comply with applicable privacy or data protection laws, regulations, and policies, or to protect personal data, could result in enforcement actions and significant penalties against us, which could result in negative publicity or costs, subject us to claims or other remedies, and have a material adverse effect on our business, financial condition, and results of operations.</w:t>
      </w:r>
    </w:p>
    <w:p>
      <w:pPr>
        <w:spacing w:after="0" w:line="130"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color w:val="auto"/>
        </w:rPr>
        <w:t>For more information, please read “</w:t>
      </w:r>
      <w:r>
        <w:rPr>
          <w:rFonts w:ascii="Times New Roman" w:cs="Times New Roman" w:eastAsia="Times New Roman" w:hAnsi="Times New Roman"/>
          <w:sz w:val="18"/>
          <w:szCs w:val="18"/>
          <w:i w:val="1"/>
          <w:iCs w:val="1"/>
          <w:color w:val="auto"/>
        </w:rPr>
        <w:t>Risk Factors – Privacy, Technology, and Security - Changes in laws, regulations, and public perception concerning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data privacy, or changes in the patterns of enforcement of existing laws and regulations, could impact our ability to efficiently gather, process, update, and/or provide some or all of the information we currently provide or the ability of our customers and users to use some or all of our products or services” </w:t>
      </w:r>
      <w:r>
        <w:rPr>
          <w:rFonts w:ascii="Times New Roman" w:cs="Times New Roman" w:eastAsia="Times New Roman" w:hAnsi="Times New Roman"/>
          <w:sz w:val="18"/>
          <w:szCs w:val="18"/>
          <w:color w:val="auto"/>
        </w:rPr>
        <w:t>in Part 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Item 1A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December 31, 2023, we had 3,516 employees, consisting of 666 in cost of service, 1,596 in sales and marketing, 837 in research and development, and 417 in general and administrative. Of these, 74% of our employees were located in North America, while 12%, 12%, 2%, and less than 1% were located in the Middle East, Asia, Europe, and Australia, respectively.</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Compensation Committee of our Board of Directors reviews and oversees our incentive compensation plans, while the Nominating and Corporate Governance Committee of our Board of Directors oversees and approves the management continuity planning process.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Diversity and Inclusion</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place a high value on diversity and inclusion and are committed to ensuring that our organization creates a sense of belonging for all employees. Understanding that representation matters, as part of our ZoomInclusion Employee Resource Groups, we take an active role in focusing on the equity, advancement, and empowerment of individuals from diverse backgrounds. These groups have dedicated funding to host events, bring in speakers, and develop programs to help create a sense of belonging for all ZoomInfo employees. As ZoomInfo continues to grow, we want to empower all employees to excel in their professional objectives and feel proud to work for a company that celebrates their individuality while recognizing their differences.</w:t>
      </w:r>
    </w:p>
    <w:p>
      <w:pPr>
        <w:spacing w:after="0" w:line="132"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We believe in the power of the team. Winning teams look for the best talent, regardless of background. We know that employees are our greatest asset, and we are proud of the diversity that we foster in our workplaces.</w:t>
      </w:r>
    </w:p>
    <w:p>
      <w:pPr>
        <w:spacing w:after="0" w:line="11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of December 31, 2023, our U.S. workforce was approximately 27% ethnically diverse. Ethnically diverse is defined as individuals who self-identify in one or more of the following groups: Black or African American, Hispanic or Latinx, Asian, Native American or Alaska Native, Native Hawaiian or Pacific Islander or Two or More Races or Ethnicities. In addition, 33% of the Company’s U.S. workforce identified as female and less than 1% identified as not specified.</w:t>
      </w:r>
    </w:p>
    <w:p>
      <w:pPr>
        <w:spacing w:after="0" w:line="127"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We are a signatory to the United Nations Global Compact, a global sustainability initiative that calls on companies to align their business practices with ten principles related to human rights, labor, environment, and anti-corruption.</w:t>
      </w:r>
    </w:p>
    <w:p>
      <w:pPr>
        <w:spacing w:after="0" w:line="11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2023, we publicly committed to the California Equal Pay Pledge, ensuring that fair and equitable pay, regardless of race or gender is a normal business imperative. We also signed the Anti-Defamation League's Pledge to Fight Antisemitism in further expansion of our diversity and inclusion work.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Benefits, Safety, and Wellness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aim to offer fair compensation and benefits that encourage employee well-being, as well as attract and retain top talent. Our compensation packages provide a competitive salary and bonus, medical, dental, vision, retirement benefits, and generous paid time off.</w:t>
      </w:r>
    </w:p>
    <w:p>
      <w:pPr>
        <w:spacing w:after="0" w:line="11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believe that in-person connections are fundamental to cross-functional partnerships, driving innovation, facilitating professional growth, and establishing critical relationships. The COVID-19 pandemic has brought about unexpected changes to the global workforce, and we have adopted a hybrid model. This model allows employees who are assigned to an office to split their time between working at the office and at home.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Training and Development</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Ensuring our employees have access to development opportunities and understand how to grow their career at ZoomInfo is a key tenet of our talent and engagement practices. As part of our efforts, we invest in robust learning offerings for all employees, consisting of both online courses and live training on a variety of topics (with targeted learning programs for individual contributors and leaders). To enable continuous development, growth, and recognition, we also run a comprehensive annual performance and talent review process, which enables professional development of our employees to drive their professional development in a way that also aligns with our company objectives and values.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Annual Report on Form 10-K, Quarterly Reports on Form 10-Q, Current Reports on Form 8-K, and other filings with the SEC, and all amendments to these filings, can be obtained free of charge from our website at http://ir.zoominfo.com/financial-information/sec-filings or by contacting our Investor Relations department at our office address listed above following our filing of any of these reports with the SEC. The SEC maintains an internet site that contains reports, proxy and information statements and other information regarding issuers that file electronically with the SEC at www.sec.gov. The contents of these websites are not incorporated into this filing. Further, the Company’s references to the URLs for these websites are intended to be inactive textual references only.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4"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We are subject to various risks that could have a material adverse impact on our financial position, results of operations, or cash flows. Although it is not possible to predict or identify all such risks and uncertainties, they may include, but are not limited to, the factors discussed below. The risks described herein are not the only risks we may face. Additional risks and uncertainties not currently known to us or that we currently deem to be immaterial may also materially adversely affect our financial position, results of operations or cash flows. You should carefully review the information provided in this section before making an investment in our Company.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and Industry Risks</w:t>
      </w:r>
    </w:p>
    <w:p>
      <w:pPr>
        <w:spacing w:after="0" w:line="26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current and potential customers may reduce spending on sales, marketing, recruiting and other technology and information as a result of weaker economic conditions, which could harm our revenue, results of operations, and cash flows.</w:t>
      </w:r>
    </w:p>
    <w:p>
      <w:pPr>
        <w:spacing w:after="0" w:line="10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Our revenue, results of operations, and cash flows depend on the overall demand for and use of technology and information for sales, marketing, and recruiting, which depends in part on the amount of spending allocated by our customers or potential customers on sales, marketing, and recruiting technology and information. This spending depends on macroeconomic and geopolitical conditions. Accordingly, the effect of significant macroeconomic and geopolitical downturns, including falling demand for a variety of goods and services, inflation (including wage inflation), labor market constraints, higher interest rates, poor liquidity, volatility in credit, equity, and foreign exchange markets, bankruptcies, global pandemics, and wars. Market volatility, decreased consumer confidence, and diminished growth expectations in both the U.S. and global economy as a result of the foregoing events may affect the rate of information technology (“IT”) spending and adversely affect our current and potential customers’ ability or willingness to renew or expand subscriptions or purchase our services, delay prospective customers’ purchasing decisions and thereby elongate our sales cycles, reduce the value or duration of their subscription contracts, or affect attrition rates, all of which could adversely affect our future sales and operating results. Weaker economic conditions can result in customers seeking to utilize free or lower-cost information or services that are available from alternative sources. Prolonged economic slowdowns may result in requests to renegotiate existing contracts on less advantageous terms to us than those currently in place, payment defaults on existing contracts, elongated sales cycles resulting in delays and increased sales costs, or non-renewal at the end of a contract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renew existing subscriptions, expand subscriptions of current customers, and collect revenue from our customers, our revenue growth, cash flows, and profitability will be harmed.</w:t>
      </w:r>
    </w:p>
    <w:p>
      <w:pPr>
        <w:spacing w:after="0" w:line="10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To increase our revenue and cash flows, and to achieve and maintain profitability, we must attract new customers, renew existing subscriptions, grow the subscriptions of existing customers, and collect revenue from our customers. Our go-to-market efforts are intended to identify and attract prospective customers and convert them into paying customers. In addition, we seek to renew existing subscriptions and expand existing customer subscriptions by adding new users, additional data entitlements, or additional products or services, including through expanding the adoption of our platform into other departments within customers. We cannot predict with any certainty whether we will continue to achieve similar client acquisition and customer subscription renewal and growth rates in the future as we have in the past.</w:t>
      </w:r>
    </w:p>
    <w:p>
      <w:pPr>
        <w:spacing w:after="0" w:line="132"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Numerous factors may impede our ability to add new customers, renew and grow existing customer subscriptions, and collect revenue from our customers, including our ability to continually enhance and improve our platform and the features, integrations, and capabilities we offer, and to introduce compelling new features, integrations, and capabilities to our products and services; our customers’ creditworthiness and our ability to timely manage the collection of accounts receivable; our failure to attract and effectively train new sales and marketing personnel despite increasing our sales efforts; our failure to retain and motivate our current sales and marketing personnel; our ability to develop or expand relationships with partners; our failure to provide quality customer experience; customer consolidation or decreases in the number of users at the organization; our pricing or pricing structure; the pricing or capabilities of the products and services offered by our competitors; failure to diversify our customer base across industries and among enterprise, mid-market, and small business customers; failure to expand our sales and operations outside the United States, or if we experience challenges expanding or operating internationally; or our ability to ensure the effectiveness of our go-to-market programs. Additionally, increasing our sales to large organizations (both existing and prospective customers) across various industries requires increasingly sophisticated and costly sales and account management efforts targeted at senior management and other personnel. If our efforts to sell to organizations are not successful or do not generate additional revenue, our business will suffer. If customers do not renew their subscriptions or renew on less favorable terms or fail to add more users, if we fail to expand subscriptions of existing customers, or if we fail to collect on our accounts receivable, our revenue and cash flows may decline or grow less quickly than anticipated, which would harm our business, results of operations, and financial condition.</w:t>
      </w:r>
    </w:p>
    <w:p>
      <w:pPr>
        <w:spacing w:after="0" w:line="24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and maintain accurate, comprehensive, or reliable data, we could experience reduced demand for our products and services and have an adverse effect on our business, results of operations, and financial condition.</w:t>
      </w:r>
    </w:p>
    <w:p>
      <w:pPr>
        <w:spacing w:after="0" w:line="10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success depends on our customers’ confidence in the depth, breadth, and accuracy of our data. The task of establishing and maintaining accurate data is challenging and expensive. The depth, breadth, and accuracy of our data differentiates us from our competitors. Our standard contract with customers includes a quality guarantee pursuant to which a customer would have the right to terminate its subscription and we could be obligated to reimburse certain payments if the accuracy of our data were to fall below a certain threshold. If our data, including the data we obtain from third parties and our data extraction, cleaning, and insights, are not current, accurate, comprehensive, or reliable, it would increase the likelihood of negative customer experiences, which in turn would reduce the likelihood of customers renewing or upgrading their subscriptions and harm our reputation, making it more difficult to obtain new customers. In addition, if we are no longer able to maintain our high level of accuracy, we may face legal claims by our customers which could have an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also have a number of sources contributing to the depth, breadth, and accuracy of the data on our platform including our contributory network. We provide a “freemium” product, ZoomInfo Lite, which provides users with a set amount of monthly credits to use to access our contact data and, if the user elects, they may also participate in our contributory network in order to receive additional monthly credits. Similarly, many of our paying customers participate in our contributory network to improve the quality of the data within their CRM and similar systems. ZoomInfo Lite users may cease to participate in our contributory network. Our paying customers, including those who have migrated from ZoomInfo Lite, may elect not to participate for various reasons, including their sensitivity to sharing information within our contributory network or their determination that the benefits from sharing do not outweigh the potential harm from sharing. If we are not able to attract new participants or maintain existing participants in our contributory network, our ability to effectively gather new data and update and maintain the accuracy of our database could be adversely affected. Additionally, the CPRA, other state laws coming into effect in 2024, and other legal and regulatory changes are making, or will make, it easier for individuals to opt-out of having their personal data collected. Although we already honor opt-out requests globally, such legal and regulatory changes could increase public awareness of this option, resulting in higher rates of opting out. Third-party intermediaries have emerged, and may continue to emerge, that offer services involving opting individuals out of their personal data being collected at scale (i.e., from all platforms, including ours). Consequently, our ability to grow our business may be harmed and our results of operations and financial condition could suffer.</w:t>
      </w:r>
    </w:p>
    <w:p>
      <w:pPr>
        <w:spacing w:after="0" w:line="23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Other companies, including larger and better funded companies with access to significant resources, large amounts of data or data collection methods, and sophisticated technologies may shift their business model to become competitive with us.</w:t>
      </w:r>
    </w:p>
    <w:p>
      <w:pPr>
        <w:spacing w:after="0" w:line="10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Companies in related industries, such as CRM, business software, or advertising, including Salesforce, Oracle, Google, or Microsoft/LinkedIn, may choose to compete with us in the B2B sales and marketing intelligence space and would immediately have access to greater resources and brand recognition. We cannot anticipate how rapidly such a potential competitor could create products or services that would take significant market share from us or even surpass our products or services in quality. If a large, well-funded competitor entered our space, it could reduce the demand for our products and services and reduce the amount we could demand for subscription renewals or upgrades from existing customers, and the amount we could demand from new subscribers to our products and services, reducing our revenue and profitability.</w:t>
      </w:r>
    </w:p>
    <w:p>
      <w:pPr>
        <w:spacing w:after="0" w:line="132"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addition, many of our potential competitors, particularly those with greater financial and operating resources, including larger sales and marketing budgets and resources, may have the ability to respond more quickly and effectively than we can to new or changing opportunities, technologies, such as AI and ML, standards or customer requirements. Many of our potential competitors may have established relationships with independent software vendors, partners, and customers, greater customer experience resources, greater resources to make acquisitions, lower labor and development costs, larger and more mature intellectual property portfolios, and substantially greater financial, technical, and other resources. New competitors, mergers and acquisitions in the technology industry, or alliances among competitors may emerge and rapidly acquire significant market share due to these or other factors. Companies resulting from these possible consolidations may create more compelling product offerings and be able to offer more attractive pricing options, making it more difficult for us to compete effectively. As a result, even if our products and services are more effective than the products and services that our competitors offer, potential customers might select competitive products and services in lieu of our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experience competition from other companies and technologies that allow companies to gather and aggregate sales, marketing, recruiting, and other data, and competing products and services could provide greater appeal to our customers.</w:t>
      </w:r>
    </w:p>
    <w:p>
      <w:pPr>
        <w:spacing w:after="0" w:line="10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market for sales, marketing, and recruiting technology and data requires continuous innovation. It is highly competitive, rapidly evolving, and fragmented. There are low barriers to entry, shifting customer needs and strategies, and frequent introductions of new technologies and of new products and services. Many prospective customers have invested substantial resources to implement, and gained substantial familiarity with, competing solutions and therefore may be reluctant or unwilling to migrate from their current solution to ours. Many prospective customers may not appreciate differences in quality between our products and services and those of lower-priced competitors, and many prospects and current customers may not learn the best ways to use our products and services, making them less likely to obtain them or renew their subscriptions. New technologies and products may be or become better or more attractive to current or prospective customers than our products and services in one or more ways. Many current or prospective customers may find competing products or services more attractive, and many may choose or switch to competing products even if we do our best to innovate and provide superior products and services.</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current competitors include:</w:t>
      </w:r>
    </w:p>
    <w:p>
      <w:pPr>
        <w:spacing w:after="0" w:line="164" w:lineRule="exact"/>
        <w:rPr>
          <w:sz w:val="20"/>
          <w:szCs w:val="20"/>
          <w:color w:val="auto"/>
        </w:rPr>
      </w:pPr>
    </w:p>
    <w:p>
      <w:pPr>
        <w:ind w:left="640" w:hanging="316"/>
        <w:spacing w:after="0" w:line="274"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online and offline sources of information on companies and business professionals, including government records, telephone books, company websites, and open online databases of business professionals, such as LinkedIn;</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potential customers’ internal and homegrown business contact databases;</w:t>
      </w:r>
    </w:p>
    <w:p>
      <w:pPr>
        <w:spacing w:after="0" w:line="16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used in conjunction with the foregoing or when additionally providing third-party sales and marketing data, (i) predictive analytics and customer data platform technologies or (ii) sales and marketing vendors, which may specialize in appointment setting, online ad targeting, email marketing, or other outsource go-to-market functions;</w:t>
      </w:r>
    </w:p>
    <w:p>
      <w:pPr>
        <w:spacing w:after="0" w:line="1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vendors of sales automation, conversation or other artificial intelligence, and chat software;</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providers of third-party company attributes, technology attributes, and business contact information;</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providers of online content consumption data for predictive sales and marketing analytics;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user-based networks of companies and/or business professionals.</w:t>
      </w:r>
    </w:p>
    <w:p>
      <w:pPr>
        <w:spacing w:after="0" w:line="16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These risks could be exacerbated by weak macroeconomic and geopolitical conditions (including due to global pandemics, such as the COVID-19 pandemic, or such as those related to the Russia-Ukraine war, and the Israel-Hamas war) and lower customer spending on sales and marketing. Weakened macroeconomic and geopolitical conditions could also disproportionately increase the likelihood that any given current or prospective customer would choose a lower-price alternative even if our products or services are superior. Some current and potential customers, particularly large organizations, have elected in the past, and may elect in the future, to rely on internal and homegrown databases, develop, or acquire their own software, programs, tools, and internal data quality teams that would reduce or eliminate the demand for our products and services. If demand for our platform declines for any of these or other reasons, our business, results of operations, and financial condition could be adversely affected.</w:t>
      </w:r>
    </w:p>
    <w:p>
      <w:pPr>
        <w:spacing w:after="0" w:line="13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If we fail to respond to changes in data technology competitors may be able to develop products and services that will take market share from us, and the demand for our products and services, the delivery of our products and services, or our market reputation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markets in which we compete are rapidly evolving, which make it difficult to forecast demand for our services.</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markets in which we compete are rapidly evolving, accordingly our future financial performance will depend in large part on the allocation of spending in traditional software as a service (“SaaS”) products and our ability to adapt to new market demands. In recent years, an increasing number of customers have been allocating their spending toward AI, ML, and generative AI capabilities. The SaaS market for artificial intelligence, machine learning, and generative AI workloads is expected to be an intensely competitive and rapidly evolving market, and our future financial performance may depend on our ability to adapt to, and capture new spending, in this market. If the markets in which we compete experience a shift in customer demand, or if customers in these markets focus their new spending on, or shift their existing spending to, public cloud solutions or other solutions that do not interoperate with our solutions more quickly or more extensively than expected, our solutions may not compete as effectively, if at all.</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platform integrates or otherwise works with third-party systems that we do not control.</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technologies that allow our platform to interoperate with various third-party applications (which we call “integrations”) are critically important to our business. Many of our customers use our integrations to access our data from within, or send data to, CRM, marketing automation, applicant tracking, sales enablement, and other systems, including Salesforce, Marketo, HubSpot, Microsoft Dynamics, Oracle Sales Cloud, and a variety of other commonly used tools. The functionality of these integrations depends upon access to these systems, which is not within our control. Some of our competitors own, develop, operate, or distribute CRM and similar systems or have material business relationships with companies that own, develop, operate, or distribute CRM and similar systems that our platform integrates into. Moreover, some of these competitors have inherent advantages developing products and services that more tightly integrate with their CRM and similar systems or those of their business partners.</w:t>
      </w:r>
    </w:p>
    <w:p>
      <w:pPr>
        <w:spacing w:after="0" w:line="13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Third-party systems are constantly evolving, and it is difficult to predict with certainty the challenges that we may encounter in developing our platform for use in conjunction with such third-party systems. We may not be able to modify our integrations to assure compatibility with the systems of other third parties following any of their changes to their systems. Some operators of CRM and similar systems may cease to permit our access or the integration of our platform to their systems. If Salesforce were to refuse to permit our integration to access its APIs, for example, this integration would not function, and our customers’ experience would be hampered. Accordingly, this could leave our customers without a convenient way to integrate our products and services with the CRM.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affected by changes in search engine algorithms and dynamics or other traffic-generating arrangements.</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rely heavily on internet search engines, such as Google, including through the purchase of sales and marketing-related keywords and the indexing of our public-facing directory pages and other web pages, to generate a significant portion of the traffic to our website. Search engines frequently update and change the logic that determines the placement and display of results of a user’s search, such that the purchased or algorithmic placement of links to our website can be negatively affected. In addition, a significant amount of traffic is directed to our website through participation in pay-per-click and display advertising campaigns on search engines, including Google. Pricing and operating dynamics for these traffic sources can change rapidly, both technically and competitively. Moreover, a search engine could, for competitive or other purposes, alter its search algorithms or results, which could cause a website to place lower in search query results or inhibit participation in the search query results. If a major search engine changes its algorithms or results in a manner that negatively affects the search engine ranking, paid or unpaid, of our website, or if competitive dynamics impact the costs or effectiveness of search engine optimization, search engine marketing or other traffic-generating arrangements in a negative manner, our business and financial performance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depend on our executive officers and other key employees, and the loss of one or more of these employees or an inability to attract, integrate and retain these and other highly skilled employees could harm our business.</w:t>
      </w:r>
    </w:p>
    <w:p>
      <w:pPr>
        <w:spacing w:after="0" w:line="10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executive officers and other key employees, including newly hired personnel. We rely on our leadership team in the areas of research and development, operations, security, analytics, marketing, sales, customer experience, and general and administrative functions and on individual contributors in our research and development and operations. Due to the high growth rate of our business and other factors, from time to time, there have been, and may continue to be, changes in our executive management team resulting from the hiring or departure of executives, which could disrupt our business. The loss of one or more of our executive officers or key employees could harm our business. Changes in our executive management team, or failure or delay in integrating new members of the executive management team and other key employees into our business, may also cause disruptions in, and harm to, our business.</w:t>
      </w:r>
    </w:p>
    <w:p>
      <w:pPr>
        <w:spacing w:after="0" w:line="13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continues to be led by our CEO and co-founder, Henry Schuck, who plays an important role in driving the Company’s culture, determining the strategy, and executing against that strategy across the Company. If Mr. Schuck’s services became unavailable to the Company for any reason, it may be difficult or impossible for the Company to find an adequate replacement, which could cause us to be less successful in maintaining our culture and developing and effectively executing on our company strategies.</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addition, to execute our growth plan, we must attract and retain highly qualified personnel. Competition for highly skilled personnel in our industry can be intense. Competitors for technical and sales talent increasingly seek to hire our employees, and the availability of flexible, hybrid, or work-from-home arrangements has both intensified and expanded competition.</w:t>
      </w:r>
    </w:p>
    <w:p>
      <w:pPr>
        <w:spacing w:after="0" w:line="12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Also, as we continue to grow, we face challenges of integrating, developing, training, and motivating a rapidly growing employee base, and maintaining our company culture around the world. If we fail to hire and retain highly skilled employees or fail to manage organizational change in a manner that preserves the key aspects of our corporate culture, the quality of our products and services may suffer, which could negatively affect our brand and reputation and harm our ability to attract users, employees, and organizations.</w:t>
      </w:r>
    </w:p>
    <w:p>
      <w:pPr>
        <w:spacing w:after="0" w:line="22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upgrade, or implement adequate operational and financial resources, including our IT systems, we may be unable to execute our business plan.</w:t>
      </w:r>
    </w:p>
    <w:p>
      <w:pPr>
        <w:spacing w:after="0" w:line="10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have experienced, and expect to continue to experience, rapid growth, which has placed, and may continue to place, significant demands on our management and our operational and financial resources. One area of significant growth has been in the number of customers using our products and services and in the amount of data in our databases. In addition, our organizational structure has become more complex as we have scaled our operational, financial, and management controls, as well as our reporting systems and procedures, and expanded internationally.</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To manage growth in our operations and personnel, we will need to continue to grow and improve our operational, financial, and management controls and our reporting systems and procedures, including our IT systems. We will continue to require significant capital expenditures and the allocation of valuable management resources to grow and change in these areas. Our expansion has placed, and our expected future growth will continue to place, a significant strain on our management, customer experience, research and development, sales and marketing, administrative, financial, and other resources.</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anticipate that significant additional investments will be required to scale our operations and increase productivity, to address the needs of our customers, to further develop and enhance our products and services, to expand into new geographic areas and to scale with our overall growth. If additional investments are required due to significant growth, this will increase our cost base, which will make it more difficult for us to offset any future revenue shortfalls by reducing expenses in the short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also depend on IT systems to operate our business, and issues with maintaining, upgrading or implementing these systems could have a material adverse effect on our business. Our business has grown and continues to grow in size and complexity, which places significant demands on our IT systems. To effectively manage this growth, our information systems and applications require an ongoing commitment of significant resources to maintain, protect, enhance and upgrade existing systems and develop and implement new systems to keep pace with changing technology and our business needs.</w:t>
      </w:r>
    </w:p>
    <w:p>
      <w:pPr>
        <w:spacing w:after="0" w:line="12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If the information we rely upon to run our businesses were to be found to be inaccurate or unreliable, if we fail to maintain or protect our IT systems and data integrity effectively, if we fail to develop and implement new or upgraded systems to meet our business needs in a timely manner, or if we fail to anticipate, plan for or manage significant disruptions to these systems, our competitive position could be harmed, we could have operational disruptions, we could lose existing customers, have difficulty preventing, detecting, and controlling fraud, have disputes with customers, have regulatory sanctions or penalties imposed or other legal problems, incur increased operating and administrative expenses, lose revenues as a result of a data privacy breach or theft of intellectual property or suffer other adverse consequences, any of which could have a material adverse effect on our business, results of operations, financial condition or cash flows.</w:t>
      </w:r>
    </w:p>
    <w:p>
      <w:pPr>
        <w:spacing w:after="0" w:line="23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we acquire and invest in companies or technologies, we may not realize expected business or financial benefits and the acquisitions or investments could prove difficult to integrate, disrupt our business, dilute stockholder value and adversely affect our business, results of operation, and financial condition.</w:t>
      </w:r>
    </w:p>
    <w:p>
      <w:pPr>
        <w:spacing w:after="0" w:line="12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As part of our business strategy, from time to time we make investments in, or acquisitions of, complementary businesses, services, databases, and technologies, and we expect that we will continue to make such investments and acquisitions in the future to further grow our business and our product and service offerings. Our strategy to make selective acquisitions to complement or expand our platform depends on our ability to identify, and the availability of, suitable acquisition candidates. We may not be able to find suitable acquisition candidates and we may not be able to complete acquisitions on favorable terms, if at all.</w:t>
      </w:r>
    </w:p>
    <w:p>
      <w:pPr>
        <w:spacing w:after="0" w:line="132"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Acquisitions and other transactions, arrangements, and investments also involve numerous risks and could create unforeseen operating difficulties and expenditures, including, but not limited to:</w:t>
      </w:r>
    </w:p>
    <w:p>
      <w:pPr>
        <w:spacing w:after="0" w:line="110" w:lineRule="exact"/>
        <w:rPr>
          <w:sz w:val="20"/>
          <w:szCs w:val="20"/>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failure to achieve the expected benefits on a timely basis or at all;</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and the cost of, integrating operations, technologies, services, and platforms;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financial and managerial resources from existing operations;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entry into new markets in which we have little or no experience or where competitors may have stronger market positions;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write-offs of acquired assets or investments and potential financial and credit risks associated with acquired customers;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or maintaining the security standards for acquired technology consistent with our other services;</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and regulatory risks associated with foreign countries and potential additional cybersecurity and compliance risks resulting from entry into new markets;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and costs of any such acquisitions, including the related integration into our tax structure and assessment of the impact on the realizability of our future tax assets or liabilities; and</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challenges by governmental authorities, including the Department of Justice, for anti-competitive or other reasons.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Any of these risks could harm our business. In addition, to facilitate these acquisitions or investments we may seek additional equity or debt financing, which may not be available on terms favorable to us or at all, which may affect our ability to complete subsequent acquisitions or investments and may affect the risks of owning our common stock. For example, if we finance acquisitions by issuing equity or convertible debt securities or loans, our existing stockholders may be diluted, or we could face constraints related to the terms of, and repayment obligation related to, the incurrence of indebtedness that could affect the market price of our common stock.</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ESG matters and related reporting obligations, expose us to risks that could adversely affect our reputation and performance.</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U.S. and international regulators, investors and other stakeholders are increasingly focused on ESG matters. We have established and publicly announced certain ESG goals. Our ability to achieve any ESG objective is subject to numerous risks, many of which are outside of our control. Examples of those risks include our ability to accurately track Scope 1, 2 and 3 greenhouse gas emissions, the evolving regulatory requirements affecting ESG standards or disclosures and our ability to recruit, develop and retain diverse talent in our workforce. These statements reflect current plans and aspirations and are not guarantees that the Company will be able to achieve them. The failure to accomplish or accurately track and report on these goals on a timely basis, or at all, could adversely affect our reputation, financial performance, and growth, and expose the company to increased scrutiny from the investment community and enforcement authorities.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Privacy, Technology, and Security Risk Factors</w:t>
      </w:r>
    </w:p>
    <w:p>
      <w:pPr>
        <w:spacing w:after="0" w:line="26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Changes in laws, regulations, and public perception concerning data privacy, or changes in the patterns of enforcement of existing laws and regulations, could impact our ability to efficiently gather, process, update, and/or provide some or all of the information we currently provide or the ability of our customers and users to use some or all of our products or services.</w:t>
      </w:r>
    </w:p>
    <w:p>
      <w:pPr>
        <w:spacing w:after="0" w:line="121"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The business contact information and other data we collect and process are an integral part of our products and services. Regulators around the world have adopted or proposed requirements regarding the collection, use, transfer, security, storage, destruction, and other processing of personal data. Our products and services rely heavily on the collection and use of information to provide effective insights to our customers and users. In recent years, there has been an increase in attention to and regulation of data protection and data privacy across the globe, including the FTC’s increasingly active approach to enforcing data privacy in the United States, as well as the enactment of GDPR, the United Kingdom’s transposition of GDPR into its domestic laws following Brexit in January 2021, CCPA, as amended by the CPRA, and similar comprehensive privacy laws adopted in other states, including Colorado, Connecticut, Virginia, and Utah. Additionally, new state privacy laws are expected to become effective in 2024, including privacy laws in Oregon, Texas, and Montana, and additional states are expected to follow in future years. At the federal level, efforts have been made to establish a comprehensive privacy regime including many of the concepts found in other state and federal privacy bills and laws, such as consent requirements for entities providing services to the public that collect, store, process, use, or otherwise control sensitive personal information, and it is possible such a federal law could be enacted in the future. Meanwhile, around the world data privacy and protection laws continue to evolve, including new laws, such as India’s Digital Personal Data Protection Act passed in August 2023 and the Saudi Arabia Personal Data Protection Law, which became effective in September 2023. There are also ongoing discussions about how best to revise and modernize existing laws in jurisdictions such as Canada and Australia. Laws such as these give rise to an increasingly complex set of compliance obligations on us, as well as on many of our customers. These laws are not always uniform in the way they define and treat certain data types, including business-to-business data, biometric data or so called “sensitive” data and we must often update our consumer notices and adapt our compliance programs to account for the differences between applicable laws. These laws impose restrictions on our ability to gather personal data and provide such personal data to our customers, provide individuals with additional rights around their personal data, and place downstream obligations on our customers relating to their use of the information we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FTC has also undertaken proposed rulemaking regarding commercial surveillance and data security, which is intended to address harms to consumers arising from lax data security or commercial surveillance practices. In addition, the CFPB has announced plans to propose a rule in 2024 to regulate data brokers under its authority. This development follows a request for information about business models that collect and sell consumer data, including data brokers and aggregators.</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These complex laws may be implemented, interpreted, or enforced in a non-uniform or inconsistent way across jurisdictions and we may not be aware of every development that impacts our business. These laws may also require us to make additional changes to our services in order for us or our customers to comply with such legal requirements. It may also increase our potential liability as a result of higher potential penalties for noncompliance.</w:t>
      </w:r>
    </w:p>
    <w:p>
      <w:pPr>
        <w:spacing w:after="0" w:line="125"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These and other legal requirements could reduce our ability to gather personal data used in our products and services. They could reduce demand for our services, require us to take on more onerous obligations in our contracts, add new provisions in DPA related to the processing of personal information, and restrict our ability to store, transfer and process personal data. In some cases, it may impact our ability or our customers’ ability to offer our services in certain locations, to deploy our solutions, to reach current and prospective customers, or to derive insights from data globally. One area of particular risk remains data transfers between the United States and the European Union. On July 10, 2023, the European Commission adopted its adequacy decision for the EU-US DPF, 18 months after its predecessor, the EU-US Privacy Shield, was invalidated. While this does, for the time, assert that entities operating in the United States who have certified to the DPF ensure an adequate level of protection for transferring personal data from the European Union to the United States, future challenges seem imminent. The privacy advocacy organization NOYB, which previously challenged and facilitated the demise of both the Safe Harbor (Schrems I) and Privacy Shield (Schrems II) has already criticized the DPF for not doing enough to provide non-US citizens with reasonable privacy protections afforded to US citizens under the Fourth Amendment of the U.S. Constitution. ZoomInfo is certified under the DPF, but still utilizes Standard</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Contractual Clauses as its cross-border transfer mechanism due to the uncertain future of the DPF. In the event any court blocks personal data transfers to or from a particular jurisdiction on the basis that certain or all such transfer mechanisms are not legally adequate, this could give rise to operational interruption in the performance of services for customers and internal processing of employee information, greater costs to implement alternative data transfer mechanisms that are still permitted, regulatory liabilities, or reputational harm.</w:t>
      </w:r>
    </w:p>
    <w:p>
      <w:pPr>
        <w:spacing w:after="0" w:line="12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cost of complying with existing or new data privacy or data protection laws and regulations may limit our ability to gather the personal data needed to provide our products and services. It could negatively impact the use or adoption of our products and services or products and services similar to ours, reduce overall demand for our products and services, or products and services similar to ours, make it more difficult for us or competitive solutions to meet expectations from or commitments to customers and users, lead to significant fines, penalties, or liabilities for noncompliance, impact our reputation, or slow the pace at which we close sales transactions, any of which could harm our business.</w:t>
      </w:r>
    </w:p>
    <w:p>
      <w:pPr>
        <w:spacing w:after="0" w:line="13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Furthermore, the uncertain and shifting regulatory environment and trust climate may cause concerns regarding data privacy and may cause our vendors, customers, users, or our customers’ customers to decline to provide the data necessary to allow us to offer our services to our customers and users effectively, or could prompt individuals to opt out of our collection of their personal data. Even the perception that the privacy of personal data is not satisfactorily protected or does not meet regulatory requirements could discourage prospective customers from subscribing to our products or services or discourage current customers from renewing their subscriptions.</w:t>
      </w:r>
    </w:p>
    <w:p>
      <w:pPr>
        <w:spacing w:after="0" w:line="13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Compliance with any of the foregoing laws and regulations can be costly and can delay or impede the development of new products or services. We may incur substantial fines if we violate any laws or regulations relating to the collection or use of personal data. Our actual or alleged failure to comply with applicable privacy or data protection laws, regulations, and policies, or to protect personal data, could result in enforcement actions and significant penalties against us, which could result in negative publicity or costs, subject us to claims or other remedies, and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litigation for any of a variety of claims, which could harm our reputation and adversely affect our business, results of operations, and financial condition.</w:t>
      </w:r>
    </w:p>
    <w:p>
      <w:pPr>
        <w:spacing w:after="0" w:line="10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There is considerable patent and other intellectual property development activity in our market, and litigation, based on allegations of infringement or other violations of intellectual property, is frequent in software and internet-based industries. We may receive communications from third parties, including practicing entities and non-practicing entities, claiming that we have infringed their intellectual property rights.</w:t>
      </w:r>
    </w:p>
    <w:p>
      <w:pPr>
        <w:spacing w:after="0" w:line="12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addition, we may be sued by third parties for breach of contract, defamation, negligence, unfair competition, data breaches, privacy compliance, or copyright or trademark infringement or claims based on other theories. We could also be subject to claims that the collection or provision of certain information, including personal information by us or by third-parties with whom we interact breached laws or regulations relating to privacy or data protection. As a result of claims against us regarding suspected infringement, our technologies may be subject to injunction, we may be required to pay damages, or we may have to seek a license to continue certain practices (which may not be available on reasonable terms, if at all), all of which may significantly increase our operating expenses or may require us to restrict our business activities and limit our ability to deliver our products and services and/or certain features, integrations, and capabilities of our platform. As a result, we may also be required to develop alternative non-infringing technology, which could require significant effort and expense and/or cause us to alter our products or services, which could negatively affect our business. In addition, many of our subscription agreements require us to indemnify our customers for third-party intellectual property infringement claims, so any alleged infringement by us resulting in claims against such customers would increase our liability.</w:t>
      </w:r>
    </w:p>
    <w:p>
      <w:pPr>
        <w:spacing w:after="0" w:line="14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exposure to risks associated with various claims may be greater if we acquire other companies or technologies. For example, we may have a lower level of visibility into the development process with respect to intellectual property or the care taken to safeguard against infringement risks with respect to the acquired company or technology. In addition, third parties may make claims after we have acquired a company or technology that had not been asserted prior to our acquisition.</w:t>
      </w:r>
    </w:p>
    <w:p>
      <w:pPr>
        <w:spacing w:after="0" w:line="12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the ordinary course of business, we may be involved in and subject to litigation for a variety of claims or disputes and receive regulatory inquiries. These claims, lawsuits, and proceedings could include labor and employment, wage and hour, commercial, data protection and privacy, intellectual property, antitrust, alleged securities law violations or other investor claims, and other matters. The number and significance of these potential claims and disputes may increase as our business expands. Any claim against us, regardless of its merit, could be costly, divert management’s attention and operational resources, and harm our reputation. As litigation is inherently unpredictable, we cannot assure you that any potential claims or disputes will not have a material adverse effect on our business, results of operations, and financial condition. Any claims or litigation, even if fully indemnified or insured, could make it more difficult to compete effectively or to obtain adequate insurance in the future.</w:t>
      </w:r>
    </w:p>
    <w:p>
      <w:pPr>
        <w:spacing w:after="0" w:line="13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addition, we may be required to spend significant resources to monitor and protect our contractual, property, and other rights, including collection of payments and fees. Litigation has been and may be necessary in the future to enforce such rights. Such litigation could be costly, time consuming, and distracting to management and could result in the impairment or loss of our rights. Furthermore, our efforts to enforce our rights may be met with defenses, counterclaims, and countersuits attacking the validity and enforceability of such rights. Our inability to protect our rights, as well as any costly litigation or diversion of our management’s attention and resources, could have an adverse effect on our business, results of operations, and financial condition or injure our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New or changing laws and regulations may diminish the demand for our platform, restrict access to our platform or require us to disclose or provide access to information in our possession, which could harm our business, results of operations, and financial condition.</w:t>
      </w:r>
    </w:p>
    <w:p>
      <w:pPr>
        <w:spacing w:after="0" w:line="10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Our platform depends on the ability of our users to access the internet and our platform could be blocked or restricted in some countries for various reasons. Further, it is possible that governments of one or more foreign countries may seek to limit access to or certain features of our platform in their countries, or impose other restrictions that may affect the availability of our platform, or certain features of our platform, in their countries for an extended period of time or indefinitely. In addition, governments in certain countries may seek to restrict or prohibit access to our platform if they consider us to be in violation of their laws (including privacy laws) and may require us to disclose or provide access to information in our possession. If we fail to anticipate developments in the law or fail for any reason to comply with relevant law, our platform could be further blocked or restricted and we could be exposed to significant liability that could harm our business. In the event that access to our platform is restricted, in whole or in part, in one or more countries or our competitors are able to successfully penetrate geographic markets that we cannot access, our ability to add new customers or renew or grow the subscriptions of existing customers may be adversely affected, we may not be able to maintain or grow our revenue as anticipated and our business, results of operations, and financial condition could be adversely affected.</w:t>
      </w:r>
    </w:p>
    <w:p>
      <w:pPr>
        <w:spacing w:after="0" w:line="140"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New laws and regulations in the area of artificial intelligence (“AI”) may also impact our business. For example, the European Union’s Artificial Intelligence Act (“AI Act”), which achieved a consensus between the European Parliament and Council on December 9, 2023, introduces a regulatory landscape that businesses will need to navigate with caution. The AI Act's stringent measures against certain AI applications may impact businesses in our sector. Such measures include prohibitions on AI technologies that utilize sensitive personal attributes for biometric categorization, restrictions on indiscriminate collection of facial images for recognition databases, and limitations on emotion recognition systems that could be employed in consumer analysis or employee monitoring. Businesses must also be aware of the comprehensive transparency requirements mandated for general-purpose AI systems. This entails maintaining detailed technical documentation and ensuring compliance with EU copyright laws, with even more rigorous standards for high-impact general AI models. These models require exhaustive evaluations, risk assessments related to systemic impacts, adversarial testing, and reporting on aspects like energy efficiency, indicating a significant compliance burden for businesses. The scale of penalties for non-compliance range up to €35 million or 7% of global turnover, underscoring the importance of adherence to the new regulations where applicable. The AI Act demands a proactive approach to regulatory compliance, risk management, and an investment in infrastructure to align with the EU’s vision of a safe and ethical AI environment.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or enforce our proprietary and intellectual property rights in our data or technology.</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success is dependent, in part, upon our ability to protect and enforce our intellectual property rights, including in our proprietary information and technology. No assurance can be given that our confidentiality, non-disclosure, or invention assignment agreements with employees, consultants, or other parties will not be breached and will otherwise be effective in controlling access to and distribution of our platform, or certain aspects of our platform, and proprietary information. Further, these agreements may not prevent our competitors from independently developing technologies that are substantially equivalent or superior to our platform. Additionally, certain unauthorized use of our intellectual property may go undetected, or we may face legal or practical barriers to enforcing our legal rights even where unauthorized use is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Current laws may not provide for adequate protection of our platform or data. In addition, legal standards relating to the validity, enforceability, and scope of protection of proprietary rights in internet-related businesses are uncertain and evolving, and changes in these standards may adversely impact the viability or value of our proprietary rights. Some license provisions protecting against unauthorized use, copying, transfer, and disclosure of our platform, or certain aspects of our platform may be unenforceable under the laws of certain jurisdictions. Further, the laws of some countries do not protect proprietary rights to the same extent as the laws of the United States, and mechanisms for enforcement of intellectual property rights in some foreign countries may be inadequate. To the extent we expand our international activities, our exposure to unauthorized copying and use of our data or certain aspects of our platform, or our data may increase. Further, competitors, foreign governments, foreign government-backed actors, criminals, or other third parties may gain unauthorized access to our proprietary information and technology. Accordingly, despite our efforts, we may be unable to prevent third parties from infringing upon or misappropriating our technology and intellectual property.</w:t>
      </w:r>
    </w:p>
    <w:p>
      <w:pPr>
        <w:spacing w:after="0" w:line="13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To monitor and protect our intellectual property rights, we may be required to spend significant resources, and we may or may not be able to detect infringement by our customers or third parties. Litigation has been and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platform, impair the functionality of our platform, delay introductions of new features, integrations, and capabilities, result in our substituting inferior or more costly technologies into our platform, or injure our reputation. In addition, we may be required to license additional technology from third parties to develop and market new features, integrations, and capabilities, if available on commercially reasonable terms or at all; our inability to license this technology could harm our ability to compete.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in our AI capability introduces risks, which, if realized, could adversely impact our business.</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introduction of AI technologies into new or existing products may result in new or enhanced governmental or regulatory scrutiny, litigation, privacy, confidentiality or security risks, ethical concerns, legal liability, or other complications that could adversely affect our business, reputation, or financial results. The intellectual property ownership and license rights, including copyright, surrounding AI technologies has not been fully addressed by laws or regulations, and the use or adoption of third-party AI technologies into our business operations, products and services may result in exposure to claims of copyright infringement or other intellectual property misappropriation, as well as potential liability to customers.</w:t>
      </w:r>
    </w:p>
    <w:p>
      <w:pPr>
        <w:spacing w:after="0" w:line="13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AI technologies may use algorithms, datasets, or training methodologies that may be flawed or contain deficiencies that may be difficult to detect during testing. AI technologies, including generative AI, may create content that appears correct but is factually inaccurate, flawed or biased. Use of such content may be to the detriment of the user, or it may lead to discriminatory or other adverse outcomes, which may expose us to brand or reputational harm, competitive harm, and/or legal liability. The use of AI technologies presents emerging ethical and social issues that may result in brand or reputational harm, competitive harm, and/or legal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customers or unauthorized parties could use our products and services in a manner that is contrary to our values or applicable law, which could harm our relationships with consumers, customers, or employees or expose us to litigation or harm our reputation.</w:t>
      </w:r>
    </w:p>
    <w:p>
      <w:pPr>
        <w:spacing w:after="0" w:line="10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Because our data includes the direct contact information for millions of individuals and businesses, our platform and data could be misused by customers, or by parties who have obtained access to our data without authorization, to contact individuals for purposes that we would not permit, including uses unrelated to B2B communication or recruiting, such as to harass or annoy individuals or to perpetrate scams. Our customers could use our products or services for purposes beyond the scope of their contractual terms or applicable laws or regulations. Our customers’ or third parties’ misuse of our data, inconsistent with its permitted use, could result in reputational damage, adversely affect our ability to attract new customers and cause existing customers to reduce or discontinue the use of our platform, any of which could harm our business and operating results.</w:t>
      </w:r>
    </w:p>
    <w:p>
      <w:pPr>
        <w:spacing w:after="0" w:line="13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brand may be negatively affected by the actions of persons using our platform that are hostile or inappropriate, by the actions of individuals acting under false or inauthentic identities, by the use of our products or services to disseminate information that is misleading (or intended to manipulate opinions), by perceived or actual efforts by governments to obtain access to user information for security-related purposes or to censor certain content on our platform or by the use of our products or services for illicit, objectionable, or illegal ends. Further, we may fail to respond expeditiously or appropriately to any of the foregoing misuses, or to otherwise address customer and individual concerns, which could erode confidence in our business.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Cyber-attacks and security vulnerabilities could result in serious harm to our reputation, business, and financial condition.</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Threats to network and data security are constantly evolving and becoming increasingly diverse and sophisticated and have increased in scope and frequency. Our products and services, as well as our servers and computer systems and those of third parties that we rely on in our operations could be vulnerable to cybersecurity risks and threats or other events that could disrupt our IT systems and/or subject us to liability such as manmade or natural disasters (including those as a result of climate change) or software vulnerabilities. In addition, many of our employees work remotely, which increases our cyber security risk, creates data accessibility concerns, and makes us more susceptible to security breaches or business disruptions.</w:t>
      </w:r>
    </w:p>
    <w:p>
      <w:pPr>
        <w:spacing w:after="0" w:line="132"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have in the past been the target of attempts to identify and exploit system vulnerabilities and/or penetrate or bypass our security measures in order to gain unauthorized access to our systems, including to use our platform and data for purposes other than its intended purpose or to create products that compete with our platform. We employ multiple methods at different layers of our systems designed to defend against intrusion and attack, to protect our systems and to resolve and mitigate the impact of any incidents. Despite our efforts to keep our systems secure and to remedy identified vulnerabilities, future attacks could be successful and could result in substantial liability or business risk. We expect that third parties will continue to attempt to gain unauthorized access to our systems or facilities through various means, including hacking into our systems or facilities, or those of our customers or vendors, or attempting to fraudulently induce our employees, customers, vendors or other users of our systems into disclosing sensitive information, which may in turn be used to access our IT systems. Our cybersecurity programs and efforts to protect our systems and data, and to prevent, detect and respond to data security incidents, may not prevent these threats or provide adequate security. We may experience breaches of our security measures due to human error, malfeasance, system errors or vulnerabilities, or other irregularities including attempts by former, current or future employees to misuse their authorized access and/or gain unauthorized access to our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Such events could result in the release to the public of confidential information about our operations and financial condition and performance. Actual or perceived breaches of our security could subject us to regulatory investigations and orders, litigation, indemnity obligations, damages, penalties, fines and other costs in connection with actual and alleged contractual breaches, violations of applicable laws and regulations and other liabilities. Moreover, a security compromise or ransomware event could require us to devote significant management resources to address the problems created by the issue and to expend significant additional resources to upgrade further the security measures we employ to guard personal and confidential information against cyber-attacks and other attempts to access or otherwise compromise such information and could result in a disruption of our operations, particularly our digital operations. Any such incident could also materially damage our reputation and harm our business, results of operations and financial condition. We maintain errors, omissions, and cyber liability insurance policies covering certain security and privacy damages. However, we cannot be certain that our coverage will be adequate for liabilities actually incurred or that insurance will continue to be available to us on economically reasonable terms, or at all. Further, we may be subject to additional liability risks associated with data security breaches or other incidents by virtue of the private right of action granted to individuals under certain data privacy laws for actions arising from certain data security incidents.</w:t>
      </w:r>
    </w:p>
    <w:p>
      <w:pPr>
        <w:spacing w:after="0" w:line="24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Technical problems or disruptions that affect either our customers’ ability to access our services, or the software, internal applications, database, and network systems underlying our services, could damage our reputation and brands and lead to reduced demand for our products and services, lower revenues, and increased costs.</w:t>
      </w:r>
    </w:p>
    <w:p>
      <w:pPr>
        <w:spacing w:after="0" w:line="12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business, brand, reputation, and ability to attract and retain users and customers depend upon the satisfactory performance, reliability, and availability of our websites, which in turn depend upon the availability of the internet and our service providers. Interruptions in these systems, whether due to system failures, computer viruses, software errors, physical or electronic break-ins, or malicious hacks or attacks on our systems (such as denial of service attacks), could affect the security and availability of our services on our mobile applications and our websites and prevent or inhibit the ability of users to access our products or services. In addition, the software, internal applications, and systems underlying our products and services are complex and may not be error-free. We may encounter technical problems when we attempt to enhance our software, internal applications, and systems. Any inefficiencies, errors, or technical problems with our software, internal applications, and systems could reduce the quality of our products and services or interfere with our customers’ use of our products and services, which could reduce demand, lower our revenues, and increase our costs.</w:t>
      </w:r>
    </w:p>
    <w:p>
      <w:pPr>
        <w:spacing w:after="0" w:line="13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systems and operations are vulnerable to damage or interruption from fire, flood, power loss, security breaches, computer viruses, telecommunications failures, terrorist attacks, acts of war, electronic and physical break-ins, earthquakes, and similar events. The occurrence of any of the foregoing events could result in damage to or failure of our systems and hardware. These risks may be increased with respect to operations housed at facilities outside of our direct control, and the majority of the communications, network, and computer hardware used to operate the cloud for our platform are located at facilities maintained by Google or Amazon, which we do not own or control.</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addition, problems faced or caused by our IT service providers, including content distribution service providers, private network providers, internet providers, third-party web-hosting providers, third-party data center hosting facilities, and cloud computing platform providers. or with the systems by which they allocate capacity among their customers (as applicable), could adversely affect the experience of our users.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and Financial Risks</w:t>
      </w:r>
    </w:p>
    <w:p>
      <w:pPr>
        <w:spacing w:after="0" w:line="26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generate revenue from sales of subscriptions to our platform and data, and any decline in demand for the types of products and services we offer would negatively impact our business.</w:t>
      </w:r>
    </w:p>
    <w:p>
      <w:pPr>
        <w:spacing w:after="0" w:line="107"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For the year ended December 31, 2023 we derived substantially all of our revenue from subscription services and expect to continue to generate revenue from the sale of subscriptions to our platform and data. As a result, the continued use of telephones and email as a primary means of B2B sales, marketing, and recruiting, and the continued use of internet cloud-based platforms to access telephone, email, and related information for such purposes, is critical to our future growth and success. If the sales and marketing information market fails to grow, or grows more slowly than we currently anticipate, or if there is a decrease in the use of telephones and email as primary means of B2B communication, demand for our platform and data would be negatively affected.</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Changes in user preferences for sales, marketing, and recruiting platforms may have a disproportionately greater impact on us than if we offered disparate products and services. Demand for sales, marketing, and recruiting platforms in general, and our platform and data in particular, is affected by a number of factors, many of which are beyond our control. Some of these potential factors include:</w:t>
      </w:r>
    </w:p>
    <w:p>
      <w:pPr>
        <w:spacing w:after="0" w:line="125" w:lineRule="exact"/>
        <w:rPr>
          <w:sz w:val="20"/>
          <w:szCs w:val="20"/>
          <w:color w:val="auto"/>
        </w:rPr>
      </w:pPr>
    </w:p>
    <w:p>
      <w:pPr>
        <w:ind w:left="640" w:hanging="316"/>
        <w:spacing w:after="0" w:line="274"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awareness and acceptance of the sales, marketing, and recruiting platform categories generally, and the growth, contraction and evolution of the categories;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products and services that compete with ours;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adoption and use;</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features, and user experience, and the development and acceptance of new features, integrations, and capabilities;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support;</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accessibility across several devices, operating system, and applications;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with CRM and other related technologies; and</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the development of new systems and protocols for B2B communication.</w:t>
      </w:r>
    </w:p>
    <w:p>
      <w:pPr>
        <w:spacing w:after="0" w:line="16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market is subject to rapidly changing user demand and preference trends. If we fail to successfully predict and address these changes and trends, meet user demands or achieve more widespread market acceptance of our platform and data, our business, results of operations, and financial condition could be harmed.</w:t>
      </w:r>
    </w:p>
    <w:p>
      <w:pPr>
        <w:spacing w:after="0" w:line="22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failure to raise additional capital or generate cash flows necessary to expand our operations and invest in new technologies in the future could reduce our ability to compete successfully and harm our results of operations.</w:t>
      </w:r>
    </w:p>
    <w:p>
      <w:pPr>
        <w:spacing w:after="0" w:line="10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may require additional financing, and we may not be able to obtain debt or equity financing on favorable terms, if at all. If we raise equity financing to fund operations or on an opportunistic basis, our stockholders may experience significant dilution of their ownership interests. Our existing secured credit facilities restrict our ability to or the terms on which we may incur additional indebtedness. See “We have a substantial amount of debt, which could adversely affect our financial position and our ability to raise additional capital and prevent us from fulfilling our obligations” below. The terms of any additional debt financing may be similar or more restrictive.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effective internal controls over financial reporting in accordance with Section 404 of SOX could impair our ability to produce timely and accurate financial statements or comply with applicable regulations and have a material adverse effect on our business.</w:t>
      </w:r>
    </w:p>
    <w:p>
      <w:pPr>
        <w:spacing w:after="0" w:line="107"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As a public company, we are required by Section 404 of the Sarbanes-Oxley Act of 2002 to evaluate and determine the effectiveness of our internal controls over financial reporting and provide a management report on the internal controls over financial reporting, which must be attested to by our independent registered public accounting firm.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We have previously identified and reported a material weakness, and we may identify additional material weaknesses in internal controls in future periods, which could have a material adverse effect on our business, financial condition, and results of operations. Specifically, if we were to have another material weakness in our internal controls over financial reporting, we may not detect errors on a timely basis and our financial statements may be materially misstated. There could also be a negative reaction in the financial markets due to a loss of investor confidence in us and the reliability of our consolidated financial statements,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2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Because we recognize subscription revenue over the subscription term, downturns or upturns in new sales and renewals are not immediately reflected in full within our results of operations.</w:t>
      </w:r>
    </w:p>
    <w:p>
      <w:pPr>
        <w:spacing w:after="0" w:line="10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recognize revenue from subscriptions to our platform on a straight-line basis over the term of the contract subscription period beginning on the date access to the platform is granted, provided all other revenue recognition criteria have been met. Our subscription arrangements generally have contractual terms requiring advance payment for annual or quarterly periods. As a result, much of the revenue we report each quarter is the recognition of deferred revenue from recurring subscriptions entered into during previous quarters. Consequently, a decline in new or renewed recurring subscription contracts in any one quarter will not be fully reflected in revenue in that quarter but will negatively affect our revenue in future quarters. Accordingly, the effect of significant downturns in new or renewed sales of our recurring subscriptions are not reflected in full in our results of operations until future periods. Our subscription model also makes it difficult for us to rapidly increase our revenue through additional sales in any period, as revenue from new customers is typically recognized over the applicable subscription term. By contrast, a majority of our costs are expensed as incurred, which could result in our recognition of more costs than revenue in the earlier portion of the subscription term, and we may not attain profitability in any given period.</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anticipate increasing operating expenses in the future, and we may not be able to maintain profitability.</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may not continue to achieve or maintain profitability in the future. Because the market for our platform is rapidly evolving, it is difficult for us to predict our future results of operations or the limits of our market opportunity. We expect our operating expenses to increase over the next several years as we continue to hire additional personnel, particularly in sales and marketing and research and development, expand our partnerships, operations and infrastructure, both domestically and internationally, continue to enhance our platform and develop and expand its features, integrations, and capabilities, and expand and improve our platform. We also intend to continue to build and enhance our platform through both internal research and development and selectively pursuing acquisitions that can contribute to the capabilities of our platform. In addition, as we grow, we will incur additional significant legal, accounting, and other expenses. If our revenue does not increase to offset the expected increases in our operating expenses, we may not be profitable in future periods. In future periods, our revenue growth could slow or our revenue could decline for a number of reasons, including any failure to increase the number of organizations on our platform, any failure to increase our number of paying customers, a decrease in the growth of our overall market, our failure, for any reason, to continue to capitalize on growth opportunities, slowing demand for our platform, additional regulatory burdens, or increasing competition. As a result, our past financial performance may not be indicative of our future performance. Any failure by us to sustain profitability on a consistent basis could cause the value of our common stock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have a significant amount of goodwill and intangible assets on our balance sheet, and our results of operations may be adversely affected if we fail to realize the full value of our goodwill and intangible assets.</w:t>
      </w:r>
    </w:p>
    <w:p>
      <w:pPr>
        <w:spacing w:after="0" w:line="107"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Our Consolidated Balance Sheets reflect significant amounts of goodwill and intangible assets. In accordance with U.S. GAAP, goodwill and intangible assets with an indefinite life are not amortized but are subject to a periodic impairment evaluation. Goodwill and acquired intangible assets with an indefinite life are tested for impairment at least annually or when events and circumstances indicate that fair value of a reporting unit may be below their carrying value. Acquired intangible assets with definite lives are amortized on a straight-line basis over the estimated period over which we expect to realize economic value related to the intangible asset. In addition, we review long-lived assets, including operating lease right-of-use assets, for impairment whenever events or changes in circumstances indicate that the carrying value of an asset might not be recoverable. If indicators of impairment are present, we evaluate the carrying value in relation to estimates of future undiscounted cash flows. Our ability to realize the value of the goodwill and intangible assets will depend on the future cash flows of the businesses we have acquired, which in turn depend in part on how well we have integrated these businesses into our own business. Judgments made by management relate to the expected useful lives of long-lived assets and our ability to realize undiscounted cash flows of the carrying amounts of such assets. The accuracy of these judgments may be adversely affected by several factors, including significant:</w:t>
      </w:r>
    </w:p>
    <w:p>
      <w:pPr>
        <w:spacing w:after="0" w:line="121" w:lineRule="exact"/>
        <w:rPr>
          <w:sz w:val="20"/>
          <w:szCs w:val="20"/>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underperformance relative to historical or projected future operating results;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manner of our use of acquired assets or the strategy for our overall business;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industry or economic trends; or</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our market capitalization relative to net book value for a sustained period.</w:t>
      </w:r>
    </w:p>
    <w:p>
      <w:pPr>
        <w:spacing w:after="0" w:line="16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These types of events or indicators and the resulting impairment analysis could result in impairment charges in the future. If we are not able to realize the value of the goodwill and intangible assets, we may be required to incur material charges relating to the impairment of those assets. Such impairment charges could materially and adversely affect our business, results of operations, and financial condition.</w:t>
      </w:r>
    </w:p>
    <w:p>
      <w:pPr>
        <w:spacing w:after="0" w:line="22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have a substantial amount of debt, which could adversely affect our financial position and our ability to raise additional capital and prevent us from fulfilling our obligations.</w:t>
      </w:r>
    </w:p>
    <w:p>
      <w:pPr>
        <w:spacing w:after="0" w:line="10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December 31, 2023, we had total outstanding indebtedness of $1,244.0 million consisting of outstanding borrowings under our first lien credit facilities and senior notes. Additionally, we had $250.0 million of availability under our first lien revolving credit facility as of December 31, 2023. Our substantial indebtedness may:</w:t>
      </w:r>
    </w:p>
    <w:p>
      <w:pPr>
        <w:spacing w:after="0" w:line="125" w:lineRule="exact"/>
        <w:rPr>
          <w:sz w:val="20"/>
          <w:szCs w:val="20"/>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difficult for us to satisfy our financial obligations, including with respect to our indebtedness;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additional funds for working capital, capital expenditures, acquisitions, or other general business purposes;</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use a substantial portion of our cash flow from operations to make debt service payments instead of other purposes, thereby reducing the amount of cash flow available for future working capital, capital expenditures, acquisitions, or other general business purposes;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us to the risk of increased interest rates as certain of our borrowings, including under our secured credit facilities, are at variable rates of interest;</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pay dividends;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to plan for, or react to, changes in our business and industry;</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with our less-leveraged competitors;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the impact of adverse economic, competitive, and industry conditions; and</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cost of 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addition, the credit agreement governing our secured credit facilities contains, and the agreements governing our future indebtedness may contain, restrictive covenants that may limit our ability to engage in activities that may be in our long-term best interest. These restrictive covenants include, among others, limitations on our ability to pay dividends or make other distributions in respect of, or repurchase or redeem, capital stock, prepay, redeem, or repurchase certain debt, make acquisitions, investments, loans, and advances, or sell or otherwise dispose of assets. Our failure to comply with those covenants could result in an event of default which, if not cured or waived, could result in the acceleration of substantially all of our debt.</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Furthermore, we may be able to incur substantial additional indebtedness in the future. The terms of the credit agreements governing our indebtedness limit, but do not prohibit, us from incurring additional indebtedness, and the additional indebtedness incurred in compliance with these restrictions could be substantial. These restrictions will also not prevent us from incurring obligations that do not constitute “Indebtedness” as defined in the agreements governing our indebtedness. If new indebtedness is added to our current debt levels, the related risks that we now face could intensify.</w:t>
      </w:r>
    </w:p>
    <w:p>
      <w:pPr>
        <w:spacing w:after="0" w:line="22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to service all of our indebtedness, and may be forced to take other actions to satisfy our obligations under our indebtedness, which may not be successful.</w:t>
      </w:r>
    </w:p>
    <w:p>
      <w:pPr>
        <w:spacing w:after="0" w:line="10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ability to make scheduled payments due on our debt obligations or to refinance our debt obligations depends on our financial condition and operating performance, which are subject to prevailing economic, industry, and competitive conditions and to certain financial, business, legislative, regulatory, and other factors beyond our control, including those discussed elsewhere in this “Risk Factors” section. We may be unable to maintain a level of cash flow sufficient to permit us to pay the principal, premium, if any, and interest on our indebtedness.</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If our cash flow and capital resources are insufficient to fund our debt service obligations, we could face substantial liquidity problems and could be forced to reduce or delay investments and capital expenditures or to dispose of material assets or operations, seek additional debt or equity capital or restructure or refinance our indebtedness. We may not be able to implement any such alternative measures on commercially reasonable terms or at all and, even if successful, those alternative actions may not allow us to meet our scheduled debt service obligations.</w:t>
      </w:r>
    </w:p>
    <w:p>
      <w:pPr>
        <w:spacing w:after="0" w:line="12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If we cannot make payments on our debt obligations, we will be in default and all outstanding principal and interest on our debt may be declared due and payable, the lenders under our secured credit facilities could terminate their commitments to loan money, our secured lenders (including the lenders under our secured credit facilities) could foreclose against the assets securing their borrowings, and we could be forced into bankruptcy or liquidation. In addition, any event of default or declaration of acceleration under one debt instrument could result in an event of default under one or more of our other debt instruments.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fluctuations may affect our results of operations and financial condition.</w:t>
      </w:r>
    </w:p>
    <w:p>
      <w:pPr>
        <w:spacing w:after="0" w:line="168"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Because a substantial portion of our debt is variable-rate debt, fluctuations in interest rates could have a material effect on our business. During 2022 and 2023, the United States Federal Reserve raised interest rates significantly in an attempt to combat historically high inflation. As a result, we may incur higher interest costs if interest rates continue to increase. We currently utilize, and may in the future utilize, derivative financial instruments such as interest rate swaps to hedge some of our exposure to interest rate fluctuations, but such instruments may not be effective in reducing our exposure to interest fluctuations, and we may discontinue utilizing them at any time. Further, there can be no assurance that the United States Federal Reserve will not raise rates in the future, and any such increase in interest costs could have a material adverse impact on our financial condition and the levels of cash we maintain for working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credit and other ratings could adversely impact our operations and lower our profitability.</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Credit rating and other rating agencies continually revise their ratings and ratings methodologies for the companies that they follow, including us. These rating agencies also evaluate our industry as a whole and may change their credit and other ratings for us based on their overall view of our industry. Failure to maintain our credit ratings on long-term and short-term indebtedness could increase our cost of borrowing, reduce our ability to obtain intra-day borrowing, which we may need to operate our business, and adversely impact our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Unanticipated changes in our effective tax rate and additional tax liabilities may impact our financial results.</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are subject to income taxes in the United States and various jurisdictions outside of the United States. Our income tax obligations are generally determined based on our business operations in these jurisdictions. Significant judgment is often required in the determination of our worldwide provision for income taxes. Our effective tax rate could be impacted by changes in the earnings and losses in countries with differing statutory tax rates, changes in non-deductible expenses, changes in excess tax benefits of stock-based compensation, changes in the valuation of deferred tax assets and liabilities and our ability to utilize them, the applicability of withholding taxes, effects from acquisitions, changes in accounting principles and tax laws in jurisdictions where we operate. Any changes, ambiguity, or uncertainty in taxing jurisdictions' administrative interpretations, decisions, policies, and positions could also materially impact our income tax liabilities.</w:t>
      </w:r>
    </w:p>
    <w:p>
      <w:pPr>
        <w:spacing w:after="0" w:line="13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our business continues to grow and if we become more profitable, we anticipate that our income tax obligations could significantly increase. If our existing tax credits and net operating loss carry-forwards become fully utilized, we may be unable to offset or otherwise mitigate our tax obligations to the same extent as in prior years. This could have a material impact on our future cash flows or operating results.</w:t>
      </w:r>
    </w:p>
    <w:p>
      <w:pPr>
        <w:spacing w:after="0" w:line="12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addition, recent global tax developments applicable to multinational businesses, including certain approaches of addressing taxation of digital economy recently proposed or enacted by the Organisation for Economic Co-operation and Development, the European Commission or certain major jurisdictions where we operate or might in the future operate, might have a material impact to our business and future cash flow from operating activities, or future financial results. We are also subject to tax examinations in multiple jurisdictions. While we regularly evaluate new information that may change our judgment resulting in recognition, derecognition, or changes in measurement of a tax position taken, there can be no assurance that the final determination of any examinations will not have an adverse effect on our operating results and financial position. In addition, our operations may change, which may impact our tax liabilities. As our brand becomes increasingly recognizable both domestically and internationally, our tax planning structure and corresponding profile may be subject to increased scrutiny and if we are perceived negatively, we may experience brand or reputational harm.</w:t>
      </w:r>
    </w:p>
    <w:p>
      <w:pPr>
        <w:spacing w:after="0" w:line="13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may also be subject to additional tax liabilities and penalties due to changes in non-income based taxes resulting from changes in federal, state, or international tax laws, changes in taxing jurisdictions’ administrative interpretations, decisions, policies and positions, results of tax examinations, settlements or judicial decisions, changes in accounting principles, changes to the business operations, including acquisitions, as well as the evaluation of new information that results in a change to a tax position taken in a prior period. Any resulting increase in our tax obligation or cash taxes paid could adversely affect our cash flows and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in the various tax jurisdictions we are subject to that are applied adversely to us or our paying customers could increase the costs of our products and services and harm our business.</w:t>
      </w:r>
    </w:p>
    <w:p>
      <w:pPr>
        <w:spacing w:after="0" w:line="10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Those enactments could harm our domestic and international business operations and our business, results of operations, and financial condition. For example, the Inflation Reduction Act was enacted into law in 2022. This legislation made a number of changes to the Internal Revenue Code, including the addition of a 1% excise tax on repurchases of stock by publicly traded corporations. As a result, the imposition of this excise tax may increase the cost to us of making repurchases under our share repurchase program. Further, existing tax laws, statutes, rules, regulations, or ordinances could be interpreted, changed, modified, or applied adversely to us. These events could require us or our paying customers to pay additional tax amounts on a prospective or retroactive basis, as well as require us or our paying customers to pay fines and/or penalties and interest for past amounts deemed to be due. If we raise our prices to offset the costs of these changes, existing and potential future paying customers may elect not to purchase our products and services in the future. Additionally, new, changed, modified, or newly interpreted or applied tax laws could increase our paying customers’ and our compliance, operating, and other costs, as well as the costs of our products and services. Further, these events could decrease the capital we have available to operate our business. Any or all of these events could harm our business, results of operations and financial condition.</w:t>
      </w:r>
    </w:p>
    <w:p>
      <w:pPr>
        <w:spacing w:after="0" w:line="13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Additionally, the application of U.S. federal, state, local, and international tax laws to services provided electronically is unclear and continually evolving. Existing tax laws, statutes, rules, regulations, or ordinances could be interpreted or applied adversely to us, possibly with retroactive effect, which could require us or our paying customers to pay additional tax amounts, as well as require us or our paying customers to pay fines or penalties, as well as interest for past amounts. If we are unsuccessful in collecting such taxes due from our paying customers, we could be held liable for such costs, thereby adversely affecting our results of operations and harming our business.</w:t>
      </w:r>
    </w:p>
    <w:p>
      <w:pPr>
        <w:spacing w:after="0" w:line="13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As a multinational organization,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which could harm our liquidity and results of operations. In addition, the authorities in these jurisdictions could review our tax returns and impose additional tax, interest, and penalties, and the authorities could claim that various withholding requirements apply to us or assert that benefits of tax treaties are not available to us, any of which could harm us and our results of operations.</w:t>
      </w:r>
    </w:p>
    <w:p>
      <w:pPr>
        <w:spacing w:after="0" w:line="23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may be harmed if we are required to collect sales or other related taxes for subscriptions to our products and services in jurisdictions where we have not historically done so.</w:t>
      </w:r>
    </w:p>
    <w:p>
      <w:pPr>
        <w:spacing w:after="0" w:line="10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States and some local taxing jurisdictions have differing rules and regulations governing sales and use taxes, and these rules and regulations are subject to varying interpretations that may change over time. The application of federal, state, local, and international tax laws to services provided electronically is evolving. In particular, the applicability of sales taxes to our products and services in various jurisdictions is unclear. We collect and remit U.S. sales and value-added tax (“VAT”), in a number of jurisdictions. It is possible, however, that we could face sales tax or VAT audits and that our liability for these taxes could exceed our estimates as state tax authorities could still assert that we are obligated to collect additional tax amounts from our paying customers and remit those taxes to those authorities. We could also be subject to audits in states and international jurisdictions for which we have not accrued tax liabilities. A successful assertion that we should be collecting additional sales or other taxes on our services in jurisdictions where we have not historically done so and do not accrue for sales taxes could result in substantial tax liabilities for past sales, discourage organizations from subscribing to our products and services, or otherwise harm our business, results of operations, and financial condition.</w:t>
      </w:r>
    </w:p>
    <w:p>
      <w:pPr>
        <w:spacing w:after="0" w:line="13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Further, one or more state or foreign authorities could seek to impose additional sales, use, or other tax collection and record-keeping obligations on us or may determine that such taxes should have, but have not been, paid by us. Liability for past taxes may also include substantial interest and penalty charges. Any successful action by state, foreign, or other authorities to compel us to collect and remit sales tax, use tax, or other taxes, either retroactively, prospectively, or both, could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Geopolitical Risks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and sales outside the United States expose us to risks inherent in international operations.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success depends in part on our ability to expand our sales and operations outside of the United States. Any new markets or countries into which we attempt to sell subscriptions to our platform may not be as receptive to our products and services as we anticipate. We may also experience challenges expanding and operating internationally. A significant increase in international customers or an expansion of our operations into other countries, either directly or through third parties, could create additional risks and challenges, including:</w:t>
      </w:r>
    </w:p>
    <w:p>
      <w:pPr>
        <w:spacing w:after="0" w:line="127" w:lineRule="exact"/>
        <w:rPr>
          <w:sz w:val="20"/>
          <w:szCs w:val="20"/>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need to localize our products and services, including translation into foreign languages and associated expenses;</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local incumbents that better understand the local market, customs, and culture, may market and operate more effectively, and may enjoy greater local affinity or awareness;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need to comply with foreign regulatory frameworks or business practices (including with respect to data privacy and security), which among other things may favor local competitors;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domestic and international tax environments;</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and controls, which may make our products and services more expensive for international customers and could add volatility to our operating results;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vetting and monitoring internal or external sales or customer experience resources in new and evolving markets to confirm they maintain standards consistent with our brand and reputation;</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pricing environments;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or lesser protection of our intellectual property;</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or actual violations of domestic and international anti-corruption laws, export controls, anti-bribery laws, and sanctions regulations, which likelihood may increase with an increase of sales and operations in foreign jurisdictions;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diplomatic and trade relationships, including the imposition of new trade restrictions, trade protection measures, import or export requirements, trade embargoes, and other trade barriers; and</w:t>
      </w:r>
    </w:p>
    <w:p>
      <w:pPr>
        <w:spacing w:after="0" w:line="57" w:lineRule="exact"/>
        <w:rPr>
          <w:rFonts w:ascii="Times New Roman" w:cs="Times New Roman" w:eastAsia="Times New Roman" w:hAnsi="Times New Roman"/>
          <w:sz w:val="18"/>
          <w:szCs w:val="18"/>
          <w:color w:val="auto"/>
        </w:rPr>
      </w:pPr>
    </w:p>
    <w:p>
      <w:pPr>
        <w:ind w:left="640" w:hanging="316"/>
        <w:spacing w:after="0" w:line="304" w:lineRule="auto"/>
        <w:tabs>
          <w:tab w:leader="none" w:pos="63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factors beyond our control, such as terrorism, war, natural disasters, climate change and pandemics, could result in restrictions on business activity, or materially affect our targeted return to operations timeline after one of these declared incidents, which may vary significantly by region.</w:t>
      </w:r>
    </w:p>
    <w:p>
      <w:pPr>
        <w:spacing w:after="0" w:line="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Any of these factors could negatively impact our business and results of operations.</w:t>
      </w:r>
    </w:p>
    <w:p>
      <w:pPr>
        <w:spacing w:after="0" w:line="2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Global economic uncertainty and catastrophic events, including global pandemics such as the COVID-19 pandemic, continued hostilities between Russia and Ukraine, and Israel and Hamas, have and may disrupt our business and adversely impact our business and future results of operations and financial condition.</w:t>
      </w:r>
    </w:p>
    <w:p>
      <w:pPr>
        <w:spacing w:after="0" w:line="12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Recent events, including significant global inflation, bank failures and other liquidity events affecting financial institutions, supply chain disruption, the Russia-Ukraine war, the Israel-Hamas war, have adversely impacted and may continue to adversely impact global financial markets, economies, and business practices. These types of unpredictable events have adversely affected and could adversely affect our business and future results of operations, our ability to access funds from financial institutions and capital markets, and our financial condition due to cancellations and reductions in spend from customers in impacted industries, increases in our costs, or other disruption to our business. We experienced and may continue to experience longer sales cycles and more intense scrutiny, particularly for larger purchases and upgrades as customers and prospects re-assess their growth trajectory in light of the changing economic environment.</w:t>
      </w:r>
    </w:p>
    <w:p>
      <w:pPr>
        <w:spacing w:after="0" w:line="13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If global economic uncertainty and catastrophic events harm our business and results of operations, many of the other risks described in this Part I, Item 1A of this report may be heightened.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Organizational Structure Risk Factors</w:t>
      </w:r>
    </w:p>
    <w:p>
      <w:pPr>
        <w:spacing w:after="0" w:line="26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ZoomInfo Technologies Inc. is a holding company, its only material asset is its interest in ZoomInfo Intermediate Inc. and ZoomInfo OpCo, and ZoomInfo Technologies Inc. is accordingly dependent upon distributions from ZoomInfo OpCo and its subsidiaries to pay taxes, make payments under the tax receivable agreements, and pay dividends.</w:t>
      </w:r>
    </w:p>
    <w:p>
      <w:pPr>
        <w:spacing w:after="0" w:line="1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ZoomInfo Technologies Inc. is a holding company, and has no material assets other than its ownership of common stock of ZoomInfo Intermediate Inc. and of OpCo Units. ZoomInfo Technologies Inc. has no independent means of generating revenue. Although we have no current plans to pay cash dividends on our common stock, deterioration in the financial condition, earnings or cash flow of ZoomInfo OpCo and its subsidiaries for any reason could limit or impair their ability to pay such distributions in the future. Additionally, to the extent that ZoomInfo Technologies Inc. needs funds, and ZoomInfo OpCo is restricted from making such distributions under applicable law or regulation or under the terms of our financing arrangements, or is otherwise unable to provide such funds, it could materially adversely affect our liquidity and financial condition.</w:t>
      </w:r>
    </w:p>
    <w:p>
      <w:pPr>
        <w:spacing w:after="0" w:line="13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have no current plans to pay cash dividends on our common stock. Payments of dividends, if any, will be at the discretion of our Board of Directors after taking into account various factors, including our business, operating results, and financial condition, current and anticipated cash needs, plans for expansion, and any legal or contractual limitations on our ability to pay dividends. Our existing secured credit facilities include and any financing arrangement that we enter into in the future may include restrictive covenants that limit our ability to pay dividends. In addition, ZoomInfo MidCo LLC is generally prohibited under Delaware law from making a distribution to a member to the extent that, at the time of the distribution, after giving effect to the distribution, liabilities of ZoomInfo MidCo LLC (with certain exceptions) exceed the fair value of its assets. Subsidiaries of ZoomInfo MidCo LLC are generally subject to similar legal limitations on their ability to make distributions to ZoomInfo MidCo LLC.</w:t>
      </w:r>
    </w:p>
    <w:p>
      <w:pPr>
        <w:spacing w:after="0" w:line="2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ZoomInfo Intermediate Inc. is required to pay our Pre-IPO Owners for most of the benefits relating to any additional tax depreciation or amortization deductions that we may claim as a result of the ZoomInfo Tax Group’s allocable share of existing tax basis acquired in the IPO, the ZoomInfo Tax Group’s increase in its allocable share of existing tax basis, and anticipated tax basis adjustments the ZoomInfo Tax Group receives in connection with sales or exchanges of OpCo Units after the IPO, and certain other tax attributes.</w:t>
      </w:r>
    </w:p>
    <w:p>
      <w:pPr>
        <w:spacing w:after="0" w:line="128"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7"/>
          <w:szCs w:val="17"/>
          <w:color w:val="auto"/>
        </w:rPr>
        <w:t>In connection with the IPO, we entered into two tax receivable agreements. We entered into (i) the Exchange Tax Receivable Agreement with certain of our Pre-IPO OpCo Unitholders and (ii) the Reorganization Tax Receivable Agreement with the Pre-IPO Blocker Holders. These tax receivable agreements provide for the payment by members of the ZoomInfo Tax Group to certain Pre-IPO Owners and certain Pre-IPO HoldCo Unitholders of 85% of the benefits, if any, that the ZoomInfo Tax Group is deemed to realize (calculated using certain assumptions) as a result of certain tax attributes and benefits covered by the tax receivable agreements. The Exchange Tax Receivable Agreement provides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common stock after the IPO, and certain other tax benefits, including tax benefits attributable to payments under the Exchange Tax Receivable Agreement. The Reorganization Tax Receivable Agreement provides for the payment by ZoomInfo Intermediate Inc. to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each case, these increases in existing tax basis and tax basis adjustments generated over time may increase (for tax purposes) depreciation and amortization deductions and, therefore, may reduce the amount of tax that the ZoomInfo Tax Group would otherwise be required to pay in the future, although the U.S. Internal Revenue Service (the “IRS”) may challenge all or part of the validity of that tax basis, and a court could sustain such a challenge. Actual tax benefits realized by the ZoomInfo Tax Group may differ from tax benefits calculated under the tax receivable agreements as a result of the use of certain assumptions in the tax receivable agreements, including the use of an assumed weighted-average state and local income tax rate to calculate tax benefits. The payment obligations under the tax receivable agreements are an obligation of members of the ZoomInfo Tax Group, but not of ZoomInfo OpCo. While the amount of existing tax basis, the anticipated tax basis adjustments, and the actual amount and utilization of tax attributes, as well as the amount and timing of any payments under the tax receivable agreements, will vary depending upon a number of factors, including the timing of exchanges, the price of shares of our common stock at the time of exchanges, the extent to which such exchanges are taxable, and the amount and timing of our income, we expect that as a result of the size of the transfers and increases in the tax basis of the tangible and intangible assets of ZoomInfo OpCo and our possible utilization of tax attributes, including existing tax basis acquired at the time of the IPO, the payments that the members of the ZoomInfo Tax Group may make under the tax receivable agreements will be substantial. The payments under the tax receivable agreements are not conditioned upon continued ownership of us by the exchanging holders of OpCo Units or the prior owners of the Blocker Companies.</w:t>
      </w:r>
    </w:p>
    <w:p>
      <w:pPr>
        <w:spacing w:after="0" w:line="23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In certain cases, payments under the tax receivable agreements may be accelerated and/or significantly exceed the actual benefits the ZoomInfo Tax Group realizes in respect of the tax attributes subject to the tax receivable agreements.</w:t>
      </w:r>
    </w:p>
    <w:p>
      <w:pPr>
        <w:spacing w:after="0" w:line="107"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Members of the ZoomInfo Tax Group’s payment obligations under the tax receivable agreements may be accelerated in the event of certain changes of control and will be accelerated in the event it elects to terminate the tax receivable agreements early. The accelerated payments will relate to all relevant tax attributes that would subsequently be available to the ZoomInfo Tax Group. The accelerated payments required in such circumstances will be calculated by reference to the present value (at a discount rate equal to a per annum rate of the lesser of (i) 6.5% and (ii) LIBOR, or its successor rate, plus 100 basis points) of all future payments that holders of OpCo Units or other recipients would have been entitled to receive under the tax receivable agreements, and such accelerated payments and any other future payments under the tax receivable agreements will utilize certain valuation assumptions, including that the ZoomInfo Tax Group will have sufficient taxable income to fully utilize the deductions arising from the increased tax deductions and tax basis and other benefits related to entering into the tax receivable agreements and sufficient taxable income to fully utilize any remaining net operating losses subject to the tax receivable agreements on a straight line basis over the shorter of the statutory expiration period for such net operating losses and the five-year period after the early termination or change of control. In addition, recipients of payments under the tax receivable agreements will not reimburse us for any payments previously made under the tax receivable agreements if such tax basis and the ZoomInfo Tax Group’s utilization of certain tax attributes is successfully challenged by the IRS (although any such detriment would be taken into account in future payments under the tax receivable agreements). The ZoomInfo Tax Group’s ability to achieve benefits from any existing tax basis, tax basis adjustments or other tax attributes, and the payments to be made under the tax receivable agreements, will depend upon a number of factors, including the timing and amount of our future income. As a result, even in the absence of a change of control or an election to terminate the tax receivable agreements, payments under the tax receivable agreements could be in excess of 85% of the ZoomInfo Tax Group’s actual cash tax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Accordingly, it is possible that the actual cash tax benefits realized by the ZoomInfo Tax Group may be significantly less than the corresponding tax receivable agreement payments or that payments under the tax receivable agreements may be made years in advance of the actual realization, if any, of the anticipated future tax benefits. There may be a material negative effect on our liquidity if the payments under the tax receivable agreements exceed the actual cash tax benefits that the ZoomInfo Tax Group realizes in respect of the tax attributes subject to the tax receivable agreements and/or payments to ZoomInfo Intermediate by ZoomInfo MidCo LLC are not sufficient to permit ZoomInfo Intermediate to make payments under the tax receivable agreements after it has paid taxes and other expenses. We may need to incur additional indebtedness to finance payments under the tax receivable agreements to the extent our cash resources are insufficient to meet our obligations under the tax receivable agreements as a result of timing discrepancies or otherwise, and these obligations could have the effect of delaying, deferring, or preventing certain mergers, asset sales, other forms of business combinations, or other changes of control.</w:t>
      </w:r>
    </w:p>
    <w:p>
      <w:pPr>
        <w:spacing w:after="0" w:line="22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acceleration of payments under the tax receivable agreements in the case of certain changes of control may impair our ability to consummate change of control transactions or negatively impact the value received by owners of our common stock.</w:t>
      </w:r>
    </w:p>
    <w:p>
      <w:pPr>
        <w:spacing w:after="0" w:line="10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the case of certain changes of control, payments under the tax receivable agreements may be accelerated and may significantly exceed the actual benefits the ZoomInfo Tax Group realizes in respect of the tax attributes subject to the tax receivable agreements. We expect that the payments that we may make under the tax receivable agreements in the event of a change of control will be substantial. As a result, our accelerated payment obligations and/or the assumptions adopted under the tax receivable agreements in the case of a change of control may impair our ability to consummate change of control transactions or negatively impact the value received by owners of our common stock in a change of control transaction.</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 of Our Common Stock Risk Factors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parties to our stockholders agreement continue to have influence over us, and their interests may conflict with ours or yours in the future.</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Pursuant to the terms of our stockholders agreement, each of TA Associates, Carlyle, and our Founders have designated a director to serve on our Board of Directors. Carlyle and our Founders have the right to designate at least one of our directors for so long as they beneficially own at least 5% of the voting power of all shares of our outstanding capital stock entitled to vote generally in the election of our directors. For so long as any such party has a designee continuing to serve on our Board of Directors, they will be able to significantly influence our management, business plans, and policies, including the appointment and removal of our officers, the composition of our Board of Directors, and decisions about whether to enter or not enter into significant transactions. The rights provided under the terms of the stockholders agreement could deprive you of an opportunity to receive a premium for your shares of our common stock as part of a sale of our Company and ultimately might affect the market price of our common stock.</w:t>
      </w:r>
    </w:p>
    <w:p>
      <w:pPr>
        <w:spacing w:after="0" w:line="23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and Delaware law might discourage or delay acquisition attempts for us that you might consider favorable.</w:t>
      </w:r>
    </w:p>
    <w:p>
      <w:pPr>
        <w:spacing w:after="0" w:line="10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second amended and restated certificate of incorporation and amended and restated bylaws contain provisions that may make a merger with or acquisition of our Company more difficult without the approval of our Board of Directors. Among other things, these provisions:</w:t>
      </w:r>
    </w:p>
    <w:p>
      <w:pPr>
        <w:spacing w:after="0" w:line="110" w:lineRule="exact"/>
        <w:rPr>
          <w:sz w:val="20"/>
          <w:szCs w:val="20"/>
          <w:color w:val="auto"/>
        </w:rPr>
      </w:pPr>
    </w:p>
    <w:p>
      <w:pPr>
        <w:ind w:left="640" w:hanging="316"/>
        <w:spacing w:after="0" w:line="274"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of Directors is divided into three classes, as nearly equal in size as possible, with directors in each class serving three-year terms and with terms of the directors of only one class expiring in any given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40" w:hanging="316"/>
        <w:spacing w:after="0" w:line="259"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removal of directors only for cause and only upon the affirmative vote of the holders of at least 66⅔% in voting power of the outstanding shares of our capital stock entitled to vote if the parties to our stockholders agreement beneficially own less than 50% of the total voting power of all then-outstanding shares of our capital stock entitled to vote generally in the election of directors;</w:t>
      </w:r>
    </w:p>
    <w:p>
      <w:pPr>
        <w:spacing w:after="0" w:line="71" w:lineRule="exact"/>
        <w:rPr>
          <w:rFonts w:ascii="Times New Roman" w:cs="Times New Roman" w:eastAsia="Times New Roman" w:hAnsi="Times New Roman"/>
          <w:sz w:val="18"/>
          <w:szCs w:val="18"/>
          <w:color w:val="auto"/>
        </w:rPr>
      </w:pPr>
    </w:p>
    <w:p>
      <w:pPr>
        <w:jc w:val="both"/>
        <w:ind w:left="640" w:hanging="316"/>
        <w:spacing w:after="0" w:line="282" w:lineRule="auto"/>
        <w:tabs>
          <w:tab w:leader="none" w:pos="63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allow us to authorize the issuance of shares of one or more series of preferred stock, including in connection with a stockholder rights plan, financing transactions, or otherwise, the terms of which series may be established and the shares of which may be issued without stockholder approval, and which may include super voting, special approval, dividend, or other rights or preferences superior to the rights of the holders of our common stock;</w:t>
      </w:r>
    </w:p>
    <w:p>
      <w:pPr>
        <w:spacing w:after="0" w:line="52" w:lineRule="exact"/>
        <w:rPr>
          <w:rFonts w:ascii="Times New Roman" w:cs="Times New Roman" w:eastAsia="Times New Roman" w:hAnsi="Times New Roman"/>
          <w:sz w:val="17"/>
          <w:szCs w:val="17"/>
          <w:color w:val="auto"/>
        </w:rPr>
      </w:pPr>
    </w:p>
    <w:p>
      <w:pPr>
        <w:jc w:val="both"/>
        <w:ind w:left="640" w:hanging="316"/>
        <w:spacing w:after="0" w:line="259"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by holders of our common stock from and after the date on which the parties to our stockholders agreement cease to beneficially own at least 50% of the total voting power of all then-outstanding shares of our capital stock entitled to vote generally in the election of directors unless such action is recommended by all directors then in office;</w:t>
      </w:r>
    </w:p>
    <w:p>
      <w:pPr>
        <w:spacing w:after="0" w:line="7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certain limitations on convening special stockholder meetings;</w:t>
      </w:r>
    </w:p>
    <w:p>
      <w:pPr>
        <w:spacing w:after="0" w:line="111"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 that the Board of Directors is expressly authorized to make, alter, or repeal our bylaws and (ii) that our stockholders may only amend our bylaws with the approval of 66⅔% or more of all of then-outstanding shares of our capital stock entitled to vote if the parties to our stockholders agreement beneficially own less than 50% of the total voting power of all then-outstanding shares of our capital stock entitled to vote generally in the election of directors;</w:t>
      </w:r>
    </w:p>
    <w:p>
      <w:pPr>
        <w:spacing w:after="0" w:line="74"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certain provisions of our second amended and restated certificate of incorporation may be amended only by the affirmative vote of the holders of at least 66⅔% in voting power of then-outstanding shares of our capital stock entitled to vote if the parties to our stockholders agreement beneficially own less than 50% of the total voting power of all then-outstanding shares of our capital stock entitled to vote generally in the election of directors; and</w:t>
      </w:r>
    </w:p>
    <w:p>
      <w:pPr>
        <w:spacing w:after="0" w:line="7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elections to our Board of Directors or for proposing matters that can be acted upon by stockholders at stockholder meetings.</w:t>
      </w:r>
    </w:p>
    <w:p>
      <w:pPr>
        <w:spacing w:after="0" w:line="11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Further, as a Delaware corporation, we are subject to provisions of Delaware law, which may impede or discourage a takeover attempt that our stockholders may find beneficial. These anti-takeover provisions and other provisions under Delaware law could discourage, delay, or prevent a transaction involving a change in control of our Company, including actions that our stockholders may deem advantageous, or negatively affect the trading price of our common stock. These provisions could also discourage proxy contests and make it more difficult for you and other stockholders to elect directors of your choosing and to cause us to take other corporate actions you desire. For further discussion of these and other such anti-takeover provisions, see “Description of Capital Stock—Anti-Takeover Effects of Our Second Amended and Restated Certificate of Incorporation and Amended and Restated Bylaws and Certain Provisions of Delaware Law” in Exhibit 4.1 to this Form 10-K.</w:t>
      </w:r>
    </w:p>
    <w:p>
      <w:pPr>
        <w:spacing w:after="0" w:line="13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our second amended and restated certificate of incorporation provides that the Delaware Court of Chancery will be the exclusive forum for certain types of legal action and, unless we consent in writing to the selection of an alternative forum, the federal district courts of the United States of America shall be the exclusive forum for the resolution of any complaint asserting a cause of action arising under the Exchange Act or the Securities Act of 1933. This provision may make it more difficult for you and other stockholders to challenge certain corporate actions we take.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 to Security</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Security is a foundation on which ZoomInfo builds and maintains customers’ trust. We are committed to protecting our information and our customers’ information from both intentional and unintentional misuse and have implemented a robust Information Security Management System (“ISMS”) that meets the ISO 27001 Standard requirements as well as the ISO 27701 (Privacy) and ISO 27017 (Cloud Security) standards. We have also earned AICPA’s SOC 2 attestation regarding the security, availability, and confidentiality controls around our services and meet the security requirements of the Cloud Security Alliance (CSA) STAR program.</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Framework</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security program is risk-driven and integrated into our overall enterprise risk management (ERM) process. We emphasize risk detection, which serves as the foundation for risk management-related business decisions. Our ISMS provides the structure for our overall security program and serves to assess, manage, monitor, and minimize our cybersecurity risks. The program includes:</w:t>
      </w:r>
    </w:p>
    <w:p>
      <w:pPr>
        <w:spacing w:after="0" w:line="125" w:lineRule="exact"/>
        <w:rPr>
          <w:sz w:val="20"/>
          <w:szCs w:val="20"/>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Context of the organization</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Leadership</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Planning</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evaluation</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w:t>
      </w:r>
    </w:p>
    <w:p>
      <w:pPr>
        <w:spacing w:after="0" w:line="11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ISMS consists of a set of policies and procedures that serve as a foundation for risk identification and remediation across all company assets. ZoomInfo’s ISMS implementation allows for the appropriate integration of security controls into existing or newly created business processes. ZoomInfo’s risk management platform is based on the ISO 31000 Risk Management Standard, and continuous risk assessment activities are conducted in partnership and coordination with risk owners in various functions.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Team and Internal Operations</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Cybersecurity team is comprised of a diverse group of security veterans with experience managing all facets of information risk including, but not limited to, Application Security, Data Governance, Security Engineering, Security Processes and Services, Secure Software Development (S-SDLC), Governance Risk and Compliance (GRC), Risk Management, Cyber Threat Intelligence, Breach Readiness, Cyber Defense Center for monitoring (CDC), Offensive Security, and Security Awareness.</w:t>
      </w:r>
    </w:p>
    <w:p>
      <w:pPr>
        <w:spacing w:after="0" w:line="12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also consult with outside experts to identify and implement best practices, help gauge the security climate, and identify effective methods for related skill development and information sharing.</w:t>
      </w:r>
    </w:p>
    <w:p>
      <w:pPr>
        <w:spacing w:after="0" w:line="11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information security policies outline the roles and responsibilities within the organization, and our security team works directly with specific members of senior management we call “security ambassadors” to help ensure that the various information security directives are executed as required in their respective departments. Our security partners help to establish, assess, and enhance business processes by ensuring the required information security risk management practices are suitably embedded within their respective processes.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All employees and contractors are required to participate in continuous and dynamic security awareness training. The training includes an overview of key security topics, policies, and responsibilities. Regular security bulletins are disseminated to employees and contractors with security alerts, tips and best practices, external resources, security procedures, and contact information so that they can ask security-related questions or raise concerns.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Prevention, Detection, and Response</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ZoomInfo has implemented preventative security and detection measures, including asset protection and access controls in the following key areas:</w:t>
      </w:r>
    </w:p>
    <w:p>
      <w:pPr>
        <w:spacing w:after="0" w:line="164" w:lineRule="exact"/>
        <w:rPr>
          <w:sz w:val="20"/>
          <w:szCs w:val="20"/>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Assets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Protection</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Protection</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 Security</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Security</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 Point Devices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Perimeter Defense</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Protection</w:t>
      </w:r>
    </w:p>
    <w:p>
      <w:pPr>
        <w:spacing w:after="0" w:line="16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also maintain written incident response plans and conduct periodic cross-functional tabletop exercises to help assess our incident response plans, processes, and capabilities in addressing cybersecurity threats.</w:t>
      </w:r>
    </w:p>
    <w:p>
      <w:pPr>
        <w:spacing w:after="0" w:line="11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part of our security framework and evaluation of our supply chain risks, we review our service providers’ security practices and require appropriate certifications from them. We, and also perform an analysis of controls to manage our third-party security risks.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Risks</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For information related to whether risks from cybersecurity threats have materially affected or are reasonably likely to materially affect ZoomInfo, see “Risk Factors—Cyber-attacks and security vulnerabilities could result in serious harm to our reputation, business, and financial condition” in Part I, Item 1A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Oversight of Risk Management Generally</w:t>
      </w:r>
    </w:p>
    <w:p>
      <w:pPr>
        <w:spacing w:after="0" w:line="166"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Our Board has extensive involvement in the oversight of risk management related to us and our business. The Board accomplishes this oversight both directly and through its Audit Committee, Compensation Committee, Nominating and Corporate Governance Committee, and Privacy, Security and Technology Committee, each of which assists the Board in overseeing a part of our overall risk management and regularly reports to the Board. The Audit Committee represents the Board by periodically reviewing our accounting, reporting and financial practices, including the integrity of our financial statements, the oversight of administrative and financial controls, our compliance with legal and regulatory requirements and our policies with respect to risk assessment and risk management. Through its regular meetings with management, including the finance, legal and internal audit functions, the Audit Committee reviews and discusses significant areas of our business and related risks and summarizes for the Board areas of risk and any mitigating factors. The Compensation Committee considers, and discusses with management, management’s assessment of certain risks, including whether any risks arising from our compensation policies and practices for our employees are reasonably likely to have a material adverse effect on us. The Nominating and Corporate Governance Committee oversees and evaluates programs and risks associated with Board organization, membership and structure, succession planning and corporate governance. In addition, our Board receives periodic detailed operating performance reviews from management. The Privacy, Security and Technology Committee, represents the Board by periodically reviewing and discussing with Company management the Company’s major risk exposures relating to privacy, cybersecurity, and technology, and the steps the Company takes to detect, monitor, and actively manage such exposures.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Oversight of Privacy, Cybersecurity and Technology Risks</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Board recognizes the importance of maintaining the trust and confidence of our customers and employees. As a part of its independent oversight of the key risks facing our company, the Board, primarily through its Privacy, Security and Technology Committee, devotes significant time and attention to the oversight of privacy, cybersecurity, and technology risks. The Privacy, Security, and Technology Committee oversees management’s approach to staffing, policies, processes, and practices to gauge and address privacy, cybersecurity, and technology risks. The Privacy, Security, and Technology Committee regularly reports to the full Board and discusses the significant privacy, cybersecurity, and technology issues at the Board level.</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cybersecurity program is managed by our chief security officer (“CSO”). Our CSO is informed about and monitors awareness, prevention, detection, mitigation, and remediation efforts through regular communication and reporting from members of the information security team. Our CSO has served in information security roles for over 20 years, including serving as the Chief Information Security Officer for technology organizations and a government defense agency. He holds a masters degree in information systems and an undergraduate degree in electrical engineering. In addition, our chief technology officer (“CTO”) has served in various leadership roles in information technology, engineering, and product management for over 25 years at public and private technology companies. He holds a PhD in computer science and undergraduate and masters degrees in computer engineering.</w:t>
      </w:r>
    </w:p>
    <w:p>
      <w:pPr>
        <w:spacing w:after="0" w:line="13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chief compliance officer, CTO, general counsel, and other members of management are part of an executive-level Security Steering Committee chaired by our CSO, along with subcommittees comprised of cross-functional representatives focused on evaluating ZoomInfo’s data governance, cybersecurity incident response framework, security culture, and product and application security, among other areas. Members of the executive-level Security Steering Committee provide updates and analysis regarding cybersecurity, data privacy, and related security topics to the Board’s Privacy, Security, and Technology Committee at each meeting. In addition, our legal, privacy, and compliance teams are focused on applicable cybersecurity laws and regulations and monitor changes to such laws and regulations with a view to implementing what we believe are best practices in the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Our corporate headquarters is located in Vancouver, Washington and consists of 57,576 square feet under a lease agreement that expires on August 31, 2025. In the third quarter of 2021, we executed a lease to occupy a new corporate headquarters in Vancouver, Washington, that will consist of 366,253 square feet upon completion of construction. We plan to take possession of various spaces within our new headquarters in phases as sections of the property are made available by the landlord with lease commencement for certain spaces beginning in the second quarter of 2024 and occupancy beginning in 2025.</w:t>
      </w:r>
    </w:p>
    <w:p>
      <w:pPr>
        <w:spacing w:after="0" w:line="11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maintain additional offices in Waltham, Massachusetts; Bethesda, Maryland; Conshohocken, Pennsylvania; Grand Rapids, Michigan; San Francisco, California; Ra’anana, Israel; Toronto, Canada; Chennai, India; and London, England.</w:t>
      </w:r>
    </w:p>
    <w:p>
      <w:pPr>
        <w:spacing w:after="0" w:line="11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lease all of our facilities and do not own any real property. Our infrastructure operates out of third-party data centers hosted by Google and Amazon Web Services.</w:t>
      </w:r>
    </w:p>
    <w:p>
      <w:pPr>
        <w:spacing w:after="0" w:line="11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believe our facilities are adequate and suitable for our current needs. We intend to add new facilities or expand existing facilities as we continue to add employees and expand geographically, and we believe that suitable additional or substitute space will be available as needed to accommodate any such expansion of our operations. In certain geographies, we anticipate that we will endeavor to sublease some of our committed space where the lease provides more space than we will require during certain periods of the lease.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For a description of certain legal and regulatory proceedings, please read “Legal Matters” in Note 11 - Commitments and Contingencies to our audited consolidated financial statements included in Part II, Item 8 of this Form 10-K, which is incorporated herein by reference.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6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for Common Stock</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common stock is listed and traded on the Nasdaq Global Select Market under the trading symbol “ZI”.</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January 31, 2024, there were 12 holders of record of our common stock. The actual number of stockholders of common stock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have no current plans to pay dividends on our common stock. The declaration, amount, and payment of any future dividends on shares of common stock is at the sole discretion of our Board of Directors, and we may reduce or discontinue entirely the payment of such dividends at any time. Our Board of Directors may take into account general and economic conditions, our financial condition and operating results, our available cash and current and anticipated cash needs, capital requirements, contractual, legal, tax, and regulatory restrictions and implications on the payment of dividends by us to our stockholders or by our subsidiaries to us, and such other factors as our Board of Directors may deem relevant.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64"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The following shall not be deemed “filed” with the SEC for purposes of Section 18 of the Exchange Act, or otherwise subject to the liabilities under that section, and shall not be deemed to be incorporated by reference into any of our other filings under the Securities Act of 1933 or the Exchange Act.</w:t>
      </w:r>
    </w:p>
    <w:p>
      <w:pPr>
        <w:spacing w:after="0" w:line="10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graph below compares the cumulative total stockholder return on our common stock with the cumulative total return on the S&amp;P 500 Index (^GSPC) and the Nasdaq Computer Index (^IXCO), assuming an initial investment of $100 at the market close on June 4, 2020, the date our stock commenced trading on the Nasdaq Global Select Market. Data for the S&amp;P 500 Index and the Nasdaq Computer Index assume reinvestment of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comparisons in the graph below are based upon historical data and are not indicative of, nor intended to forecast,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1148080</wp:posOffset>
            </wp:positionH>
            <wp:positionV relativeFrom="paragraph">
              <wp:posOffset>149225</wp:posOffset>
            </wp:positionV>
            <wp:extent cx="4846320" cy="257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846320" cy="257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shares of Common Stock purchased by the Company during the periods indicated: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6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Maximum Number (or Approximate</w:t>
            </w:r>
          </w:p>
        </w:tc>
      </w:tr>
      <w:tr>
        <w:trPr>
          <w:trHeight w:val="212"/>
        </w:trPr>
        <w:tc>
          <w:tcPr>
            <w:tcW w:w="16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Number of Shares</w:t>
            </w:r>
          </w:p>
        </w:tc>
        <w:tc>
          <w:tcPr>
            <w:tcW w:w="120" w:type="dxa"/>
            <w:vAlign w:val="bottom"/>
          </w:tcPr>
          <w:p>
            <w:pPr>
              <w:spacing w:after="0"/>
              <w:rPr>
                <w:sz w:val="18"/>
                <w:szCs w:val="18"/>
                <w:color w:val="auto"/>
              </w:rPr>
            </w:pPr>
          </w:p>
        </w:tc>
        <w:tc>
          <w:tcPr>
            <w:tcW w:w="28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Dollar Value) of Shares that May Yet</w:t>
            </w:r>
          </w:p>
        </w:tc>
      </w:tr>
      <w:tr>
        <w:trPr>
          <w:trHeight w:val="209"/>
        </w:trPr>
        <w:tc>
          <w:tcPr>
            <w:tcW w:w="16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80" w:type="dxa"/>
            <w:vAlign w:val="bottom"/>
          </w:tcPr>
          <w:p>
            <w:pPr>
              <w:spacing w:after="0"/>
              <w:rPr>
                <w:sz w:val="18"/>
                <w:szCs w:val="18"/>
                <w:color w:val="auto"/>
              </w:rPr>
            </w:pPr>
          </w:p>
        </w:tc>
        <w:tc>
          <w:tcPr>
            <w:tcW w:w="20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Weighted Average Price</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Purchased as Part of Publicly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7"/>
              </w:rPr>
              <w:t>be Purchased Under the Plan or</w:t>
            </w:r>
          </w:p>
        </w:tc>
      </w:tr>
      <w:tr>
        <w:trPr>
          <w:trHeight w:val="262"/>
        </w:trPr>
        <w:tc>
          <w:tcPr>
            <w:tcW w:w="168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92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Purchased</w:t>
            </w:r>
            <w:r>
              <w:rPr>
                <w:rFonts w:ascii="Times New Roman" w:cs="Times New Roman" w:eastAsia="Times New Roman" w:hAnsi="Times New Roman"/>
                <w:sz w:val="22"/>
                <w:szCs w:val="22"/>
                <w:b w:val="1"/>
                <w:bCs w:val="1"/>
                <w:color w:val="auto"/>
                <w:vertAlign w:val="superscript"/>
              </w:rPr>
              <w:t>(1)</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Paid Per Share</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Announced Plans or Programs</w:t>
            </w:r>
            <w:r>
              <w:rPr>
                <w:rFonts w:ascii="Times New Roman" w:cs="Times New Roman" w:eastAsia="Times New Roman" w:hAnsi="Times New Roman"/>
                <w:sz w:val="22"/>
                <w:szCs w:val="22"/>
                <w:b w:val="1"/>
                <w:bCs w:val="1"/>
                <w:color w:val="auto"/>
                <w:w w:val="96"/>
                <w:vertAlign w:val="superscript"/>
              </w:rPr>
              <w:t>(2)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720" w:type="dxa"/>
            <w:vAlign w:val="bottom"/>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7"/>
              </w:rPr>
              <w:t>Programs</w:t>
            </w:r>
          </w:p>
        </w:tc>
      </w:tr>
      <w:tr>
        <w:trPr>
          <w:trHeight w:val="218"/>
        </w:trPr>
        <w:tc>
          <w:tcPr>
            <w:tcW w:w="1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2023</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5,902,722</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00" w:type="dxa"/>
            <w:vAlign w:val="bottom"/>
            <w:tcBorders>
              <w:top w:val="single" w:sz="8" w:color="CCEEFF"/>
            </w:tcBorders>
            <w:shd w:val="clear" w:color="auto" w:fill="CCEEFF"/>
          </w:tcPr>
          <w:p>
            <w:pPr>
              <w:spacing w:after="0"/>
              <w:rPr>
                <w:sz w:val="19"/>
                <w:szCs w:val="19"/>
                <w:color w:val="auto"/>
              </w:rPr>
            </w:pPr>
          </w:p>
        </w:tc>
        <w:tc>
          <w:tcPr>
            <w:tcW w:w="2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5,898,653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w:t>
            </w:r>
          </w:p>
        </w:tc>
      </w:tr>
      <w:tr>
        <w:trPr>
          <w:trHeight w:val="225"/>
        </w:trPr>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2023</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3,325,528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tcPr>
          <w:p>
            <w:pPr>
              <w:spacing w:after="0"/>
              <w:rPr>
                <w:sz w:val="19"/>
                <w:szCs w:val="19"/>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3,324,547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w:t>
            </w:r>
          </w:p>
        </w:tc>
      </w:tr>
      <w:tr>
        <w:trPr>
          <w:trHeight w:val="225"/>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2023</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704,434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00" w:type="dxa"/>
            <w:vAlign w:val="bottom"/>
            <w:shd w:val="clear" w:color="auto" w:fill="CCEEFF"/>
          </w:tcPr>
          <w:p>
            <w:pPr>
              <w:spacing w:after="0"/>
              <w:rPr>
                <w:sz w:val="19"/>
                <w:szCs w:val="19"/>
                <w:color w:val="auto"/>
              </w:rPr>
            </w:pPr>
          </w:p>
        </w:tc>
        <w:tc>
          <w:tcPr>
            <w:tcW w:w="2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699,052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r>
      <w:tr>
        <w:trPr>
          <w:trHeight w:val="219"/>
        </w:trPr>
        <w:tc>
          <w:tcPr>
            <w:tcW w:w="1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9,932,684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9,922,252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20"/>
        </w:trPr>
        <w:tc>
          <w:tcPr>
            <w:tcW w:w="16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w:t>
      </w:r>
    </w:p>
    <w:p>
      <w:pPr>
        <w:spacing w:after="0" w:line="23" w:lineRule="exact"/>
        <w:rPr>
          <w:sz w:val="20"/>
          <w:szCs w:val="20"/>
          <w:color w:val="auto"/>
        </w:rPr>
      </w:pPr>
    </w:p>
    <w:p>
      <w:pPr>
        <w:ind w:firstLine="6"/>
        <w:spacing w:after="0" w:line="256" w:lineRule="auto"/>
        <w:tabs>
          <w:tab w:leader="none" w:pos="205"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that were not purchased as part of publicly announced plans or programs were acquired through the withholding of shares to satisfy tax withholding obligations incurred upon the vesting of HSKB Phantom Units awarded under the HSKB Funds, LLC 2019 Phantom Unit Plan.</w:t>
      </w:r>
    </w:p>
    <w:p>
      <w:pPr>
        <w:spacing w:after="0" w:line="1" w:lineRule="exact"/>
        <w:rPr>
          <w:rFonts w:ascii="Times New Roman" w:cs="Times New Roman" w:eastAsia="Times New Roman" w:hAnsi="Times New Roman"/>
          <w:sz w:val="14"/>
          <w:szCs w:val="14"/>
          <w:color w:val="auto"/>
        </w:rPr>
      </w:pPr>
    </w:p>
    <w:p>
      <w:pPr>
        <w:jc w:val="both"/>
        <w:ind w:firstLine="6"/>
        <w:spacing w:after="0" w:line="255" w:lineRule="auto"/>
        <w:tabs>
          <w:tab w:leader="none" w:pos="224"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March 2023, the Board of Directors authorized a program to repurchase up to $100.0 million of the Company’s Common Stock, and in July 2023, the Board approved an additional $500.0 million of share repurchase authorization (collectively, the “Share Repurchase Program”). The Share Repurchase Program was announced on March 14, 2023 and July 31, 2023. The Share Repurchase Program has no time limits and could be suspended or discontinued completely at any time.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64"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audited consolidated financial statements and related notes included elsewhere in this Annual Report on Form 10-K. This discussion contains forward-looking statements that involve risks and uncertainties. Our actual results could differ materially from those discussed below. Factors that could cause or contribute to such difference include, but are not limited to, those identified below and those discussed in the sections titled “Cautionary Statement Regarding Forward-Looking Statements” and “Risk Factors” included elsewhere in this Annual Report on Form 10-K.</w:t>
      </w:r>
    </w:p>
    <w:p>
      <w:pPr>
        <w:spacing w:after="0" w:line="12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i w:val="1"/>
          <w:iCs w:val="1"/>
          <w:color w:val="auto"/>
        </w:rPr>
        <w:t>References in this Annual Report on Form 10-K to “ZoomInfo Technologies Inc.” refer to ZoomInfo Technologies Inc. and not to any of its subsidiaries unless the context indicates otherwise. References in this Form 10-K to “ZoomInfo”, the “Company”, “we”, “us”, and “our” refer (1) prior to the consummation of the Reorganization Transactions, to ZoomInfo OpCo and its consolidated subsidiaries, (2) after the consummation of the Reorganization Transactions and prior to the consummation of the Holding Company Reorganization, to ZoomInfo Intermediate Inc. (formerly known as ZoomInfo Technologies Inc.) and its consolidated subsidiaries, and (3) after the consummation of the Holding Company Reorganization, to ZoomInfo Technologies Inc. (formerly known as ZoomInfo NewCo Inc.) and its consolidated subsidiaries unless the context indicates otherwise. Numerical figures included in this Annual Report on Form 10-K are subject to immaterial rounding adjustments. Accordingly, numerical figures shown as totals in various tables may not be arithmetic aggregations of the figures that precede them.</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ZoomInfo is a global leader in modern go-to-market software, data, and intelligence for sales, marketing, operations, and recruiting teams. RevOS – our modern, cloud-based operating system for revenue professionals – delivers comprehensive and high-quality intelligence and analytics to provide sales, marketing, operations, and recruiting professionals accurate information and insights on the organizations and professionals they target. This enables our customers to shorten sales cycles and increase win rates by empowering sellers, marketers, and recruiters to deliver the right message to the right person at the right time in the right way.</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ZoomInfo defines the modern go-to-market technology stack across three distinct layers that build upon each other:</w:t>
      </w:r>
    </w:p>
    <w:p>
      <w:pPr>
        <w:spacing w:after="0" w:line="164" w:lineRule="exact"/>
        <w:rPr>
          <w:sz w:val="20"/>
          <w:szCs w:val="20"/>
          <w:color w:val="auto"/>
        </w:rPr>
      </w:pPr>
    </w:p>
    <w:p>
      <w:pPr>
        <w:ind w:left="640" w:hanging="316"/>
        <w:spacing w:after="0" w:line="274"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Intelligence Layer is the foundation of our data-driven strategy. Our best-in-class data, curated through first- and third-party sources, includes billions of data points about companies and contacts, such as intent, hierarchy, location, technographic, and financial information.</w:t>
      </w:r>
    </w:p>
    <w:p>
      <w:pPr>
        <w:spacing w:after="0" w:line="11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Orchestration Layer integrates and enriches our data sources. At this stage, our products assign and route data, leads, and insights to the appropriate people. This creates a dataset that is continuously updated and can be used to power automated business workflows. Our services connect with major CRM providers.</w:t>
      </w:r>
    </w:p>
    <w:p>
      <w:pPr>
        <w:spacing w:after="0" w:line="124" w:lineRule="exact"/>
        <w:rPr>
          <w:rFonts w:ascii="Times New Roman" w:cs="Times New Roman" w:eastAsia="Times New Roman" w:hAnsi="Times New Roman"/>
          <w:sz w:val="18"/>
          <w:szCs w:val="18"/>
          <w:color w:val="auto"/>
        </w:rPr>
      </w:pPr>
    </w:p>
    <w:p>
      <w:pPr>
        <w:jc w:val="both"/>
        <w:ind w:left="640" w:hanging="316"/>
        <w:spacing w:after="0" w:line="266" w:lineRule="auto"/>
        <w:tabs>
          <w:tab w:leader="none" w:pos="63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Engagement Layer allows sales, marketing, operations, and recruiting professionals to put data-driven insights into action to identify and communicate with prospects and customers. In SalesOS, frontline teams, managers, and leaders use Engage for multi-touch and multi-channel sales engagement, as well as Chorus for call and web meeting recording, transcription, insight generation, and coaching. In MarketingOS, marketers drive awareness, lead generation, and deal acceleration campaigns through account-based marketing, advertising, and website conversion optimization solutions, along with ZoomInfo Chat for intelligent website experiences through live conversation and chatbots. In TalentOS, recruiters and talent acquisition professionals access a database that helps them efficiently find candidates. Recruiters can filter and reach more good-fit candidates, use pipeline management tools to collaborate and organize the hiring process, and automate the candidate outreach process. In OperationsOS, our sales operations customers use a suite of products, services, and solutions to ingest, match, enrich, and connect data feeds into multiple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generate substantially all of our revenue from sales of subscriptions to our platform. Subscriptions include the use of our platform and access to customer support. Subscriptions generally range from one to three years in length. Over 45% of customer contracts (based on annualized value) are multi-year agreements. We typically bill our customers at the beginning of each annual, semi-annual, or quarterly period and recognize revenue ratably over the term of the subscription period.</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sell access to our platform to both new and existing customers. We price our subscriptions based on the functionality, users, and records under management that are included in our contracts. Our paid products are SalesOS, MarketingOS, OperationsOS, and TalentOS (with add-on options for some products). Additionally, customers can gain free access to ZoomInfo through ZoomInfo Lite (formerly Community Edition).</w:t>
      </w:r>
    </w:p>
    <w:p>
      <w:pPr>
        <w:spacing w:after="0" w:line="12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software, insights, and data enable over 35,000 companies to go-to-market more effectively and efficiently. Our customers are primarily businesses that sell to other businesses and operate in almost every industry vertical. They range from the largest global enterprises, to mid-market companies, down to small businesses. The top 5 industries that we serve, as measured by ACV, on December 31, 2023 are software, which comprised 33% of ACV (compared to 39% a year prior), non-IT business services, which comprised 18% of ACV (compared to 16% a year prior), IT services, which comprised 10% of ACV (compared to 10% a year prior), financial, insurance &amp; real estate, which comprised 8% of ACV (compared to 7% a year prior), and manufacturing, which comprised 5% of ACV (compared to 5% a year prior). Our Net Revenue Retention rate as of December 31, 2023 was 87%.</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2023, no single customer contributed more than 1% of revenue. Revenues derived from customers and partners located outside the United States, as determined based on the address provided by our customers and partners, accounted for approximately 13%, 12%, and 11% of total revenue for the years ended December 31, 2023, 2022, and 2021, respectively. As of December 31, 2023, 1,820 customers contracted for more than $100,000 in ACV for ZoomInfo services.</w:t>
      </w:r>
    </w:p>
    <w:p>
      <w:pPr>
        <w:spacing w:after="0" w:line="12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have experienced rapid organic growth, supplemented by additional growth from acquisitions. We generated revenue of $1,239.5 million for the year ended December 31, 2023, as compared to revenue for the year ended December 31, 2022 of $1,098.0 million, and GAAP income from operations of $259.5 million for the year ended December 31, 2023, as compared to GAAP income from operations of $175.8 million for the year ended December 31, 2022. GAAP operating income margin was 21% for the year ended December 31, 2023, as compared to 16% in 2022. GAAP net income for the year ended December 31, 2023 was $107.3 million, as compared to GAAP net income of $63.2 million for the year ended December 31, 2022. In addition to our consolidated U.S. GAAP financial measures, we review various non-GAAP financial measures, including Adjusted Operating Income, Adjusted Operating Income Margin, and Adjusted Net Income. See “Non-GAAP Financial Measures” below. Our Adjusted Operating Income was $498.6 million for the year ended December 31, 2023, as compared to $447.8 million for the year ended December 31, 2022. Our Adjusted Operating Income Margin was 40% for the year ended December 31, 2023, as compared to 41% in 2022. Adjusted net income was $413.1 million for the year ended December 31, 2023, as compared to $363.5 million for the year ended December 31, 2022. See “Non-GAAP Financial Measures” below for definitions.</w:t>
      </w:r>
    </w:p>
    <w:p>
      <w:pPr>
        <w:spacing w:after="0" w:line="22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discussion of our financial condition and results of operations for the year ended December 31, 2022 compared to the year ended December 31, 2021, included in Item 7. Management’s Discussion and Analysis of Financial Condition and Results of Operations, can be found in the Annual Report on Form 10-K for the year ended December 31, 2022.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Macroeconomic Conditions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business and financial condition have and may continue to be impacted by adverse macroeconomic conditions. See “Risk Factors - Geopolitical Risks” in Part I, Item 1A of this Annual Report on Form 10-K for further discussion of the possible impact of these issues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Lien Term Loan</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December 2023, we entered into an amendment to our existing First Lien Credit Agreement (the "Sixth Amendment"), pursuant to which the Company completed a repricing of its First Lien Term Loan Facility, which decreased the applicable rate for Base Rate loans by 50 basis points and SOFR based loans by 60 basis points.</w:t>
      </w:r>
    </w:p>
    <w:p>
      <w:pPr>
        <w:spacing w:after="0" w:line="12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February 2023, we entered into an amendment to our existing First Lien Credit Agreement (the “Fifth Amendment”), pursuant to which the Company completed a repricing of its First Lien Term Loan Facility, which provided for an extension of the maturity date to February 28, 2030 and a decrease in the applicable margin rate by 0.25%. Under the terms of the Fifth Amendment, the Company is obligated to make principal payments each quarter in the amount of 0.25% of the aggregate initial outstanding amount.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Lien Revolving Credit Facility</w:t>
      </w:r>
    </w:p>
    <w:p>
      <w:pPr>
        <w:spacing w:after="0" w:line="168"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Pursuant to the Fifth Amendment, the Company also extended the maturity date of $213.0 million of our $250.0 million existing commitments of the first lien revolving credit facility to February 28, 2028. Pursuant to the Sixth Amendment, $26.0 million of the non-extended commitments were extended to February 28, 2028. With respect to the $11.0 million commitments which were not extended as of December 31, 2023, the maturity date is November 2, 2025.</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March 2023, the Board authorized a program to repurchase up to $100.0 million of the Company’s Common Stock, and in July 2023, the Board approved an additional $500.0 million of share repurchase authorization (collectively, the “Share Repurchase Program”). Under the Share Repurchase Program, shares of Common Stock may be repurchased from time to time through open market transactions in compliance with applicable securities laws. The timing, manner, price and amount of any repurchases, as well as the capital resources to fund the repurchases, are determined by the Company, in its discretion, and depend on a variety of factors, including legal requirements, price and economic and market conditions.</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year ended December 31, 2023, the Company repurchased and subsequently retired 22,627,664 shares of Common Stock at an average price of $17.68 for an aggregate $400.1 million. As of December 31, 2023, $199.9 million remained available and authorized for repurchases under the Share Repurchase Program.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believe that the growth and future success of our business depends on many factors, including the following: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Continuing to Acquire New Customers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are focused on continuing to grow the number of customers that use our platform in the United States and around the world. The majority of revenue growth when comparing the year ended December 31, 2023 to the year ended December 31, 2022 was the result of new customers added over the last 24 months. Our operating results and growth prospects will depend, in part, on our ability to continue to attract new customers. Additionally, acquiring new customers strengthens the power of our contributory networks. We plan to continue to invest in our efficient go-to-market effort to acquire new customers. As of December 31, 2023, 2022 and 2021, we had over 35,000, 30,000, and 25,000 customers, respectively. We define a customer as a company that maintains one or more active paid subscriptions to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Usage of Our Platform</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believe that expanding the value that we provide to our customers and the corresponding revenue generated as a result is an important measure of the health of our business. We monitor net revenue retention to measure that growth. Net revenue retention is a metric that we calculate based on customers of ZoomInfo at the beginning of the twelve-month period, and is calculated as: (a) the total annual contract value ("ACV") for those customers at the end of the end of the twelve-month period, divided by (b) the total ACV for those customers at the beginning of the twelve-month period. Our net annual retention rate was 87% as of December 31, 2023. In the near term, we expect our net retention rate to be impacted by macroeconomic conditions. See section "Recent Developments - Impact of Macroeconomic Conditions." We also measure our success in expanding relationships with existing customers by the number of customers that contract for more than $100,000 in ACV. As of December 31, 2023, we had 1,820 customers with over $100,000 in ACV.</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the Comparability of Our Results of Operations</w:t>
      </w:r>
    </w:p>
    <w:p>
      <w:pPr>
        <w:spacing w:after="0" w:line="166"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As a result of a number of factors, our historical results of operations are not comparable from period to period and may not be comparable to our financial results of operations in future periods. Set forth below is a brief discussion of the key factors impacting the comparability of our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the Reorganization Transactions</w:t>
      </w:r>
    </w:p>
    <w:p>
      <w:pPr>
        <w:spacing w:after="0" w:line="168"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ZoomInfo Technologies Inc. is a corporation for U.S. federal and state income tax purposes. Our accounting predecessor, ZoomInfo OpCo, was and is treated as a flow-through entity for U.S. federal income tax purposes, and as such, only certain subsidiaries that were organized as corporations for U.S. federal income tax purposes have been subject to U.S. federal income tax at the entity level historically. Accordingly, unless otherwise specified, the historical results of operations and other financial information set forth in this Annual Report on Form 10-K only include a provision for U.S. federal income tax for income allocated to those subsidiaries that were organized as corporations for U.S. federal income tax purposes. Following the completion of the Reorganization Transactions, ZoomInfo Technologies Inc. pays U.S. federal and state income taxes as a corporation on its share of our taxable income.</w:t>
      </w:r>
    </w:p>
    <w:p>
      <w:pPr>
        <w:spacing w:after="0" w:line="11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ZoomInfo OpCo is the predecessor of ZoomInfo Technologies Inc. for financial reporting purposes. As a result, the consolidated financial statements of ZoomInfo Technologies Inc. recognize the assets and liabilities received in the reorganization at their historical carrying amounts, as reflected in the historical consolidated financial statements of ZoomInfo OpCo, the accounting predecessor.</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addition, in connection with the Reorganization Transactions and the IPO, we entered into the tax receivable agreements described in Note 17 - Tax Receivable Agreements to our audited consolidated financial statements included in Part II, Item 8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Acquisitions</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seek to grow through both internal development and the acquisition of businesses that broaden and strengthen our platform. Our recent acquisitions include Insent in June 2021, Chorus.ai in July 2021, RingLead in September 2021, and Comparably, Inc. and Dogpatch Advisors, LLC in April 2022. As discussed below under “—Results of Operations,” these acquisitions have been a driver of our revenue, cost of service, operating expense, and interest expense growth. Purchase accounting requires that certain assets acquired and liabilities assumed be recorded at fair value on the acquisition date. Prior to January 2022, revenue from contracts that were impacted by the estimate of fair value of the unearned revenue upon acquisition were recorded based on the fair value until such contract is terminated or renewed, which differed from the receipts received by the acquired company allocated over the service period for the same reporting periods. Effective January 1, 2022, the Company early adopted new accounting guidance which requires contract assets and contract liabilities acquired in a business combination to be recognized and measured in accordance with ASC 606, Revenue from Contracts with Customers, as if the acquirer had originated the contract. Refer to Note 2 - Basis of Presentation and Summary of Significant Accounting Policies to our audited consolidated financial statements included in Part II, Item 8 of this Form 10-K for further discussion.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the Holding Company Reorganization</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September 2021, the Board of Directors unanimously approved streamlining the Company’s corporate structure and governance by eliminating the Company’s UP-C and multi-class voting structure. In October 2021, the Company implemented the Holding Company Reorganization. As a result of the Holding Company Reorganization, New ZoomInfo became the successor issuer and reporting company to Old ZoomInfo pursuant to Rule 12g-3(a) under the Exchange Act, and replaced Old ZoomInfo as the public company trading on the Nasdaq under Old ZoomInfo’s ticker symbol “ZI.” In addition, New ZoomInfo changed its name to “ZoomInfo Technologies Inc.” and Old ZoomInfo changed its name to “ZoomInfo Intermediate Inc.”</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Accordingly, upon consummation of the Holding Company Reorganization, Old ZoomInfo stockholders automatically became stockholders of New ZoomInfo, on a one-for-one basis, with the same number and ownership percentage of shares they held in Old ZoomInfo immediately prior to the effective time of the Holding Company Reorganization.</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Old ZoomInfo is the predecessor of New ZoomInfo for financial reporting purposes. As a result, the consolidated financial statements of New ZoomInfo recognize the assets and liabilities received in the reorganization at their historical carrying amounts, as reflected in the historical consolidated financial statements of Old ZoomInfo, the accounting predecessor.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derive primarily all of our revenue from subscription services and the remainder from recurring usage-based services and other revenue. Our subscription services consist of our SaaS applications. Pricing of our subscription contracts are generally based on the functionality provided, the number of users that access our applications, and the amount of data that the customer integrates into their systems. Our subscription contracts typically have a term ranging from one to three years and are non-cancelable. We typically bill for services in advance either annually, semi-annually, or quarterly, and we typically require payment at the beginning of each annual, semi-annual, or quarterly period.</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Subscription revenue is generally recognized ratably over the contract term starting with when our service is made available to the customer. Recurring usage-based revenue is recognized in the period services are utilized by our customers. Other revenue, comprised largely of implementation and professional services fees, is recognized as services are delivered. The amount of revenue recognized reflects the consideration we expect to be entitled to receive in exchange for these services. We record a contract asset when revenue recognized on a contract exceeds the billings to date for that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Unearned revenue results from cash received or amounts billed to customers in advance of revenue recognized upon the satisfaction of performance obligations. The unearned revenue balance is influenced by several factors, including seasonality, the compounding effects of renewals, invoice duration, invoice timing, dollar size, and contract timing within the period. The unearned revenue balance does not represent the total contract value of annual or multi-year, non-cancelable subscription agreements.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w:t>
      </w:r>
    </w:p>
    <w:p>
      <w:pPr>
        <w:spacing w:after="0" w:line="166"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Cost of service, excluding amortization of acquired technology. </w:t>
      </w:r>
      <w:r>
        <w:rPr>
          <w:rFonts w:ascii="Times New Roman" w:cs="Times New Roman" w:eastAsia="Times New Roman" w:hAnsi="Times New Roman"/>
          <w:sz w:val="18"/>
          <w:szCs w:val="18"/>
          <w:color w:val="auto"/>
        </w:rPr>
        <w:t>Cost of service, excluding amortization of acquired technology, includes direct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the support and operations of our SaaS services and research teams including salaries, benefits, equity-based compensation, and related expenses, such as employer taxes, allocated overhead for facilities, IT, third-party hosting fees, third-party data costs, and amortization of internally developed capitalized software.</w:t>
      </w:r>
    </w:p>
    <w:p>
      <w:pPr>
        <w:spacing w:after="0" w:line="12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anticipate that we will continue to invest in costs of service and that costs of service as a percentage of revenue will remain consistent or modestly decrease as we realize operating leverage in the business.</w:t>
      </w:r>
    </w:p>
    <w:p>
      <w:pPr>
        <w:spacing w:after="0" w:line="108" w:lineRule="exact"/>
        <w:rPr>
          <w:sz w:val="20"/>
          <w:szCs w:val="20"/>
          <w:color w:val="auto"/>
        </w:rPr>
      </w:pPr>
    </w:p>
    <w:p>
      <w:pPr>
        <w:jc w:val="both"/>
        <w:ind w:right="20"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Amortization of acquired technology. </w:t>
      </w:r>
      <w:r>
        <w:rPr>
          <w:rFonts w:ascii="Times New Roman" w:cs="Times New Roman" w:eastAsia="Times New Roman" w:hAnsi="Times New Roman"/>
          <w:sz w:val="18"/>
          <w:szCs w:val="18"/>
          <w:color w:val="auto"/>
        </w:rPr>
        <w:t>Amortization of acquired technology includes amortization expense for technology acquired in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combinations.</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anticipate that amortization of acquired technology will increase if we make additional acquisitions in the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Gross profit is revenue less cost of service, and gross margin is gross profit as a percentage of revenue. Gross profit has been and will continue to be affected by various factors, including leveraging economies of scale, the costs associated with third-party hosting services and third-party data, the level of amortization of acquired technology, and the extent to which we expand our customer support and research organizations. We expect that our gross margin will fluctuate from period to period depending on the interplay of these various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operating expenses consist of sales and marketing, research and development, general and administrative, amortization of other acquired intangibles, and restructuring and transaction-related expenses. The most significant component of our operating expenses is personnel costs, which consists of salaries, bonuses, sales commissions, equity-based compensation, and other employee-related benefits. Operating expenses also include overhead costs for facilities, technology, professional fees, depreciation and amortization expense, and marketing.</w:t>
      </w:r>
    </w:p>
    <w:p>
      <w:pPr>
        <w:spacing w:after="0" w:line="125"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Sales and marketing expenses primarily consist of employee compensation such as salaries, bonuses, sales commissions, equity-based compensation, and other employee-related benefits for our sales and marketing teams, as well as overhead costs, technology, and marketing programs. Sales commissions and related payroll taxes directly related to contract acquisition are capitalized and recognized as expenses over the estimated period of benefit.</w:t>
      </w:r>
    </w:p>
    <w:p>
      <w:pPr>
        <w:spacing w:after="0" w:line="126"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We anticipate that we will continue to invest in sales and marketing capacity to enable future growth. We anticipate that sales and marketing expense excluding equity-based compensation as a percentage of revenue will fluctuate from period to period depending on the interplay of our growing investments in sales and marketing capacity excluding equity-based compensation, the recognition of revenue, and the amortization of contract acquisition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support our efforts to enhance our existing platform and develop new software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Research and development expenses primarily consist of employee compensation such as salaries, bonuses, equity-based compensation, and other employee-related benefits for our engineering and product management teams, as well as overhead costs. Research and development expenses do not reflect amortization of internally developed capitalized software. We believe that our core technologies and ongoing innovation represent a significant competitive advantage for us.</w:t>
      </w:r>
    </w:p>
    <w:p>
      <w:pPr>
        <w:spacing w:after="0" w:line="13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anticipate that we will continue to invest in research and development in order to develop new features and functionality to drive incremental customer value in the future and that research and development expense as a percentage of revenue will modestly increase in the short term, but will modestly decrease in the long term as we drive efficiencies in that organization.</w:t>
      </w:r>
    </w:p>
    <w:p>
      <w:pPr>
        <w:spacing w:after="0" w:line="123"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primarily consist of employee-related costs such as salaries, bonuses, equity-based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and other employee related benefits for our executive, finance, legal, human resources, IT, and business operations and administrative teams, as well as overhead costs. Additionally, we incur expenses related to bad debt and collections, as well as for professional fees including legal services, accounting, banking, and other consulting services, including those associated with operating as a public company.</w:t>
      </w:r>
    </w:p>
    <w:p>
      <w:pPr>
        <w:spacing w:after="0" w:line="12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expect general and administrative expenses as a percentage of revenue to remain consistent or modestly decrease as we realize operating leverage in the business.</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Amortization of other acquired intangibles</w:t>
      </w:r>
      <w:r>
        <w:rPr>
          <w:rFonts w:ascii="Times New Roman" w:cs="Times New Roman" w:eastAsia="Times New Roman" w:hAnsi="Times New Roman"/>
          <w:sz w:val="17"/>
          <w:szCs w:val="17"/>
          <w:color w:val="auto"/>
        </w:rPr>
        <w:t>. Amortization of acquired intangibles consists of amortization of customer relationships and brand portfolios.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anticipate that amortization of other acquired intangibles will increase if we make additional acquisitions in the future.</w:t>
      </w:r>
    </w:p>
    <w:p>
      <w:pPr>
        <w:spacing w:after="0" w:line="162"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Restructuring and transaction-related expenses. </w:t>
      </w:r>
      <w:r>
        <w:rPr>
          <w:rFonts w:ascii="Times New Roman" w:cs="Times New Roman" w:eastAsia="Times New Roman" w:hAnsi="Times New Roman"/>
          <w:sz w:val="18"/>
          <w:szCs w:val="18"/>
          <w:color w:val="auto"/>
        </w:rPr>
        <w:t>Restructuring and transaction-related expenses primarily consist of various restructuring and acquisition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we have undertaken to achieve strategic or financial objectives. Restructuring and acquisition activities include, but are not limited to, consolidation of offices and responsibilities, office relocation, administrative cost structure realignment, and acquisition-related professional services fees.</w:t>
      </w:r>
    </w:p>
    <w:p>
      <w:pPr>
        <w:spacing w:after="0" w:line="122"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We anticipate that restructuring and transaction expenses, including potential impairments, will be influenced by future acquisition activity, strategic restructuring activities, and the commencement of new leases. Specifically, as new leases commence, we may face increased impairment expenses for spaces that we do not intend to occupy and/or that we plan to sublease, which could cause these costs to vary, potentially significantly, from our historic levels.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66"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represents the interest payable on our debt obligations and the amortization of debt discounts and debt issuance costs, less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anticipate that interest expense could be impacted by changes in variable interest rates or the issuance of additional debt.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Debt Modification and Extinguishment</w:t>
      </w:r>
    </w:p>
    <w:p>
      <w:pPr>
        <w:spacing w:after="0" w:line="166"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Loss on debt modification and extinguishment </w:t>
      </w:r>
      <w:r>
        <w:rPr>
          <w:rFonts w:ascii="Times New Roman" w:cs="Times New Roman" w:eastAsia="Times New Roman" w:hAnsi="Times New Roman"/>
          <w:sz w:val="18"/>
          <w:szCs w:val="18"/>
          <w:color w:val="auto"/>
        </w:rPr>
        <w:t>consists of prepayment penalties and impairment of deferred financing costs associated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modification or extinguishment of debt, as well as new fees incurred with third parties in connection with debt modifications.</w:t>
      </w:r>
    </w:p>
    <w:p>
      <w:pPr>
        <w:spacing w:after="0" w:line="10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anticipate that losses related to debt modification and extinguishment will only occur if we extinguish indebtedness before the contractual repayment dates or amend our existing financing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Loss, Net</w:t>
      </w:r>
    </w:p>
    <w:p>
      <w:pPr>
        <w:spacing w:after="0" w:line="166"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Other (income) loss, net </w:t>
      </w:r>
      <w:r>
        <w:rPr>
          <w:rFonts w:ascii="Times New Roman" w:cs="Times New Roman" w:eastAsia="Times New Roman" w:hAnsi="Times New Roman"/>
          <w:sz w:val="18"/>
          <w:szCs w:val="18"/>
          <w:color w:val="auto"/>
        </w:rPr>
        <w:t>consists primarily of the revaluation of tax receivable agreement liabilities, investment income, and foreign currency realized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unrealized gains and losses related to the impact of transactions denominated in a foreign currency.</w:t>
      </w:r>
    </w:p>
    <w:p>
      <w:pPr>
        <w:spacing w:after="0" w:line="10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Changes to existing tax law including changes to the corporate income tax rates and the Company’s state tax footprint could lead to substantial revaluations of the tax receivable agreement liability recorded through </w:t>
      </w:r>
      <w:r>
        <w:rPr>
          <w:rFonts w:ascii="Times New Roman" w:cs="Times New Roman" w:eastAsia="Times New Roman" w:hAnsi="Times New Roman"/>
          <w:sz w:val="18"/>
          <w:szCs w:val="18"/>
          <w:i w:val="1"/>
          <w:iCs w:val="1"/>
          <w:color w:val="auto"/>
        </w:rPr>
        <w:t>Other (income) loss, net</w:t>
      </w:r>
      <w:r>
        <w:rPr>
          <w:rFonts w:ascii="Times New Roman" w:cs="Times New Roman" w:eastAsia="Times New Roman" w:hAnsi="Times New Roman"/>
          <w:sz w:val="18"/>
          <w:szCs w:val="18"/>
          <w:color w:val="auto"/>
        </w:rPr>
        <w:t xml:space="preserve">. Additionally, the magnitude of </w:t>
      </w:r>
      <w:r>
        <w:rPr>
          <w:rFonts w:ascii="Times New Roman" w:cs="Times New Roman" w:eastAsia="Times New Roman" w:hAnsi="Times New Roman"/>
          <w:sz w:val="18"/>
          <w:szCs w:val="18"/>
          <w:i w:val="1"/>
          <w:iCs w:val="1"/>
          <w:color w:val="auto"/>
        </w:rPr>
        <w:t>Other (income) loss, net</w:t>
      </w:r>
      <w:r>
        <w:rPr>
          <w:rFonts w:ascii="Times New Roman" w:cs="Times New Roman" w:eastAsia="Times New Roman" w:hAnsi="Times New Roman"/>
          <w:sz w:val="18"/>
          <w:szCs w:val="18"/>
          <w:color w:val="auto"/>
        </w:rPr>
        <w:t xml:space="preserve"> may increase as we expand operations internationally and add complexity to our operations. Refer to the </w:t>
      </w:r>
      <w:r>
        <w:rPr>
          <w:rFonts w:ascii="Times New Roman" w:cs="Times New Roman" w:eastAsia="Times New Roman" w:hAnsi="Times New Roman"/>
          <w:sz w:val="18"/>
          <w:szCs w:val="18"/>
          <w:i w:val="1"/>
          <w:iCs w:val="1"/>
          <w:color w:val="auto"/>
        </w:rPr>
        <w:t>Provision (Benefit) for Income Taxes</w:t>
      </w:r>
      <w:r>
        <w:rPr>
          <w:rFonts w:ascii="Times New Roman" w:cs="Times New Roman" w:eastAsia="Times New Roman" w:hAnsi="Times New Roman"/>
          <w:sz w:val="18"/>
          <w:szCs w:val="18"/>
          <w:color w:val="auto"/>
        </w:rPr>
        <w:t xml:space="preserve"> section below for further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based on temporary differences between the financial statement and tax basis of assets and liabilities, as well as from net operating loss and tax credit carryforwards. We evaluate the recoverability of these future deductible temporary differences, net operating losses and credits by assessing the carryforward period and adequacy of future expected taxable income from all sources, including reversing taxable temporary differences, future growth, and forecasted earnings, as well as, historical earnings, taxable income in prior years, if carryback is permitted under the law, and prudent and feasible tax planning strategies. A valuation allowance is established if it is more likely than not that all or a portion of the deferred tax asset will not be realized.</w:t>
      </w:r>
    </w:p>
    <w:p>
      <w:pPr>
        <w:spacing w:after="0" w:line="132"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The Company has significant U.S. deferred tax assets, including deferred tax assets created by various historical restructuring events. The preponderance of our deferred tax assets have long lives or are otherwise indefinite. We regularly review whether it is more likely than not that our U.S. deferred tax assets will be realizable, and as of December 31, 2023 determined it was appropriate to create a valuation allowance for certain state-level attributes.</w:t>
      </w:r>
    </w:p>
    <w:p>
      <w:pPr>
        <w:spacing w:after="0" w:line="10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The value of our deferred tax assets are regularly remeasured to consider the impact of statutory changes and other guidance, as well as changes in our state income apportionment factors. Given the amount of our deferred tax assets, minor changes can materially affect our </w:t>
      </w:r>
      <w:r>
        <w:rPr>
          <w:rFonts w:ascii="Times New Roman" w:cs="Times New Roman" w:eastAsia="Times New Roman" w:hAnsi="Times New Roman"/>
          <w:sz w:val="18"/>
          <w:szCs w:val="18"/>
          <w:i w:val="1"/>
          <w:iCs w:val="1"/>
          <w:color w:val="auto"/>
        </w:rPr>
        <w:t>Provision (Benefit) for income taxes</w:t>
      </w:r>
      <w:r>
        <w:rPr>
          <w:rFonts w:ascii="Times New Roman" w:cs="Times New Roman" w:eastAsia="Times New Roman" w:hAnsi="Times New Roman"/>
          <w:sz w:val="18"/>
          <w:szCs w:val="18"/>
          <w:color w:val="auto"/>
        </w:rPr>
        <w:t xml:space="preserve">. A significant portion of our deferred tax assets are associated with our Tax Receivable Agreements, and upon a remeasurement of our deferred tax assets, the Tax Receivable Agreements liability is typically concurrently remeasured with an partially offsetting impact within </w:t>
      </w:r>
      <w:r>
        <w:rPr>
          <w:rFonts w:ascii="Times New Roman" w:cs="Times New Roman" w:eastAsia="Times New Roman" w:hAnsi="Times New Roman"/>
          <w:sz w:val="18"/>
          <w:szCs w:val="18"/>
          <w:i w:val="1"/>
          <w:iCs w:val="1"/>
          <w:color w:val="auto"/>
        </w:rPr>
        <w:t>Other (income) loss, net</w:t>
      </w:r>
      <w:r>
        <w:rPr>
          <w:rFonts w:ascii="Times New Roman" w:cs="Times New Roman" w:eastAsia="Times New Roman" w:hAnsi="Times New Roman"/>
          <w:sz w:val="18"/>
          <w:szCs w:val="18"/>
          <w:color w:val="auto"/>
        </w:rPr>
        <w:t xml:space="preserve"> on the Consolidated Statement of Operations. Refer to Note 17 - Tax Receivable Agreements to our audited consolidated financial statements included in Part II, Item 8 of this Form 10-K for additional information.</w:t>
      </w:r>
    </w:p>
    <w:p>
      <w:pPr>
        <w:spacing w:after="0" w:line="132"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 xml:space="preserve">We have regularly taken tax positions, including with respect to our various corporate events and restructurings in the ordinary course of determining our </w:t>
      </w:r>
      <w:r>
        <w:rPr>
          <w:rFonts w:ascii="Times New Roman" w:cs="Times New Roman" w:eastAsia="Times New Roman" w:hAnsi="Times New Roman"/>
          <w:sz w:val="17"/>
          <w:szCs w:val="17"/>
          <w:i w:val="1"/>
          <w:iCs w:val="1"/>
          <w:color w:val="auto"/>
        </w:rPr>
        <w:t>Provision (Benefit) for income taxes</w:t>
      </w:r>
      <w:r>
        <w:rPr>
          <w:rFonts w:ascii="Times New Roman" w:cs="Times New Roman" w:eastAsia="Times New Roman" w:hAnsi="Times New Roman"/>
          <w:sz w:val="17"/>
          <w:szCs w:val="17"/>
          <w:color w:val="auto"/>
        </w:rPr>
        <w:t>. We recognize the tax benefit of an uncertain tax position only if it is more likely than not the position is sustainable upon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examination by the taxing authority based on the technical merits. We regularly review our tax positions with consideration of a number of factors, including changes in facts or circumstances, changes in tax law or guidance, correspondence with tax authorities during the course of audits and effective settlement of audit issues. Changes in the recognition or measurement of uncertain tax positions could result in material increases or decreases in our </w:t>
      </w:r>
      <w:r>
        <w:rPr>
          <w:rFonts w:ascii="Times New Roman" w:cs="Times New Roman" w:eastAsia="Times New Roman" w:hAnsi="Times New Roman"/>
          <w:sz w:val="17"/>
          <w:szCs w:val="17"/>
          <w:i w:val="1"/>
          <w:iCs w:val="1"/>
          <w:color w:val="auto"/>
        </w:rPr>
        <w:t>Provision (Benefit) for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income taxes </w:t>
      </w:r>
      <w:r>
        <w:rPr>
          <w:rFonts w:ascii="Times New Roman" w:cs="Times New Roman" w:eastAsia="Times New Roman" w:hAnsi="Times New Roman"/>
          <w:sz w:val="17"/>
          <w:szCs w:val="17"/>
          <w:color w:val="auto"/>
        </w:rPr>
        <w:t>in the period in which we make the change, which could have a material impact on our effective tax rate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years ended December 31, 2023, 2022, and 2021: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3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2021</w:t>
            </w:r>
          </w:p>
        </w:tc>
        <w:tc>
          <w:tcPr>
            <w:tcW w:w="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4"/>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1,239.5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747.2</w:t>
            </w:r>
          </w:p>
        </w:tc>
        <w:tc>
          <w:tcPr>
            <w:tcW w:w="0" w:type="dxa"/>
            <w:vAlign w:val="bottom"/>
          </w:tcPr>
          <w:p>
            <w:pPr>
              <w:spacing w:after="0"/>
              <w:rPr>
                <w:sz w:val="1"/>
                <w:szCs w:val="1"/>
                <w:color w:val="auto"/>
              </w:rPr>
            </w:pPr>
          </w:p>
        </w:tc>
      </w:tr>
      <w:tr>
        <w:trPr>
          <w:trHeight w:val="225"/>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service:</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60" w:type="dxa"/>
            <w:vAlign w:val="bottom"/>
            <w:gridSpan w:val="2"/>
            <w:shd w:val="clear" w:color="auto" w:fill="CCEEFF"/>
          </w:tcPr>
          <w:p>
            <w:pPr>
              <w:ind w:left="240"/>
              <w:spacing w:after="0" w:line="225" w:lineRule="exact"/>
              <w:rPr>
                <w:sz w:val="20"/>
                <w:szCs w:val="20"/>
                <w:color w:val="auto"/>
              </w:rPr>
            </w:pPr>
            <w:r>
              <w:rPr>
                <w:rFonts w:ascii="Times New Roman" w:cs="Times New Roman" w:eastAsia="Times New Roman" w:hAnsi="Times New Roman"/>
                <w:sz w:val="18"/>
                <w:szCs w:val="18"/>
                <w:color w:val="auto"/>
              </w:rPr>
              <w:t>Cost of service</w:t>
            </w:r>
            <w:r>
              <w:rPr>
                <w:rFonts w:ascii="Times New Roman" w:cs="Times New Roman" w:eastAsia="Times New Roman" w:hAnsi="Times New Roman"/>
                <w:sz w:val="22"/>
                <w:szCs w:val="22"/>
                <w:color w:val="auto"/>
                <w:vertAlign w:val="superscript"/>
              </w:rPr>
              <w:t>(1)</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4"/>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139.0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101.4</w:t>
            </w:r>
          </w:p>
        </w:tc>
        <w:tc>
          <w:tcPr>
            <w:tcW w:w="0" w:type="dxa"/>
            <w:vAlign w:val="bottom"/>
          </w:tcPr>
          <w:p>
            <w:pPr>
              <w:spacing w:after="0"/>
              <w:rPr>
                <w:sz w:val="1"/>
                <w:szCs w:val="1"/>
                <w:color w:val="auto"/>
              </w:rPr>
            </w:pPr>
          </w:p>
        </w:tc>
      </w:tr>
      <w:tr>
        <w:trPr>
          <w:trHeight w:val="225"/>
        </w:trPr>
        <w:tc>
          <w:tcPr>
            <w:tcW w:w="60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3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39.1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5"/>
              </w:rPr>
              <w:t>48.2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18"/>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4"/>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1,061.4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610.5</w:t>
            </w:r>
          </w:p>
        </w:tc>
        <w:tc>
          <w:tcPr>
            <w:tcW w:w="0" w:type="dxa"/>
            <w:vAlign w:val="bottom"/>
          </w:tcPr>
          <w:p>
            <w:pPr>
              <w:spacing w:after="0"/>
              <w:rPr>
                <w:sz w:val="1"/>
                <w:szCs w:val="1"/>
                <w:color w:val="auto"/>
              </w:rPr>
            </w:pPr>
          </w:p>
        </w:tc>
      </w:tr>
      <w:tr>
        <w:trPr>
          <w:trHeight w:val="225"/>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60" w:type="dxa"/>
            <w:vAlign w:val="bottom"/>
            <w:gridSpan w:val="2"/>
            <w:shd w:val="clear" w:color="auto" w:fill="CCEEFF"/>
          </w:tcPr>
          <w:p>
            <w:pPr>
              <w:ind w:left="240"/>
              <w:spacing w:after="0" w:line="225"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2"/>
                <w:szCs w:val="22"/>
                <w:color w:val="auto"/>
                <w:vertAlign w:val="superscript"/>
              </w:rPr>
              <w:t>(1)</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4"/>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406.4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241.1</w:t>
            </w:r>
          </w:p>
        </w:tc>
        <w:tc>
          <w:tcPr>
            <w:tcW w:w="0" w:type="dxa"/>
            <w:vAlign w:val="bottom"/>
          </w:tcPr>
          <w:p>
            <w:pPr>
              <w:spacing w:after="0"/>
              <w:rPr>
                <w:sz w:val="1"/>
                <w:szCs w:val="1"/>
                <w:color w:val="auto"/>
              </w:rPr>
            </w:pPr>
          </w:p>
        </w:tc>
      </w:tr>
      <w:tr>
        <w:trPr>
          <w:trHeight w:val="225"/>
        </w:trPr>
        <w:tc>
          <w:tcPr>
            <w:tcW w:w="6060" w:type="dxa"/>
            <w:vAlign w:val="bottom"/>
            <w:gridSpan w:val="2"/>
          </w:tcPr>
          <w:p>
            <w:pPr>
              <w:ind w:left="240"/>
              <w:spacing w:after="0" w:line="225"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2"/>
                <w:szCs w:val="22"/>
                <w:color w:val="auto"/>
                <w:vertAlign w:val="superscript"/>
              </w:rPr>
              <w:t>(1)</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4"/>
          </w:tcPr>
          <w:p>
            <w:pPr>
              <w:jc w:val="right"/>
              <w:ind w:right="1"/>
              <w:spacing w:after="0"/>
              <w:rPr>
                <w:sz w:val="20"/>
                <w:szCs w:val="20"/>
                <w:color w:val="auto"/>
              </w:rPr>
            </w:pPr>
            <w:r>
              <w:rPr>
                <w:rFonts w:ascii="Times New Roman" w:cs="Times New Roman" w:eastAsia="Times New Roman" w:hAnsi="Times New Roman"/>
                <w:sz w:val="18"/>
                <w:szCs w:val="18"/>
                <w:color w:val="auto"/>
              </w:rPr>
              <w:t>189.8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119.7</w:t>
            </w:r>
          </w:p>
        </w:tc>
        <w:tc>
          <w:tcPr>
            <w:tcW w:w="0" w:type="dxa"/>
            <w:vAlign w:val="bottom"/>
          </w:tcPr>
          <w:p>
            <w:pPr>
              <w:spacing w:after="0"/>
              <w:rPr>
                <w:sz w:val="1"/>
                <w:szCs w:val="1"/>
                <w:color w:val="auto"/>
              </w:rPr>
            </w:pPr>
          </w:p>
        </w:tc>
      </w:tr>
      <w:tr>
        <w:trPr>
          <w:trHeight w:val="225"/>
        </w:trPr>
        <w:tc>
          <w:tcPr>
            <w:tcW w:w="6060" w:type="dxa"/>
            <w:vAlign w:val="bottom"/>
            <w:gridSpan w:val="2"/>
            <w:shd w:val="clear" w:color="auto" w:fill="CCEEFF"/>
          </w:tcPr>
          <w:p>
            <w:pPr>
              <w:ind w:left="240"/>
              <w:spacing w:after="0" w:line="225"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2"/>
                <w:szCs w:val="22"/>
                <w:color w:val="auto"/>
                <w:vertAlign w:val="superscript"/>
              </w:rPr>
              <w:t>(1)</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4"/>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173.5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92.4</w:t>
            </w:r>
          </w:p>
        </w:tc>
        <w:tc>
          <w:tcPr>
            <w:tcW w:w="0" w:type="dxa"/>
            <w:vAlign w:val="bottom"/>
          </w:tcPr>
          <w:p>
            <w:pPr>
              <w:spacing w:after="0"/>
              <w:rPr>
                <w:sz w:val="1"/>
                <w:szCs w:val="1"/>
                <w:color w:val="auto"/>
              </w:rPr>
            </w:pPr>
          </w:p>
        </w:tc>
      </w:tr>
      <w:tr>
        <w:trPr>
          <w:trHeight w:val="225"/>
        </w:trPr>
        <w:tc>
          <w:tcPr>
            <w:tcW w:w="60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22.0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25"/>
        </w:trPr>
        <w:tc>
          <w:tcPr>
            <w:tcW w:w="60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Restructuring and transaction-related expenses</w:t>
            </w:r>
          </w:p>
        </w:tc>
        <w:tc>
          <w:tcPr>
            <w:tcW w:w="3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18"/>
        </w:trPr>
        <w:tc>
          <w:tcPr>
            <w:tcW w:w="320" w:type="dxa"/>
            <w:vAlign w:val="bottom"/>
            <w:tcBorders>
              <w:bottom w:val="single" w:sz="8" w:color="CCEEFF"/>
            </w:tcBorders>
          </w:tcPr>
          <w:p>
            <w:pPr>
              <w:spacing w:after="0"/>
              <w:rPr>
                <w:sz w:val="19"/>
                <w:szCs w:val="19"/>
                <w:color w:val="auto"/>
              </w:rPr>
            </w:pPr>
          </w:p>
        </w:tc>
        <w:tc>
          <w:tcPr>
            <w:tcW w:w="57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4"/>
          </w:tcPr>
          <w:p>
            <w:pPr>
              <w:jc w:val="right"/>
              <w:ind w:right="1"/>
              <w:spacing w:after="0"/>
              <w:rPr>
                <w:sz w:val="20"/>
                <w:szCs w:val="20"/>
                <w:color w:val="auto"/>
              </w:rPr>
            </w:pPr>
            <w:r>
              <w:rPr>
                <w:rFonts w:ascii="Times New Roman" w:cs="Times New Roman" w:eastAsia="Times New Roman" w:hAnsi="Times New Roman"/>
                <w:sz w:val="18"/>
                <w:szCs w:val="18"/>
                <w:color w:val="auto"/>
              </w:rPr>
              <w:t>801.9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733.8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497.2</w:t>
            </w:r>
          </w:p>
        </w:tc>
        <w:tc>
          <w:tcPr>
            <w:tcW w:w="0" w:type="dxa"/>
            <w:vAlign w:val="bottom"/>
          </w:tcPr>
          <w:p>
            <w:pPr>
              <w:spacing w:after="0"/>
              <w:rPr>
                <w:sz w:val="1"/>
                <w:szCs w:val="1"/>
                <w:color w:val="auto"/>
              </w:rPr>
            </w:pPr>
          </w:p>
        </w:tc>
      </w:tr>
      <w:tr>
        <w:trPr>
          <w:trHeight w:val="219"/>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4"/>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259.5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113.3</w:t>
            </w:r>
          </w:p>
        </w:tc>
        <w:tc>
          <w:tcPr>
            <w:tcW w:w="0" w:type="dxa"/>
            <w:vAlign w:val="bottom"/>
          </w:tcPr>
          <w:p>
            <w:pPr>
              <w:spacing w:after="0"/>
              <w:rPr>
                <w:sz w:val="1"/>
                <w:szCs w:val="1"/>
                <w:color w:val="auto"/>
              </w:rPr>
            </w:pPr>
          </w:p>
        </w:tc>
      </w:tr>
      <w:tr>
        <w:trPr>
          <w:trHeight w:val="225"/>
        </w:trPr>
        <w:tc>
          <w:tcPr>
            <w:tcW w:w="60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45.2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47.6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25"/>
        </w:trPr>
        <w:tc>
          <w:tcPr>
            <w:tcW w:w="60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on debt modification and extinguishment</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5"/>
        </w:trPr>
        <w:tc>
          <w:tcPr>
            <w:tcW w:w="60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Other (income) loss, net</w:t>
            </w:r>
          </w:p>
        </w:tc>
        <w:tc>
          <w:tcPr>
            <w:tcW w:w="3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center"/>
              <w:ind w:left="818"/>
              <w:spacing w:after="0"/>
              <w:rPr>
                <w:sz w:val="20"/>
                <w:szCs w:val="20"/>
                <w:color w:val="auto"/>
              </w:rPr>
            </w:pPr>
            <w:r>
              <w:rPr>
                <w:rFonts w:ascii="Times New Roman" w:cs="Times New Roman" w:eastAsia="Times New Roman" w:hAnsi="Times New Roman"/>
                <w:sz w:val="18"/>
                <w:szCs w:val="18"/>
                <w:color w:val="auto"/>
                <w:w w:val="96"/>
              </w:rPr>
              <w:t>(66.4)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18"/>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4"/>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388.8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25"/>
        </w:trPr>
        <w:tc>
          <w:tcPr>
            <w:tcW w:w="606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4"/>
          </w:tcPr>
          <w:p>
            <w:pPr>
              <w:jc w:val="right"/>
              <w:ind w:right="1"/>
              <w:spacing w:after="0"/>
              <w:rPr>
                <w:sz w:val="20"/>
                <w:szCs w:val="20"/>
                <w:color w:val="auto"/>
              </w:rPr>
            </w:pPr>
            <w:r>
              <w:rPr>
                <w:rFonts w:ascii="Times New Roman" w:cs="Times New Roman" w:eastAsia="Times New Roman" w:hAnsi="Times New Roman"/>
                <w:sz w:val="18"/>
                <w:szCs w:val="18"/>
                <w:color w:val="auto"/>
              </w:rPr>
              <w:t>281.5</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8"/>
        </w:trPr>
        <w:tc>
          <w:tcPr>
            <w:tcW w:w="60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gridSpan w:val="4"/>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107.3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63.2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94.9</w:t>
            </w:r>
          </w:p>
        </w:tc>
        <w:tc>
          <w:tcPr>
            <w:tcW w:w="0" w:type="dxa"/>
            <w:vAlign w:val="bottom"/>
          </w:tcPr>
          <w:p>
            <w:pPr>
              <w:spacing w:after="0"/>
              <w:rPr>
                <w:sz w:val="1"/>
                <w:szCs w:val="1"/>
                <w:color w:val="auto"/>
              </w:rPr>
            </w:pPr>
          </w:p>
        </w:tc>
      </w:tr>
      <w:tr>
        <w:trPr>
          <w:trHeight w:val="218"/>
        </w:trPr>
        <w:tc>
          <w:tcPr>
            <w:tcW w:w="6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Net income (loss) attributable to ZoomInfo Technologies Inc.</w:t>
            </w:r>
          </w:p>
        </w:tc>
        <w:tc>
          <w:tcPr>
            <w:tcW w:w="3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gridSpan w:val="4"/>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107.3</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63.2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116.8</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06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  Includes equity-based compensation expense as follows:</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0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320" w:type="dxa"/>
            <w:vAlign w:val="bottom"/>
          </w:tcPr>
          <w:p>
            <w:pPr>
              <w:spacing w:after="0"/>
              <w:rPr>
                <w:sz w:val="2"/>
                <w:szCs w:val="2"/>
                <w:color w:val="auto"/>
              </w:rPr>
            </w:pPr>
          </w:p>
        </w:tc>
        <w:tc>
          <w:tcPr>
            <w:tcW w:w="5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20" w:type="dxa"/>
            <w:vAlign w:val="bottom"/>
          </w:tcPr>
          <w:p>
            <w:pPr>
              <w:spacing w:after="0"/>
              <w:rPr>
                <w:sz w:val="16"/>
                <w:szCs w:val="16"/>
                <w:color w:val="auto"/>
              </w:rPr>
            </w:pPr>
          </w:p>
        </w:tc>
        <w:tc>
          <w:tcPr>
            <w:tcW w:w="574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20" w:type="dxa"/>
            <w:vAlign w:val="bottom"/>
          </w:tcPr>
          <w:p>
            <w:pPr>
              <w:spacing w:after="0"/>
              <w:rPr>
                <w:sz w:val="17"/>
                <w:szCs w:val="17"/>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service</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center"/>
              <w:ind w:right="101"/>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20" w:type="dxa"/>
            <w:vAlign w:val="bottom"/>
          </w:tcPr>
          <w:p>
            <w:pPr>
              <w:spacing w:after="0"/>
              <w:rPr>
                <w:sz w:val="16"/>
                <w:szCs w:val="16"/>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20" w:type="dxa"/>
            <w:vAlign w:val="bottom"/>
          </w:tcPr>
          <w:p>
            <w:pPr>
              <w:spacing w:after="0"/>
              <w:rPr>
                <w:sz w:val="17"/>
                <w:szCs w:val="17"/>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20" w:type="dxa"/>
            <w:vAlign w:val="bottom"/>
          </w:tcPr>
          <w:p>
            <w:pPr>
              <w:spacing w:after="0"/>
              <w:rPr>
                <w:sz w:val="16"/>
                <w:szCs w:val="16"/>
                <w:color w:val="auto"/>
              </w:rPr>
            </w:pPr>
          </w:p>
        </w:tc>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20" w:type="dxa"/>
            <w:vAlign w:val="bottom"/>
          </w:tcPr>
          <w:p>
            <w:pPr>
              <w:spacing w:after="0"/>
              <w:rPr>
                <w:sz w:val="19"/>
                <w:szCs w:val="19"/>
                <w:color w:val="auto"/>
              </w:rPr>
            </w:pPr>
          </w:p>
        </w:tc>
        <w:tc>
          <w:tcPr>
            <w:tcW w:w="5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equity-based compensation expense</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167.6</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center"/>
              <w:ind w:right="101"/>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2023 versus Year Ended December 31, 2022</w:t>
      </w:r>
    </w:p>
    <w:p>
      <w:pPr>
        <w:spacing w:after="0" w:line="166"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Revenue was $1,239.5 million for the year ended December 31, 2023, an increase of $141.4 million, or 13%, as compared to $1,098.0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year ended December 31, 2022. The increase was primarily due to the addition of new customers over the past 12 months offset by fewer upsells, reduction in spend, and cancellations among existing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Cost of service. </w:t>
      </w:r>
      <w:r>
        <w:rPr>
          <w:rFonts w:ascii="Times New Roman" w:cs="Times New Roman" w:eastAsia="Times New Roman" w:hAnsi="Times New Roman"/>
          <w:sz w:val="18"/>
          <w:szCs w:val="18"/>
          <w:color w:val="auto"/>
        </w:rPr>
        <w:t>Cost of service was $178.1 million for the year ended December 31, 2023, a decrease of $10.3 million, or 5%,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$188.4 million for the year ended December 31, 2022. Excluding equity-based compensation expenses, cost of service was $162.4 million for the year ended December 31, 2023, a decrease of $5.8 million, or 3%, as compared to $168.2 million for the year end December 31, 2022. The decrease was primarily due to the completion of amortization expense related to intangible assets from 2019 acquisitions, offset by increased hosting expenses to support new and growing customers and increased depreciation expense.</w:t>
      </w:r>
    </w:p>
    <w:p>
      <w:pPr>
        <w:spacing w:after="0" w:line="128"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Gross profit</w:t>
      </w:r>
      <w:r>
        <w:rPr>
          <w:rFonts w:ascii="Times New Roman" w:cs="Times New Roman" w:eastAsia="Times New Roman" w:hAnsi="Times New Roman"/>
          <w:sz w:val="18"/>
          <w:szCs w:val="18"/>
          <w:color w:val="auto"/>
        </w:rPr>
        <w:t>. Gross profit for the year ended December 31, 2023 was $1,061.4 million and represented a gross margin of 86%. Gross profit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2022 was $909.6 million and represented a gross margin of 83%. The increase in gross profit in the year ended December 31, 2023 relative to the year ended December 31, 2022 was an increase of $151.8 million, or 17%, driven primarily due to higher revenues. The gross margin improvement in the year ended December 31, 2023 was primarily due to a lower headcount within cost of service.</w:t>
      </w:r>
    </w:p>
    <w:p>
      <w:pPr>
        <w:spacing w:after="0" w:line="124"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Operating expenses were $801.9 million for the year ended December 31, 2023, an increase of $68.1 million, or 9%,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$733.8 million for the year ended December 31, 2022. Excluding equity-based compensation expenses, operating expenses were $650.0 million for the year ended December 31, 2023, an increase of $88.3 million, or 16%, as compared to $561.7 million for the year ended December 31, 2022.</w:t>
      </w:r>
    </w:p>
    <w:p>
      <w:pPr>
        <w:spacing w:after="0" w:line="122" w:lineRule="exact"/>
        <w:rPr>
          <w:sz w:val="20"/>
          <w:szCs w:val="20"/>
          <w:color w:val="auto"/>
        </w:rPr>
      </w:pPr>
    </w:p>
    <w:p>
      <w:pPr>
        <w:jc w:val="both"/>
        <w:ind w:left="640" w:hanging="316"/>
        <w:spacing w:after="0" w:line="252" w:lineRule="auto"/>
        <w:tabs>
          <w:tab w:leader="none" w:pos="635"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Sales and marketing for the year ended December 31, 2023 was $406.4 million representing an increase of $27.1 million, or 7%, as compared to $379.3 million for the year ended December 31, 2022. Sales and marketing, excluding equity-based compensation, for the year ended December 31, 2023 was $335.1 million representing an increase of $36.2 million, or 12%, as compared to $298.9 million for the year ended December 31, 2022 primarily due to additional salary, benefit, facilities, and technology expenses related to headcount added to drive continued incremental sales, as well as additional commission expense and amortization of deferred commissions related to obtaining contracts with customers.</w:t>
      </w:r>
    </w:p>
    <w:p>
      <w:pPr>
        <w:spacing w:after="0" w:line="132" w:lineRule="exact"/>
        <w:rPr>
          <w:rFonts w:ascii="Times New Roman" w:cs="Times New Roman" w:eastAsia="Times New Roman" w:hAnsi="Times New Roman"/>
          <w:sz w:val="18"/>
          <w:szCs w:val="18"/>
          <w:i w:val="1"/>
          <w:iCs w:val="1"/>
          <w:color w:val="auto"/>
        </w:rPr>
      </w:pPr>
    </w:p>
    <w:p>
      <w:pPr>
        <w:jc w:val="both"/>
        <w:ind w:left="640" w:hanging="316"/>
        <w:spacing w:after="0" w:line="252"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for the year ended December 31, 2023 was $189.8 million representing a decrease of $15.4 million, or 8%, as compared to $205.2 million for the year ended December 31, 2022. Research and development, excluding equity-based compensation, for the year ended December 31, 2023 was $144.7 million representing an increase of $5.2 million, or 4%, as compared to $139.5 million for the year ended December 31, 2022 primarily due to salary, benefit, facilities, and technology expenses related to headcount that supports continued innovation of our services.</w:t>
      </w:r>
    </w:p>
    <w:p>
      <w:pPr>
        <w:spacing w:after="0" w:line="132"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for the year ended December 31, 2023 was $173.5 million representing an increase of $50.3 million, or 41%, as compared to $123.2 million for the year ended December 31, 2022. General and administrative, excluding equity-based compensation, for the year ended December 31, 2023 was $138.0 million representing an increase of $40.8 million, or 42%, as compared to $97.2 million for the year ended December 31, 2022 primarily due to additional bad debt accruals, as well as salary, benefit, facilities, and technology expenses.</w:t>
      </w:r>
    </w:p>
    <w:p>
      <w:pPr>
        <w:spacing w:after="0" w:line="12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other acquired intangibles was $21.9 million, representing a decrease of $0.1 million, or less than 1%, for the year ended December 31, 2023 as compared to December 31, 2022.</w:t>
      </w:r>
    </w:p>
    <w:p>
      <w:pPr>
        <w:spacing w:after="0" w:line="11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Restructuring and transaction-related expenses were $10.3 million for the year ended December 31, 2023, representing an increase of $6.2 million, or 151%, as compared to $4.1 million for the year ended December 31, 2022. Expenses for the year ended December 31, 2023 were primarily comprised of costs incurred related to the June 2023 reduction in force and lease impairments.</w:t>
      </w:r>
    </w:p>
    <w:p>
      <w:pPr>
        <w:spacing w:after="0" w:line="123"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Equity-based compensation expense</w:t>
      </w:r>
      <w:r>
        <w:rPr>
          <w:rFonts w:ascii="Times New Roman" w:cs="Times New Roman" w:eastAsia="Times New Roman" w:hAnsi="Times New Roman"/>
          <w:sz w:val="18"/>
          <w:szCs w:val="18"/>
          <w:color w:val="auto"/>
        </w:rPr>
        <w:t>. Equity-based compensation expense was $167.6 million for the year ended December 31, 2023, a decrease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$24.7 million, or 13%, as compared to $192.3 million for the year ended December 31, 2022, primarily due to lower grant date fair values of grants in the current year compared to 2022, capitalization of equity-based compensation, and terminations.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Income (Loss) from operations</w:t>
      </w:r>
      <w:r>
        <w:rPr>
          <w:rFonts w:ascii="Times New Roman" w:cs="Times New Roman" w:eastAsia="Times New Roman" w:hAnsi="Times New Roman"/>
          <w:sz w:val="18"/>
          <w:szCs w:val="18"/>
          <w:color w:val="auto"/>
        </w:rPr>
        <w:t>. Income from operations was $259.5 million for the year ended December 31, 2023, an increase of $83.7 million, or 48%,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compared to $175.8 million for the year ended December 31, 2022. The increase was primarily due to the increase in revenues, partially offset by higher operating expenses. Operating income margin was 21% for the year ended December 31, 2023 as compared to 16% for the year ended December 31, 2022 primarily due to improved profit margins.</w:t>
      </w:r>
    </w:p>
    <w:p>
      <w:pPr>
        <w:spacing w:after="0" w:line="124"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Other (income) loss, net. </w:t>
      </w:r>
      <w:r>
        <w:rPr>
          <w:rFonts w:ascii="Times New Roman" w:cs="Times New Roman" w:eastAsia="Times New Roman" w:hAnsi="Times New Roman"/>
          <w:sz w:val="18"/>
          <w:szCs w:val="18"/>
          <w:color w:val="auto"/>
        </w:rPr>
        <w:t>Other income, net was $178.8 million for the year ended December 31, 2023 which primarily consists of the TRA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remeasurement gain of $160.7 million and investment income of $22.0 million, partially offset by losses on foreign currency transactions of $3.9 million, as compared to other income, net of $66.4 million for the year ended December 31, 2022 which primarily consists of the TRA remeasurement gain of $65.6 million and investment income of $4.2 million, partially offset by losses on foreign currency transactions of $3.4 million.</w:t>
      </w:r>
    </w:p>
    <w:p>
      <w:pPr>
        <w:spacing w:after="0" w:line="124"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Interest expense, net was $45.2 million for the year ended December 31, 2023, a decrease of $2.4 million, or 5%,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$47.6 million for the year ended December 31, 2022. The decrease was primarily due to the completion of two debt repricings which resulted in lowering the margin on our variable rate debt as well as lower principal debt outstanding as a result of repayments during the year.</w:t>
      </w:r>
    </w:p>
    <w:p>
      <w:pPr>
        <w:spacing w:after="0" w:line="12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Provision (Benefit) for income taxes. </w:t>
      </w:r>
      <w:r>
        <w:rPr>
          <w:rFonts w:ascii="Times New Roman" w:cs="Times New Roman" w:eastAsia="Times New Roman" w:hAnsi="Times New Roman"/>
          <w:sz w:val="18"/>
          <w:szCs w:val="18"/>
          <w:color w:val="auto"/>
        </w:rPr>
        <w:t>The Company is subject to income taxes in the United States and various foreign jurisdictions. Provision for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taxes for the year ended December 31, 2023 was $281.5 million, representing an effective tax rate of 72.4%, as compared to provision for income taxes of $131.4 million, representing an effective tax rate of 67.5%, for the year ended December 31, 2022. The increase in income tax expense was primarily due to remeasurement of the deferred tax assets resulting from state law changes, higher non-deductible equity compensation, and the application of valuation allowances. The annual effective tax rate differed from the U.S. federal statutory rate due to non-deductible equity compensations costs, U.S. state taxes including the remeasurement of deferred tax assets for the effect of state law changes, foreign taxes, the net U.S. and Israel tax effects resulting from a tax ruling relating to research and developments activities conducted in Israel, tax costs accrued for future repatriations of foreign earnings; offset by research and development credits. Refer to Note 18 - Income Taxes of our audited consolidated financial statements included in Part II, Item 8 of this Form 10-K for additional information related to the components of our income tax provision.</w:t>
      </w:r>
    </w:p>
    <w:p>
      <w:pPr>
        <w:spacing w:after="0" w:line="134"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Net income (loss)</w:t>
      </w:r>
      <w:r>
        <w:rPr>
          <w:rFonts w:ascii="Times New Roman" w:cs="Times New Roman" w:eastAsia="Times New Roman" w:hAnsi="Times New Roman"/>
          <w:sz w:val="18"/>
          <w:szCs w:val="18"/>
          <w:color w:val="auto"/>
        </w:rPr>
        <w:t>. Net income was $107.3 million for the year ended December 31, 2023, an increase of $44.1 million or 70%,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$63.2 million for the year ended December 31, 2022. The increase was primarily due to higher operating income and the TRA remeasurement gain, partially offset by an increase in income tax expense.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addition to our results determined in accordance with U.S. GAAP, we believe certain non-GAAP measures are useful in evaluating our operating performance. These measures include, but are not limited to, Adjusted Operating Income, Adjusted Operating Income Margin, Adjusted EBITDA, and Adjusted Net Income and are used by management in making operating decisions, allocating financial resources, internal planning and forecasting, and for business strategy purposes. We believe that non-GAAP financial information is useful to investors because it eliminates certain items that affect period-over-period comparability, and it provides consistency with past financial performance and additional information about our underlying results and trends by excluding certain items that may not be indicative of our business, results of operations, or outlook.</w:t>
      </w:r>
    </w:p>
    <w:p>
      <w:pPr>
        <w:spacing w:after="0" w:line="13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view Adjusted Operating Income, Adjusted Operating Income Margin, Adjusted EBITDA, and Adjusted Net Income as operating performance measures. We believe that the most directly comparable U.S. GAAP financial measure to Adjusted Operating Income is U.S. GAAP operating income. We believe that the most directly comparable U.S. GAAP financial measure to Adjusted Operating Income Margin is U.S. GAAP operating income divided by U.S. GAAP revenue. We believe that the most directly comparable U.S. GAAP financial measure to Adjusted EBITDA and Adjusted Net Income is U.S. GAAP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Non-GAAP financial measures are not meant to be considered in isolation or as a substitute for the comparable GAAP measures, but rather as supplemental information to our business results. This information should be read only in conjunction with our consolidated financial statements prepared in accordance with U.S. GAAP. There are limitations to these non-GAAP financial measures because they are not prepared in accordance with U.S.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U.S. GAAP.</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 Adjusted Operating Income Margin, and Adjusted Net Income</w:t>
      </w:r>
    </w:p>
    <w:p>
      <w:pPr>
        <w:spacing w:after="0" w:line="16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We define Adjusted Operating Income as income (loss) from operations adjusted for (i) the impact of fair value adjustments to acquired unearned revenue, (ii) amortization of acquired technology and other acquired intangibles, (iii) equity-based compensation expense, (iv) restructuring and transaction-related expenses, and (v) integration costs and acquisition-related expenses. We exclude the impact of fair value adjustments to acquired unearned revenue and amortization of acquired technology and other acquired intangibles, as well as equity-based compensation expense, because these are non-cash expenses or non-cash fair value adjustments and we believe that excluding these items provides meaningful supplemental information regarding performance and ongoing cash-generation potential. We exclude restructuring and transaction-related expenses, as well as integration costs and acquisition-related expenses, because such expenses are episodic in nature and have no direct correlation to the cost of operating our business on an ongoing basis. Adjusted Operating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Operating Income should not be considered as an alternative to operating income as an indicator of operating performance. We define Adjusted Operating Income Margin as Adjusted Operating Income divided by the sum of revenue and the impact of fair value adjustments to acquired unearned revenue.</w:t>
      </w:r>
    </w:p>
    <w:p>
      <w:pPr>
        <w:spacing w:after="0" w:line="126" w:lineRule="exact"/>
        <w:rPr>
          <w:sz w:val="20"/>
          <w:szCs w:val="20"/>
          <w:color w:val="auto"/>
        </w:rPr>
      </w:pPr>
    </w:p>
    <w:p>
      <w:pPr>
        <w:jc w:val="both"/>
        <w:ind w:firstLine="318"/>
        <w:spacing w:after="0" w:line="268" w:lineRule="auto"/>
        <w:rPr>
          <w:sz w:val="20"/>
          <w:szCs w:val="20"/>
          <w:color w:val="auto"/>
        </w:rPr>
      </w:pPr>
      <w:r>
        <w:rPr>
          <w:rFonts w:ascii="Times New Roman" w:cs="Times New Roman" w:eastAsia="Times New Roman" w:hAnsi="Times New Roman"/>
          <w:sz w:val="17"/>
          <w:szCs w:val="17"/>
          <w:color w:val="auto"/>
        </w:rPr>
        <w:t>We define Adjusted Net Income as net income (loss) adjusted for (i) the impact of fair value adjustments to acquired unearned revenue, (ii) loss on debt modification and extinguishment, (iii) amortization of acquired technology and other acquired intangibles, (iv) equity-based compensation expense, (v) restructuring and transaction-related expenses, (vi) integration costs and acquisition-related expenses, (vii) TRA liability remeasurement (benefit) expense and</w:t>
      </w:r>
    </w:p>
    <w:p>
      <w:pPr>
        <w:spacing w:after="0" w:line="1" w:lineRule="exact"/>
        <w:rPr>
          <w:sz w:val="20"/>
          <w:szCs w:val="20"/>
          <w:color w:val="auto"/>
        </w:rPr>
      </w:pPr>
    </w:p>
    <w:p>
      <w:pPr>
        <w:jc w:val="both"/>
        <w:ind w:firstLine="6"/>
        <w:spacing w:after="0" w:line="247" w:lineRule="auto"/>
        <w:tabs>
          <w:tab w:leader="none" w:pos="43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impacts of adjustments to net income (loss). Adjusted Net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Net Income should not be considered as an alternative to cash flows from operating activities as a measure of liquidity or as an alternative to operating income or net income as indicators of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The following table presents a reconciliation of </w:t>
      </w:r>
      <w:r>
        <w:rPr>
          <w:rFonts w:ascii="Times New Roman" w:cs="Times New Roman" w:eastAsia="Times New Roman" w:hAnsi="Times New Roman"/>
          <w:sz w:val="18"/>
          <w:szCs w:val="18"/>
          <w:i w:val="1"/>
          <w:iCs w:val="1"/>
          <w:color w:val="auto"/>
        </w:rPr>
        <w:t>Income (Loss) from operations</w:t>
      </w:r>
      <w:r>
        <w:rPr>
          <w:rFonts w:ascii="Times New Roman" w:cs="Times New Roman" w:eastAsia="Times New Roman" w:hAnsi="Times New Roman"/>
          <w:sz w:val="18"/>
          <w:szCs w:val="18"/>
          <w:color w:val="auto"/>
        </w:rPr>
        <w:t xml:space="preserve"> to Adjusted Operating Income for the periods presented: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4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6"/>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r>
      <w:tr>
        <w:trPr>
          <w:trHeight w:val="218"/>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unaudited)</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8"/>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 (GAAP)</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r>
      <w:tr>
        <w:trPr>
          <w:trHeight w:val="225"/>
        </w:trPr>
        <w:tc>
          <w:tcPr>
            <w:tcW w:w="6480" w:type="dxa"/>
            <w:vAlign w:val="bottom"/>
          </w:tcPr>
          <w:p>
            <w:pPr>
              <w:ind w:left="180"/>
              <w:spacing w:after="0" w:line="225" w:lineRule="exact"/>
              <w:rPr>
                <w:sz w:val="20"/>
                <w:szCs w:val="20"/>
                <w:color w:val="auto"/>
              </w:rPr>
            </w:pPr>
            <w:r>
              <w:rPr>
                <w:rFonts w:ascii="Times New Roman" w:cs="Times New Roman" w:eastAsia="Times New Roman" w:hAnsi="Times New Roman"/>
                <w:sz w:val="18"/>
                <w:szCs w:val="18"/>
                <w:color w:val="auto"/>
              </w:rPr>
              <w:t xml:space="preserve">Impact of fair value adjustments to acquired unearned revenue </w:t>
            </w:r>
            <w:r>
              <w:rPr>
                <w:rFonts w:ascii="Times New Roman" w:cs="Times New Roman" w:eastAsia="Times New Roman" w:hAnsi="Times New Roman"/>
                <w:sz w:val="22"/>
                <w:szCs w:val="22"/>
                <w:color w:val="auto"/>
                <w:vertAlign w:val="superscript"/>
              </w:rPr>
              <w:t>(a)</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5"/>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25"/>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25"/>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r>
      <w:tr>
        <w:trPr>
          <w:trHeight w:val="225"/>
        </w:trPr>
        <w:tc>
          <w:tcPr>
            <w:tcW w:w="6480" w:type="dxa"/>
            <w:vAlign w:val="bottom"/>
          </w:tcPr>
          <w:p>
            <w:pPr>
              <w:ind w:left="180"/>
              <w:spacing w:after="0" w:line="225" w:lineRule="exact"/>
              <w:rPr>
                <w:sz w:val="20"/>
                <w:szCs w:val="20"/>
                <w:color w:val="auto"/>
              </w:rPr>
            </w:pPr>
            <w:r>
              <w:rPr>
                <w:rFonts w:ascii="Times New Roman" w:cs="Times New Roman" w:eastAsia="Times New Roman" w:hAnsi="Times New Roman"/>
                <w:sz w:val="18"/>
                <w:szCs w:val="18"/>
                <w:color w:val="auto"/>
              </w:rPr>
              <w:t xml:space="preserve">Restructuring and transaction-related expenses </w:t>
            </w:r>
            <w:r>
              <w:rPr>
                <w:rFonts w:ascii="Times New Roman" w:cs="Times New Roman" w:eastAsia="Times New Roman" w:hAnsi="Times New Roman"/>
                <w:sz w:val="22"/>
                <w:szCs w:val="22"/>
                <w:color w:val="auto"/>
                <w:vertAlign w:val="superscript"/>
              </w:rPr>
              <w:t>(b)</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25"/>
        </w:trPr>
        <w:tc>
          <w:tcPr>
            <w:tcW w:w="6480" w:type="dxa"/>
            <w:vAlign w:val="bottom"/>
            <w:shd w:val="clear" w:color="auto" w:fill="CCEEFF"/>
          </w:tcPr>
          <w:p>
            <w:pPr>
              <w:ind w:left="180"/>
              <w:spacing w:after="0" w:line="225" w:lineRule="exact"/>
              <w:rPr>
                <w:sz w:val="20"/>
                <w:szCs w:val="20"/>
                <w:color w:val="auto"/>
              </w:rPr>
            </w:pPr>
            <w:r>
              <w:rPr>
                <w:rFonts w:ascii="Times New Roman" w:cs="Times New Roman" w:eastAsia="Times New Roman" w:hAnsi="Times New Roman"/>
                <w:sz w:val="18"/>
                <w:szCs w:val="18"/>
                <w:color w:val="auto"/>
              </w:rPr>
              <w:t xml:space="preserve">Integration costs and acquisition-related expenses </w:t>
            </w:r>
            <w:r>
              <w:rPr>
                <w:rFonts w:ascii="Times New Roman" w:cs="Times New Roman" w:eastAsia="Times New Roman" w:hAnsi="Times New Roman"/>
                <w:sz w:val="22"/>
                <w:szCs w:val="22"/>
                <w:color w:val="auto"/>
                <w:vertAlign w:val="superscript"/>
              </w:rPr>
              <w:t>(c)</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18"/>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Operating Income (Non-GAAP)</w:t>
            </w: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1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447.8</w:t>
            </w:r>
          </w:p>
        </w:tc>
        <w:tc>
          <w:tcPr>
            <w:tcW w:w="1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306.6</w:t>
            </w: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8"/>
        </w:trPr>
        <w:tc>
          <w:tcPr>
            <w:tcW w:w="6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5"/>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 (GAAP)</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1,239.5</w:t>
            </w:r>
          </w:p>
        </w:tc>
        <w:tc>
          <w:tcPr>
            <w:tcW w:w="16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1,098.0</w:t>
            </w:r>
          </w:p>
        </w:tc>
        <w:tc>
          <w:tcPr>
            <w:tcW w:w="14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747.2</w:t>
            </w:r>
          </w:p>
        </w:tc>
      </w:tr>
      <w:tr>
        <w:trPr>
          <w:trHeight w:val="225"/>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Impact of fair value adjustments to acquired unearned revenue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192"/>
        </w:trPr>
        <w:tc>
          <w:tcPr>
            <w:tcW w:w="6480" w:type="dxa"/>
            <w:vAlign w:val="bottom"/>
          </w:tcPr>
          <w:p>
            <w:pPr>
              <w:ind w:left="20"/>
              <w:spacing w:after="0" w:line="192" w:lineRule="exact"/>
              <w:rPr>
                <w:sz w:val="20"/>
                <w:szCs w:val="20"/>
                <w:color w:val="auto"/>
              </w:rPr>
            </w:pPr>
            <w:r>
              <w:rPr>
                <w:rFonts w:ascii="Times New Roman" w:cs="Times New Roman" w:eastAsia="Times New Roman" w:hAnsi="Times New Roman"/>
                <w:sz w:val="18"/>
                <w:szCs w:val="18"/>
                <w:color w:val="auto"/>
              </w:rPr>
              <w:t>Revenue for adjusted operating margin calculation (Non-GAAP)</w:t>
            </w:r>
          </w:p>
        </w:tc>
        <w:tc>
          <w:tcPr>
            <w:tcW w:w="340" w:type="dxa"/>
            <w:vAlign w:val="bottom"/>
            <w:tcBorders>
              <w:bottom w:val="single" w:sz="8" w:color="auto"/>
            </w:tcBorders>
          </w:tcPr>
          <w:p>
            <w:pPr>
              <w:jc w:val="right"/>
              <w:ind w:right="132"/>
              <w:spacing w:after="0" w:line="192"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1,239.7</w:t>
            </w:r>
          </w:p>
        </w:tc>
        <w:tc>
          <w:tcPr>
            <w:tcW w:w="160" w:type="dxa"/>
            <w:vAlign w:val="bottom"/>
          </w:tcPr>
          <w:p>
            <w:pPr>
              <w:spacing w:after="0"/>
              <w:rPr>
                <w:sz w:val="16"/>
                <w:szCs w:val="16"/>
                <w:color w:val="auto"/>
              </w:rPr>
            </w:pPr>
          </w:p>
        </w:tc>
        <w:tc>
          <w:tcPr>
            <w:tcW w:w="340" w:type="dxa"/>
            <w:vAlign w:val="bottom"/>
            <w:tcBorders>
              <w:bottom w:val="single" w:sz="8" w:color="auto"/>
            </w:tcBorders>
          </w:tcPr>
          <w:p>
            <w:pPr>
              <w:jc w:val="right"/>
              <w:ind w:right="132"/>
              <w:spacing w:after="0" w:line="192"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1,100.1</w:t>
            </w:r>
          </w:p>
        </w:tc>
        <w:tc>
          <w:tcPr>
            <w:tcW w:w="140" w:type="dxa"/>
            <w:vAlign w:val="bottom"/>
          </w:tcPr>
          <w:p>
            <w:pPr>
              <w:spacing w:after="0"/>
              <w:rPr>
                <w:sz w:val="16"/>
                <w:szCs w:val="16"/>
                <w:color w:val="auto"/>
              </w:rPr>
            </w:pPr>
          </w:p>
        </w:tc>
        <w:tc>
          <w:tcPr>
            <w:tcW w:w="340" w:type="dxa"/>
            <w:vAlign w:val="bottom"/>
            <w:tcBorders>
              <w:bottom w:val="single" w:sz="8" w:color="auto"/>
            </w:tcBorders>
          </w:tcPr>
          <w:p>
            <w:pPr>
              <w:jc w:val="right"/>
              <w:ind w:right="152"/>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751.8</w:t>
            </w: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8"/>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Adjusted Operating Income Margin (Non-GAAP)</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w:t>
            </w: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4" w:lineRule="exact"/>
        <w:rPr>
          <w:sz w:val="20"/>
          <w:szCs w:val="20"/>
          <w:color w:val="auto"/>
        </w:rPr>
      </w:pPr>
    </w:p>
    <w:p>
      <w:pPr>
        <w:jc w:val="both"/>
        <w:ind w:left="320" w:hanging="314"/>
        <w:spacing w:after="0" w:line="254" w:lineRule="auto"/>
        <w:tabs>
          <w:tab w:leader="none" w:pos="318"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impact of fair value adjustments to acquired unearned revenue relating to services billed by an acquired company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spacing w:after="0" w:line="1" w:lineRule="exact"/>
        <w:rPr>
          <w:rFonts w:ascii="Times New Roman" w:cs="Times New Roman" w:eastAsia="Times New Roman" w:hAnsi="Times New Roman"/>
          <w:sz w:val="14"/>
          <w:szCs w:val="14"/>
          <w:color w:val="auto"/>
        </w:rPr>
      </w:pPr>
    </w:p>
    <w:p>
      <w:pPr>
        <w:jc w:val="both"/>
        <w:ind w:left="320" w:hanging="314"/>
        <w:spacing w:after="0" w:line="251" w:lineRule="auto"/>
        <w:tabs>
          <w:tab w:leader="none" w:pos="31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directly associated with acquisition or disposal activities, including employee severance and termination benefits, contract termination fees and penalties, and other exit or disposal costs. For the year ended December 31, 2023, this expense is primarily related to costs associated with a June 2023 reduction in force, and impairment charges related to the Ra’anana office and other offices. For the year ended December 31, 2022, this expense is primarily related to transition and retention payments related to 2021 and 2022 acquisitions. For the year ended December 31, 2021, this expense related primarily to costs incurred related to 2021 acquisitions and impairment charges related to the Company’s Waltham office relocation.</w:t>
      </w:r>
    </w:p>
    <w:p>
      <w:pPr>
        <w:spacing w:after="0" w:line="2" w:lineRule="exact"/>
        <w:rPr>
          <w:rFonts w:ascii="Times New Roman" w:cs="Times New Roman" w:eastAsia="Times New Roman" w:hAnsi="Times New Roman"/>
          <w:sz w:val="14"/>
          <w:szCs w:val="14"/>
          <w:color w:val="auto"/>
        </w:rPr>
      </w:pPr>
    </w:p>
    <w:p>
      <w:pPr>
        <w:jc w:val="both"/>
        <w:ind w:left="320" w:hanging="314"/>
        <w:spacing w:after="0" w:line="256" w:lineRule="auto"/>
        <w:tabs>
          <w:tab w:leader="none" w:pos="318"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directly associated with integration activities for acquisitions and acquisition-related expenses, which includes transaction bonuses and retention awards. For the year ended December 31, 2022, this expense related to retention awards from the acquisitions of Clickagy, Everstring, and Insent, and professional fees relating to integration projects. For the year ended December 31, 2021, this expense related primarily to retention awards from the acquisitions of Clickagy and Everstring, cash vesting payments from the acquisition of Pre-Acquisition ZI, and professional fees incurred to integrate acquired businesses. Refer to Note 4 - Business Combinations to our audited consolidated financial statements included in Part II, Item 8 of this Form 10-K for additional information. This expense is included in cost of service, sales and marketing, research and development, and general and administrative as follows:</w:t>
      </w:r>
    </w:p>
    <w:p>
      <w:pPr>
        <w:spacing w:after="0" w:line="29"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5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8"/>
        </w:trPr>
        <w:tc>
          <w:tcPr>
            <w:tcW w:w="57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94"/>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Pr>
          <w:p>
            <w:pPr>
              <w:spacing w:after="0"/>
              <w:rPr>
                <w:sz w:val="16"/>
                <w:szCs w:val="16"/>
                <w:color w:val="auto"/>
              </w:rPr>
            </w:pPr>
          </w:p>
        </w:tc>
        <w:tc>
          <w:tcPr>
            <w:tcW w:w="11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4"/>
        </w:trPr>
        <w:tc>
          <w:tcPr>
            <w:tcW w:w="5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2"/>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service</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91"/>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360" w:type="dxa"/>
            <w:vAlign w:val="bottom"/>
          </w:tcPr>
          <w:p>
            <w:pPr>
              <w:spacing w:after="0"/>
              <w:rPr>
                <w:sz w:val="16"/>
                <w:szCs w:val="16"/>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20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92"/>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24"/>
        </w:trPr>
        <w:tc>
          <w:tcPr>
            <w:tcW w:w="5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integration costs and acquisition-related expenses</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Adjusted Operating Income for the year ended December 31, 2023 was $498.6 million and represented an Adjusted Operating Income Margin of 40%. Adjusted Operating Income for the year ended December 31, 2022 was $447.8 million and represented an Adjusted Operating Income Margin of 41%. The change in Adjusted Operating Income in the year ended December 31, 2023 relative to the year ended December 31, 2022 was an increase of $50.8 million, or 11%, and was driven primarily from the growth of revenue related to new customers, partially offset by increased operating expenses related to selling and supporting those customers, as well as increases in research and development investments, and accruals for bad debt. Adjusted Operating Income Margin decreased to 40% in the year ended December 31, 2023 relative to the year ended December 31, 2022 due to increased general and administrative expenses from higher bad debt accruals, partially offset by efficiencies within cost of service and research and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The following table presents a reconciliation of </w:t>
      </w:r>
      <w:r>
        <w:rPr>
          <w:rFonts w:ascii="Times New Roman" w:cs="Times New Roman" w:eastAsia="Times New Roman" w:hAnsi="Times New Roman"/>
          <w:sz w:val="18"/>
          <w:szCs w:val="18"/>
          <w:i w:val="1"/>
          <w:iCs w:val="1"/>
          <w:color w:val="auto"/>
        </w:rPr>
        <w:t>Net income (loss)</w:t>
      </w:r>
      <w:r>
        <w:rPr>
          <w:rFonts w:ascii="Times New Roman" w:cs="Times New Roman" w:eastAsia="Times New Roman" w:hAnsi="Times New Roman"/>
          <w:sz w:val="18"/>
          <w:szCs w:val="18"/>
          <w:color w:val="auto"/>
        </w:rPr>
        <w:t xml:space="preserve"> to Adjusted Net Income for the periods presented: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5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6"/>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r>
      <w:tr>
        <w:trPr>
          <w:trHeight w:val="218"/>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unaudited)</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8"/>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(GAAP)</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r>
      <w:tr>
        <w:trPr>
          <w:trHeight w:val="225"/>
        </w:trPr>
        <w:tc>
          <w:tcPr>
            <w:tcW w:w="6540" w:type="dxa"/>
            <w:vAlign w:val="bottom"/>
          </w:tcPr>
          <w:p>
            <w:pPr>
              <w:ind w:left="120"/>
              <w:spacing w:after="0" w:line="225" w:lineRule="exact"/>
              <w:rPr>
                <w:sz w:val="20"/>
                <w:szCs w:val="20"/>
                <w:color w:val="auto"/>
              </w:rPr>
            </w:pPr>
            <w:r>
              <w:rPr>
                <w:rFonts w:ascii="Times New Roman" w:cs="Times New Roman" w:eastAsia="Times New Roman" w:hAnsi="Times New Roman"/>
                <w:sz w:val="18"/>
                <w:szCs w:val="18"/>
                <w:color w:val="auto"/>
              </w:rPr>
              <w:t xml:space="preserve">Impact of fair value adjustments to acquired unearned revenue </w:t>
            </w:r>
            <w:r>
              <w:rPr>
                <w:rFonts w:ascii="Times New Roman" w:cs="Times New Roman" w:eastAsia="Times New Roman" w:hAnsi="Times New Roman"/>
                <w:sz w:val="22"/>
                <w:szCs w:val="22"/>
                <w:color w:val="auto"/>
                <w:vertAlign w:val="superscript"/>
              </w:rPr>
              <w:t>(a)</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5"/>
        </w:trPr>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debt modification and extinguishment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5"/>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25"/>
        </w:trPr>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25"/>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r>
      <w:tr>
        <w:trPr>
          <w:trHeight w:val="225"/>
        </w:trPr>
        <w:tc>
          <w:tcPr>
            <w:tcW w:w="6540" w:type="dxa"/>
            <w:vAlign w:val="bottom"/>
            <w:shd w:val="clear" w:color="auto" w:fill="CCEEFF"/>
          </w:tcPr>
          <w:p>
            <w:pPr>
              <w:ind w:left="120"/>
              <w:spacing w:after="0" w:line="225" w:lineRule="exact"/>
              <w:rPr>
                <w:sz w:val="20"/>
                <w:szCs w:val="20"/>
                <w:color w:val="auto"/>
              </w:rPr>
            </w:pPr>
            <w:r>
              <w:rPr>
                <w:rFonts w:ascii="Times New Roman" w:cs="Times New Roman" w:eastAsia="Times New Roman" w:hAnsi="Times New Roman"/>
                <w:sz w:val="18"/>
                <w:szCs w:val="18"/>
                <w:color w:val="auto"/>
              </w:rPr>
              <w:t xml:space="preserve">Restructuring and transaction-related expenses </w:t>
            </w:r>
            <w:r>
              <w:rPr>
                <w:rFonts w:ascii="Times New Roman" w:cs="Times New Roman" w:eastAsia="Times New Roman" w:hAnsi="Times New Roman"/>
                <w:sz w:val="22"/>
                <w:szCs w:val="22"/>
                <w:color w:val="auto"/>
                <w:vertAlign w:val="superscript"/>
              </w:rPr>
              <w:t>(b)</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25"/>
        </w:trPr>
        <w:tc>
          <w:tcPr>
            <w:tcW w:w="6540" w:type="dxa"/>
            <w:vAlign w:val="bottom"/>
          </w:tcPr>
          <w:p>
            <w:pPr>
              <w:ind w:left="120"/>
              <w:spacing w:after="0" w:line="225" w:lineRule="exact"/>
              <w:rPr>
                <w:sz w:val="20"/>
                <w:szCs w:val="20"/>
                <w:color w:val="auto"/>
              </w:rPr>
            </w:pPr>
            <w:r>
              <w:rPr>
                <w:rFonts w:ascii="Times New Roman" w:cs="Times New Roman" w:eastAsia="Times New Roman" w:hAnsi="Times New Roman"/>
                <w:sz w:val="18"/>
                <w:szCs w:val="18"/>
                <w:color w:val="auto"/>
              </w:rPr>
              <w:t xml:space="preserve">Integration costs and acquisition-related expenses </w:t>
            </w:r>
            <w:r>
              <w:rPr>
                <w:rFonts w:ascii="Times New Roman" w:cs="Times New Roman" w:eastAsia="Times New Roman" w:hAnsi="Times New Roman"/>
                <w:sz w:val="22"/>
                <w:szCs w:val="22"/>
                <w:color w:val="auto"/>
                <w:vertAlign w:val="superscript"/>
              </w:rPr>
              <w:t>(c)</w:t>
            </w:r>
          </w:p>
        </w:tc>
        <w:tc>
          <w:tcPr>
            <w:tcW w:w="3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25"/>
        </w:trPr>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 liability remeasurement (benefit) expense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25"/>
        </w:trPr>
        <w:tc>
          <w:tcPr>
            <w:tcW w:w="6540" w:type="dxa"/>
            <w:vAlign w:val="bottom"/>
            <w:tcBorders>
              <w:bottom w:val="single" w:sz="8" w:color="CCEEFF"/>
            </w:tcBorders>
          </w:tcPr>
          <w:p>
            <w:pPr>
              <w:ind w:left="120"/>
              <w:spacing w:after="0" w:line="225" w:lineRule="exact"/>
              <w:rPr>
                <w:sz w:val="20"/>
                <w:szCs w:val="20"/>
                <w:color w:val="auto"/>
              </w:rPr>
            </w:pPr>
            <w:r>
              <w:rPr>
                <w:rFonts w:ascii="Times New Roman" w:cs="Times New Roman" w:eastAsia="Times New Roman" w:hAnsi="Times New Roman"/>
                <w:sz w:val="18"/>
                <w:szCs w:val="18"/>
                <w:color w:val="auto"/>
              </w:rPr>
              <w:t xml:space="preserve">Tax impacts of adjustments to net income (loss) </w:t>
            </w:r>
            <w:r>
              <w:rPr>
                <w:rFonts w:ascii="Times New Roman" w:cs="Times New Roman" w:eastAsia="Times New Roman" w:hAnsi="Times New Roman"/>
                <w:sz w:val="22"/>
                <w:szCs w:val="22"/>
                <w:color w:val="auto"/>
                <w:vertAlign w:val="superscript"/>
              </w:rPr>
              <w:t>(d)</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43"/>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 (Loss) (Non-GAAP)</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4" w:lineRule="exact"/>
        <w:rPr>
          <w:sz w:val="20"/>
          <w:szCs w:val="20"/>
          <w:color w:val="auto"/>
        </w:rPr>
      </w:pPr>
    </w:p>
    <w:p>
      <w:pPr>
        <w:jc w:val="both"/>
        <w:ind w:left="320" w:hanging="314"/>
        <w:spacing w:after="0" w:line="254" w:lineRule="auto"/>
        <w:tabs>
          <w:tab w:leader="none" w:pos="318"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impact of fair value adjustments to acquired unearned revenue relating to services billed by an acquired company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spacing w:after="0" w:line="1" w:lineRule="exact"/>
        <w:rPr>
          <w:rFonts w:ascii="Times New Roman" w:cs="Times New Roman" w:eastAsia="Times New Roman" w:hAnsi="Times New Roman"/>
          <w:sz w:val="14"/>
          <w:szCs w:val="14"/>
          <w:color w:val="auto"/>
        </w:rPr>
      </w:pPr>
    </w:p>
    <w:p>
      <w:pPr>
        <w:jc w:val="both"/>
        <w:ind w:left="320" w:hanging="314"/>
        <w:spacing w:after="0" w:line="251" w:lineRule="auto"/>
        <w:tabs>
          <w:tab w:leader="none" w:pos="31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directly associated with acquisition or disposal activities, including employee severance and termination benefits, contract termination fees and penalties, and other exit or disposal costs. For the year ended December 31, 2023, this expense is primarily related to costs associated with a June 2023 reduction in force, and impairment charges related to the Ra’anana office and other offices. For the year ended December 31, 2022, this expense is primarily related to transition and retention payments related to 2021 and 2022 acquisitions. For the year ended December 31, 2021, this expense related primarily to costs incurred related to 2021 acquisitions and impairment charges related to the Company’s Waltham office relocation.</w:t>
      </w:r>
    </w:p>
    <w:p>
      <w:pPr>
        <w:spacing w:after="0" w:line="2" w:lineRule="exact"/>
        <w:rPr>
          <w:rFonts w:ascii="Times New Roman" w:cs="Times New Roman" w:eastAsia="Times New Roman" w:hAnsi="Times New Roman"/>
          <w:sz w:val="14"/>
          <w:szCs w:val="14"/>
          <w:color w:val="auto"/>
        </w:rPr>
      </w:pPr>
    </w:p>
    <w:p>
      <w:pPr>
        <w:jc w:val="both"/>
        <w:ind w:left="320" w:hanging="314"/>
        <w:spacing w:after="0" w:line="256" w:lineRule="auto"/>
        <w:tabs>
          <w:tab w:leader="none" w:pos="318"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directly associated with integration activities for acquisitions and acquisition-related expenses, which includes transaction bonuses and retention awards. For the year ended December 31, 2022, this expense related to retention awards from the acquisitions of Clickagy, Everstring, and Insent, and professional fees relating to integration projects. For the year ended December 31, 2021, this expense related primarily to retention awards from the acquisitions of Clickagy and Everstring, cash vesting payments from the acquisition of Pre-Acquisition ZI, and professional fees incurred to integrate acquired businesses. Refer to Note 4 - Business Combinations to our audited consolidated financial statements included in Part II, Item 8 of this Form 10-K for additional information. This expense is included in cost of service, sales and marketing expense, research and development expense, and general and administrative expense as follows:</w:t>
      </w:r>
    </w:p>
    <w:p>
      <w:pPr>
        <w:spacing w:after="0" w:line="29"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5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8"/>
        </w:trPr>
        <w:tc>
          <w:tcPr>
            <w:tcW w:w="59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94"/>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6"/>
                <w:szCs w:val="16"/>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4"/>
        </w:trPr>
        <w:tc>
          <w:tcPr>
            <w:tcW w:w="5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2"/>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service</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91"/>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340" w:type="dxa"/>
            <w:vAlign w:val="bottom"/>
          </w:tcPr>
          <w:p>
            <w:pPr>
              <w:spacing w:after="0"/>
              <w:rPr>
                <w:sz w:val="16"/>
                <w:szCs w:val="16"/>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20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92"/>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24"/>
        </w:trPr>
        <w:tc>
          <w:tcPr>
            <w:tcW w:w="5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integration costs and acquisition-related expenses</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ind w:left="320" w:hanging="314"/>
        <w:spacing w:after="0" w:line="271" w:lineRule="auto"/>
        <w:tabs>
          <w:tab w:leader="none" w:pos="31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tax expense associated with GAAP Net income (loss) excluded from Adjusted Net Income (Loss) (Non-GAAP). This includes the tax effects associated with equity compensation, remeasurement of deferred tax assets for the effect of state law changes, and TRA liability remeasurement.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EBITDA is defined as earnings before interest, taxes, depreciation, and amortization. Management further adjusts EBITDA to exclude certain items of a significant or unusual nature, including other (income) expense, net, loss on debt modification and extinguishment, impact of certain non-cash items, such as fair value adjustments to acquired unearned revenue and equity-based compensation, restructuring and transaction-related expenses, and integration costs and acquisition-related compensation. We exclude these items because these are non-cash expenses or non-cash fair value adjustments, which we do not consider indicative of performance and ongoing cash-generation potential or are episodic in nature and have no direct correlation to the cost of operating our business on an ongoing basis. Adjusted EBITDA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EBITDA should not be considered as an alternative to cash flows from operating activities as a measure of liquidity or as an alternative to operating income or net income as indicators of operating performance.</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The following table presents a reconciliation of </w:t>
      </w:r>
      <w:r>
        <w:rPr>
          <w:rFonts w:ascii="Times New Roman" w:cs="Times New Roman" w:eastAsia="Times New Roman" w:hAnsi="Times New Roman"/>
          <w:sz w:val="18"/>
          <w:szCs w:val="18"/>
          <w:i w:val="1"/>
          <w:iCs w:val="1"/>
          <w:color w:val="auto"/>
        </w:rPr>
        <w:t>Net income (loss)</w:t>
      </w:r>
      <w:r>
        <w:rPr>
          <w:rFonts w:ascii="Times New Roman" w:cs="Times New Roman" w:eastAsia="Times New Roman" w:hAnsi="Times New Roman"/>
          <w:sz w:val="18"/>
          <w:szCs w:val="18"/>
          <w:color w:val="auto"/>
        </w:rPr>
        <w:t xml:space="preserve"> to Adjusted EBITDA for the periods presented: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5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6"/>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r>
      <w:tr>
        <w:trPr>
          <w:trHeight w:val="218"/>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unaudited)</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(GAAP)</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r>
      <w:tr>
        <w:trPr>
          <w:trHeight w:val="225"/>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5"/>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25"/>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expense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25"/>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25"/>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25"/>
        </w:trPr>
        <w:tc>
          <w:tcPr>
            <w:tcW w:w="6560" w:type="dxa"/>
            <w:vAlign w:val="bottom"/>
            <w:shd w:val="clear" w:color="auto" w:fill="CCEEFF"/>
          </w:tcPr>
          <w:p>
            <w:pPr>
              <w:ind w:left="120"/>
              <w:spacing w:after="0" w:line="225" w:lineRule="exact"/>
              <w:rPr>
                <w:sz w:val="20"/>
                <w:szCs w:val="20"/>
                <w:color w:val="auto"/>
              </w:rPr>
            </w:pPr>
            <w:r>
              <w:rPr>
                <w:rFonts w:ascii="Times New Roman" w:cs="Times New Roman" w:eastAsia="Times New Roman" w:hAnsi="Times New Roman"/>
                <w:sz w:val="18"/>
                <w:szCs w:val="18"/>
                <w:color w:val="auto"/>
              </w:rPr>
              <w:t xml:space="preserve">Other (income) loss, net </w:t>
            </w:r>
            <w:r>
              <w:rPr>
                <w:rFonts w:ascii="Times New Roman" w:cs="Times New Roman" w:eastAsia="Times New Roman" w:hAnsi="Times New Roman"/>
                <w:sz w:val="22"/>
                <w:szCs w:val="22"/>
                <w:color w:val="auto"/>
                <w:vertAlign w:val="superscript"/>
              </w:rPr>
              <w:t>(a)</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25"/>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debt modification and extinguishment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5"/>
        </w:trPr>
        <w:tc>
          <w:tcPr>
            <w:tcW w:w="6560" w:type="dxa"/>
            <w:vAlign w:val="bottom"/>
            <w:shd w:val="clear" w:color="auto" w:fill="CCEEFF"/>
          </w:tcPr>
          <w:p>
            <w:pPr>
              <w:ind w:left="120"/>
              <w:spacing w:after="0" w:line="225" w:lineRule="exact"/>
              <w:rPr>
                <w:sz w:val="20"/>
                <w:szCs w:val="20"/>
                <w:color w:val="auto"/>
              </w:rPr>
            </w:pPr>
            <w:r>
              <w:rPr>
                <w:rFonts w:ascii="Times New Roman" w:cs="Times New Roman" w:eastAsia="Times New Roman" w:hAnsi="Times New Roman"/>
                <w:sz w:val="18"/>
                <w:szCs w:val="18"/>
                <w:color w:val="auto"/>
              </w:rPr>
              <w:t xml:space="preserve">Impact of fair value adjustments to acquired unearned revenue </w:t>
            </w:r>
            <w:r>
              <w:rPr>
                <w:rFonts w:ascii="Times New Roman" w:cs="Times New Roman" w:eastAsia="Times New Roman" w:hAnsi="Times New Roman"/>
                <w:sz w:val="22"/>
                <w:szCs w:val="22"/>
                <w:color w:val="auto"/>
                <w:vertAlign w:val="superscript"/>
              </w:rPr>
              <w:t>(b)</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5"/>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r>
      <w:tr>
        <w:trPr>
          <w:trHeight w:val="225"/>
        </w:trPr>
        <w:tc>
          <w:tcPr>
            <w:tcW w:w="6560" w:type="dxa"/>
            <w:vAlign w:val="bottom"/>
            <w:shd w:val="clear" w:color="auto" w:fill="CCEEFF"/>
          </w:tcPr>
          <w:p>
            <w:pPr>
              <w:ind w:left="120"/>
              <w:spacing w:after="0" w:line="225" w:lineRule="exact"/>
              <w:rPr>
                <w:sz w:val="20"/>
                <w:szCs w:val="20"/>
                <w:color w:val="auto"/>
              </w:rPr>
            </w:pPr>
            <w:r>
              <w:rPr>
                <w:rFonts w:ascii="Times New Roman" w:cs="Times New Roman" w:eastAsia="Times New Roman" w:hAnsi="Times New Roman"/>
                <w:sz w:val="18"/>
                <w:szCs w:val="18"/>
                <w:color w:val="auto"/>
              </w:rPr>
              <w:t xml:space="preserve">Restructuring and transaction related expenses </w:t>
            </w:r>
            <w:r>
              <w:rPr>
                <w:rFonts w:ascii="Times New Roman" w:cs="Times New Roman" w:eastAsia="Times New Roman" w:hAnsi="Times New Roman"/>
                <w:sz w:val="22"/>
                <w:szCs w:val="22"/>
                <w:color w:val="auto"/>
                <w:vertAlign w:val="superscript"/>
              </w:rPr>
              <w:t>(c)</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25"/>
        </w:trPr>
        <w:tc>
          <w:tcPr>
            <w:tcW w:w="6560" w:type="dxa"/>
            <w:vAlign w:val="bottom"/>
          </w:tcPr>
          <w:p>
            <w:pPr>
              <w:ind w:left="120"/>
              <w:spacing w:after="0" w:line="225" w:lineRule="exact"/>
              <w:rPr>
                <w:sz w:val="20"/>
                <w:szCs w:val="20"/>
                <w:color w:val="auto"/>
              </w:rPr>
            </w:pPr>
            <w:r>
              <w:rPr>
                <w:rFonts w:ascii="Times New Roman" w:cs="Times New Roman" w:eastAsia="Times New Roman" w:hAnsi="Times New Roman"/>
                <w:sz w:val="18"/>
                <w:szCs w:val="18"/>
                <w:color w:val="auto"/>
              </w:rPr>
              <w:t xml:space="preserve">Integration costs and acquisition-related expenses </w:t>
            </w:r>
            <w:r>
              <w:rPr>
                <w:rFonts w:ascii="Times New Roman" w:cs="Times New Roman" w:eastAsia="Times New Roman" w:hAnsi="Times New Roman"/>
                <w:sz w:val="22"/>
                <w:szCs w:val="22"/>
                <w:color w:val="auto"/>
                <w:vertAlign w:val="superscript"/>
              </w:rPr>
              <w:t>(d)</w:t>
            </w:r>
          </w:p>
        </w:tc>
        <w:tc>
          <w:tcPr>
            <w:tcW w:w="3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44"/>
        </w:trPr>
        <w:tc>
          <w:tcPr>
            <w:tcW w:w="6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(Non-GAAP)</w:t>
            </w:r>
          </w:p>
        </w:tc>
        <w:tc>
          <w:tcPr>
            <w:tcW w:w="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4" w:lineRule="exact"/>
        <w:rPr>
          <w:sz w:val="20"/>
          <w:szCs w:val="20"/>
          <w:color w:val="auto"/>
        </w:rPr>
      </w:pPr>
    </w:p>
    <w:p>
      <w:pPr>
        <w:ind w:left="320" w:hanging="314"/>
        <w:spacing w:after="0"/>
        <w:tabs>
          <w:tab w:leader="none" w:pos="3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revaluations on tax receivable agreement liability and foreign exchange remeasurement gains and losses.</w:t>
      </w:r>
    </w:p>
    <w:p>
      <w:pPr>
        <w:spacing w:after="0" w:line="6" w:lineRule="exact"/>
        <w:rPr>
          <w:rFonts w:ascii="Times New Roman" w:cs="Times New Roman" w:eastAsia="Times New Roman" w:hAnsi="Times New Roman"/>
          <w:sz w:val="14"/>
          <w:szCs w:val="14"/>
          <w:color w:val="auto"/>
        </w:rPr>
      </w:pPr>
    </w:p>
    <w:p>
      <w:pPr>
        <w:jc w:val="both"/>
        <w:ind w:left="320" w:hanging="314"/>
        <w:spacing w:after="0" w:line="256" w:lineRule="auto"/>
        <w:tabs>
          <w:tab w:leader="none" w:pos="31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impact of fair value adjustments to acquired unearned revenue relating to services billed by an acquired company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spacing w:after="0" w:line="1" w:lineRule="exact"/>
        <w:rPr>
          <w:rFonts w:ascii="Times New Roman" w:cs="Times New Roman" w:eastAsia="Times New Roman" w:hAnsi="Times New Roman"/>
          <w:sz w:val="14"/>
          <w:szCs w:val="14"/>
          <w:color w:val="auto"/>
        </w:rPr>
      </w:pPr>
    </w:p>
    <w:p>
      <w:pPr>
        <w:jc w:val="both"/>
        <w:ind w:left="320" w:hanging="314"/>
        <w:spacing w:after="0" w:line="255" w:lineRule="auto"/>
        <w:tabs>
          <w:tab w:leader="none" w:pos="318"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directly associated with acquisition or disposal activities, including employee severance and termination benefits, contract termination fees and penalties, and other exit or disposal costs. For the year ended December 31, 2023, this expense is primarily related to costs associated with a June 2023 reduction in force, and impairment charges related to the Ra’anana office and other offices. For the year ended December 31, 2022, this expense is primarily related to transition and retention payments related to 2021 and 2022 acquisitions. For the year ended December 31, 2021, this expense related primarily to costs incurred related to 2021 acquisitions and impairment charges related to the Company’s Waltham office relocation.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320" w:hanging="314"/>
        <w:spacing w:after="0" w:line="260" w:lineRule="auto"/>
        <w:tabs>
          <w:tab w:leader="none" w:pos="31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directly associated with integration activities for acquisitions and acquisition-related expenses, which includes transaction bonuses and retention awards. For the year ended December 31, 2022, this expense related to retention awards from the acquisitions of Clickagy, Everstring, and Insent, and professional fees relating to integration projects.For the year ended December 31, 2021, this expense related primarily to retention awards from the acquisitions of Clickagy and Everstring, cash vesting payments from the acquisition of Pre-Acquisition ZI, and professional fees incurred to integrate acquired businesses. Refer to Note 4 - Business Combinations to our audited consolidated financial statements included in Part II, Item 8 of this Form 10-K for additional information. This expense is included in cost of service, sales and marketing expense, research and development expense, and general and administrative expense as follows:</w:t>
      </w:r>
    </w:p>
    <w:p>
      <w:pPr>
        <w:spacing w:after="0" w:line="27"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5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8"/>
        </w:trPr>
        <w:tc>
          <w:tcPr>
            <w:tcW w:w="57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94"/>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Pr>
          <w:p>
            <w:pPr>
              <w:spacing w:after="0"/>
              <w:rPr>
                <w:sz w:val="16"/>
                <w:szCs w:val="16"/>
                <w:color w:val="auto"/>
              </w:rPr>
            </w:pPr>
          </w:p>
        </w:tc>
        <w:tc>
          <w:tcPr>
            <w:tcW w:w="11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4"/>
        </w:trPr>
        <w:tc>
          <w:tcPr>
            <w:tcW w:w="5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2"/>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service</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91"/>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360" w:type="dxa"/>
            <w:vAlign w:val="bottom"/>
          </w:tcPr>
          <w:p>
            <w:pPr>
              <w:spacing w:after="0"/>
              <w:rPr>
                <w:sz w:val="16"/>
                <w:szCs w:val="16"/>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20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92"/>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24"/>
        </w:trPr>
        <w:tc>
          <w:tcPr>
            <w:tcW w:w="5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integration costs and acquisition-related expenses</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Adjusted EBITDA for the year ended December 31, 2023 was $518.2 million, an increase of $52.8 million, or 11%, relative to the year ended December 31, 2022. This growth was driven primarily from the growth in revenue that resulted from additional customers in 2023 and 2022, partially offset by increased operating expenses related to selling and supporting those customers, as well as increases in research and development investments, and accruals for bad debt.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December 31, 2023, we had $447.1 million of cash and cash equivalents, $82.2 million of short-term investments, and $250.0 million available under our first lien revolving credit facility. We have financed our operations primarily through cash generated from operations and financed various acquisitions through cash generated from operations supplemented with debt offerings.</w:t>
      </w:r>
    </w:p>
    <w:p>
      <w:pPr>
        <w:spacing w:after="0" w:line="125"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We believe that our cash flows from operations and existing available cash and cash equivalents, together with our other available external financing sources, will be adequate to fund our operating and capital needs for at least the next 12 months and for the foreseeable future. We are currently in compliance with the covenants under the credit agreements governing our secured credit facilities, and we expect to remain in compliance with our covenants.</w:t>
      </w:r>
    </w:p>
    <w:p>
      <w:pPr>
        <w:spacing w:after="0" w:line="10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generally invoice our subscription customers annually, semi-annually, or quarterly in advance of our subscription services. Therefore, a substantial source of our cash is from such prepayments, which are included on our Consolidated Balance Sheets as unearned revenue. Unearned revenue consists of billed fees for our subscriptions, prior to satisfying the criteria for revenue recognition, which are subsequently recognized as revenue in accordance with our revenue recognition policy. As of December 31, 2023, we had unearned revenue of $441.9 million, of which $439.6 million was recorded as a current liability and is expected to be recorded as revenue in the next 12 months, provided all other revenue recognition criteria have been met.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After the consummation of the Reorganization Transactions, ZoomInfo Intermediate Inc. (formerly known as ZoomInfo Technologies Inc.) became a holding company with no material assets other than its ownership of HoldCo Units, and ZoomInfo HoldCo became a holding company with no material assets other than its ownership of ZoomInfo OpCo Units. During the quarter ended September 30, 2021, ZoomInfo HoldCo was merged with and into ZoomInfo Intermediate Inc. During the quarter ended December 31, 2021, ZoomInfo Intermediate Inc. became a wholly owned subsidiary of ZoomInfo Technologies Inc. ZoomInfo Technologies Inc. and ZoomInfo Intermediate Inc. have no independent means of generating revenue. In the event ZoomInfo Technologies Inc. declares any cash dividend, we expect that ZoomInfo Technologies Inc. to cause ZoomInfo MidCo LLC to make distributions to ZoomInfo Technologies Inc. in part through distributions to ZoomInfo Intermediate Inc. and ZoomInfo OpCo, in an amount sufficient to cover such cash dividends declared by us. Deterioration in the financial condition, earnings, or cash flow of ZoomInfo MidCo LLC and its subsidiaries for any reason could limit or impair their ability to pay such distributions. In addition, the terms of our financing arrangements contain covenants that may restrict ZoomInfo MidCo LLC and its subsidiaries from paying such distributions, subject to certain exceptions. Further, ZoomInfo MidCo LLC is generally prohibited under Delaware law from making a distribution to a member to the extent that, at the time of the distribution, after giving effect to the distribution, liabilities of ZoomInfo MidCo LLC (with certain exceptions), as applicable, exceed the fair value of its assets. Subsidiaries of ZoomInfo MidCo LLC are generally subject to similar legal limitations on their ability to make distributions to ZoomInfo MidCo LLC. See “Risk Factors - Organizational Structure Risk Factors” in Part I, Item 1A of this Annual Report on Form 10-K.</w:t>
      </w:r>
    </w:p>
    <w:p>
      <w:pPr>
        <w:spacing w:after="0" w:line="14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cash flows from operations, borrowing availability, and overall liquidity are subject to risks and uncertainties. We may not be able to obtain additional liquidity on reasonable terms, or at all. In addition, our liquidity and our ability to meet our obligations and to fund our capital requirements are dependent on our future financial performance, which is subject to general economic, financial, and other factors that are beyond our control. Accordingly, our business may not generate sufficient cash flow from operations and future borrowings may not be available from additional indebtedness or otherwise to meet our liquidity needs. If we decide to pursue one or more significant acquisitions, we may incur additional debt or sell additional equity to finance such acquisitions, which would result in additional expenses or dilution. See “Risk Factors” in Part I, Item 1A of this Annual Report on Form 10-K.</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 Cash Flows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80" w:type="dxa"/>
            <w:vAlign w:val="bottom"/>
            <w:gridSpan w:val="6"/>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60" w:type="dxa"/>
            <w:vAlign w:val="bottom"/>
          </w:tcPr>
          <w:p>
            <w:pPr>
              <w:spacing w:after="0"/>
              <w:rPr>
                <w:sz w:val="20"/>
                <w:szCs w:val="20"/>
                <w:color w:val="auto"/>
              </w:rPr>
            </w:pPr>
          </w:p>
        </w:tc>
      </w:tr>
      <w:tr>
        <w:trPr>
          <w:trHeight w:val="25"/>
        </w:trPr>
        <w:tc>
          <w:tcPr>
            <w:tcW w:w="6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4"/>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20"/>
                <w:szCs w:val="20"/>
                <w:color w:val="auto"/>
              </w:rPr>
            </w:pPr>
          </w:p>
        </w:tc>
        <w:tc>
          <w:tcPr>
            <w:tcW w:w="112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4"/>
        </w:trPr>
        <w:tc>
          <w:tcPr>
            <w:tcW w:w="6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8"/>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w:t>
            </w:r>
          </w:p>
        </w:tc>
      </w:tr>
      <w:tr>
        <w:trPr>
          <w:trHeight w:val="225"/>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(695.8)</w:t>
            </w:r>
          </w:p>
        </w:tc>
      </w:tr>
      <w:tr>
        <w:trPr>
          <w:trHeight w:val="225"/>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w:t>
            </w:r>
          </w:p>
        </w:tc>
      </w:tr>
      <w:tr>
        <w:trPr>
          <w:trHeight w:val="218"/>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0"/>
        </w:trPr>
        <w:tc>
          <w:tcPr>
            <w:tcW w:w="6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6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Net cash provided by operating activities was $434.9 million for the year ended December 31, 2023 as a result of net income of $107.3 million and non-cash adjustments of $485.2 million, partially offset by the net change in our operating assets and liabilities of $157.6 million. The non-cash adjustments are primarily comprised of deferred tax assets net of deferred tax liabilities of $276.7 million, equity-based compensation of $167.6 million, depreciation and amortization of $80.6 million, and amortization of deferred commission costs of $75.3 million, partially offset by tax receivable agreement remeasurement of $160.7 million. The net change in operating assets and liabilities was primarily the result of an increase in accounts receivable of $82.8 million, an increase in deferred costs and other assets of $78.2 million, and a decrease in accrued expenses and other liabilities of $11.2 million. partially offset by an increase in unearned revenue of $22.0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Net cash provided by operating activities was $417.0 million for the year ended December 31, 2022 as a result of net income of $63.2 million, adjusted by non-cash charges of $412.6 million and the change in our operating assets net of operating liabilities of $58.8 million. The non-cash charges are primarily comprised of equity-based compensation of $192.3 million, a decrease in deferred tax assets net of deferred tax liabilities of $123.3 million, depreciation and amortization of $87.8 million, and amortization of deferred commission costs of $65.9 million, partially offset by tax receivable agreement remeasurement of $65.6 million. The change in operating assets net of operating liabilities was primarily the result of an increase in deferred costs and other assets of $81.9 million, an increase in accounts receivable of $39.3 million, and an increase in prepaid expenses and other assets of $8.0 million, partially offset by an increase in unearned revenue of $48.8 million, an increase in accounts payable of $19.5 million, and an increase in accrued expenses and other liabilities of $2.8 million.</w:t>
      </w:r>
    </w:p>
    <w:p>
      <w:pPr>
        <w:spacing w:after="0" w:line="13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may continue to make future acquisitions as part of our business strategy which may require the use of capital resources and drive additional future restructuring and transaction-related cash expenditures as well as integration and acquisition-related compensation cash costs. During the years ended December 31, 2023 2022, and 2021 we incurred the following cash expenditures: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3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6"/>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18"/>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interest expense</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25"/>
        </w:trPr>
        <w:tc>
          <w:tcPr>
            <w:tcW w:w="636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Restructuring and transaction-related expenses paid in cash</w:t>
            </w:r>
            <w:r>
              <w:rPr>
                <w:rFonts w:ascii="Times New Roman" w:cs="Times New Roman" w:eastAsia="Times New Roman" w:hAnsi="Times New Roman"/>
                <w:sz w:val="22"/>
                <w:szCs w:val="22"/>
                <w:color w:val="auto"/>
                <w:vertAlign w:val="superscript"/>
              </w:rPr>
              <w:t>(a)</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25"/>
        </w:trPr>
        <w:tc>
          <w:tcPr>
            <w:tcW w:w="636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Integration costs and acquisition-related expenses paid in cash</w:t>
            </w:r>
            <w:r>
              <w:rPr>
                <w:rFonts w:ascii="Times New Roman" w:cs="Times New Roman" w:eastAsia="Times New Roman" w:hAnsi="Times New Roman"/>
                <w:sz w:val="22"/>
                <w:szCs w:val="22"/>
                <w:color w:val="auto"/>
                <w:vertAlign w:val="superscript"/>
              </w:rPr>
              <w:t>(b)</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4" w:lineRule="exact"/>
        <w:rPr>
          <w:sz w:val="20"/>
          <w:szCs w:val="20"/>
          <w:color w:val="auto"/>
        </w:rPr>
      </w:pPr>
    </w:p>
    <w:p>
      <w:pPr>
        <w:jc w:val="both"/>
        <w:ind w:left="320" w:hanging="314"/>
        <w:spacing w:after="0" w:line="252" w:lineRule="auto"/>
        <w:tabs>
          <w:tab w:leader="none" w:pos="318"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cash payments directly associated with acquisition or disposal activities, including employee severance and termination benefits, contract termination fees and penalties, and other exit or disposal costs. For the year ended December 31, 2023, these payments related primarily to a June 2023 reduction in force, legal costs paid related to 2021 and 2022 acquisitions, and Waltham sublease costs. For the year ended December 31, 2022, these payments related primarily to transition bonuses paid related to 2021 and 2022 acquisitions offset by payment received for the Waltham sublease termination. For the year ended December 31, 2021, these payments related primarily to transaction costs related to 2021 acquisitions and tax payments related to entity conversions.</w:t>
      </w:r>
    </w:p>
    <w:p>
      <w:pPr>
        <w:spacing w:after="0" w:line="2" w:lineRule="exact"/>
        <w:rPr>
          <w:rFonts w:ascii="Times New Roman" w:cs="Times New Roman" w:eastAsia="Times New Roman" w:hAnsi="Times New Roman"/>
          <w:sz w:val="14"/>
          <w:szCs w:val="14"/>
          <w:color w:val="auto"/>
        </w:rPr>
      </w:pPr>
    </w:p>
    <w:p>
      <w:pPr>
        <w:jc w:val="both"/>
        <w:ind w:left="320" w:hanging="314"/>
        <w:spacing w:after="0" w:line="259" w:lineRule="auto"/>
        <w:tabs>
          <w:tab w:leader="none" w:pos="31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cash payments directly associated with integration activities for acquisitions and acquisition-related compensation, which includes transaction bonuses and retention awards. For the year ended December 31, 2023, these payments related to deferred compensation from the acquisition of Insent. For the year ended December 31, 2022, these payments related to retention awards from the acquisitions of Clickagy, Everstring, and Insent, and professional fees relating to integration projects. For the year ended December 31, 2021, these payments related primarily to retention awards from the acquisitions of Clickagy and Everstring, cash vesting payments from the acquisition of Pre-Acquisition ZI, as well as professional fees related to 2021 acquisitions. Refer to Note 4 - Business Combinations – Business Combinations to our audited consolidated financial statements included in Part II, Item 8 of this Form 10-K).</w:t>
      </w:r>
    </w:p>
    <w:p>
      <w:pPr>
        <w:spacing w:after="0" w:line="12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Future demands on our capital resources associated with our debt facilities may also be impacted by changes in reference interest rates and the potential that we incur additional debt in order to fund additional acquisitions or for other corporate purposes. Future demands on our capital resources associated with transaction expenses and restructuring activities and integration costs and transaction-related compensation will be dependent on the frequency and magnitude of future acquisitions and restructuring and integration activities that we pursue. As part of our business strategy, we expect to continue to pursue acquisitions of, or investments in, complementary businesses from time to time; however, we cannot predict the magnitude or frequency of such acquisitions or investments.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Net cash provided by investing activities for the year ended December 31, 2023 was $24.4 million, consisting of maturities of short-term investments of $194.5 million, partially offset by purchases of short-term investments of $145.0 million and purchases of property and equipment and other assets of $26.5 million.</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2022 was $281.1 million, consisting of cash paid for acquisitions of $143.7 million, purchases of short-term investments of $139.3 million, and purchases of property and equipment and other assets of $28.9 million, partially offset by maturities of short-term investments of $30.8 million.</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we continue to grow and invest in our business, we expect to continue to invest in property and equipment and opportunistically pursue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2023 was $427.2 million which was primarily comprised of payments relating to the repurchase of common stock of $400.1 million and payment of taxes related to net share settlement of equity awards of $24.5 million, partially offset by proceeds from issuance of common stock under the employee stock purchase plan of $7.2 million.</w:t>
      </w:r>
    </w:p>
    <w:p>
      <w:pPr>
        <w:spacing w:after="0" w:line="12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2022 was $25.9 million primarily comprised of taxes paid related to net share settlement of equity awards of $17.4 million, payments related to our tax receivable agreements of $12.2 million, payments of deferred consideration of $1.1 million, and payments of issuance fees from prior transactions of $0.7 million, partially offset by proceeds from issuance of common stock under the employee purchase plan of $4.2 million, and proceeds from exercise of stock options of $1.3 million.</w:t>
      </w:r>
    </w:p>
    <w:p>
      <w:pPr>
        <w:spacing w:after="0" w:line="12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Refer to Note 8 - Financing Arrangements of our audited consolidated financial statements included in Part II, Item 8 of this Form 10-K for additional information related to each of our borrowings.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Obligations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As of December 31, 2023, the aggregate remaining balance of $650.0 million of 3.875% Senior Notes is due, in its entirety, at the contractual maturity date of February 1, 2029. Interest on the Senior Notes is payable semi-annually in arrears beginning on August 1, 2021. As of December 31, 2023, the Company has a remaining balance of $594.0 million with respect to its first lien term loans. The Company is obligated to make principal payments each quarter in the amount of 0.25% of the aggregate initial outstanding amount, with the remaining balance due at the contractual maturity date of February 28, 2030. The foregoing currently represent the only existing required future debt principal repayment obligations that will require future uses of the Company’s cash.</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first lien term debt has a variable interest rate whereby the Company can elect to use a Base Rate or SOFR plus an applicable rate. The applicable rate is 1.25% for Base Rate loans or 2.25% for SOFR loans. The effective interest rate on the first lien debt was 7.83% and 7.38% as of December 31, 2023 and December 31, 2022, respectively.</w:t>
      </w:r>
    </w:p>
    <w:p>
      <w:pPr>
        <w:spacing w:after="0" w:line="125"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The first lien revolving credit facility, which had no amount outstanding as of December 31, 2023, has a variable interest rate whereby the Company can elect to use a Base Rate or SOFR plus an applicable rate. The applicable margin is 1.00% to 1.25% for Base Rate loans. The applicable margin for SOFR loans is 2.10% to 2.35%, which includes the credit spread adjustment of 0.1%, depending on the Company’s Consolidated First Lien Net Leverage Ratio.</w:t>
      </w:r>
    </w:p>
    <w:p>
      <w:pPr>
        <w:spacing w:after="0" w:line="10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total net leverage ratio to Adjusted EBITDA is defined as total contractual maturity of outstanding indebtedness less cash and cash equivalents, restricted cash, and short-term investments, divided by trailing twelve months Adjusted EBITDA. Adjusted EBITDA for the 12 months ended December 31, 2023 was $518.2 million. Our total net leverage ratio to Adjusted EBITDA as of December 31, 2023 was 1.4x.</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leverage ratios)</w:t>
            </w:r>
          </w:p>
        </w:tc>
        <w:tc>
          <w:tcPr>
            <w:tcW w:w="118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4"/>
        </w:trPr>
        <w:tc>
          <w:tcPr>
            <w:tcW w:w="8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5"/>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contractual maturity of outstanding indebtedness</w:t>
            </w:r>
          </w:p>
        </w:tc>
        <w:tc>
          <w:tcPr>
            <w:tcW w:w="118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1,244.0</w:t>
            </w:r>
          </w:p>
        </w:tc>
      </w:tr>
      <w:tr>
        <w:trPr>
          <w:trHeight w:val="225"/>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 restricted cash, and short-term investments</w:t>
            </w:r>
          </w:p>
        </w:tc>
        <w:tc>
          <w:tcPr>
            <w:tcW w:w="1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538.4</w:t>
            </w:r>
          </w:p>
        </w:tc>
      </w:tr>
      <w:tr>
        <w:trPr>
          <w:trHeight w:val="218"/>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Debt</w:t>
            </w:r>
          </w:p>
        </w:tc>
        <w:tc>
          <w:tcPr>
            <w:tcW w:w="1180" w:type="dxa"/>
            <w:vAlign w:val="bottom"/>
            <w:tcBorders>
              <w:bottom w:val="single" w:sz="8" w:color="auto"/>
            </w:tcBorders>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705.6</w:t>
            </w:r>
          </w:p>
        </w:tc>
      </w:tr>
      <w:tr>
        <w:trPr>
          <w:trHeight w:val="219"/>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Trailing Twelve Months (TTM) Adjusted EBITDA</w:t>
            </w:r>
          </w:p>
        </w:tc>
        <w:tc>
          <w:tcPr>
            <w:tcW w:w="1180" w:type="dxa"/>
            <w:vAlign w:val="bottom"/>
            <w:tcBorders>
              <w:bottom w:val="single" w:sz="8" w:color="auto"/>
            </w:tcBorders>
          </w:tcPr>
          <w:p>
            <w:pPr>
              <w:jc w:val="right"/>
              <w:ind w:right="97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518.2</w:t>
            </w:r>
          </w:p>
        </w:tc>
      </w:tr>
      <w:tr>
        <w:trPr>
          <w:trHeight w:val="243"/>
        </w:trPr>
        <w:tc>
          <w:tcPr>
            <w:tcW w:w="8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net leverage ratio to Adjusted EBITDA</w:t>
            </w:r>
          </w:p>
        </w:tc>
        <w:tc>
          <w:tcPr>
            <w:tcW w:w="118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1.4x</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consolidated first lien net leverage ratio is defined in the agreement governing our existing first lien credit facilities (the “First Lien Credit Agreement”) as total contractual maturity of outstanding First Lien indebtedness less cash and cash equivalents and short-term investments, divided by trailing twelve months Cash EBITDA (defined as Consolidated EBITDA in our Credit Agreements). Cash EBITDA differs from Adjusted EBITDA due to certain defined add-backs, including cash generated from changes in unearned revenue; see table below for reconciliation. Cash EBITDA for the 12 months ended December 31, 2023 was $542.3 million. Our consolidated first lien net leverage ratio as of December 31, 2023 was 0.1x.</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leverage ratios)</w:t>
            </w:r>
          </w:p>
        </w:tc>
        <w:tc>
          <w:tcPr>
            <w:tcW w:w="124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4"/>
        </w:trPr>
        <w:tc>
          <w:tcPr>
            <w:tcW w:w="8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5"/>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contractual maturity of First Lien indebtedness</w:t>
            </w:r>
          </w:p>
        </w:tc>
        <w:tc>
          <w:tcPr>
            <w:tcW w:w="1240" w:type="dxa"/>
            <w:vAlign w:val="bottom"/>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594.0</w:t>
            </w:r>
          </w:p>
        </w:tc>
      </w:tr>
      <w:tr>
        <w:trPr>
          <w:trHeight w:val="225"/>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 and short-term investments</w:t>
            </w:r>
          </w:p>
        </w:tc>
        <w:tc>
          <w:tcPr>
            <w:tcW w:w="1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529.3</w:t>
            </w:r>
          </w:p>
        </w:tc>
      </w:tr>
      <w:tr>
        <w:trPr>
          <w:trHeight w:val="219"/>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Debt</w:t>
            </w:r>
          </w:p>
        </w:tc>
        <w:tc>
          <w:tcPr>
            <w:tcW w:w="1240" w:type="dxa"/>
            <w:vAlign w:val="bottom"/>
            <w:tcBorders>
              <w:bottom w:val="single" w:sz="8" w:color="auto"/>
            </w:tcBorders>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r>
      <w:tr>
        <w:trPr>
          <w:trHeight w:val="218"/>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Trailing Twelve Months (TTM) Cash EBITDA</w:t>
            </w:r>
          </w:p>
        </w:tc>
        <w:tc>
          <w:tcPr>
            <w:tcW w:w="1240" w:type="dxa"/>
            <w:vAlign w:val="bottom"/>
            <w:tcBorders>
              <w:bottom w:val="single" w:sz="8" w:color="auto"/>
            </w:tcBorders>
          </w:tcPr>
          <w:p>
            <w:pPr>
              <w:jc w:val="right"/>
              <w:ind w:right="103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542.3</w:t>
            </w:r>
          </w:p>
        </w:tc>
      </w:tr>
      <w:tr>
        <w:trPr>
          <w:trHeight w:val="243"/>
        </w:trPr>
        <w:tc>
          <w:tcPr>
            <w:tcW w:w="8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Consolidated first lien net leverage ratio</w:t>
            </w:r>
          </w:p>
        </w:tc>
        <w:tc>
          <w:tcPr>
            <w:tcW w:w="124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0.1x</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Our total net leverage ratio to Cash EBITDA (defined as Consolidated EBITDA in our Credit Agreements) is defined as total contractual maturity of outstanding indebtedness less cash and cash equivalents, restricted cash, and short-term investments, divided by trailing twelve months Cash EBITDA. Cash EBITDA for the 12 months ended December 31, 2023 was $542.3 million. Our total net leverage ratio to Cash EBITDA as of December 31, 2023 was 1.3x.</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leverage ratios)</w:t>
            </w:r>
          </w:p>
        </w:tc>
        <w:tc>
          <w:tcPr>
            <w:tcW w:w="220" w:type="dxa"/>
            <w:vAlign w:val="bottom"/>
          </w:tcPr>
          <w:p>
            <w:pPr>
              <w:spacing w:after="0"/>
              <w:rPr>
                <w:sz w:val="16"/>
                <w:szCs w:val="16"/>
                <w:color w:val="auto"/>
              </w:rPr>
            </w:pPr>
          </w:p>
        </w:tc>
        <w:tc>
          <w:tcPr>
            <w:tcW w:w="2620" w:type="dxa"/>
            <w:vAlign w:val="bottom"/>
          </w:tcPr>
          <w:p>
            <w:pPr>
              <w:spacing w:after="0"/>
              <w:rPr>
                <w:sz w:val="16"/>
                <w:szCs w:val="16"/>
                <w:color w:val="auto"/>
              </w:rPr>
            </w:pPr>
          </w:p>
        </w:tc>
      </w:tr>
      <w:tr>
        <w:trPr>
          <w:trHeight w:val="24"/>
        </w:trPr>
        <w:tc>
          <w:tcPr>
            <w:tcW w:w="8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25"/>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contractual maturity of outstanding indebtedness</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1,244.0</w:t>
            </w:r>
          </w:p>
        </w:tc>
      </w:tr>
      <w:tr>
        <w:trPr>
          <w:trHeight w:val="225"/>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 restricted cash, and short-term investments</w:t>
            </w:r>
          </w:p>
        </w:tc>
        <w:tc>
          <w:tcPr>
            <w:tcW w:w="2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538.4</w:t>
            </w:r>
          </w:p>
        </w:tc>
      </w:tr>
      <w:tr>
        <w:trPr>
          <w:trHeight w:val="219"/>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Debt</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705.6</w:t>
            </w:r>
          </w:p>
        </w:tc>
      </w:tr>
      <w:tr>
        <w:trPr>
          <w:trHeight w:val="218"/>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Trailing Twelve Months (TTM) Cash EBITDA</w:t>
            </w: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542.3</w:t>
            </w:r>
          </w:p>
        </w:tc>
      </w:tr>
      <w:tr>
        <w:trPr>
          <w:trHeight w:val="243"/>
        </w:trPr>
        <w:tc>
          <w:tcPr>
            <w:tcW w:w="8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net leverage ratio to Cash EBITDA</w:t>
            </w:r>
          </w:p>
        </w:tc>
        <w:tc>
          <w:tcPr>
            <w:tcW w:w="220" w:type="dxa"/>
            <w:vAlign w:val="bottom"/>
            <w:tcBorders>
              <w:bottom w:val="single" w:sz="8" w:color="auto"/>
            </w:tcBorders>
            <w:shd w:val="clear" w:color="auto" w:fill="CCEEFF"/>
          </w:tcPr>
          <w:p>
            <w:pPr>
              <w:spacing w:after="0"/>
              <w:rPr>
                <w:sz w:val="20"/>
                <w:szCs w:val="20"/>
                <w:color w:val="auto"/>
              </w:rPr>
            </w:pPr>
          </w:p>
        </w:tc>
        <w:tc>
          <w:tcPr>
            <w:tcW w:w="2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1.3x</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620" w:type="dxa"/>
            <w:vAlign w:val="bottom"/>
            <w:tcBorders>
              <w:top w:val="single" w:sz="8" w:color="CCEEFF"/>
              <w:bottom w:val="single" w:sz="8" w:color="auto"/>
            </w:tcBorders>
          </w:tcPr>
          <w:p>
            <w:pPr>
              <w:spacing w:after="0" w:line="20" w:lineRule="exact"/>
              <w:rPr>
                <w:sz w:val="1"/>
                <w:szCs w:val="1"/>
                <w:color w:val="auto"/>
              </w:rPr>
            </w:pPr>
          </w:p>
        </w:tc>
      </w:tr>
      <w:tr>
        <w:trPr>
          <w:trHeight w:val="456"/>
        </w:trPr>
        <w:tc>
          <w:tcPr>
            <w:tcW w:w="8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Trailing Twelve Months as of</w:t>
            </w:r>
          </w:p>
        </w:tc>
      </w:tr>
      <w:tr>
        <w:trPr>
          <w:trHeight w:val="232"/>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(GAAP)</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r>
      <w:tr>
        <w:trPr>
          <w:trHeight w:val="225"/>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20" w:type="dxa"/>
            <w:vAlign w:val="bottom"/>
          </w:tcPr>
          <w:p>
            <w:pPr>
              <w:spacing w:after="0"/>
              <w:rPr>
                <w:sz w:val="19"/>
                <w:szCs w:val="19"/>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w:t>
            </w:r>
          </w:p>
        </w:tc>
      </w:tr>
      <w:tr>
        <w:trPr>
          <w:trHeight w:val="225"/>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shd w:val="clear" w:color="auto" w:fill="CCEEFF"/>
          </w:tcPr>
          <w:p>
            <w:pPr>
              <w:spacing w:after="0"/>
              <w:rPr>
                <w:sz w:val="19"/>
                <w:szCs w:val="19"/>
                <w:color w:val="auto"/>
              </w:rPr>
            </w:pP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225"/>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expense</w:t>
            </w:r>
          </w:p>
        </w:tc>
        <w:tc>
          <w:tcPr>
            <w:tcW w:w="220" w:type="dxa"/>
            <w:vAlign w:val="bottom"/>
          </w:tcPr>
          <w:p>
            <w:pPr>
              <w:spacing w:after="0"/>
              <w:rPr>
                <w:sz w:val="19"/>
                <w:szCs w:val="19"/>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25"/>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220" w:type="dxa"/>
            <w:vAlign w:val="bottom"/>
            <w:shd w:val="clear" w:color="auto" w:fill="CCEEFF"/>
          </w:tcPr>
          <w:p>
            <w:pPr>
              <w:spacing w:after="0"/>
              <w:rPr>
                <w:sz w:val="19"/>
                <w:szCs w:val="19"/>
                <w:color w:val="auto"/>
              </w:rPr>
            </w:pP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25"/>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220" w:type="dxa"/>
            <w:vAlign w:val="bottom"/>
          </w:tcPr>
          <w:p>
            <w:pPr>
              <w:spacing w:after="0"/>
              <w:rPr>
                <w:sz w:val="19"/>
                <w:szCs w:val="19"/>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25"/>
        </w:trPr>
        <w:tc>
          <w:tcPr>
            <w:tcW w:w="8400" w:type="dxa"/>
            <w:vAlign w:val="bottom"/>
            <w:shd w:val="clear" w:color="auto" w:fill="CCEEFF"/>
          </w:tcPr>
          <w:p>
            <w:pPr>
              <w:ind w:left="120"/>
              <w:spacing w:after="0" w:line="225" w:lineRule="exact"/>
              <w:rPr>
                <w:sz w:val="20"/>
                <w:szCs w:val="20"/>
                <w:color w:val="auto"/>
              </w:rPr>
            </w:pPr>
            <w:r>
              <w:rPr>
                <w:rFonts w:ascii="Times New Roman" w:cs="Times New Roman" w:eastAsia="Times New Roman" w:hAnsi="Times New Roman"/>
                <w:sz w:val="18"/>
                <w:szCs w:val="18"/>
                <w:color w:val="auto"/>
              </w:rPr>
              <w:t xml:space="preserve">Other (income) loss, net </w:t>
            </w:r>
            <w:r>
              <w:rPr>
                <w:rFonts w:ascii="Times New Roman" w:cs="Times New Roman" w:eastAsia="Times New Roman" w:hAnsi="Times New Roman"/>
                <w:sz w:val="22"/>
                <w:szCs w:val="22"/>
                <w:color w:val="auto"/>
                <w:vertAlign w:val="superscript"/>
              </w:rPr>
              <w:t>(a)</w:t>
            </w:r>
          </w:p>
        </w:tc>
        <w:tc>
          <w:tcPr>
            <w:tcW w:w="220" w:type="dxa"/>
            <w:vAlign w:val="bottom"/>
            <w:shd w:val="clear" w:color="auto" w:fill="CCEEFF"/>
          </w:tcPr>
          <w:p>
            <w:pPr>
              <w:spacing w:after="0"/>
              <w:rPr>
                <w:sz w:val="19"/>
                <w:szCs w:val="19"/>
                <w:color w:val="auto"/>
              </w:rPr>
            </w:pP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r>
      <w:tr>
        <w:trPr>
          <w:trHeight w:val="225"/>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debt modification and extinguishment</w:t>
            </w:r>
          </w:p>
        </w:tc>
        <w:tc>
          <w:tcPr>
            <w:tcW w:w="220" w:type="dxa"/>
            <w:vAlign w:val="bottom"/>
          </w:tcPr>
          <w:p>
            <w:pPr>
              <w:spacing w:after="0"/>
              <w:rPr>
                <w:sz w:val="19"/>
                <w:szCs w:val="19"/>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5"/>
        </w:trPr>
        <w:tc>
          <w:tcPr>
            <w:tcW w:w="8400" w:type="dxa"/>
            <w:vAlign w:val="bottom"/>
            <w:shd w:val="clear" w:color="auto" w:fill="CCEEFF"/>
          </w:tcPr>
          <w:p>
            <w:pPr>
              <w:ind w:left="120"/>
              <w:spacing w:after="0" w:line="225" w:lineRule="exact"/>
              <w:rPr>
                <w:sz w:val="20"/>
                <w:szCs w:val="20"/>
                <w:color w:val="auto"/>
              </w:rPr>
            </w:pPr>
            <w:r>
              <w:rPr>
                <w:rFonts w:ascii="Times New Roman" w:cs="Times New Roman" w:eastAsia="Times New Roman" w:hAnsi="Times New Roman"/>
                <w:sz w:val="18"/>
                <w:szCs w:val="18"/>
                <w:color w:val="auto"/>
              </w:rPr>
              <w:t>Impact of fair value adjustments to acquired unearned revenue</w:t>
            </w:r>
            <w:r>
              <w:rPr>
                <w:rFonts w:ascii="Times New Roman" w:cs="Times New Roman" w:eastAsia="Times New Roman" w:hAnsi="Times New Roman"/>
                <w:sz w:val="22"/>
                <w:szCs w:val="22"/>
                <w:color w:val="auto"/>
                <w:vertAlign w:val="superscript"/>
              </w:rPr>
              <w:t>(b)</w:t>
            </w:r>
          </w:p>
        </w:tc>
        <w:tc>
          <w:tcPr>
            <w:tcW w:w="220" w:type="dxa"/>
            <w:vAlign w:val="bottom"/>
            <w:shd w:val="clear" w:color="auto" w:fill="CCEEFF"/>
          </w:tcPr>
          <w:p>
            <w:pPr>
              <w:spacing w:after="0"/>
              <w:rPr>
                <w:sz w:val="19"/>
                <w:szCs w:val="19"/>
                <w:color w:val="auto"/>
              </w:rPr>
            </w:pP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5"/>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220" w:type="dxa"/>
            <w:vAlign w:val="bottom"/>
          </w:tcPr>
          <w:p>
            <w:pPr>
              <w:spacing w:after="0"/>
              <w:rPr>
                <w:sz w:val="19"/>
                <w:szCs w:val="19"/>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w:t>
            </w:r>
          </w:p>
        </w:tc>
      </w:tr>
      <w:tr>
        <w:trPr>
          <w:trHeight w:val="225"/>
        </w:trPr>
        <w:tc>
          <w:tcPr>
            <w:tcW w:w="8400" w:type="dxa"/>
            <w:vAlign w:val="bottom"/>
            <w:shd w:val="clear" w:color="auto" w:fill="CCEEFF"/>
          </w:tcPr>
          <w:p>
            <w:pPr>
              <w:ind w:left="120"/>
              <w:spacing w:after="0" w:line="225" w:lineRule="exact"/>
              <w:rPr>
                <w:sz w:val="20"/>
                <w:szCs w:val="20"/>
                <w:color w:val="auto"/>
              </w:rPr>
            </w:pPr>
            <w:r>
              <w:rPr>
                <w:rFonts w:ascii="Times New Roman" w:cs="Times New Roman" w:eastAsia="Times New Roman" w:hAnsi="Times New Roman"/>
                <w:sz w:val="18"/>
                <w:szCs w:val="18"/>
                <w:color w:val="auto"/>
              </w:rPr>
              <w:t>Restructuring and transaction-related expenses</w:t>
            </w:r>
            <w:r>
              <w:rPr>
                <w:rFonts w:ascii="Times New Roman" w:cs="Times New Roman" w:eastAsia="Times New Roman" w:hAnsi="Times New Roman"/>
                <w:sz w:val="22"/>
                <w:szCs w:val="22"/>
                <w:color w:val="auto"/>
                <w:vertAlign w:val="superscript"/>
              </w:rPr>
              <w:t>(c)</w:t>
            </w:r>
          </w:p>
        </w:tc>
        <w:tc>
          <w:tcPr>
            <w:tcW w:w="220" w:type="dxa"/>
            <w:vAlign w:val="bottom"/>
            <w:tcBorders>
              <w:bottom w:val="single" w:sz="8" w:color="auto"/>
            </w:tcBorders>
            <w:shd w:val="clear" w:color="auto" w:fill="CCEEFF"/>
          </w:tcPr>
          <w:p>
            <w:pPr>
              <w:spacing w:after="0"/>
              <w:rPr>
                <w:sz w:val="19"/>
                <w:szCs w:val="19"/>
                <w:color w:val="auto"/>
              </w:rPr>
            </w:pPr>
          </w:p>
        </w:tc>
        <w:tc>
          <w:tcPr>
            <w:tcW w:w="2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518.2</w:t>
            </w:r>
          </w:p>
        </w:tc>
      </w:tr>
      <w:tr>
        <w:trPr>
          <w:trHeight w:val="225"/>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Unearned revenue adjustment</w:t>
            </w:r>
          </w:p>
        </w:tc>
        <w:tc>
          <w:tcPr>
            <w:tcW w:w="220" w:type="dxa"/>
            <w:vAlign w:val="bottom"/>
            <w:shd w:val="clear" w:color="auto" w:fill="CCEEFF"/>
          </w:tcPr>
          <w:p>
            <w:pPr>
              <w:spacing w:after="0"/>
              <w:rPr>
                <w:sz w:val="19"/>
                <w:szCs w:val="19"/>
                <w:color w:val="auto"/>
              </w:rPr>
            </w:pP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25"/>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rent adjustment</w:t>
            </w:r>
          </w:p>
        </w:tc>
        <w:tc>
          <w:tcPr>
            <w:tcW w:w="220" w:type="dxa"/>
            <w:vAlign w:val="bottom"/>
          </w:tcPr>
          <w:p>
            <w:pPr>
              <w:spacing w:after="0"/>
              <w:rPr>
                <w:sz w:val="19"/>
                <w:szCs w:val="19"/>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5"/>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lender adjustments</w:t>
            </w:r>
          </w:p>
        </w:tc>
        <w:tc>
          <w:tcPr>
            <w:tcW w:w="220" w:type="dxa"/>
            <w:vAlign w:val="bottom"/>
            <w:tcBorders>
              <w:bottom w:val="single" w:sz="8" w:color="auto"/>
            </w:tcBorders>
            <w:shd w:val="clear" w:color="auto" w:fill="CCEEFF"/>
          </w:tcPr>
          <w:p>
            <w:pPr>
              <w:spacing w:after="0"/>
              <w:rPr>
                <w:sz w:val="19"/>
                <w:szCs w:val="19"/>
                <w:color w:val="auto"/>
              </w:rPr>
            </w:pPr>
          </w:p>
        </w:tc>
        <w:tc>
          <w:tcPr>
            <w:tcW w:w="2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1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EBITDA (Non-GAAP)</w:t>
            </w: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542.3</w:t>
            </w:r>
          </w:p>
        </w:tc>
      </w:tr>
      <w:tr>
        <w:trPr>
          <w:trHeight w:val="20"/>
        </w:trPr>
        <w:tc>
          <w:tcPr>
            <w:tcW w:w="8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3" w:lineRule="exact"/>
        <w:rPr>
          <w:sz w:val="20"/>
          <w:szCs w:val="20"/>
          <w:color w:val="auto"/>
        </w:rPr>
      </w:pPr>
    </w:p>
    <w:p>
      <w:pPr>
        <w:ind w:left="320" w:hanging="314"/>
        <w:spacing w:after="0"/>
        <w:tabs>
          <w:tab w:leader="none" w:pos="3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revaluations on tax receivable agreement liability and foreign exchange remeasurement gains and losses.</w:t>
      </w:r>
    </w:p>
    <w:p>
      <w:pPr>
        <w:spacing w:after="0" w:line="11" w:lineRule="exact"/>
        <w:rPr>
          <w:rFonts w:ascii="Times New Roman" w:cs="Times New Roman" w:eastAsia="Times New Roman" w:hAnsi="Times New Roman"/>
          <w:sz w:val="14"/>
          <w:szCs w:val="14"/>
          <w:color w:val="auto"/>
        </w:rPr>
      </w:pPr>
    </w:p>
    <w:p>
      <w:pPr>
        <w:jc w:val="both"/>
        <w:ind w:left="320" w:hanging="314"/>
        <w:spacing w:after="0" w:line="250" w:lineRule="auto"/>
        <w:tabs>
          <w:tab w:leader="none" w:pos="31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impact of fair value adjustments to acquired unearned revenue relating to services billed by an acquired company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jc w:val="both"/>
        <w:ind w:left="320" w:hanging="314"/>
        <w:spacing w:after="0" w:line="265" w:lineRule="auto"/>
        <w:tabs>
          <w:tab w:leader="none" w:pos="318"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directly associated with acquisition or disposal activities, including employee severance and termination benefits, contract termination fees and penalties, and other exit or disposal costs. For the year ended December 31, 2023, this expense is primarily related to costs associated with a June 2023 reduction in force, and impairment charges related to the Ra’anana office and other offices.</w:t>
      </w:r>
    </w:p>
    <w:p>
      <w:pPr>
        <w:spacing w:after="0" w:line="122"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addition, the credit agreement governing our first lien term loan contains restrictive covenants that may limit our ability to engage in activities that may be in our long-term best interest. These restrictive covenants include, among others, limitations on our ability to pay dividends or make other distributions in respect of, or repurchase or redeem, capital stock, prepay, redeem, or repurchase certain debt, make acquisitions, investments, loans, and advances, or sell or otherwise dispose of assets. Our failure to comply with those covenants could result in an event of default which, if not cured or waived, could result in the acceleration of substantially all of our debt. The Company may be able to incur substantial additional indebtedness in the future. The terms of the credit agreements governing our first lien term loan limit, but do not prohibit, the Company from incurring additional indebtedness, and the additional indebtedness incurred in compliance with these restrictions could be substantial. These restrictions will also not prevent the Company from incurring obligations that do not constitute “Indebtedness” as defined in the agreements governing our indebtedness.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Capital expenditures decreased by $2.4 million, or 8%, to $26.5 million in the year ended December 31, 2023 compared to the year ended December 31, 2022, as a result of reduced capitalization of development expenses and variability of timing with respect to facilities projects.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We have entered into two tax receivable agreements. We entered into (i) the Exchange Tax Receivable Agreement with certain Pre-IPO OpCo Unitholders and (ii) the Reorganization Tax Receivable Agreement with the Pre-IPO Blocker Holders. These tax receivable agreements provide for the payment by members of the ZoomInfo Tax Group to such Pre-IPO Owners and certain Pre-IPO HoldCo Unitholders of 85% of the benefits, if any, that the ZoomInfo Tax Group is deemed to realize (calculated using certain assumptions) as a result of certain tax attributes and benefits covered by the tax receivable agreements.</w:t>
      </w:r>
    </w:p>
    <w:p>
      <w:pPr>
        <w:spacing w:after="0" w:line="11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The tax attributes and benefits covered by the Exchange Tax Receivable Agreements include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Common Stock after the IPO, and certain other tax benefits, including tax benefits attributable to payments under the Exchange Tax Receivable Agreement.</w:t>
      </w:r>
    </w:p>
    <w:p>
      <w:pPr>
        <w:spacing w:after="0" w:line="11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tax attributes and benefits covered by the Reorganization Tax Receivable Agreement include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each case, these increases in existing tax basis and tax basis adjustments generated over time may increase the ZoomInfo Tax Group’s depreciation and amortization deductions for tax purposes and, therefore, may reduce the amount of tax that the ZoomInfo Tax Group would otherwise be required to pay in the future, although the IRS may challenge all or part of the validity of that tax basis, and a court could sustain such a challenge.</w:t>
      </w:r>
    </w:p>
    <w:p>
      <w:pPr>
        <w:spacing w:after="0" w:line="12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ZoomInfo Tax Group’s allocable share of existing tax basis acquired in the IPO and the increase in the ZoomInfo Tax Group’s allocable share of existing tax basis and the tax basis adjustments upon exchanges of OpCo Units for shares of Common Stock may also decrease gains (or increase losses) on future dispositions of certain capital assets to the extent tax basis is allocated to those capital assets. The ZoomInfo Tax Group expects to benefit from the remaining 15% of realized cash tax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For purposes of the tax receivable agreements, the realized cash tax benefits will be computed by comparing the actual income tax liability of the ZoomInfo Tax Group (calculated with certain assumptions) to the amount of such taxes that the ZoomInfo Tax Group would have been required to pay had the tax receivable agreements not been entered into and had there been no existing tax basis, no anticipated tax basis adjustments of the assets of the ZoomInfo Tax Group as a result of exchanges, and no utilization of certain tax attributes of the Blocker Companies (including the Blocker Companies’ allocable share of existing tax basis). The term of each tax receivable agreement will continue until all such tax benefits have been utilized or expired, unless (i) ZoomInfo Tax Group exercises its right to terminate one or both tax receivable agreements for an amount based on the agreed payments remaining to be made under the agreement, (ii) ZoomInfo Tax Group breaches any of its material obligations under one or both tax receivable agreements in which case all obligations (including any additional interest due relating to any deferred payments) generally will be accelerated and due as if ZoomInfo Tax Group had exercised its right to terminate the tax receivable agreements, or (iii) there is a change of control of ZoomInfo Tax Group, in which case the Pre-IPO Owners may elect to receive an amount based on the agreed payments remaining to be made under the agreement determined as described above in clause (i). Estimating the amount of payments that may be made under the tax receivable agreements is by its nature imprecise, insofar as the calculation of amounts payable depends on a variety of factors. The amount of existing tax basis and the anticipated tax basis adjustments, as well as the amount and timing of any payments under the tax receivable agreements, will vary depending upon a number of factors, including our blended federal and state tax rate, the amount and timing of our income, and situations where no net benefit is received from the tax attributes.</w:t>
      </w:r>
    </w:p>
    <w:p>
      <w:pPr>
        <w:spacing w:after="0" w:line="14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expect that as a result of the size of the ZoomInfo Tax Group’s allocable share of existing tax basis acquired in the IPO, the increase in the ZoomInfo Tax Group’s allocable share of existing tax basis and the tax basis adjustment of the tangible and intangible assets of the ZoomInfo Tax Group upon the exchange of OpCo Units for shares of Common Stock and our expected utilization of certain tax attributes, the payments that ZoomInfo Tax Group may make under the tax receivable agreements will be substantial. As of December 31, 2023, the Company had a liability of $2,818.0 million related to its projected obligations under the Tax Receivable Agreements in connection with the Reorganization Transactions and OpCo Units. During the year ended December 31, 2023, no payment was made pursuant to the Tax Receivable Agreements. During the year ended December 31, 2022 we paid a total of $12.2 million, pursuant to the Tax Receivable Agreements. The payments under the tax receivable agreements are not conditioned upon continued ownership of us by the exchanging holders of OpCo Units. Refer to Note 17 - Tax Receivable Agreements to our audited consolidated financial statements included in Part II Item 8 of this Form 10-K for additional information.</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our material contractual obligations as of December 31, 2023 and the years in which these obligations are due: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4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4"/>
                <w:szCs w:val="14"/>
                <w:color w:val="auto"/>
              </w:rPr>
            </w:pPr>
          </w:p>
        </w:tc>
        <w:tc>
          <w:tcPr>
            <w:tcW w:w="1280" w:type="dxa"/>
            <w:vAlign w:val="bottom"/>
            <w:gridSpan w:val="2"/>
          </w:tcPr>
          <w:p>
            <w:pPr>
              <w:jc w:val="center"/>
              <w:ind w:right="220"/>
              <w:spacing w:after="0" w:line="165" w:lineRule="exact"/>
              <w:rPr>
                <w:sz w:val="20"/>
                <w:szCs w:val="20"/>
                <w:color w:val="auto"/>
              </w:rPr>
            </w:pPr>
            <w:r>
              <w:rPr>
                <w:rFonts w:ascii="Times New Roman" w:cs="Times New Roman" w:eastAsia="Times New Roman" w:hAnsi="Times New Roman"/>
                <w:sz w:val="18"/>
                <w:szCs w:val="18"/>
                <w:b w:val="1"/>
                <w:bCs w:val="1"/>
                <w:color w:val="auto"/>
                <w:w w:val="97"/>
              </w:rPr>
              <w:t>Less than one</w:t>
            </w:r>
          </w:p>
        </w:tc>
        <w:tc>
          <w:tcPr>
            <w:tcW w:w="140" w:type="dxa"/>
            <w:vAlign w:val="bottom"/>
          </w:tcPr>
          <w:p>
            <w:pPr>
              <w:spacing w:after="0"/>
              <w:rPr>
                <w:sz w:val="14"/>
                <w:szCs w:val="14"/>
                <w:color w:val="auto"/>
              </w:rPr>
            </w:pPr>
          </w:p>
        </w:tc>
        <w:tc>
          <w:tcPr>
            <w:tcW w:w="1260" w:type="dxa"/>
            <w:vAlign w:val="bottom"/>
            <w:gridSpan w:val="2"/>
          </w:tcPr>
          <w:p>
            <w:pPr>
              <w:ind w:left="40"/>
              <w:spacing w:after="0" w:line="165" w:lineRule="exact"/>
              <w:rPr>
                <w:sz w:val="20"/>
                <w:szCs w:val="20"/>
                <w:color w:val="auto"/>
              </w:rPr>
            </w:pPr>
            <w:r>
              <w:rPr>
                <w:rFonts w:ascii="Times New Roman" w:cs="Times New Roman" w:eastAsia="Times New Roman" w:hAnsi="Times New Roman"/>
                <w:sz w:val="18"/>
                <w:szCs w:val="18"/>
                <w:b w:val="1"/>
                <w:bCs w:val="1"/>
                <w:color w:val="auto"/>
              </w:rPr>
              <w:t>One to three</w:t>
            </w:r>
          </w:p>
        </w:tc>
        <w:tc>
          <w:tcPr>
            <w:tcW w:w="140" w:type="dxa"/>
            <w:vAlign w:val="bottom"/>
          </w:tcPr>
          <w:p>
            <w:pPr>
              <w:spacing w:after="0"/>
              <w:rPr>
                <w:sz w:val="14"/>
                <w:szCs w:val="14"/>
                <w:color w:val="auto"/>
              </w:rPr>
            </w:pPr>
          </w:p>
        </w:tc>
        <w:tc>
          <w:tcPr>
            <w:tcW w:w="1280" w:type="dxa"/>
            <w:vAlign w:val="bottom"/>
            <w:gridSpan w:val="2"/>
          </w:tcPr>
          <w:p>
            <w:pPr>
              <w:jc w:val="center"/>
              <w:ind w:right="240"/>
              <w:spacing w:after="0" w:line="165" w:lineRule="exact"/>
              <w:rPr>
                <w:sz w:val="20"/>
                <w:szCs w:val="20"/>
                <w:color w:val="auto"/>
              </w:rPr>
            </w:pPr>
            <w:r>
              <w:rPr>
                <w:rFonts w:ascii="Times New Roman" w:cs="Times New Roman" w:eastAsia="Times New Roman" w:hAnsi="Times New Roman"/>
                <w:sz w:val="18"/>
                <w:szCs w:val="18"/>
                <w:b w:val="1"/>
                <w:bCs w:val="1"/>
                <w:color w:val="auto"/>
                <w:w w:val="97"/>
              </w:rPr>
              <w:t>Three to five</w:t>
            </w:r>
          </w:p>
        </w:tc>
        <w:tc>
          <w:tcPr>
            <w:tcW w:w="120" w:type="dxa"/>
            <w:vAlign w:val="bottom"/>
          </w:tcPr>
          <w:p>
            <w:pPr>
              <w:spacing w:after="0"/>
              <w:rPr>
                <w:sz w:val="14"/>
                <w:szCs w:val="14"/>
                <w:color w:val="auto"/>
              </w:rPr>
            </w:pPr>
          </w:p>
        </w:tc>
        <w:tc>
          <w:tcPr>
            <w:tcW w:w="1180" w:type="dxa"/>
            <w:vAlign w:val="bottom"/>
          </w:tcPr>
          <w:p>
            <w:pPr>
              <w:jc w:val="right"/>
              <w:ind w:right="72"/>
              <w:spacing w:after="0" w:line="165" w:lineRule="exact"/>
              <w:rPr>
                <w:sz w:val="20"/>
                <w:szCs w:val="20"/>
                <w:color w:val="auto"/>
              </w:rPr>
            </w:pPr>
            <w:r>
              <w:rPr>
                <w:rFonts w:ascii="Times New Roman" w:cs="Times New Roman" w:eastAsia="Times New Roman" w:hAnsi="Times New Roman"/>
                <w:sz w:val="18"/>
                <w:szCs w:val="18"/>
                <w:b w:val="1"/>
                <w:bCs w:val="1"/>
                <w:color w:val="auto"/>
                <w:w w:val="99"/>
              </w:rPr>
              <w:t>Greater than</w:t>
            </w:r>
          </w:p>
        </w:tc>
        <w:tc>
          <w:tcPr>
            <w:tcW w:w="0" w:type="dxa"/>
            <w:vAlign w:val="bottom"/>
          </w:tcPr>
          <w:p>
            <w:pPr>
              <w:spacing w:after="0"/>
              <w:rPr>
                <w:sz w:val="1"/>
                <w:szCs w:val="1"/>
                <w:color w:val="auto"/>
              </w:rPr>
            </w:pPr>
          </w:p>
        </w:tc>
      </w:tr>
      <w:tr>
        <w:trPr>
          <w:trHeight w:val="238"/>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year</w:t>
            </w:r>
          </w:p>
        </w:tc>
        <w:tc>
          <w:tcPr>
            <w:tcW w:w="140" w:type="dxa"/>
            <w:vAlign w:val="bottom"/>
          </w:tcPr>
          <w:p>
            <w:pPr>
              <w:spacing w:after="0"/>
              <w:rPr>
                <w:sz w:val="20"/>
                <w:szCs w:val="20"/>
                <w:color w:val="auto"/>
              </w:rPr>
            </w:pPr>
          </w:p>
        </w:tc>
        <w:tc>
          <w:tcPr>
            <w:tcW w:w="12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40" w:type="dxa"/>
            <w:vAlign w:val="bottom"/>
          </w:tcPr>
          <w:p>
            <w:pPr>
              <w:spacing w:after="0"/>
              <w:rPr>
                <w:sz w:val="20"/>
                <w:szCs w:val="20"/>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20" w:type="dxa"/>
            <w:vAlign w:val="bottom"/>
          </w:tcPr>
          <w:p>
            <w:pPr>
              <w:spacing w:after="0"/>
              <w:rPr>
                <w:sz w:val="20"/>
                <w:szCs w:val="20"/>
                <w:color w:val="auto"/>
              </w:rPr>
            </w:pPr>
          </w:p>
        </w:tc>
        <w:tc>
          <w:tcPr>
            <w:tcW w:w="118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five years</w:t>
            </w:r>
          </w:p>
        </w:tc>
        <w:tc>
          <w:tcPr>
            <w:tcW w:w="0" w:type="dxa"/>
            <w:vAlign w:val="bottom"/>
          </w:tcPr>
          <w:p>
            <w:pPr>
              <w:spacing w:after="0"/>
              <w:rPr>
                <w:sz w:val="1"/>
                <w:szCs w:val="1"/>
                <w:color w:val="auto"/>
              </w:rPr>
            </w:pPr>
          </w:p>
        </w:tc>
      </w:tr>
      <w:tr>
        <w:trPr>
          <w:trHeight w:val="218"/>
        </w:trPr>
        <w:tc>
          <w:tcPr>
            <w:tcW w:w="4320" w:type="dxa"/>
            <w:vAlign w:val="bottom"/>
            <w:tcBorders>
              <w:top w:val="single" w:sz="8" w:color="CCEEFF"/>
            </w:tcBorders>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color w:val="auto"/>
              </w:rPr>
              <w:t>Long-term indebtedness</w:t>
            </w:r>
            <w:r>
              <w:rPr>
                <w:rFonts w:ascii="Times New Roman" w:cs="Times New Roman" w:eastAsia="Times New Roman" w:hAnsi="Times New Roman"/>
                <w:sz w:val="22"/>
                <w:szCs w:val="22"/>
                <w:color w:val="auto"/>
                <w:vertAlign w:val="superscript"/>
              </w:rPr>
              <w:t>(1)</w:t>
            </w: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1,214.0</w:t>
            </w:r>
          </w:p>
        </w:tc>
        <w:tc>
          <w:tcPr>
            <w:tcW w:w="0" w:type="dxa"/>
            <w:vAlign w:val="bottom"/>
          </w:tcPr>
          <w:p>
            <w:pPr>
              <w:spacing w:after="0"/>
              <w:rPr>
                <w:sz w:val="1"/>
                <w:szCs w:val="1"/>
                <w:color w:val="auto"/>
              </w:rPr>
            </w:pPr>
          </w:p>
        </w:tc>
      </w:tr>
      <w:tr>
        <w:trPr>
          <w:trHeight w:val="225"/>
        </w:trPr>
        <w:tc>
          <w:tcPr>
            <w:tcW w:w="432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Operating leases</w:t>
            </w:r>
            <w:r>
              <w:rPr>
                <w:rFonts w:ascii="Times New Roman" w:cs="Times New Roman" w:eastAsia="Times New Roman" w:hAnsi="Times New Roman"/>
                <w:sz w:val="22"/>
                <w:szCs w:val="22"/>
                <w:color w:val="auto"/>
                <w:vertAlign w:val="superscript"/>
              </w:rPr>
              <w:t>(2)</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25"/>
        </w:trPr>
        <w:tc>
          <w:tcPr>
            <w:tcW w:w="432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Deferred consideration and employee compensation</w:t>
            </w:r>
            <w:r>
              <w:rPr>
                <w:rFonts w:ascii="Times New Roman" w:cs="Times New Roman" w:eastAsia="Times New Roman" w:hAnsi="Times New Roman"/>
                <w:sz w:val="22"/>
                <w:szCs w:val="22"/>
                <w:color w:val="auto"/>
                <w:vertAlign w:val="superscript"/>
              </w:rPr>
              <w:t>(3)</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32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Purchase obligations</w:t>
            </w:r>
            <w:r>
              <w:rPr>
                <w:rFonts w:ascii="Times New Roman" w:cs="Times New Roman" w:eastAsia="Times New Roman" w:hAnsi="Times New Roman"/>
                <w:sz w:val="22"/>
                <w:szCs w:val="22"/>
                <w:color w:val="auto"/>
                <w:vertAlign w:val="superscript"/>
              </w:rPr>
              <w:t>(4)</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1,281.0</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4" w:lineRule="exact"/>
        <w:rPr>
          <w:sz w:val="20"/>
          <w:szCs w:val="20"/>
          <w:color w:val="auto"/>
        </w:rPr>
      </w:pPr>
    </w:p>
    <w:p>
      <w:pPr>
        <w:jc w:val="both"/>
        <w:ind w:left="320" w:hanging="314"/>
        <w:spacing w:after="0" w:line="262" w:lineRule="auto"/>
        <w:tabs>
          <w:tab w:leader="none" w:pos="31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future principal payments on long-term indebtedness through the scheduled maturity dates thereof. Indebtedness is discussed in Note 8 - Financing Arrangements to our audited consolidated financial statements included in Part II, Item 8 of this Form 10-K. Interest incurred on amounts we borrow is based on relative borrowing levels, fluctuations in the variable interest rates, and the spread we pay over those interest rates. As such, we are unable to quantify our future obligations relating to interest and therefore no amounts have been included in the above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20" w:hanging="314"/>
        <w:spacing w:after="0" w:line="265" w:lineRule="auto"/>
        <w:tabs>
          <w:tab w:leader="none" w:pos="312"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future payments on existing operating leases through the scheduled expiration dates thereof. This amount excludes executed lease agreements that commence after December 31, 2023.</w:t>
      </w:r>
    </w:p>
    <w:p>
      <w:pPr>
        <w:jc w:val="both"/>
        <w:ind w:left="320" w:hanging="314"/>
        <w:spacing w:after="0" w:line="250" w:lineRule="auto"/>
        <w:tabs>
          <w:tab w:leader="none" w:pos="312"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deferred consideration and employee compensation related to the Insent and Dogpatch acquisitions at the currently estimated payout amounts, undiscounted. Acquisitions and related deferred consideration are discussed in Note 11 - Commitments and Contingencies to our audited consolidated financial statements included in Part II, Item 8 of this Form 10-K. Estimated contingent consideration is subject to change depending on results of factors each arrangement is based on.</w:t>
      </w:r>
    </w:p>
    <w:p>
      <w:pPr>
        <w:ind w:left="320" w:hanging="314"/>
        <w:spacing w:after="0"/>
        <w:tabs>
          <w:tab w:leader="none" w:pos="3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relates to third-party cloud hosting and software as a service arrangements.</w:t>
      </w:r>
    </w:p>
    <w:p>
      <w:pPr>
        <w:spacing w:after="0" w:line="21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amounts included in the table above represent agreements that are enforceable and legally binding. Any obligations under contracts that we can cancel without significant penalty are not included here, because the ultimate timing of these liabilities cannot be determined; therefore, we have excluded these amounts from the contractual obligations table above. Purchase orders issued in the ordinary course of business are not included in the table above as they represent authorizations to purchase the items rather than binding agreements. However, if such claims arise in the future, they could have a material effect on our financial position, results of operations, and cash flows.</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payments that we may be required to make under the tax receivable agreements that we entered into may be significant and are not reflected in the contractual obligations tables set forth above, as we are currently unable to estimate the amounts and timing of the payments that may be due thereunder.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and accompanying notes are prepared in accordance with accounting principles generally accepted in the United States of America (“U.S. GAAP”). Our critical accounting policies are those that we believe have the most significant impact to the presentation of our financial position and results of operations and that require the most difficult, subjective, or complex judgments. In many cases, the accounting treatment of a transaction is specifically dictated by U.S. GAAP with no need for the application of judgment.</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certain circumstances, however, the preparation of consolidated financial statements in conformity with U.S. GAAP requires us to make certain estimates, judgments, and assumptions that affect the reported amounts of assets and liabilities and disclosure of contingent assets and liabilities as of the date of the consolidated financial statements, as well as the reported amounts of revenue and expenses during the reporting period.</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While our significant accounting policies are more fully described in Note 2 - Basis of Presentation and Summary of Significant Accounting Policies to our audited consolidated financial statements included in Part II, Item 8 of this Form 10-K, we believe the following topics reflect our critical accounting policies and our more significant judgment and estimates used in the preparation of our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allocate the purchase consideration to the tangible assets acquired, liabilities assumed, and intangible assets acquired based on their estimated fair values. The purchase price is determined based on the fair value of the assets transferred, liabilities assumed, and equity interests issued, after considering any transactions that are separate from the business combination. The fair value of equity issued as part of a business combination is determined based on grant date stock price of the Company. The excess of fair value of purchase consideration over the fair values of the identifiable assets and liabilities is recorded as goodwill.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3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estimates are inherently uncertain and subject to revision as additional information is obtained during the measurement period for an acquisition, which may last up to one year from the acquisition date. During the measurement period, we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uncertain tax positions and tax-related valuation allowances assumed in connection with a business combination are initially estimated as of the acquisition date. We re-evaluate these items based upon the facts and circumstances that existed as of the acquisition date, with any revisions to our preliminary estimates being recorded to goodwill, provided that the timing is within the measurement period. Subsequent to the measurement period, changes to uncertain tax positions and tax-related valuation allowances will be recorded to earnings.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Agreements</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 xml:space="preserve">In connection with our IPO, we entered into two Tax Receivable Agreements with certain non-controlling interest owners (the “TRA Holders”). The TRAs generally provide for payment by the Company to the TRA Holders of 85% of the net cash savings, if any, in U.S. federal, state and local income tax or franchise tax that the Company actually realizes or is deemed to realize in certain circumstances. The Company will retain the benefit of the remaining 15% of these net cash savings. We account for amounts payable under the TRA in accordance with Accounting Standards Codification (“ASC”) Topic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Amounts payable under the TRA are accrued by a charge to income when it is probable that a liability has been incurred and the amount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estimable. As such, subsequent changes to the measurement of the TRA liability are recognized in the statements of income as a component of </w:t>
      </w:r>
      <w:r>
        <w:rPr>
          <w:rFonts w:ascii="Times New Roman" w:cs="Times New Roman" w:eastAsia="Times New Roman" w:hAnsi="Times New Roman"/>
          <w:sz w:val="18"/>
          <w:szCs w:val="18"/>
          <w:i w:val="1"/>
          <w:iCs w:val="1"/>
          <w:color w:val="auto"/>
        </w:rPr>
        <w:t>Other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loss, net</w:t>
      </w:r>
      <w:r>
        <w:rPr>
          <w:rFonts w:ascii="Times New Roman" w:cs="Times New Roman" w:eastAsia="Times New Roman" w:hAnsi="Times New Roman"/>
          <w:sz w:val="18"/>
          <w:szCs w:val="18"/>
          <w:color w:val="auto"/>
        </w:rPr>
        <w:t>. Refer to Note 17 - Tax Receivable Agreements to our audited consolidated financial statements included in Part II, Item 8 of this Form 10-K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further details on the TRA liability.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ZoomInfo Technologies Inc. is a corporation, and it and its U.S. affiliates are subject to U.S. federal as well as state income tax. Additionally, our operations in Australia, Canada, India, Israel, and the U.K. are subject to local country income taxes.</w:t>
      </w:r>
    </w:p>
    <w:p>
      <w:pPr>
        <w:spacing w:after="0" w:line="11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based on temporary differences between the financial statement and tax basis of assets and liabilities. Deferred tax assets and liabilities are measured using enacted tax rates in effect for the year in which the differences are expected to reverse. The effect on deferred tax assets and liabilities of a change in tax law is recognized in the Consolidated Statements of Operations in the period that includes the enactment date.</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need for valuation allowances is regularly evaluated for deferred tax assets for which future realization is uncertain. In assessing the realizability of deferred tax assets, we consider both positive and negative evidence, including scheduled reversals of deferred tax assets and liabilities, projected future taxable income, tax planning strategies and results of recent operations. If, based on the weight of available evidence, it is more likely than not that the deferred tax assets will not be realized, a valuation allowance is recorded.</w:t>
      </w:r>
    </w:p>
    <w:p>
      <w:pPr>
        <w:spacing w:after="0" w:line="12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The Company recognizes the tax benefit of an uncertain tax position only if it is more likely than not that the position is sustainable upon examination by the taxing authority, solely based on its technical merits. The tax benefit recognized is measured as the largest amount of benefit which is greater than 50 percent likely to be realized upon settlement with the taxing authority. The Company recognizes interest accrued and penalties related to unrecognized tax benefits within </w:t>
      </w:r>
      <w:r>
        <w:rPr>
          <w:rFonts w:ascii="Times New Roman" w:cs="Times New Roman" w:eastAsia="Times New Roman" w:hAnsi="Times New Roman"/>
          <w:sz w:val="18"/>
          <w:szCs w:val="18"/>
          <w:i w:val="1"/>
          <w:iCs w:val="1"/>
          <w:color w:val="auto"/>
        </w:rPr>
        <w:t>Provision (Benefit) for income taxes</w:t>
      </w:r>
      <w:r>
        <w:rPr>
          <w:rFonts w:ascii="Times New Roman" w:cs="Times New Roman" w:eastAsia="Times New Roman" w:hAnsi="Times New Roman"/>
          <w:sz w:val="18"/>
          <w:szCs w:val="18"/>
          <w:color w:val="auto"/>
        </w:rPr>
        <w:t xml:space="preserve"> on the Consolidated Statements of Operations. Refer to Note 18 - Income Taxes to our audited consolidated financial statements included in Part II, Item 8 of this Form 10-K for additional information regarding income taxes.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Refer to Note 2 - Basis of Presentation and Summary of Significant Accounting Policies to our audited consolidated financial statements included in Part II, Item 8 of this Form 10-K regarding recently issued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have operations in the United States and internationally, and we are exposed to market risk in the ordinary course of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do not believe that inflation has had a material direct effect on our business, financial condition, or results of operations. Our business, financial condition, or results of operations may be impacted by macroeconomic conditions, including underlying factors such as inflation. See “Risk Factors - Geopolitical Risks” in Part I, Item 1A of this Annual Report on Form 10-K for further discussion of the possible impact of these issues on our business.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68"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Our operating results are subject to market risk from interest rate fluctuations on our first lien term loan, which bears a variable interest rate based on SOFR. As of December 31, 2023, the total principal balance outstanding was $594.0 million. We have implemented a hedging strategy to mitigate the interest rate risk by entering into certain derivative instruments (refer to Note 8 - Financing Arrangements to our audited consolidated financial statements included in Part II, Item 8 of this Form 10-K). Based on the outstanding balances and interest rates of our debt as of December 31, 2023, a hypothetical relative increase or decrease in our effective interest rate by 100 basis points or 1% would have caused an immaterial corresponding change over the next 12 months.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Additionally, from time to time, we have dedesignated certain cash flow hedging relationships due to repricing of the terms and partial prepayment of the outstanding principal of our first lien term loan since loan inception. As of December 31, 2023, all cash flow hedging relationships are designated as accounting hedges.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To date, our sales contracts have primarily been denominated in U.S. dollars. We have foreign entities established in Israel, Canada, United Kingdom, India, and Australia. The functional currency of these foreign subsidiaries is the U.S. dollar. A stronger U.S. dollar could make our solution more expensive outside the United States and therefore reduce demand, while a weaker U.S. dollar could have the opposite effect. Such economic exposure to currency fluctuations is difficult to measure or predict because our sales are influenced by many factors in addition to the impact of currency fluctuations.</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To manage the foreign currency exchange rate risk and to reduce the volatility associated with the fluctuation of foreign currencies, we initiated a foreign currency hedging program during the third quarter of 2023, which subsequently settled during the fourth quarter of 2023. This program aimed to mitigate potential adverse effects on our financial results from significant currency movements.</w:t>
      </w:r>
    </w:p>
    <w:p>
      <w:pPr>
        <w:spacing w:after="0" w:line="12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Monetary assets and liabilities of the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transaction gains and losses are recorded to </w:t>
      </w:r>
      <w:r>
        <w:rPr>
          <w:rFonts w:ascii="Times New Roman" w:cs="Times New Roman" w:eastAsia="Times New Roman" w:hAnsi="Times New Roman"/>
          <w:sz w:val="18"/>
          <w:szCs w:val="18"/>
          <w:i w:val="1"/>
          <w:iCs w:val="1"/>
          <w:color w:val="auto"/>
        </w:rPr>
        <w:t>Other (income) loss, net</w:t>
      </w:r>
      <w:r>
        <w:rPr>
          <w:rFonts w:ascii="Times New Roman" w:cs="Times New Roman" w:eastAsia="Times New Roman" w:hAnsi="Times New Roman"/>
          <w:sz w:val="18"/>
          <w:szCs w:val="18"/>
          <w:color w:val="auto"/>
        </w:rPr>
        <w:t>. Although the impact of currency fluctuations on our financial results has been immaterial in the past and we believe that for the reasons cited above, currency fluctuations will not be significant in the future, there can be no guarantee that the impact of currency fluctuations or our hedging activities will not be material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financial instruments that are exposed to concentrations of credit risk consist primarily of cash and cash equivalents and trade and other receivables. We hold cash with reputable financial institutions that often exceed federally insured limits. We manage our credit risk by concentrating our cash deposits with multiple high-quality financial institutions and periodically evaluating the credit quality of those institutions. The carrying value of cash approximates fair value. Our investment portfolio is comprised of highly rated securities with a weighted-average maturity of less than 12 months in accordance with our investment policy which seeks to preserve principal and maintain a high degree of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07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80" w:type="dxa"/>
            <w:vAlign w:val="bottom"/>
          </w:tcPr>
          <w:p>
            <w:pPr>
              <w:spacing w:after="0"/>
              <w:rPr>
                <w:sz w:val="20"/>
                <w:szCs w:val="20"/>
                <w:color w:val="auto"/>
              </w:rPr>
            </w:pPr>
          </w:p>
        </w:tc>
      </w:tr>
      <w:tr>
        <w:trPr>
          <w:trHeight w:val="371"/>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58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80" w:type="dxa"/>
            <w:vAlign w:val="bottom"/>
          </w:tcPr>
          <w:p>
            <w:pPr>
              <w:spacing w:after="0"/>
              <w:rPr>
                <w:sz w:val="24"/>
                <w:szCs w:val="24"/>
                <w:color w:val="auto"/>
              </w:rPr>
            </w:pPr>
          </w:p>
        </w:tc>
      </w:tr>
      <w:tr>
        <w:trPr>
          <w:trHeight w:val="411"/>
        </w:trPr>
        <w:tc>
          <w:tcPr>
            <w:tcW w:w="20" w:type="dxa"/>
            <w:vAlign w:val="bottom"/>
          </w:tcPr>
          <w:p>
            <w:pPr>
              <w:spacing w:after="0"/>
              <w:rPr>
                <w:sz w:val="24"/>
                <w:szCs w:val="24"/>
                <w:color w:val="auto"/>
              </w:rPr>
            </w:pPr>
          </w:p>
        </w:tc>
        <w:tc>
          <w:tcPr>
            <w:tcW w:w="106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 of ZoomInfo Technologies Inc. and Subsidiaries</w:t>
            </w:r>
          </w:p>
        </w:tc>
        <w:tc>
          <w:tcPr>
            <w:tcW w:w="180" w:type="dxa"/>
            <w:vAlign w:val="bottom"/>
          </w:tcPr>
          <w:p>
            <w:pPr>
              <w:spacing w:after="0"/>
              <w:rPr>
                <w:sz w:val="24"/>
                <w:szCs w:val="24"/>
                <w:color w:val="auto"/>
              </w:rPr>
            </w:pPr>
          </w:p>
        </w:tc>
      </w:tr>
      <w:tr>
        <w:trPr>
          <w:trHeight w:val="449"/>
        </w:trPr>
        <w:tc>
          <w:tcPr>
            <w:tcW w:w="20" w:type="dxa"/>
            <w:vAlign w:val="bottom"/>
          </w:tcPr>
          <w:p>
            <w:pPr>
              <w:spacing w:after="0"/>
              <w:rPr>
                <w:sz w:val="24"/>
                <w:szCs w:val="24"/>
                <w:color w:val="auto"/>
              </w:rPr>
            </w:pPr>
          </w:p>
        </w:tc>
        <w:tc>
          <w:tcPr>
            <w:tcW w:w="106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(KPMG LLP; Portland, Oregon; Auditor Firm ID: 185)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3051F2"/>
                <w:w w:val="88"/>
              </w:rPr>
              <w:t>65</w:t>
            </w:r>
          </w:p>
        </w:tc>
      </w:tr>
      <w:tr>
        <w:trPr>
          <w:trHeight w:val="205"/>
        </w:trPr>
        <w:tc>
          <w:tcPr>
            <w:tcW w:w="20" w:type="dxa"/>
            <w:vAlign w:val="bottom"/>
          </w:tcPr>
          <w:p>
            <w:pPr>
              <w:spacing w:after="0"/>
              <w:rPr>
                <w:sz w:val="17"/>
                <w:szCs w:val="17"/>
                <w:color w:val="auto"/>
              </w:rPr>
            </w:pPr>
          </w:p>
        </w:tc>
        <w:tc>
          <w:tcPr>
            <w:tcW w:w="2060" w:type="dxa"/>
            <w:vAlign w:val="bottom"/>
            <w:tcBorders>
              <w:top w:val="single" w:sz="8" w:color="0000FF"/>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Balance Sheets</w:t>
            </w:r>
          </w:p>
        </w:tc>
        <w:tc>
          <w:tcPr>
            <w:tcW w:w="2080" w:type="dxa"/>
            <w:vAlign w:val="bottom"/>
            <w:tcBorders>
              <w:top w:val="single" w:sz="8" w:color="0000FF"/>
            </w:tcBorders>
            <w:gridSpan w:val="4"/>
          </w:tcPr>
          <w:p>
            <w:pPr>
              <w:spacing w:after="0"/>
              <w:rPr>
                <w:sz w:val="17"/>
                <w:szCs w:val="17"/>
                <w:color w:val="auto"/>
              </w:rPr>
            </w:pPr>
          </w:p>
        </w:tc>
        <w:tc>
          <w:tcPr>
            <w:tcW w:w="6540" w:type="dxa"/>
            <w:vAlign w:val="bottom"/>
            <w:gridSpan w:val="3"/>
          </w:tcPr>
          <w:p>
            <w:pPr>
              <w:spacing w:after="0"/>
              <w:rPr>
                <w:sz w:val="17"/>
                <w:szCs w:val="17"/>
                <w:color w:val="auto"/>
              </w:rPr>
            </w:pPr>
          </w:p>
        </w:tc>
        <w:tc>
          <w:tcPr>
            <w:tcW w:w="180" w:type="dxa"/>
            <w:vAlign w:val="bottom"/>
            <w:tcBorders>
              <w:top w:val="single" w:sz="8" w:color="3051F2"/>
              <w:bottom w:val="single" w:sz="8" w:color="3051F2"/>
            </w:tcBorders>
          </w:tcPr>
          <w:p>
            <w:pPr>
              <w:jc w:val="right"/>
              <w:spacing w:after="0" w:line="205" w:lineRule="exact"/>
              <w:rPr>
                <w:sz w:val="20"/>
                <w:szCs w:val="20"/>
                <w:color w:val="auto"/>
              </w:rPr>
            </w:pPr>
            <w:r>
              <w:rPr>
                <w:rFonts w:ascii="Times New Roman" w:cs="Times New Roman" w:eastAsia="Times New Roman" w:hAnsi="Times New Roman"/>
                <w:sz w:val="18"/>
                <w:szCs w:val="18"/>
                <w:color w:val="3051F2"/>
                <w:w w:val="88"/>
              </w:rPr>
              <w:t>68</w:t>
            </w:r>
          </w:p>
        </w:tc>
      </w:tr>
      <w:tr>
        <w:trPr>
          <w:trHeight w:val="205"/>
        </w:trPr>
        <w:tc>
          <w:tcPr>
            <w:tcW w:w="20" w:type="dxa"/>
            <w:vAlign w:val="bottom"/>
          </w:tcPr>
          <w:p>
            <w:pPr>
              <w:spacing w:after="0"/>
              <w:rPr>
                <w:sz w:val="17"/>
                <w:szCs w:val="17"/>
                <w:color w:val="auto"/>
              </w:rPr>
            </w:pPr>
          </w:p>
        </w:tc>
        <w:tc>
          <w:tcPr>
            <w:tcW w:w="1068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0000FF"/>
              </w:rPr>
              <w:t>Consolidated Statements of Operations</w:t>
            </w:r>
          </w:p>
        </w:tc>
        <w:tc>
          <w:tcPr>
            <w:tcW w:w="1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3051F2"/>
                <w:w w:val="88"/>
              </w:rPr>
              <w:t>69</w:t>
            </w:r>
          </w:p>
        </w:tc>
      </w:tr>
      <w:tr>
        <w:trPr>
          <w:trHeight w:val="20"/>
        </w:trPr>
        <w:tc>
          <w:tcPr>
            <w:tcW w:w="20" w:type="dxa"/>
            <w:vAlign w:val="bottom"/>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068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0000FF"/>
              </w:rPr>
              <w:t>Consolidated Statements of Comprehensive Income (Loss)</w:t>
            </w:r>
          </w:p>
        </w:tc>
        <w:tc>
          <w:tcPr>
            <w:tcW w:w="1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3051F2"/>
                <w:w w:val="88"/>
              </w:rPr>
              <w:t>70</w:t>
            </w:r>
          </w:p>
        </w:tc>
      </w:tr>
      <w:tr>
        <w:trPr>
          <w:trHeight w:val="20"/>
        </w:trPr>
        <w:tc>
          <w:tcPr>
            <w:tcW w:w="20" w:type="dxa"/>
            <w:vAlign w:val="bottom"/>
          </w:tcPr>
          <w:p>
            <w:pPr>
              <w:spacing w:after="0" w:line="20" w:lineRule="exact"/>
              <w:rPr>
                <w:sz w:val="1"/>
                <w:szCs w:val="1"/>
                <w:color w:val="auto"/>
              </w:rPr>
            </w:pPr>
          </w:p>
        </w:tc>
        <w:tc>
          <w:tcPr>
            <w:tcW w:w="282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300" w:type="dxa"/>
            <w:vAlign w:val="bottom"/>
            <w:tcBorders>
              <w:bottom w:val="single" w:sz="8" w:color="0000FF"/>
            </w:tcBorders>
            <w:gridSpan w:val="7"/>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Changes in Stockholders' Equity</w:t>
            </w:r>
          </w:p>
        </w:tc>
        <w:tc>
          <w:tcPr>
            <w:tcW w:w="6380" w:type="dxa"/>
            <w:vAlign w:val="bottom"/>
          </w:tcPr>
          <w:p>
            <w:pPr>
              <w:spacing w:after="0"/>
              <w:rPr>
                <w:sz w:val="17"/>
                <w:szCs w:val="17"/>
                <w:color w:val="auto"/>
              </w:rPr>
            </w:pPr>
          </w:p>
        </w:tc>
        <w:tc>
          <w:tcPr>
            <w:tcW w:w="180" w:type="dxa"/>
            <w:vAlign w:val="bottom"/>
            <w:tcBorders>
              <w:bottom w:val="single" w:sz="8" w:color="3051F2"/>
            </w:tcBorders>
          </w:tcPr>
          <w:p>
            <w:pPr>
              <w:jc w:val="right"/>
              <w:spacing w:after="0" w:line="205" w:lineRule="exact"/>
              <w:rPr>
                <w:sz w:val="20"/>
                <w:szCs w:val="20"/>
                <w:color w:val="auto"/>
              </w:rPr>
            </w:pPr>
            <w:r>
              <w:rPr>
                <w:rFonts w:ascii="Times New Roman" w:cs="Times New Roman" w:eastAsia="Times New Roman" w:hAnsi="Times New Roman"/>
                <w:sz w:val="18"/>
                <w:szCs w:val="18"/>
                <w:color w:val="3051F2"/>
                <w:w w:val="88"/>
              </w:rPr>
              <w:t>71</w:t>
            </w:r>
          </w:p>
        </w:tc>
      </w:tr>
      <w:tr>
        <w:trPr>
          <w:trHeight w:val="205"/>
        </w:trPr>
        <w:tc>
          <w:tcPr>
            <w:tcW w:w="20" w:type="dxa"/>
            <w:vAlign w:val="bottom"/>
          </w:tcPr>
          <w:p>
            <w:pPr>
              <w:spacing w:after="0"/>
              <w:rPr>
                <w:sz w:val="17"/>
                <w:szCs w:val="17"/>
                <w:color w:val="auto"/>
              </w:rPr>
            </w:pPr>
          </w:p>
        </w:tc>
        <w:tc>
          <w:tcPr>
            <w:tcW w:w="2820" w:type="dxa"/>
            <w:vAlign w:val="bottom"/>
            <w:tcBorders>
              <w:bottom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Cash Flows</w:t>
            </w:r>
          </w:p>
        </w:tc>
        <w:tc>
          <w:tcPr>
            <w:tcW w:w="7860" w:type="dxa"/>
            <w:vAlign w:val="bottom"/>
            <w:gridSpan w:val="5"/>
          </w:tcPr>
          <w:p>
            <w:pPr>
              <w:spacing w:after="0"/>
              <w:rPr>
                <w:sz w:val="17"/>
                <w:szCs w:val="17"/>
                <w:color w:val="auto"/>
              </w:rPr>
            </w:pPr>
          </w:p>
        </w:tc>
        <w:tc>
          <w:tcPr>
            <w:tcW w:w="180" w:type="dxa"/>
            <w:vAlign w:val="bottom"/>
            <w:tcBorders>
              <w:bottom w:val="single" w:sz="8" w:color="3051F2"/>
            </w:tcBorders>
          </w:tcPr>
          <w:p>
            <w:pPr>
              <w:jc w:val="right"/>
              <w:spacing w:after="0" w:line="205" w:lineRule="exact"/>
              <w:rPr>
                <w:sz w:val="20"/>
                <w:szCs w:val="20"/>
                <w:color w:val="auto"/>
              </w:rPr>
            </w:pPr>
            <w:r>
              <w:rPr>
                <w:rFonts w:ascii="Times New Roman" w:cs="Times New Roman" w:eastAsia="Times New Roman" w:hAnsi="Times New Roman"/>
                <w:sz w:val="18"/>
                <w:szCs w:val="18"/>
                <w:color w:val="3051F2"/>
                <w:w w:val="88"/>
              </w:rPr>
              <w:t>74</w:t>
            </w:r>
          </w:p>
        </w:tc>
      </w:tr>
      <w:tr>
        <w:trPr>
          <w:trHeight w:val="205"/>
        </w:trPr>
        <w:tc>
          <w:tcPr>
            <w:tcW w:w="20" w:type="dxa"/>
            <w:vAlign w:val="bottom"/>
          </w:tcPr>
          <w:p>
            <w:pPr>
              <w:spacing w:after="0"/>
              <w:rPr>
                <w:sz w:val="17"/>
                <w:szCs w:val="17"/>
                <w:color w:val="auto"/>
              </w:rPr>
            </w:pPr>
          </w:p>
        </w:tc>
        <w:tc>
          <w:tcPr>
            <w:tcW w:w="3100" w:type="dxa"/>
            <w:vAlign w:val="bottom"/>
            <w:tcBorders>
              <w:bottom w:val="single" w:sz="8" w:color="0000FF"/>
            </w:tcBorders>
            <w:gridSpan w:val="4"/>
          </w:tcPr>
          <w:p>
            <w:pPr>
              <w:spacing w:after="0" w:line="205" w:lineRule="exact"/>
              <w:rPr>
                <w:sz w:val="20"/>
                <w:szCs w:val="20"/>
                <w:color w:val="auto"/>
              </w:rPr>
            </w:pPr>
            <w:r>
              <w:rPr>
                <w:rFonts w:ascii="Times New Roman" w:cs="Times New Roman" w:eastAsia="Times New Roman" w:hAnsi="Times New Roman"/>
                <w:sz w:val="18"/>
                <w:szCs w:val="18"/>
                <w:color w:val="0000FF"/>
                <w:w w:val="97"/>
              </w:rPr>
              <w:t>Notes to Consolidated Financial Statements</w:t>
            </w:r>
          </w:p>
        </w:tc>
        <w:tc>
          <w:tcPr>
            <w:tcW w:w="7580" w:type="dxa"/>
            <w:vAlign w:val="bottom"/>
            <w:gridSpan w:val="4"/>
          </w:tcPr>
          <w:p>
            <w:pPr>
              <w:spacing w:after="0"/>
              <w:rPr>
                <w:sz w:val="17"/>
                <w:szCs w:val="17"/>
                <w:color w:val="auto"/>
              </w:rPr>
            </w:pPr>
          </w:p>
        </w:tc>
        <w:tc>
          <w:tcPr>
            <w:tcW w:w="180" w:type="dxa"/>
            <w:vAlign w:val="bottom"/>
            <w:tcBorders>
              <w:bottom w:val="single" w:sz="8" w:color="3051F2"/>
            </w:tcBorders>
          </w:tcPr>
          <w:p>
            <w:pPr>
              <w:jc w:val="right"/>
              <w:spacing w:after="0" w:line="205" w:lineRule="exact"/>
              <w:rPr>
                <w:sz w:val="20"/>
                <w:szCs w:val="20"/>
                <w:color w:val="auto"/>
              </w:rPr>
            </w:pPr>
            <w:r>
              <w:rPr>
                <w:rFonts w:ascii="Times New Roman" w:cs="Times New Roman" w:eastAsia="Times New Roman" w:hAnsi="Times New Roman"/>
                <w:sz w:val="18"/>
                <w:szCs w:val="18"/>
                <w:color w:val="3051F2"/>
                <w:w w:val="88"/>
              </w:rPr>
              <w:t>76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880"/>
          </w:cols>
          <w:pgMar w:left="320" w:top="118" w:right="6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ZoomInfo Technologies Inc.:</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Opinions on the Consolidated Financial Statements and Internal Control Over Financial Reporting</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ZoomInfo Technologies Inc. and subsidiaries (the Company) as of December 31, 2023 and 2022, the related consolidated statements of operations, comprehensive income (loss), changes in stockholders’ equity, and cash flows for each of the years in the three-year period ended December 31, 2023, and the related notes (collectively, the consolidated financial statements). We also have audited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3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2023 and 2022, and the results of its operations and its cash flows for each of the years in the three-year period ended December 31, 2023, in conformity with U.S. generally accepted accounting principles. Also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issued by the Committee of Sponsoring Organizations of the Treadway Commission.</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6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the realizability of deferred tax assets</w:t>
      </w:r>
    </w:p>
    <w:p>
      <w:pPr>
        <w:spacing w:after="0" w:line="166"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7"/>
          <w:szCs w:val="17"/>
          <w:color w:val="auto"/>
        </w:rPr>
        <w:t>As discussed in Note 18 to the consolidated financial statements, at December 31, 2023, the Company had deferred tax assets of $3,795.5 million. These deferred tax assets consist primarily of $3,339.3 million of deductible temporary differences related to intangibles. The Company recognizes deferred tax assets to the extent it is more likely than not that the assets will be realized. The Company considered positive and negative evidence, including future reversals of existing taxable temporary differences, projected future taxable income, tax planning strategies, and recent results of operations.</w:t>
      </w:r>
    </w:p>
    <w:p>
      <w:pPr>
        <w:spacing w:after="0" w:line="114"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We identified the evaluation of the realizability of deferred tax assets as a critical audit matter. The evaluation of the realizability of deferred tax assets required subjective auditor judgment to assess the projections of future taxable income, specifically projected revenue growth rates, over the periods in which those temporary differences become deductible.</w:t>
      </w:r>
    </w:p>
    <w:p>
      <w:pPr>
        <w:spacing w:after="0" w:line="125"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assessing the realizability of deferred tax assets, including controls related to the Company’s evaluation of projected revenue growth rates used in the projections of future taxable income. We evaluated the Company’s projected revenue growth rates used to project future taxable income by comparing them to (1) historical and projected growth rates of peer entities, and (2) historical growth rates of the Company. We performed a sensitivity analysis to assess the impact of reasonably possible changes in the projected future taxable income, including changes to projected revenue growth rates, on the Company’s determination of the realizability of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ind w:right="3819"/>
        <w:spacing w:after="0"/>
        <w:rPr>
          <w:sz w:val="20"/>
          <w:szCs w:val="20"/>
          <w:color w:val="auto"/>
        </w:rPr>
      </w:pPr>
      <w:r>
        <w:rPr>
          <w:rFonts w:ascii="Times New Roman" w:cs="Times New Roman" w:eastAsia="Times New Roman" w:hAnsi="Times New Roman"/>
          <w:sz w:val="18"/>
          <w:szCs w:val="18"/>
          <w:color w:val="auto"/>
        </w:rPr>
        <w:t>/s/ KPMG LLP</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Portland, Oregon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millions, except shares data)</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0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r>
      <w:tr>
        <w:trPr>
          <w:trHeight w:val="218"/>
        </w:trPr>
        <w:tc>
          <w:tcPr>
            <w:tcW w:w="80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5"/>
        </w:trPr>
        <w:tc>
          <w:tcPr>
            <w:tcW w:w="80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Assets</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5"/>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5"/>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6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w:t>
            </w:r>
          </w:p>
        </w:tc>
      </w:tr>
      <w:tr>
        <w:trPr>
          <w:trHeight w:val="225"/>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r>
      <w:tr>
        <w:trPr>
          <w:trHeight w:val="225"/>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cash, current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w:t>
            </w:r>
          </w:p>
        </w:tc>
      </w:tr>
      <w:tr>
        <w:trPr>
          <w:trHeight w:val="225"/>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r>
      <w:tr>
        <w:trPr>
          <w:trHeight w:val="225"/>
        </w:trPr>
        <w:tc>
          <w:tcPr>
            <w:tcW w:w="8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Income tax receivable</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9"/>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960" w:type="dxa"/>
            <w:vAlign w:val="bottom"/>
            <w:tcBorders>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832.0</w:t>
            </w:r>
          </w:p>
        </w:tc>
      </w:tr>
      <w:tr>
        <w:trPr>
          <w:trHeight w:val="86"/>
        </w:trPr>
        <w:tc>
          <w:tcPr>
            <w:tcW w:w="80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20" w:type="dxa"/>
            <w:vAlign w:val="bottom"/>
          </w:tcPr>
          <w:p>
            <w:pPr>
              <w:spacing w:after="0"/>
              <w:rPr>
                <w:sz w:val="7"/>
                <w:szCs w:val="7"/>
                <w:color w:val="auto"/>
              </w:rPr>
            </w:pPr>
          </w:p>
        </w:tc>
      </w:tr>
      <w:tr>
        <w:trPr>
          <w:trHeight w:val="225"/>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5"/>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25"/>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r>
      <w:tr>
        <w:trPr>
          <w:trHeight w:val="225"/>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395.6</w:t>
            </w:r>
          </w:p>
        </w:tc>
      </w:tr>
      <w:tr>
        <w:trPr>
          <w:trHeight w:val="225"/>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1,692.7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1,692.7</w:t>
            </w:r>
          </w:p>
        </w:tc>
      </w:tr>
      <w:tr>
        <w:trPr>
          <w:trHeight w:val="225"/>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tax assets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3,707.1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3,977.9</w:t>
            </w:r>
          </w:p>
        </w:tc>
      </w:tr>
      <w:tr>
        <w:trPr>
          <w:trHeight w:val="225"/>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costs and other assets, net of current portion</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r>
      <w:tr>
        <w:trPr>
          <w:trHeight w:val="218"/>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96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6,868.3</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7,136.4</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73"/>
        </w:trPr>
        <w:tc>
          <w:tcPr>
            <w:tcW w:w="80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r>
      <w:tr>
        <w:trPr>
          <w:trHeight w:val="225"/>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5"/>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960" w:type="dxa"/>
            <w:vAlign w:val="bottom"/>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19"/>
                <w:szCs w:val="19"/>
                <w:color w:val="auto"/>
              </w:rPr>
            </w:pPr>
          </w:p>
        </w:tc>
        <w:tc>
          <w:tcPr>
            <w:tcW w:w="5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25"/>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r>
      <w:tr>
        <w:trPr>
          <w:trHeight w:val="225"/>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Unearned revenue, current portion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416.8</w:t>
            </w:r>
          </w:p>
        </w:tc>
      </w:tr>
      <w:tr>
        <w:trPr>
          <w:trHeight w:val="225"/>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 payable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5"/>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portion of tax receivable agreements liability</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5"/>
        </w:trPr>
        <w:tc>
          <w:tcPr>
            <w:tcW w:w="8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960" w:type="dxa"/>
            <w:vAlign w:val="bottom"/>
            <w:tcBorders>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572.7</w:t>
            </w:r>
          </w:p>
        </w:tc>
      </w:tr>
      <w:tr>
        <w:trPr>
          <w:trHeight w:val="86"/>
        </w:trPr>
        <w:tc>
          <w:tcPr>
            <w:tcW w:w="80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20" w:type="dxa"/>
            <w:vAlign w:val="bottom"/>
          </w:tcPr>
          <w:p>
            <w:pPr>
              <w:spacing w:after="0"/>
              <w:rPr>
                <w:sz w:val="7"/>
                <w:szCs w:val="7"/>
                <w:color w:val="auto"/>
              </w:rPr>
            </w:pPr>
          </w:p>
        </w:tc>
      </w:tr>
      <w:tr>
        <w:trPr>
          <w:trHeight w:val="225"/>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Unearned revenue, net of current portion</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5"/>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receivable agreements liability, net of current portion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2,786.6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2,978.7</w:t>
            </w:r>
          </w:p>
        </w:tc>
      </w:tr>
      <w:tr>
        <w:trPr>
          <w:trHeight w:val="225"/>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r>
      <w:tr>
        <w:trPr>
          <w:trHeight w:val="225"/>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1,226.4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1,235.7</w:t>
            </w:r>
          </w:p>
        </w:tc>
      </w:tr>
      <w:tr>
        <w:trPr>
          <w:trHeight w:val="225"/>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5"/>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8"/>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960" w:type="dxa"/>
            <w:vAlign w:val="bottom"/>
            <w:tcBorders>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4,749.0</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4,864.6</w:t>
            </w:r>
          </w:p>
        </w:tc>
      </w:tr>
      <w:tr>
        <w:trPr>
          <w:trHeight w:val="86"/>
        </w:trPr>
        <w:tc>
          <w:tcPr>
            <w:tcW w:w="80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20" w:type="dxa"/>
            <w:vAlign w:val="bottom"/>
          </w:tcPr>
          <w:p>
            <w:pPr>
              <w:spacing w:after="0"/>
              <w:rPr>
                <w:sz w:val="7"/>
                <w:szCs w:val="7"/>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106"/>
        </w:trPr>
        <w:tc>
          <w:tcPr>
            <w:tcW w:w="80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172"/>
        </w:trPr>
        <w:tc>
          <w:tcPr>
            <w:tcW w:w="8020" w:type="dxa"/>
            <w:vAlign w:val="bottom"/>
          </w:tcPr>
          <w:p>
            <w:pPr>
              <w:ind w:left="240"/>
              <w:spacing w:after="0" w:line="172" w:lineRule="exact"/>
              <w:rPr>
                <w:sz w:val="20"/>
                <w:szCs w:val="20"/>
                <w:color w:val="auto"/>
              </w:rPr>
            </w:pPr>
            <w:r>
              <w:rPr>
                <w:rFonts w:ascii="Times New Roman" w:cs="Times New Roman" w:eastAsia="Times New Roman" w:hAnsi="Times New Roman"/>
                <w:sz w:val="18"/>
                <w:szCs w:val="18"/>
                <w:color w:val="auto"/>
              </w:rPr>
              <w:t>Common stock, par value $0.01; 3,300,000,000 shares authorized as of December 31, 2023 and 2022;</w:t>
            </w: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38"/>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384,830,529 and 404,083,262 issued and outstanding as of December 31, 2023 and 2022, respectively*</w:t>
            </w:r>
          </w:p>
        </w:tc>
        <w:tc>
          <w:tcPr>
            <w:tcW w:w="960" w:type="dxa"/>
            <w:vAlign w:val="bottom"/>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0"/>
                <w:szCs w:val="20"/>
                <w:color w:val="auto"/>
              </w:rPr>
            </w:pPr>
          </w:p>
        </w:tc>
        <w:tc>
          <w:tcPr>
            <w:tcW w:w="5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172"/>
        </w:trPr>
        <w:tc>
          <w:tcPr>
            <w:tcW w:w="8020" w:type="dxa"/>
            <w:vAlign w:val="bottom"/>
            <w:shd w:val="clear" w:color="auto" w:fill="CCEEFF"/>
          </w:tcPr>
          <w:p>
            <w:pPr>
              <w:ind w:left="240"/>
              <w:spacing w:after="0" w:line="172" w:lineRule="exact"/>
              <w:rPr>
                <w:sz w:val="20"/>
                <w:szCs w:val="20"/>
                <w:color w:val="auto"/>
              </w:rPr>
            </w:pPr>
            <w:r>
              <w:rPr>
                <w:rFonts w:ascii="Times New Roman" w:cs="Times New Roman" w:eastAsia="Times New Roman" w:hAnsi="Times New Roman"/>
                <w:sz w:val="18"/>
                <w:szCs w:val="18"/>
                <w:color w:val="auto"/>
              </w:rPr>
              <w:t>Preferred stock, par value $0.01; 200,000,000 shares authorized as of December 31, 2023 and 2022; zero</w:t>
            </w:r>
          </w:p>
        </w:tc>
        <w:tc>
          <w:tcPr>
            <w:tcW w:w="9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3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issued and outstanding as of December 31, 2023 and 2022</w:t>
            </w:r>
          </w:p>
        </w:tc>
        <w:tc>
          <w:tcPr>
            <w:tcW w:w="9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1,804.9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2,052.1</w:t>
            </w:r>
          </w:p>
        </w:tc>
      </w:tr>
      <w:tr>
        <w:trPr>
          <w:trHeight w:val="225"/>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25"/>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w:t>
            </w:r>
          </w:p>
        </w:tc>
      </w:tr>
      <w:tr>
        <w:trPr>
          <w:trHeight w:val="219"/>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960" w:type="dxa"/>
            <w:vAlign w:val="bottom"/>
            <w:tcBorders>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2,119.3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2,271.8</w:t>
            </w:r>
          </w:p>
        </w:tc>
      </w:tr>
      <w:tr>
        <w:trPr>
          <w:trHeight w:val="218"/>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96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6,868.3</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7,136.4</w:t>
            </w:r>
          </w:p>
        </w:tc>
      </w:tr>
      <w:tr>
        <w:trPr>
          <w:trHeight w:val="20"/>
        </w:trPr>
        <w:tc>
          <w:tcPr>
            <w:tcW w:w="8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w:t>
      </w:r>
    </w:p>
    <w:p>
      <w:pPr>
        <w:spacing w:after="0" w:line="14" w:lineRule="exact"/>
        <w:rPr>
          <w:sz w:val="20"/>
          <w:szCs w:val="20"/>
          <w:color w:val="auto"/>
        </w:rPr>
      </w:pPr>
    </w:p>
    <w:p>
      <w:pPr>
        <w:ind w:firstLine="6"/>
        <w:spacing w:after="0" w:line="267" w:lineRule="auto"/>
        <w:tabs>
          <w:tab w:leader="none" w:pos="21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Until May 2022, for the periods presented, there were 2,500,000,000 Class A shares, 500,000,000 Class B shares, and 300,000,000 Class C shares authorized, but zero issued and outstanding Class B and Class C shares following the Holding Company Reorganization.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ectPr>
          <w:pgSz w:w="11900" w:h="16838" w:orient="portrait"/>
          <w:cols w:equalWidth="0" w:num="1">
            <w:col w:w="11240"/>
          </w:cols>
          <w:pgMar w:left="320" w:top="118" w:right="339" w:bottom="1440" w:gutter="0" w:footer="0" w:header="0"/>
        </w:sect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3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18"/>
        </w:trPr>
        <w:tc>
          <w:tcPr>
            <w:tcW w:w="636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6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1,239.5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747.2</w:t>
            </w:r>
          </w:p>
        </w:tc>
      </w:tr>
      <w:tr>
        <w:trPr>
          <w:trHeight w:val="225"/>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5"/>
        </w:trPr>
        <w:tc>
          <w:tcPr>
            <w:tcW w:w="6360" w:type="dxa"/>
            <w:vAlign w:val="bottom"/>
            <w:shd w:val="clear" w:color="auto" w:fill="CCEEFF"/>
          </w:tcPr>
          <w:p>
            <w:pPr>
              <w:ind w:left="220"/>
              <w:spacing w:after="0" w:line="225" w:lineRule="exact"/>
              <w:rPr>
                <w:sz w:val="20"/>
                <w:szCs w:val="20"/>
                <w:color w:val="auto"/>
              </w:rPr>
            </w:pPr>
            <w:r>
              <w:rPr>
                <w:rFonts w:ascii="Times New Roman" w:cs="Times New Roman" w:eastAsia="Times New Roman" w:hAnsi="Times New Roman"/>
                <w:sz w:val="18"/>
                <w:szCs w:val="18"/>
                <w:color w:val="auto"/>
              </w:rPr>
              <w:t>Cost of service</w:t>
            </w:r>
            <w:r>
              <w:rPr>
                <w:rFonts w:ascii="Times New Roman" w:cs="Times New Roman" w:eastAsia="Times New Roman" w:hAnsi="Times New Roman"/>
                <w:sz w:val="22"/>
                <w:szCs w:val="22"/>
                <w:color w:val="auto"/>
                <w:vertAlign w:val="superscript"/>
              </w:rPr>
              <w:t>(2)</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r>
      <w:tr>
        <w:trPr>
          <w:trHeight w:val="225"/>
        </w:trPr>
        <w:tc>
          <w:tcPr>
            <w:tcW w:w="6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1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6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1,061.4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610.5</w:t>
            </w:r>
          </w:p>
        </w:tc>
      </w:tr>
      <w:tr>
        <w:trPr>
          <w:trHeight w:val="225"/>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5"/>
        </w:trPr>
        <w:tc>
          <w:tcPr>
            <w:tcW w:w="6360" w:type="dxa"/>
            <w:vAlign w:val="bottom"/>
            <w:shd w:val="clear" w:color="auto" w:fill="CCEEFF"/>
          </w:tcPr>
          <w:p>
            <w:pPr>
              <w:ind w:left="220"/>
              <w:spacing w:after="0" w:line="225"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2"/>
                <w:szCs w:val="22"/>
                <w:color w:val="auto"/>
                <w:vertAlign w:val="superscript"/>
              </w:rPr>
              <w:t>(2)</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w:t>
            </w:r>
          </w:p>
        </w:tc>
      </w:tr>
      <w:tr>
        <w:trPr>
          <w:trHeight w:val="225"/>
        </w:trPr>
        <w:tc>
          <w:tcPr>
            <w:tcW w:w="6360" w:type="dxa"/>
            <w:vAlign w:val="bottom"/>
          </w:tcPr>
          <w:p>
            <w:pPr>
              <w:ind w:left="220"/>
              <w:spacing w:after="0" w:line="225"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2"/>
                <w:szCs w:val="22"/>
                <w:color w:val="auto"/>
                <w:vertAlign w:val="superscript"/>
              </w:rPr>
              <w:t>(2)</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r>
      <w:tr>
        <w:trPr>
          <w:trHeight w:val="225"/>
        </w:trPr>
        <w:tc>
          <w:tcPr>
            <w:tcW w:w="6360" w:type="dxa"/>
            <w:vAlign w:val="bottom"/>
            <w:shd w:val="clear" w:color="auto" w:fill="CCEEFF"/>
          </w:tcPr>
          <w:p>
            <w:pPr>
              <w:ind w:left="220"/>
              <w:spacing w:after="0" w:line="225"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2"/>
                <w:szCs w:val="22"/>
                <w:color w:val="auto"/>
                <w:vertAlign w:val="superscript"/>
              </w:rPr>
              <w:t>(2)</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r>
      <w:tr>
        <w:trPr>
          <w:trHeight w:val="225"/>
        </w:trPr>
        <w:tc>
          <w:tcPr>
            <w:tcW w:w="6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25"/>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Restructuring and transaction-related expenses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18"/>
        </w:trPr>
        <w:tc>
          <w:tcPr>
            <w:tcW w:w="6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497.2</w:t>
            </w:r>
          </w:p>
        </w:tc>
      </w:tr>
      <w:tr>
        <w:trPr>
          <w:trHeight w:val="21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96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r>
      <w:tr>
        <w:trPr>
          <w:trHeight w:val="225"/>
        </w:trPr>
        <w:tc>
          <w:tcPr>
            <w:tcW w:w="6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25"/>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debt modification and extinguishment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5"/>
        </w:trPr>
        <w:tc>
          <w:tcPr>
            <w:tcW w:w="6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(income) loss, net</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1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96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r>
      <w:tr>
        <w:trPr>
          <w:trHeight w:val="225"/>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9"/>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960" w:type="dxa"/>
            <w:vAlign w:val="bottom"/>
            <w:tcBorders>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94.9</w:t>
            </w:r>
          </w:p>
        </w:tc>
      </w:tr>
      <w:tr>
        <w:trPr>
          <w:trHeight w:val="218"/>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44"/>
        </w:trPr>
        <w:tc>
          <w:tcPr>
            <w:tcW w:w="6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 attributable to ZoomInfo Technologies Inc.</w:t>
            </w:r>
          </w:p>
        </w:tc>
        <w:tc>
          <w:tcPr>
            <w:tcW w:w="960" w:type="dxa"/>
            <w:vAlign w:val="bottom"/>
            <w:tcBorders>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r>
      <w:tr>
        <w:trPr>
          <w:trHeight w:val="20"/>
        </w:trPr>
        <w:tc>
          <w:tcPr>
            <w:tcW w:w="7320" w:type="dxa"/>
            <w:vAlign w:val="bottom"/>
            <w:tcBorders>
              <w:top w:val="single" w:sz="8" w:color="CCEEFF"/>
            </w:tcBorders>
            <w:gridSpan w:val="2"/>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r>
        <w:trPr>
          <w:trHeight w:val="145"/>
        </w:trPr>
        <w:tc>
          <w:tcPr>
            <w:tcW w:w="636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r>
      <w:tr>
        <w:trPr>
          <w:trHeight w:val="225"/>
        </w:trPr>
        <w:tc>
          <w:tcPr>
            <w:tcW w:w="7320" w:type="dxa"/>
            <w:vAlign w:val="bottom"/>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Net income (loss) per share of Common Stock attributable to ZoomInfo Technologies Inc.</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6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96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r>
      <w:tr>
        <w:trPr>
          <w:trHeight w:val="265"/>
        </w:trPr>
        <w:tc>
          <w:tcPr>
            <w:tcW w:w="6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96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w:t>
      </w:r>
    </w:p>
    <w:p>
      <w:pPr>
        <w:spacing w:after="0" w:line="14" w:lineRule="exact"/>
        <w:rPr>
          <w:sz w:val="20"/>
          <w:szCs w:val="20"/>
          <w:color w:val="auto"/>
        </w:rPr>
      </w:pPr>
    </w:p>
    <w:p>
      <w:pPr>
        <w:ind w:left="320" w:hanging="314"/>
        <w:spacing w:after="0" w:line="253" w:lineRule="auto"/>
        <w:tabs>
          <w:tab w:leader="none" w:pos="31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Basic and diluted net income (loss) per share for the year ended December 31, 2021 assumes all Old ZoomInfo shares at the time of the Holding Company Reorganization equal shares of New ZoomInfo. Refer to Note 13 - Earnings Per Share for the number of shares used in, as well as the basis for, the computation of net income (loss) per share of Common Stock.</w:t>
      </w:r>
    </w:p>
    <w:p>
      <w:pPr>
        <w:ind w:left="320" w:hanging="314"/>
        <w:spacing w:after="0"/>
        <w:tabs>
          <w:tab w:leader="none" w:pos="3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equity-based compensation expense, as follows:</w:t>
      </w:r>
    </w:p>
    <w:p>
      <w:pPr>
        <w:spacing w:after="0" w:line="130"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5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7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4"/>
        </w:trPr>
        <w:tc>
          <w:tcPr>
            <w:tcW w:w="5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service</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0" w:type="dxa"/>
            <w:vAlign w:val="bottom"/>
          </w:tcPr>
          <w:p>
            <w:pPr>
              <w:spacing w:after="0"/>
              <w:rPr>
                <w:sz w:val="1"/>
                <w:szCs w:val="1"/>
                <w:color w:val="auto"/>
              </w:rPr>
            </w:pPr>
          </w:p>
        </w:tc>
      </w:tr>
      <w:tr>
        <w:trPr>
          <w:trHeight w:val="191"/>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0" w:type="dxa"/>
            <w:vAlign w:val="bottom"/>
          </w:tcPr>
          <w:p>
            <w:pPr>
              <w:spacing w:after="0"/>
              <w:rPr>
                <w:sz w:val="1"/>
                <w:szCs w:val="1"/>
                <w:color w:val="auto"/>
              </w:rPr>
            </w:pPr>
          </w:p>
        </w:tc>
      </w:tr>
      <w:tr>
        <w:trPr>
          <w:trHeight w:val="20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0" w:type="dxa"/>
            <w:vAlign w:val="bottom"/>
          </w:tcPr>
          <w:p>
            <w:pPr>
              <w:spacing w:after="0"/>
              <w:rPr>
                <w:sz w:val="1"/>
                <w:szCs w:val="1"/>
                <w:color w:val="auto"/>
              </w:rPr>
            </w:pPr>
          </w:p>
        </w:tc>
      </w:tr>
      <w:tr>
        <w:trPr>
          <w:trHeight w:val="192"/>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0" w:type="dxa"/>
            <w:vAlign w:val="bottom"/>
          </w:tcPr>
          <w:p>
            <w:pPr>
              <w:spacing w:after="0"/>
              <w:rPr>
                <w:sz w:val="1"/>
                <w:szCs w:val="1"/>
                <w:color w:val="auto"/>
              </w:rPr>
            </w:pPr>
          </w:p>
        </w:tc>
      </w:tr>
      <w:tr>
        <w:trPr>
          <w:trHeight w:val="224"/>
        </w:trPr>
        <w:tc>
          <w:tcPr>
            <w:tcW w:w="5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equity-based compensation expense</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3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18"/>
        </w:trPr>
        <w:tc>
          <w:tcPr>
            <w:tcW w:w="636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4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r>
      <w:tr>
        <w:trPr>
          <w:trHeight w:val="225"/>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5"/>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gain (loss) on cash flow hedges</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25"/>
        </w:trPr>
        <w:tc>
          <w:tcPr>
            <w:tcW w:w="6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Realized loss (gain) on settlement of cash flow hedges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5"/>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deferred losses related to the dedesignated Interest Rate Swap</w:t>
            </w: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8"/>
        </w:trPr>
        <w:tc>
          <w:tcPr>
            <w:tcW w:w="6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19"/>
        </w:trPr>
        <w:tc>
          <w:tcPr>
            <w:tcW w:w="63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Tax effect</w:t>
            </w: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8"/>
        </w:trPr>
        <w:tc>
          <w:tcPr>
            <w:tcW w:w="6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1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04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111.1</w:t>
            </w:r>
          </w:p>
        </w:tc>
      </w:tr>
      <w:tr>
        <w:trPr>
          <w:trHeight w:val="225"/>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interests</w:t>
            </w:r>
          </w:p>
        </w:tc>
        <w:tc>
          <w:tcPr>
            <w:tcW w:w="104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43"/>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ZoomInfo Technologies Inc.</w:t>
            </w:r>
          </w:p>
        </w:tc>
        <w:tc>
          <w:tcPr>
            <w:tcW w:w="1040" w:type="dxa"/>
            <w:vAlign w:val="bottom"/>
            <w:tcBorders>
              <w:top w:val="single" w:sz="8" w:color="auto"/>
              <w:bottom w:val="single" w:sz="8" w:color="auto"/>
            </w:tcBorders>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127.5</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7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5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i w:val="1"/>
          <w:iCs w:val="1"/>
          <w:color w:val="auto"/>
        </w:rPr>
        <w:t>(in millions, except shares data)</w:t>
      </w:r>
    </w:p>
    <w:p>
      <w:pPr>
        <w:spacing w:after="0" w:line="1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New ZoomInfo Common</w:t>
      </w: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Stock</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54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00"/>
              <w:spacing w:after="0" w:line="164" w:lineRule="exact"/>
              <w:rPr>
                <w:sz w:val="20"/>
                <w:szCs w:val="20"/>
                <w:color w:val="auto"/>
              </w:rPr>
            </w:pPr>
            <w:r>
              <w:rPr>
                <w:rFonts w:ascii="Times New Roman" w:cs="Times New Roman" w:eastAsia="Times New Roman" w:hAnsi="Times New Roman"/>
                <w:sz w:val="18"/>
                <w:szCs w:val="18"/>
                <w:b w:val="1"/>
                <w:bCs w:val="1"/>
                <w:color w:val="auto"/>
                <w:w w:val="97"/>
              </w:rPr>
              <w:t>Additional</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540" w:type="dxa"/>
            <w:vAlign w:val="bottom"/>
          </w:tcPr>
          <w:p>
            <w:pPr>
              <w:spacing w:after="0"/>
              <w:rPr>
                <w:sz w:val="14"/>
                <w:szCs w:val="14"/>
                <w:color w:val="auto"/>
              </w:rPr>
            </w:pPr>
          </w:p>
        </w:tc>
        <w:tc>
          <w:tcPr>
            <w:tcW w:w="11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14"/>
                <w:szCs w:val="14"/>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4"/>
                <w:szCs w:val="14"/>
                <w:color w:val="auto"/>
              </w:rPr>
            </w:pPr>
          </w:p>
        </w:tc>
        <w:tc>
          <w:tcPr>
            <w:tcW w:w="1040" w:type="dxa"/>
            <w:vAlign w:val="bottom"/>
            <w:gridSpan w:val="2"/>
          </w:tcPr>
          <w:p>
            <w:pPr>
              <w:jc w:val="center"/>
              <w:ind w:right="220"/>
              <w:spacing w:after="0" w:line="172" w:lineRule="exact"/>
              <w:rPr>
                <w:sz w:val="20"/>
                <w:szCs w:val="20"/>
                <w:color w:val="auto"/>
              </w:rPr>
            </w:pPr>
            <w:r>
              <w:rPr>
                <w:rFonts w:ascii="Times New Roman" w:cs="Times New Roman" w:eastAsia="Times New Roman" w:hAnsi="Times New Roman"/>
                <w:sz w:val="18"/>
                <w:szCs w:val="18"/>
                <w:b w:val="1"/>
                <w:bCs w:val="1"/>
                <w:color w:val="auto"/>
                <w:w w:val="98"/>
              </w:rPr>
              <w:t>paid-in</w:t>
            </w:r>
          </w:p>
        </w:tc>
        <w:tc>
          <w:tcPr>
            <w:tcW w:w="180" w:type="dxa"/>
            <w:vAlign w:val="bottom"/>
          </w:tcPr>
          <w:p>
            <w:pPr>
              <w:spacing w:after="0"/>
              <w:rPr>
                <w:sz w:val="14"/>
                <w:szCs w:val="14"/>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AOCI</w:t>
            </w: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Total Equity</w:t>
            </w:r>
          </w:p>
        </w:tc>
        <w:tc>
          <w:tcPr>
            <w:tcW w:w="0" w:type="dxa"/>
            <w:vAlign w:val="bottom"/>
          </w:tcPr>
          <w:p>
            <w:pPr>
              <w:spacing w:after="0"/>
              <w:rPr>
                <w:sz w:val="1"/>
                <w:szCs w:val="1"/>
                <w:color w:val="auto"/>
              </w:rPr>
            </w:pPr>
          </w:p>
        </w:tc>
      </w:tr>
      <w:tr>
        <w:trPr>
          <w:trHeight w:val="238"/>
        </w:trPr>
        <w:tc>
          <w:tcPr>
            <w:tcW w:w="454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capital</w:t>
            </w:r>
          </w:p>
        </w:tc>
        <w:tc>
          <w:tcPr>
            <w:tcW w:w="180" w:type="dxa"/>
            <w:vAlign w:val="bottom"/>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0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2022</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404,083,262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2,271.8</w:t>
            </w:r>
          </w:p>
        </w:tc>
        <w:tc>
          <w:tcPr>
            <w:tcW w:w="0" w:type="dxa"/>
            <w:vAlign w:val="bottom"/>
          </w:tcPr>
          <w:p>
            <w:pPr>
              <w:spacing w:after="0"/>
              <w:rPr>
                <w:sz w:val="1"/>
                <w:szCs w:val="1"/>
                <w:color w:val="auto"/>
              </w:rPr>
            </w:pPr>
          </w:p>
        </w:tc>
      </w:tr>
      <w:tr>
        <w:trPr>
          <w:trHeight w:val="225"/>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 upon vesting of RSUs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4,308,143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4540" w:type="dxa"/>
            <w:vAlign w:val="bottom"/>
            <w:shd w:val="clear" w:color="auto" w:fill="CCEEFF"/>
          </w:tcPr>
          <w:p>
            <w:pPr>
              <w:ind w:left="120"/>
              <w:spacing w:after="0" w:line="172" w:lineRule="exact"/>
              <w:rPr>
                <w:sz w:val="20"/>
                <w:szCs w:val="20"/>
                <w:color w:val="auto"/>
              </w:rPr>
            </w:pPr>
            <w:r>
              <w:rPr>
                <w:rFonts w:ascii="Times New Roman" w:cs="Times New Roman" w:eastAsia="Times New Roman" w:hAnsi="Times New Roman"/>
                <w:sz w:val="18"/>
                <w:szCs w:val="18"/>
                <w:color w:val="auto"/>
              </w:rPr>
              <w:t>Issuance of common stock related to employee stock</w:t>
            </w: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plan</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339,282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5"/>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withheld related to net share settlement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(1,279,965)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25"/>
        </w:trPr>
        <w:tc>
          <w:tcPr>
            <w:tcW w:w="4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5"/>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Forfeitures / cancellations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(22,627,664)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w:t>
            </w:r>
          </w:p>
        </w:tc>
        <w:tc>
          <w:tcPr>
            <w:tcW w:w="0" w:type="dxa"/>
            <w:vAlign w:val="bottom"/>
          </w:tcPr>
          <w:p>
            <w:pPr>
              <w:spacing w:after="0"/>
              <w:rPr>
                <w:sz w:val="1"/>
                <w:szCs w:val="1"/>
                <w:color w:val="auto"/>
              </w:rPr>
            </w:pPr>
          </w:p>
        </w:tc>
      </w:tr>
      <w:tr>
        <w:trPr>
          <w:trHeight w:val="225"/>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0" w:type="dxa"/>
            <w:vAlign w:val="bottom"/>
          </w:tcPr>
          <w:p>
            <w:pPr>
              <w:spacing w:after="0"/>
              <w:rPr>
                <w:sz w:val="1"/>
                <w:szCs w:val="1"/>
                <w:color w:val="auto"/>
              </w:rPr>
            </w:pPr>
          </w:p>
        </w:tc>
      </w:tr>
      <w:tr>
        <w:trPr>
          <w:trHeight w:val="225"/>
        </w:trPr>
        <w:tc>
          <w:tcPr>
            <w:tcW w:w="4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25"/>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0" w:type="dxa"/>
            <w:vAlign w:val="bottom"/>
          </w:tcPr>
          <w:p>
            <w:pPr>
              <w:spacing w:after="0"/>
              <w:rPr>
                <w:sz w:val="1"/>
                <w:szCs w:val="1"/>
                <w:color w:val="auto"/>
              </w:rPr>
            </w:pPr>
          </w:p>
        </w:tc>
      </w:tr>
      <w:tr>
        <w:trPr>
          <w:trHeight w:val="243"/>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384,830,529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1,804.9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2,119.3</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5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i w:val="1"/>
          <w:iCs w:val="1"/>
          <w:color w:val="auto"/>
        </w:rPr>
        <w:t>(in millions, except shares data)</w:t>
      </w:r>
    </w:p>
    <w:p>
      <w:pPr>
        <w:spacing w:after="0" w:line="1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New ZoomInfo Common</w:t>
      </w: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Stock</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54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00"/>
              <w:spacing w:after="0" w:line="164" w:lineRule="exact"/>
              <w:rPr>
                <w:sz w:val="20"/>
                <w:szCs w:val="20"/>
                <w:color w:val="auto"/>
              </w:rPr>
            </w:pPr>
            <w:r>
              <w:rPr>
                <w:rFonts w:ascii="Times New Roman" w:cs="Times New Roman" w:eastAsia="Times New Roman" w:hAnsi="Times New Roman"/>
                <w:sz w:val="18"/>
                <w:szCs w:val="18"/>
                <w:b w:val="1"/>
                <w:bCs w:val="1"/>
                <w:color w:val="auto"/>
                <w:w w:val="97"/>
              </w:rPr>
              <w:t>Additional</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540" w:type="dxa"/>
            <w:vAlign w:val="bottom"/>
          </w:tcPr>
          <w:p>
            <w:pPr>
              <w:spacing w:after="0"/>
              <w:rPr>
                <w:sz w:val="14"/>
                <w:szCs w:val="14"/>
                <w:color w:val="auto"/>
              </w:rPr>
            </w:pPr>
          </w:p>
        </w:tc>
        <w:tc>
          <w:tcPr>
            <w:tcW w:w="11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14"/>
                <w:szCs w:val="14"/>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4"/>
                <w:szCs w:val="14"/>
                <w:color w:val="auto"/>
              </w:rPr>
            </w:pPr>
          </w:p>
        </w:tc>
        <w:tc>
          <w:tcPr>
            <w:tcW w:w="1040" w:type="dxa"/>
            <w:vAlign w:val="bottom"/>
            <w:gridSpan w:val="2"/>
          </w:tcPr>
          <w:p>
            <w:pPr>
              <w:jc w:val="center"/>
              <w:ind w:right="220"/>
              <w:spacing w:after="0" w:line="172" w:lineRule="exact"/>
              <w:rPr>
                <w:sz w:val="20"/>
                <w:szCs w:val="20"/>
                <w:color w:val="auto"/>
              </w:rPr>
            </w:pPr>
            <w:r>
              <w:rPr>
                <w:rFonts w:ascii="Times New Roman" w:cs="Times New Roman" w:eastAsia="Times New Roman" w:hAnsi="Times New Roman"/>
                <w:sz w:val="18"/>
                <w:szCs w:val="18"/>
                <w:b w:val="1"/>
                <w:bCs w:val="1"/>
                <w:color w:val="auto"/>
                <w:w w:val="98"/>
              </w:rPr>
              <w:t>paid-in</w:t>
            </w:r>
          </w:p>
        </w:tc>
        <w:tc>
          <w:tcPr>
            <w:tcW w:w="180" w:type="dxa"/>
            <w:vAlign w:val="bottom"/>
          </w:tcPr>
          <w:p>
            <w:pPr>
              <w:spacing w:after="0"/>
              <w:rPr>
                <w:sz w:val="14"/>
                <w:szCs w:val="14"/>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AOCI</w:t>
            </w: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Total Equity</w:t>
            </w:r>
          </w:p>
        </w:tc>
        <w:tc>
          <w:tcPr>
            <w:tcW w:w="0" w:type="dxa"/>
            <w:vAlign w:val="bottom"/>
          </w:tcPr>
          <w:p>
            <w:pPr>
              <w:spacing w:after="0"/>
              <w:rPr>
                <w:sz w:val="1"/>
                <w:szCs w:val="1"/>
                <w:color w:val="auto"/>
              </w:rPr>
            </w:pPr>
          </w:p>
        </w:tc>
      </w:tr>
      <w:tr>
        <w:trPr>
          <w:trHeight w:val="238"/>
        </w:trPr>
        <w:tc>
          <w:tcPr>
            <w:tcW w:w="454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capital</w:t>
            </w:r>
          </w:p>
        </w:tc>
        <w:tc>
          <w:tcPr>
            <w:tcW w:w="180" w:type="dxa"/>
            <w:vAlign w:val="bottom"/>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0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2021</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403,315,989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1,997.9</w:t>
            </w:r>
          </w:p>
        </w:tc>
        <w:tc>
          <w:tcPr>
            <w:tcW w:w="0" w:type="dxa"/>
            <w:vAlign w:val="bottom"/>
          </w:tcPr>
          <w:p>
            <w:pPr>
              <w:spacing w:after="0"/>
              <w:rPr>
                <w:sz w:val="1"/>
                <w:szCs w:val="1"/>
                <w:color w:val="auto"/>
              </w:rPr>
            </w:pPr>
          </w:p>
        </w:tc>
      </w:tr>
      <w:tr>
        <w:trPr>
          <w:trHeight w:val="225"/>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 upon vesting of RSUs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1,250,216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4540" w:type="dxa"/>
            <w:vAlign w:val="bottom"/>
            <w:shd w:val="clear" w:color="auto" w:fill="CCEEFF"/>
          </w:tcPr>
          <w:p>
            <w:pPr>
              <w:ind w:left="120"/>
              <w:spacing w:after="0" w:line="172" w:lineRule="exact"/>
              <w:rPr>
                <w:sz w:val="20"/>
                <w:szCs w:val="20"/>
                <w:color w:val="auto"/>
              </w:rPr>
            </w:pPr>
            <w:r>
              <w:rPr>
                <w:rFonts w:ascii="Times New Roman" w:cs="Times New Roman" w:eastAsia="Times New Roman" w:hAnsi="Times New Roman"/>
                <w:sz w:val="18"/>
                <w:szCs w:val="18"/>
                <w:color w:val="auto"/>
              </w:rPr>
              <w:t>Issuance of Common Stock related to employee stock</w:t>
            </w: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plan</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155,599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5"/>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withheld related to net share settlement and other</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(422,688)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25"/>
        </w:trPr>
        <w:tc>
          <w:tcPr>
            <w:tcW w:w="4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63,193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5"/>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Forfeitures / cancellations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(279,047)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25"/>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25"/>
        </w:trPr>
        <w:tc>
          <w:tcPr>
            <w:tcW w:w="4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0" w:type="dxa"/>
            <w:vAlign w:val="bottom"/>
          </w:tcPr>
          <w:p>
            <w:pPr>
              <w:spacing w:after="0"/>
              <w:rPr>
                <w:sz w:val="1"/>
                <w:szCs w:val="1"/>
                <w:color w:val="auto"/>
              </w:rPr>
            </w:pPr>
          </w:p>
        </w:tc>
      </w:tr>
      <w:tr>
        <w:trPr>
          <w:trHeight w:val="218"/>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2022</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404,083,262</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2,052.1</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2,271.8</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7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5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i w:val="1"/>
          <w:iCs w:val="1"/>
          <w:color w:val="auto"/>
        </w:rPr>
        <w:t>(in millions, except shares data)</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Old ZoomInfo</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New ZoomInfo</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3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2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1340" w:type="dxa"/>
            <w:vAlign w:val="bottom"/>
          </w:tcPr>
          <w:p>
            <w:pPr>
              <w:spacing w:after="0"/>
              <w:rPr>
                <w:sz w:val="10"/>
                <w:szCs w:val="10"/>
                <w:color w:val="auto"/>
              </w:rPr>
            </w:pPr>
          </w:p>
        </w:tc>
        <w:tc>
          <w:tcPr>
            <w:tcW w:w="9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9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680" w:type="dxa"/>
            <w:vAlign w:val="bottom"/>
            <w:tcBorders>
              <w:right w:val="single" w:sz="8" w:color="auto"/>
            </w:tcBorders>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10"/>
                <w:szCs w:val="10"/>
                <w:color w:val="auto"/>
              </w:rPr>
            </w:pPr>
          </w:p>
        </w:tc>
        <w:tc>
          <w:tcPr>
            <w:tcW w:w="52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4"/>
        </w:trPr>
        <w:tc>
          <w:tcPr>
            <w:tcW w:w="13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680" w:type="dxa"/>
            <w:vAlign w:val="bottom"/>
            <w:tcBorders>
              <w:right w:val="single" w:sz="8" w:color="auto"/>
            </w:tcBorders>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vMerge w:val="restart"/>
          </w:tcPr>
          <w:p>
            <w:pPr>
              <w:spacing w:after="0"/>
              <w:rPr>
                <w:sz w:val="12"/>
                <w:szCs w:val="12"/>
                <w:color w:val="auto"/>
              </w:rPr>
            </w:pPr>
          </w:p>
        </w:tc>
        <w:tc>
          <w:tcPr>
            <w:tcW w:w="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paid-in</w:t>
            </w:r>
          </w:p>
        </w:tc>
        <w:tc>
          <w:tcPr>
            <w:tcW w:w="520" w:type="dxa"/>
            <w:vAlign w:val="bottom"/>
            <w:gridSpan w:val="2"/>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AOCI</w:t>
            </w:r>
          </w:p>
        </w:tc>
        <w:tc>
          <w:tcPr>
            <w:tcW w:w="60" w:type="dxa"/>
            <w:vAlign w:val="bottom"/>
            <w:vMerge w:val="restart"/>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34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56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CCEEFF"/>
            </w:tcBorders>
            <w:vMerge w:val="continue"/>
          </w:tcPr>
          <w:p>
            <w:pPr>
              <w:spacing w:after="0"/>
              <w:rPr>
                <w:sz w:val="16"/>
                <w:szCs w:val="16"/>
                <w:color w:val="auto"/>
              </w:rPr>
            </w:pPr>
          </w:p>
        </w:tc>
        <w:tc>
          <w:tcPr>
            <w:tcW w:w="6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20"/>
        </w:trPr>
        <w:tc>
          <w:tcPr>
            <w:tcW w:w="1340" w:type="dxa"/>
            <w:vAlign w:val="bottom"/>
            <w:shd w:val="clear" w:color="auto" w:fill="CCEEFF"/>
          </w:tcPr>
          <w:p>
            <w:pPr>
              <w:ind w:left="20"/>
              <w:spacing w:after="0" w:line="120" w:lineRule="exact"/>
              <w:rPr>
                <w:sz w:val="20"/>
                <w:szCs w:val="20"/>
                <w:color w:val="auto"/>
              </w:rPr>
            </w:pPr>
            <w:r>
              <w:rPr>
                <w:rFonts w:ascii="Times New Roman" w:cs="Times New Roman" w:eastAsia="Times New Roman" w:hAnsi="Times New Roman"/>
                <w:sz w:val="13"/>
                <w:szCs w:val="13"/>
                <w:b w:val="1"/>
                <w:bCs w:val="1"/>
                <w:color w:val="auto"/>
              </w:rPr>
              <w:t>Balance, December</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87,697,381</w:t>
            </w:r>
          </w:p>
        </w:tc>
        <w:tc>
          <w:tcPr>
            <w:tcW w:w="8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216,652,704</w:t>
            </w:r>
          </w:p>
        </w:tc>
        <w:tc>
          <w:tcPr>
            <w:tcW w:w="8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86,123,230</w:t>
            </w:r>
          </w:p>
        </w:tc>
        <w:tc>
          <w:tcPr>
            <w:tcW w:w="8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505.2</w:t>
            </w:r>
          </w:p>
        </w:tc>
        <w:tc>
          <w:tcPr>
            <w:tcW w:w="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6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436.8</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939.6</w:t>
            </w:r>
          </w:p>
        </w:tc>
        <w:tc>
          <w:tcPr>
            <w:tcW w:w="0" w:type="dxa"/>
            <w:vAlign w:val="bottom"/>
          </w:tcPr>
          <w:p>
            <w:pPr>
              <w:spacing w:after="0"/>
              <w:rPr>
                <w:sz w:val="1"/>
                <w:szCs w:val="1"/>
                <w:color w:val="auto"/>
              </w:rPr>
            </w:pPr>
          </w:p>
        </w:tc>
      </w:tr>
      <w:tr>
        <w:trPr>
          <w:trHeight w:val="197"/>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31, 2020</w:t>
            </w: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4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400" w:type="dxa"/>
            <w:vAlign w:val="bottom"/>
            <w:vMerge w:val="continue"/>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1340" w:type="dxa"/>
            <w:vAlign w:val="bottom"/>
          </w:tcPr>
          <w:p>
            <w:pPr>
              <w:ind w:left="120"/>
              <w:spacing w:after="0" w:line="137" w:lineRule="exact"/>
              <w:rPr>
                <w:sz w:val="20"/>
                <w:szCs w:val="20"/>
                <w:color w:val="auto"/>
              </w:rPr>
            </w:pPr>
            <w:r>
              <w:rPr>
                <w:rFonts w:ascii="Times New Roman" w:cs="Times New Roman" w:eastAsia="Times New Roman" w:hAnsi="Times New Roman"/>
                <w:sz w:val="14"/>
                <w:szCs w:val="14"/>
                <w:color w:val="auto"/>
              </w:rPr>
              <w:t>Effect of LLC Unit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287,441,782</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(194,270,370)</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(86,123,230)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1"/>
                <w:szCs w:val="11"/>
                <w:color w:val="auto"/>
              </w:rPr>
            </w:pP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1,288.6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0.8</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(415.2)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874.1</w:t>
            </w:r>
          </w:p>
        </w:tc>
        <w:tc>
          <w:tcPr>
            <w:tcW w:w="0" w:type="dxa"/>
            <w:vAlign w:val="bottom"/>
          </w:tcPr>
          <w:p>
            <w:pPr>
              <w:spacing w:after="0"/>
              <w:rPr>
                <w:sz w:val="1"/>
                <w:szCs w:val="1"/>
                <w:color w:val="auto"/>
              </w:rPr>
            </w:pPr>
          </w:p>
        </w:tc>
      </w:tr>
      <w:tr>
        <w:trPr>
          <w:trHeight w:val="189"/>
        </w:trPr>
        <w:tc>
          <w:tcPr>
            <w:tcW w:w="1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Exchanges</w:t>
            </w: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34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Effect of Corporate</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4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Structure</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340" w:type="dxa"/>
            <w:vAlign w:val="bottom"/>
            <w:shd w:val="clear" w:color="auto" w:fill="CCEEFF"/>
          </w:tcPr>
          <w:p>
            <w:pPr>
              <w:ind w:left="120"/>
              <w:spacing w:after="0" w:line="137" w:lineRule="exact"/>
              <w:rPr>
                <w:sz w:val="20"/>
                <w:szCs w:val="20"/>
                <w:color w:val="auto"/>
              </w:rPr>
            </w:pPr>
            <w:r>
              <w:rPr>
                <w:rFonts w:ascii="Times New Roman" w:cs="Times New Roman" w:eastAsia="Times New Roman" w:hAnsi="Times New Roman"/>
                <w:sz w:val="14"/>
                <w:szCs w:val="14"/>
                <w:color w:val="auto"/>
              </w:rPr>
              <w:t>Simplification</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1"/>
                <w:szCs w:val="11"/>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1"/>
                <w:szCs w:val="11"/>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1"/>
                <w:szCs w:val="11"/>
                <w:color w:val="auto"/>
              </w:rPr>
            </w:pPr>
          </w:p>
        </w:tc>
        <w:tc>
          <w:tcPr>
            <w:tcW w:w="5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Transactions</w:t>
            </w: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gridSpan w:val="2"/>
            <w:vMerge w:val="continue"/>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vMerge w:val="continue"/>
            <w:shd w:val="clear" w:color="auto" w:fill="CCEEFF"/>
          </w:tcPr>
          <w:p>
            <w:pPr>
              <w:spacing w:after="0"/>
              <w:rPr>
                <w:sz w:val="16"/>
                <w:szCs w:val="16"/>
                <w:color w:val="auto"/>
              </w:rPr>
            </w:pP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vMerge w:val="continue"/>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340" w:type="dxa"/>
            <w:vAlign w:val="bottom"/>
          </w:tcPr>
          <w:p>
            <w:pPr>
              <w:ind w:left="120"/>
              <w:spacing w:after="0" w:line="137" w:lineRule="exact"/>
              <w:rPr>
                <w:sz w:val="20"/>
                <w:szCs w:val="20"/>
                <w:color w:val="auto"/>
              </w:rPr>
            </w:pPr>
            <w:r>
              <w:rPr>
                <w:rFonts w:ascii="Times New Roman" w:cs="Times New Roman" w:eastAsia="Times New Roman" w:hAnsi="Times New Roman"/>
                <w:sz w:val="14"/>
                <w:szCs w:val="14"/>
                <w:color w:val="auto"/>
              </w:rPr>
              <w:t>Issuance of Class A</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34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common stock upon</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306,178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50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137,469</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1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vesting of RSUs</w:t>
            </w: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340" w:type="dxa"/>
            <w:vAlign w:val="bottom"/>
            <w:shd w:val="clear" w:color="auto" w:fill="CCEEFF"/>
          </w:tcPr>
          <w:p>
            <w:pPr>
              <w:ind w:left="120"/>
              <w:spacing w:after="0" w:line="144" w:lineRule="exact"/>
              <w:rPr>
                <w:sz w:val="20"/>
                <w:szCs w:val="20"/>
                <w:color w:val="auto"/>
              </w:rPr>
            </w:pPr>
            <w:r>
              <w:rPr>
                <w:rFonts w:ascii="Times New Roman" w:cs="Times New Roman" w:eastAsia="Times New Roman" w:hAnsi="Times New Roman"/>
                <w:sz w:val="14"/>
                <w:szCs w:val="14"/>
                <w:color w:val="auto"/>
              </w:rPr>
              <w:t>Shares withheld</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4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related to net share</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(118,664)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5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(46,366)</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199"/>
        </w:trPr>
        <w:tc>
          <w:tcPr>
            <w:tcW w:w="1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settlement and other</w:t>
            </w: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tcBorders>
              <w:right w:val="single" w:sz="8" w:color="auto"/>
            </w:tcBorders>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1340" w:type="dxa"/>
            <w:vAlign w:val="bottom"/>
          </w:tcPr>
          <w:p>
            <w:pPr>
              <w:ind w:left="120"/>
              <w:spacing w:after="0" w:line="137" w:lineRule="exact"/>
              <w:rPr>
                <w:sz w:val="20"/>
                <w:szCs w:val="20"/>
                <w:color w:val="auto"/>
              </w:rPr>
            </w:pPr>
            <w:r>
              <w:rPr>
                <w:rFonts w:ascii="Times New Roman" w:cs="Times New Roman" w:eastAsia="Times New Roman" w:hAnsi="Times New Roman"/>
                <w:sz w:val="14"/>
                <w:szCs w:val="14"/>
                <w:color w:val="auto"/>
              </w:rPr>
              <w:t>Exercise of stock</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65,994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50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36,319</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89"/>
        </w:trPr>
        <w:tc>
          <w:tcPr>
            <w:tcW w:w="1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options</w:t>
            </w: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34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Forfeitures /</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(43,557)</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5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(17,870)</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1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cancellations</w:t>
            </w: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340" w:type="dxa"/>
            <w:vAlign w:val="bottom"/>
          </w:tcPr>
          <w:p>
            <w:pPr>
              <w:ind w:left="120"/>
              <w:spacing w:after="0" w:line="137" w:lineRule="exact"/>
              <w:rPr>
                <w:sz w:val="20"/>
                <w:szCs w:val="20"/>
                <w:color w:val="auto"/>
              </w:rPr>
            </w:pPr>
            <w:r>
              <w:rPr>
                <w:rFonts w:ascii="Times New Roman" w:cs="Times New Roman" w:eastAsia="Times New Roman" w:hAnsi="Times New Roman"/>
                <w:sz w:val="14"/>
                <w:szCs w:val="14"/>
                <w:color w:val="auto"/>
              </w:rPr>
              <w:t>Registered offering</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50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1"/>
                <w:szCs w:val="11"/>
                <w:color w:val="auto"/>
              </w:rPr>
            </w:pP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9"/>
        </w:trPr>
        <w:tc>
          <w:tcPr>
            <w:tcW w:w="1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costs</w:t>
            </w: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income (loss)</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5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w:t>
            </w:r>
          </w:p>
        </w:tc>
        <w:tc>
          <w:tcPr>
            <w:tcW w:w="0" w:type="dxa"/>
            <w:vAlign w:val="bottom"/>
          </w:tcPr>
          <w:p>
            <w:pPr>
              <w:spacing w:after="0"/>
              <w:rPr>
                <w:sz w:val="1"/>
                <w:szCs w:val="1"/>
                <w:color w:val="auto"/>
              </w:rPr>
            </w:pPr>
          </w:p>
        </w:tc>
      </w:tr>
      <w:tr>
        <w:trPr>
          <w:trHeight w:val="136"/>
        </w:trPr>
        <w:tc>
          <w:tcPr>
            <w:tcW w:w="1340" w:type="dxa"/>
            <w:vAlign w:val="bottom"/>
          </w:tcPr>
          <w:p>
            <w:pPr>
              <w:ind w:left="120"/>
              <w:spacing w:after="0" w:line="137" w:lineRule="exact"/>
              <w:rPr>
                <w:sz w:val="20"/>
                <w:szCs w:val="20"/>
                <w:color w:val="auto"/>
              </w:rPr>
            </w:pPr>
            <w:r>
              <w:rPr>
                <w:rFonts w:ascii="Times New Roman" w:cs="Times New Roman" w:eastAsia="Times New Roman" w:hAnsi="Times New Roman"/>
                <w:sz w:val="14"/>
                <w:szCs w:val="14"/>
                <w:color w:val="auto"/>
              </w:rPr>
              <w:t>Other</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34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comprehensive</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50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10.7</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r>
        <w:trPr>
          <w:trHeight w:val="191"/>
        </w:trPr>
        <w:tc>
          <w:tcPr>
            <w:tcW w:w="1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income (loss)</w:t>
            </w: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340" w:type="dxa"/>
            <w:vAlign w:val="bottom"/>
            <w:shd w:val="clear" w:color="auto" w:fill="CCEEFF"/>
          </w:tcPr>
          <w:p>
            <w:pPr>
              <w:ind w:left="120"/>
              <w:spacing w:after="0" w:line="144" w:lineRule="exact"/>
              <w:rPr>
                <w:sz w:val="20"/>
                <w:szCs w:val="20"/>
                <w:color w:val="auto"/>
              </w:rPr>
            </w:pPr>
            <w:r>
              <w:rPr>
                <w:rFonts w:ascii="Times New Roman" w:cs="Times New Roman" w:eastAsia="Times New Roman" w:hAnsi="Times New Roman"/>
                <w:sz w:val="14"/>
                <w:szCs w:val="14"/>
                <w:color w:val="auto"/>
              </w:rPr>
              <w:t>Paid and accrued tax</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5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195"/>
        </w:trPr>
        <w:tc>
          <w:tcPr>
            <w:tcW w:w="1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distributions</w:t>
            </w: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340" w:type="dxa"/>
            <w:vAlign w:val="bottom"/>
          </w:tcPr>
          <w:p>
            <w:pPr>
              <w:ind w:left="120"/>
              <w:spacing w:after="0" w:line="137" w:lineRule="exact"/>
              <w:rPr>
                <w:sz w:val="20"/>
                <w:szCs w:val="20"/>
                <w:color w:val="auto"/>
              </w:rPr>
            </w:pPr>
            <w:r>
              <w:rPr>
                <w:rFonts w:ascii="Times New Roman" w:cs="Times New Roman" w:eastAsia="Times New Roman" w:hAnsi="Times New Roman"/>
                <w:sz w:val="14"/>
                <w:szCs w:val="14"/>
                <w:color w:val="auto"/>
              </w:rPr>
              <w:t>Equity-based</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50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1"/>
                <w:szCs w:val="11"/>
                <w:color w:val="auto"/>
              </w:rPr>
            </w:pP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93.0</w:t>
            </w:r>
          </w:p>
        </w:tc>
        <w:tc>
          <w:tcPr>
            <w:tcW w:w="0" w:type="dxa"/>
            <w:vAlign w:val="bottom"/>
          </w:tcPr>
          <w:p>
            <w:pPr>
              <w:spacing w:after="0"/>
              <w:rPr>
                <w:sz w:val="1"/>
                <w:szCs w:val="1"/>
                <w:color w:val="auto"/>
              </w:rPr>
            </w:pPr>
          </w:p>
        </w:tc>
      </w:tr>
      <w:tr>
        <w:trPr>
          <w:trHeight w:val="189"/>
        </w:trPr>
        <w:tc>
          <w:tcPr>
            <w:tcW w:w="1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compensation</w:t>
            </w: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34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Effect of Holding</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4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Company</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(375,382,280)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(22,338,777)</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vMerge w:val="restart"/>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403,206,437</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1"/>
              </w:rPr>
              <w:t>4.0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0.4</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1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Reorganization</w:t>
            </w: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right w:val="single" w:sz="8" w:color="auto"/>
            </w:tcBorders>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1340" w:type="dxa"/>
            <w:vAlign w:val="bottom"/>
          </w:tcPr>
          <w:p>
            <w:pPr>
              <w:ind w:left="20"/>
              <w:spacing w:after="0" w:line="114" w:lineRule="exact"/>
              <w:rPr>
                <w:sz w:val="20"/>
                <w:szCs w:val="20"/>
                <w:color w:val="auto"/>
              </w:rPr>
            </w:pPr>
            <w:r>
              <w:rPr>
                <w:rFonts w:ascii="Times New Roman" w:cs="Times New Roman" w:eastAsia="Times New Roman" w:hAnsi="Times New Roman"/>
                <w:sz w:val="13"/>
                <w:szCs w:val="13"/>
                <w:b w:val="1"/>
                <w:bCs w:val="1"/>
                <w:color w:val="auto"/>
              </w:rPr>
              <w:t>Balance, December</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9"/>
                <w:szCs w:val="9"/>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9"/>
                <w:szCs w:val="9"/>
                <w:color w:val="auto"/>
              </w:rPr>
            </w:pP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9"/>
                <w:szCs w:val="9"/>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vMerge w:val="restart"/>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403,315,989</w:t>
            </w:r>
          </w:p>
        </w:tc>
        <w:tc>
          <w:tcPr>
            <w:tcW w:w="80" w:type="dxa"/>
            <w:vAlign w:val="bottom"/>
          </w:tcPr>
          <w:p>
            <w:pPr>
              <w:spacing w:after="0"/>
              <w:rPr>
                <w:sz w:val="9"/>
                <w:szCs w:val="9"/>
                <w:color w:val="auto"/>
              </w:rPr>
            </w:pP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1"/>
              </w:rPr>
              <w:t>4.0</w:t>
            </w:r>
          </w:p>
        </w:tc>
        <w:tc>
          <w:tcPr>
            <w:tcW w:w="80" w:type="dxa"/>
            <w:vAlign w:val="bottom"/>
          </w:tcPr>
          <w:p>
            <w:pPr>
              <w:spacing w:after="0"/>
              <w:rPr>
                <w:sz w:val="9"/>
                <w:szCs w:val="9"/>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1,871.6</w:t>
            </w:r>
          </w:p>
        </w:tc>
        <w:tc>
          <w:tcPr>
            <w:tcW w:w="80" w:type="dxa"/>
            <w:vAlign w:val="bottom"/>
          </w:tcPr>
          <w:p>
            <w:pPr>
              <w:spacing w:after="0"/>
              <w:rPr>
                <w:sz w:val="9"/>
                <w:szCs w:val="9"/>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9.5</w:t>
            </w:r>
          </w:p>
        </w:tc>
        <w:tc>
          <w:tcPr>
            <w:tcW w:w="60" w:type="dxa"/>
            <w:vAlign w:val="bottom"/>
          </w:tcPr>
          <w:p>
            <w:pPr>
              <w:spacing w:after="0"/>
              <w:rPr>
                <w:sz w:val="9"/>
                <w:szCs w:val="9"/>
                <w:color w:val="auto"/>
              </w:rPr>
            </w:pP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112.8</w:t>
            </w:r>
          </w:p>
        </w:tc>
        <w:tc>
          <w:tcPr>
            <w:tcW w:w="80" w:type="dxa"/>
            <w:vAlign w:val="bottom"/>
          </w:tcPr>
          <w:p>
            <w:pPr>
              <w:spacing w:after="0"/>
              <w:rPr>
                <w:sz w:val="9"/>
                <w:szCs w:val="9"/>
                <w:color w:val="auto"/>
              </w:rPr>
            </w:pP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1,997.9</w:t>
            </w:r>
          </w:p>
        </w:tc>
        <w:tc>
          <w:tcPr>
            <w:tcW w:w="0" w:type="dxa"/>
            <w:vAlign w:val="bottom"/>
          </w:tcPr>
          <w:p>
            <w:pPr>
              <w:spacing w:after="0"/>
              <w:rPr>
                <w:sz w:val="1"/>
                <w:szCs w:val="1"/>
                <w:color w:val="auto"/>
              </w:rPr>
            </w:pPr>
          </w:p>
        </w:tc>
      </w:tr>
      <w:tr>
        <w:trPr>
          <w:trHeight w:val="215"/>
        </w:trPr>
        <w:tc>
          <w:tcPr>
            <w:tcW w:w="1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31, 2021</w:t>
            </w:r>
          </w:p>
        </w:tc>
        <w:tc>
          <w:tcPr>
            <w:tcW w:w="82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100" w:type="dxa"/>
            <w:vAlign w:val="bottom"/>
            <w:tcBorders>
              <w:right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4"/>
        </w:trPr>
        <w:tc>
          <w:tcPr>
            <w:tcW w:w="63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6"/>
        </w:trPr>
        <w:tc>
          <w:tcPr>
            <w:tcW w:w="636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10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91"/>
        </w:trPr>
        <w:tc>
          <w:tcPr>
            <w:tcW w:w="6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 (loss)</w:t>
            </w:r>
          </w:p>
        </w:tc>
        <w:tc>
          <w:tcPr>
            <w:tcW w:w="1040" w:type="dxa"/>
            <w:vAlign w:val="bottom"/>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107.3</w:t>
            </w:r>
          </w:p>
        </w:tc>
        <w:tc>
          <w:tcPr>
            <w:tcW w:w="460" w:type="dxa"/>
            <w:vAlign w:val="bottom"/>
            <w:gridSpan w:val="2"/>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10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w:t>
            </w:r>
          </w:p>
        </w:tc>
      </w:tr>
      <w:tr>
        <w:trPr>
          <w:trHeight w:val="206"/>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(used in) operating activities:</w:t>
            </w:r>
          </w:p>
        </w:tc>
        <w:tc>
          <w:tcPr>
            <w:tcW w:w="10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191"/>
        </w:trPr>
        <w:tc>
          <w:tcPr>
            <w:tcW w:w="63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w:t>
            </w:r>
          </w:p>
        </w:tc>
      </w:tr>
      <w:tr>
        <w:trPr>
          <w:trHeight w:val="206"/>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Amortization of debt discounts and issuance costs</w:t>
            </w:r>
          </w:p>
        </w:tc>
        <w:tc>
          <w:tcPr>
            <w:tcW w:w="10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91"/>
        </w:trPr>
        <w:tc>
          <w:tcPr>
            <w:tcW w:w="63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Amortization of deferred commissions costs</w:t>
            </w:r>
          </w:p>
        </w:tc>
        <w:tc>
          <w:tcPr>
            <w:tcW w:w="10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w:t>
            </w:r>
          </w:p>
        </w:tc>
      </w:tr>
      <w:tr>
        <w:trPr>
          <w:trHeight w:val="206"/>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Asset impairments</w:t>
            </w:r>
          </w:p>
        </w:tc>
        <w:tc>
          <w:tcPr>
            <w:tcW w:w="10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91"/>
        </w:trPr>
        <w:tc>
          <w:tcPr>
            <w:tcW w:w="63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Loss on debt modification and extinguishment</w:t>
            </w:r>
          </w:p>
        </w:tc>
        <w:tc>
          <w:tcPr>
            <w:tcW w:w="10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r>
      <w:tr>
        <w:trPr>
          <w:trHeight w:val="206"/>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Deferred consideration valuation adjustments</w:t>
            </w:r>
          </w:p>
        </w:tc>
        <w:tc>
          <w:tcPr>
            <w:tcW w:w="10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191"/>
        </w:trPr>
        <w:tc>
          <w:tcPr>
            <w:tcW w:w="63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Equity-based compensation expense</w:t>
            </w:r>
          </w:p>
        </w:tc>
        <w:tc>
          <w:tcPr>
            <w:tcW w:w="10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w:t>
            </w:r>
          </w:p>
        </w:tc>
      </w:tr>
      <w:tr>
        <w:trPr>
          <w:trHeight w:val="206"/>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Deferred income taxes</w:t>
            </w:r>
          </w:p>
        </w:tc>
        <w:tc>
          <w:tcPr>
            <w:tcW w:w="10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r>
      <w:tr>
        <w:trPr>
          <w:trHeight w:val="191"/>
        </w:trPr>
        <w:tc>
          <w:tcPr>
            <w:tcW w:w="63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Tax receivable agreement remeasurement</w:t>
            </w:r>
          </w:p>
        </w:tc>
        <w:tc>
          <w:tcPr>
            <w:tcW w:w="10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w:t>
            </w:r>
          </w:p>
        </w:tc>
      </w:tr>
      <w:tr>
        <w:trPr>
          <w:trHeight w:val="206"/>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Provision for bad debt expense</w:t>
            </w:r>
          </w:p>
        </w:tc>
        <w:tc>
          <w:tcPr>
            <w:tcW w:w="10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91"/>
        </w:trPr>
        <w:tc>
          <w:tcPr>
            <w:tcW w:w="6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Changes in operating assets and liabilities, net of acquisitions:</w:t>
            </w: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6"/>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Accounts receivable</w:t>
            </w:r>
          </w:p>
        </w:tc>
        <w:tc>
          <w:tcPr>
            <w:tcW w:w="10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w:t>
            </w:r>
          </w:p>
        </w:tc>
      </w:tr>
      <w:tr>
        <w:trPr>
          <w:trHeight w:val="191"/>
        </w:trPr>
        <w:tc>
          <w:tcPr>
            <w:tcW w:w="63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r>
      <w:tr>
        <w:trPr>
          <w:trHeight w:val="206"/>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Deferred costs and other assets</w:t>
            </w:r>
          </w:p>
        </w:tc>
        <w:tc>
          <w:tcPr>
            <w:tcW w:w="10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w:t>
            </w:r>
          </w:p>
        </w:tc>
      </w:tr>
      <w:tr>
        <w:trPr>
          <w:trHeight w:val="191"/>
        </w:trPr>
        <w:tc>
          <w:tcPr>
            <w:tcW w:w="63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Income tax receivable</w:t>
            </w:r>
          </w:p>
        </w:tc>
        <w:tc>
          <w:tcPr>
            <w:tcW w:w="10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206"/>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Accounts payable</w:t>
            </w:r>
          </w:p>
        </w:tc>
        <w:tc>
          <w:tcPr>
            <w:tcW w:w="10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91"/>
        </w:trPr>
        <w:tc>
          <w:tcPr>
            <w:tcW w:w="63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10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r>
      <w:tr>
        <w:trPr>
          <w:trHeight w:val="206"/>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Unearned revenue</w:t>
            </w:r>
          </w:p>
        </w:tc>
        <w:tc>
          <w:tcPr>
            <w:tcW w:w="10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w:t>
            </w:r>
          </w:p>
        </w:tc>
      </w:tr>
      <w:tr>
        <w:trPr>
          <w:trHeight w:val="185"/>
        </w:trPr>
        <w:tc>
          <w:tcPr>
            <w:tcW w:w="6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1040" w:type="dxa"/>
            <w:vAlign w:val="bottom"/>
            <w:tcBorders>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299.4</w:t>
            </w:r>
          </w:p>
        </w:tc>
      </w:tr>
      <w:tr>
        <w:trPr>
          <w:trHeight w:val="185"/>
        </w:trPr>
        <w:tc>
          <w:tcPr>
            <w:tcW w:w="63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92"/>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5"/>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Purchases of short-term investments</w:t>
            </w:r>
          </w:p>
        </w:tc>
        <w:tc>
          <w:tcPr>
            <w:tcW w:w="104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w:t>
            </w:r>
          </w:p>
        </w:tc>
        <w:tc>
          <w:tcPr>
            <w:tcW w:w="460" w:type="dxa"/>
            <w:vAlign w:val="bottom"/>
            <w:gridSpan w:val="2"/>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w:t>
            </w:r>
          </w:p>
        </w:tc>
      </w:tr>
      <w:tr>
        <w:trPr>
          <w:trHeight w:val="191"/>
        </w:trPr>
        <w:tc>
          <w:tcPr>
            <w:tcW w:w="6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Maturities of short-term investments</w:t>
            </w:r>
          </w:p>
        </w:tc>
        <w:tc>
          <w:tcPr>
            <w:tcW w:w="10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w:t>
            </w:r>
          </w:p>
        </w:tc>
      </w:tr>
      <w:tr>
        <w:trPr>
          <w:trHeight w:val="206"/>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sales of short-term investments</w:t>
            </w:r>
          </w:p>
        </w:tc>
        <w:tc>
          <w:tcPr>
            <w:tcW w:w="10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w:t>
            </w:r>
          </w:p>
        </w:tc>
      </w:tr>
      <w:tr>
        <w:trPr>
          <w:trHeight w:val="191"/>
        </w:trPr>
        <w:tc>
          <w:tcPr>
            <w:tcW w:w="6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Purchases of property and equipment and other assets</w:t>
            </w:r>
          </w:p>
        </w:tc>
        <w:tc>
          <w:tcPr>
            <w:tcW w:w="10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r>
      <w:tr>
        <w:trPr>
          <w:trHeight w:val="206"/>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paid for acquisitions, net of cash acquired</w:t>
            </w:r>
          </w:p>
        </w:tc>
        <w:tc>
          <w:tcPr>
            <w:tcW w:w="10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(143.7)</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(684.2)</w:t>
            </w:r>
          </w:p>
        </w:tc>
      </w:tr>
      <w:tr>
        <w:trPr>
          <w:trHeight w:val="185"/>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1040" w:type="dxa"/>
            <w:vAlign w:val="bottom"/>
            <w:tcBorders>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(695.8)</w:t>
            </w:r>
          </w:p>
        </w:tc>
      </w:tr>
      <w:tr>
        <w:trPr>
          <w:trHeight w:val="185"/>
        </w:trPr>
        <w:tc>
          <w:tcPr>
            <w:tcW w:w="63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92"/>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5"/>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Payments of deferred consideration</w:t>
            </w:r>
          </w:p>
        </w:tc>
        <w:tc>
          <w:tcPr>
            <w:tcW w:w="104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460" w:type="dxa"/>
            <w:vAlign w:val="bottom"/>
            <w:gridSpan w:val="2"/>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r>
      <w:tr>
        <w:trPr>
          <w:trHeight w:val="191"/>
        </w:trPr>
        <w:tc>
          <w:tcPr>
            <w:tcW w:w="6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debt issuances</w:t>
            </w:r>
          </w:p>
        </w:tc>
        <w:tc>
          <w:tcPr>
            <w:tcW w:w="10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1,071.8</w:t>
            </w:r>
          </w:p>
        </w:tc>
      </w:tr>
      <w:tr>
        <w:trPr>
          <w:trHeight w:val="206"/>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Payments of debt issuance and modification costs</w:t>
            </w:r>
          </w:p>
        </w:tc>
        <w:tc>
          <w:tcPr>
            <w:tcW w:w="10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r>
      <w:tr>
        <w:trPr>
          <w:trHeight w:val="191"/>
        </w:trPr>
        <w:tc>
          <w:tcPr>
            <w:tcW w:w="6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Repayment of debt</w:t>
            </w:r>
          </w:p>
        </w:tc>
        <w:tc>
          <w:tcPr>
            <w:tcW w:w="10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(581.4)</w:t>
            </w:r>
          </w:p>
        </w:tc>
      </w:tr>
      <w:tr>
        <w:trPr>
          <w:trHeight w:val="206"/>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10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91"/>
        </w:trPr>
        <w:tc>
          <w:tcPr>
            <w:tcW w:w="6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Taxes paid related to net share settlement of equity awards</w:t>
            </w:r>
          </w:p>
        </w:tc>
        <w:tc>
          <w:tcPr>
            <w:tcW w:w="10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r>
      <w:tr>
        <w:trPr>
          <w:trHeight w:val="206"/>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issuance of common stock under the ESPP</w:t>
            </w:r>
          </w:p>
        </w:tc>
        <w:tc>
          <w:tcPr>
            <w:tcW w:w="10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Payments of equity issuance costs</w:t>
            </w:r>
          </w:p>
        </w:tc>
        <w:tc>
          <w:tcPr>
            <w:tcW w:w="10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06"/>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Tax receivable agreement payments</w:t>
            </w:r>
          </w:p>
        </w:tc>
        <w:tc>
          <w:tcPr>
            <w:tcW w:w="10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0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Tax distributions</w:t>
            </w:r>
          </w:p>
        </w:tc>
        <w:tc>
          <w:tcPr>
            <w:tcW w:w="10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r>
      <w:tr>
        <w:trPr>
          <w:trHeight w:val="185"/>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040" w:type="dxa"/>
            <w:vAlign w:val="bottom"/>
            <w:tcBorders>
              <w:top w:val="single" w:sz="8" w:color="auto"/>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(427.2)</w:t>
            </w:r>
          </w:p>
        </w:tc>
        <w:tc>
          <w:tcPr>
            <w:tcW w:w="10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439.5</w:t>
            </w:r>
          </w:p>
        </w:tc>
      </w:tr>
      <w:tr>
        <w:trPr>
          <w:trHeight w:val="186"/>
        </w:trPr>
        <w:tc>
          <w:tcPr>
            <w:tcW w:w="63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91"/>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in cash, cash equivalents, and restricted cash</w:t>
            </w:r>
          </w:p>
        </w:tc>
        <w:tc>
          <w:tcPr>
            <w:tcW w:w="1040" w:type="dxa"/>
            <w:vAlign w:val="bottom"/>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460" w:type="dxa"/>
            <w:vAlign w:val="bottom"/>
            <w:gridSpan w:val="2"/>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10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w:t>
            </w:r>
          </w:p>
        </w:tc>
      </w:tr>
      <w:tr>
        <w:trPr>
          <w:trHeight w:val="20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year</w:t>
            </w:r>
          </w:p>
        </w:tc>
        <w:tc>
          <w:tcPr>
            <w:tcW w:w="10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424.1</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314.1</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271.0</w:t>
            </w:r>
          </w:p>
        </w:tc>
      </w:tr>
      <w:tr>
        <w:trPr>
          <w:trHeight w:val="192"/>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end of year</w:t>
            </w:r>
          </w:p>
        </w:tc>
        <w:tc>
          <w:tcPr>
            <w:tcW w:w="1040" w:type="dxa"/>
            <w:vAlign w:val="bottom"/>
            <w:tcBorders>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456.2</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424.1</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314.1</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65"/>
        </w:trPr>
        <w:tc>
          <w:tcPr>
            <w:tcW w:w="63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7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4"/>
        </w:trPr>
        <w:tc>
          <w:tcPr>
            <w:tcW w:w="63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5"/>
        </w:trPr>
        <w:tc>
          <w:tcPr>
            <w:tcW w:w="6360" w:type="dxa"/>
            <w:vAlign w:val="bottom"/>
          </w:tcPr>
          <w:p>
            <w:pPr>
              <w:spacing w:after="0"/>
              <w:rPr>
                <w:sz w:val="16"/>
                <w:szCs w:val="16"/>
                <w:color w:val="auto"/>
              </w:rPr>
            </w:pPr>
          </w:p>
        </w:tc>
        <w:tc>
          <w:tcPr>
            <w:tcW w:w="10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61"/>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4"/>
        </w:trPr>
        <w:tc>
          <w:tcPr>
            <w:tcW w:w="6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9"/>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6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447.1</w:t>
            </w:r>
          </w:p>
        </w:tc>
        <w:tc>
          <w:tcPr>
            <w:tcW w:w="460" w:type="dxa"/>
            <w:vAlign w:val="bottom"/>
            <w:gridSpan w:val="2"/>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308.3</w:t>
            </w:r>
          </w:p>
        </w:tc>
      </w:tr>
      <w:tr>
        <w:trPr>
          <w:trHeight w:val="191"/>
        </w:trPr>
        <w:tc>
          <w:tcPr>
            <w:tcW w:w="6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Restricted cash, current</w:t>
            </w:r>
          </w:p>
        </w:tc>
        <w:tc>
          <w:tcPr>
            <w:tcW w:w="10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Restricted cash, non-current</w:t>
            </w:r>
          </w:p>
        </w:tc>
        <w:tc>
          <w:tcPr>
            <w:tcW w:w="10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85"/>
        </w:trPr>
        <w:tc>
          <w:tcPr>
            <w:tcW w:w="63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106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456.2</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424.1</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314.1</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72"/>
        </w:trPr>
        <w:tc>
          <w:tcPr>
            <w:tcW w:w="63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91"/>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6"/>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paid in cash</w:t>
            </w:r>
          </w:p>
        </w:tc>
        <w:tc>
          <w:tcPr>
            <w:tcW w:w="106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460" w:type="dxa"/>
            <w:vAlign w:val="bottom"/>
            <w:gridSpan w:val="2"/>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r>
      <w:tr>
        <w:trPr>
          <w:trHeight w:val="191"/>
        </w:trPr>
        <w:tc>
          <w:tcPr>
            <w:tcW w:w="6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paid for taxes</w:t>
            </w:r>
          </w:p>
        </w:tc>
        <w:tc>
          <w:tcPr>
            <w:tcW w:w="10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r>
      <w:tr>
        <w:trPr>
          <w:trHeight w:val="206"/>
        </w:trPr>
        <w:tc>
          <w:tcPr>
            <w:tcW w:w="6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191"/>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Supplemental disclosures of non-cash investing and financing activities:</w:t>
            </w: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6"/>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Equity-based compensation included in capitalized software</w:t>
            </w:r>
          </w:p>
        </w:tc>
        <w:tc>
          <w:tcPr>
            <w:tcW w:w="106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460" w:type="dxa"/>
            <w:vAlign w:val="bottom"/>
            <w:gridSpan w:val="2"/>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Property and equipment included in accounts payable and accrued expenses and other current liabilities</w:t>
            </w:r>
          </w:p>
        </w:tc>
        <w:tc>
          <w:tcPr>
            <w:tcW w:w="10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06"/>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Deferred variable consideration from acquisition of a business</w:t>
            </w:r>
          </w:p>
        </w:tc>
        <w:tc>
          <w:tcPr>
            <w:tcW w:w="10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r>
    </w:tbl>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b w:val="1"/>
          <w:bCs w:val="1"/>
          <w:color w:val="auto"/>
        </w:rPr>
        <w:t>ZoomInfo Technologies Inc. and Subsidiaries</w:t>
      </w:r>
    </w:p>
    <w:p>
      <w:pPr>
        <w:spacing w:after="0" w:line="30"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Notes to Audited Consolidated Financial Statements</w:t>
      </w:r>
    </w:p>
    <w:p>
      <w:pPr>
        <w:spacing w:after="0" w:line="4"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(In millions, except share/unit data and per share/unit amounts, unless otherwise noted)</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4"/>
              </w:rPr>
              <w:t>Note 1</w:t>
            </w:r>
          </w:p>
        </w:tc>
        <w:tc>
          <w:tcPr>
            <w:tcW w:w="80" w:type="dxa"/>
            <w:vAlign w:val="bottom"/>
          </w:tcPr>
          <w:p>
            <w:pPr>
              <w:spacing w:after="0"/>
              <w:rPr>
                <w:sz w:val="17"/>
                <w:szCs w:val="17"/>
                <w:color w:val="auto"/>
              </w:rPr>
            </w:pPr>
          </w:p>
        </w:tc>
        <w:tc>
          <w:tcPr>
            <w:tcW w:w="10200" w:type="dxa"/>
            <w:vAlign w:val="bottom"/>
            <w:gridSpan w:val="19"/>
          </w:tcPr>
          <w:p>
            <w:pPr>
              <w:ind w:left="640"/>
              <w:spacing w:after="0"/>
              <w:rPr>
                <w:sz w:val="20"/>
                <w:szCs w:val="20"/>
                <w:color w:val="auto"/>
              </w:rPr>
            </w:pPr>
            <w:r>
              <w:rPr>
                <w:rFonts w:ascii="Times New Roman" w:cs="Times New Roman" w:eastAsia="Times New Roman" w:hAnsi="Times New Roman"/>
                <w:sz w:val="18"/>
                <w:szCs w:val="18"/>
                <w:color w:val="0000FF"/>
              </w:rPr>
              <w:t>Organization and Background</w:t>
            </w: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3051F2"/>
                <w:w w:val="99"/>
              </w:rPr>
              <w:t>77</w:t>
            </w:r>
          </w:p>
        </w:tc>
        <w:tc>
          <w:tcPr>
            <w:tcW w:w="60" w:type="dxa"/>
            <w:vAlign w:val="bottom"/>
          </w:tcPr>
          <w:p>
            <w:pPr>
              <w:spacing w:after="0"/>
              <w:rPr>
                <w:sz w:val="17"/>
                <w:szCs w:val="17"/>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0000FF"/>
                <w:w w:val="94"/>
              </w:rPr>
              <w:t>Note 2</w:t>
            </w:r>
          </w:p>
        </w:tc>
        <w:tc>
          <w:tcPr>
            <w:tcW w:w="80" w:type="dxa"/>
            <w:vAlign w:val="bottom"/>
          </w:tcPr>
          <w:p>
            <w:pPr>
              <w:spacing w:after="0"/>
              <w:rPr>
                <w:sz w:val="17"/>
                <w:szCs w:val="17"/>
                <w:color w:val="auto"/>
              </w:rPr>
            </w:pPr>
          </w:p>
        </w:tc>
        <w:tc>
          <w:tcPr>
            <w:tcW w:w="10200" w:type="dxa"/>
            <w:vAlign w:val="bottom"/>
            <w:gridSpan w:val="19"/>
          </w:tcPr>
          <w:p>
            <w:pPr>
              <w:ind w:left="640"/>
              <w:spacing w:after="0" w:line="205" w:lineRule="exact"/>
              <w:rPr>
                <w:sz w:val="20"/>
                <w:szCs w:val="20"/>
                <w:color w:val="auto"/>
              </w:rPr>
            </w:pPr>
            <w:r>
              <w:rPr>
                <w:rFonts w:ascii="Times New Roman" w:cs="Times New Roman" w:eastAsia="Times New Roman" w:hAnsi="Times New Roman"/>
                <w:sz w:val="18"/>
                <w:szCs w:val="18"/>
                <w:color w:val="0000FF"/>
              </w:rPr>
              <w:t>Basis of Presentation and Summary of Significant Accounting Policies</w:t>
            </w:r>
          </w:p>
        </w:tc>
        <w:tc>
          <w:tcPr>
            <w:tcW w:w="1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3051F2"/>
                <w:w w:val="99"/>
              </w:rPr>
              <w:t>79</w:t>
            </w:r>
          </w:p>
        </w:tc>
        <w:tc>
          <w:tcPr>
            <w:tcW w:w="60" w:type="dxa"/>
            <w:vAlign w:val="bottom"/>
          </w:tcPr>
          <w:p>
            <w:pPr>
              <w:spacing w:after="0"/>
              <w:rPr>
                <w:sz w:val="17"/>
                <w:szCs w:val="17"/>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0000FF"/>
                <w:w w:val="94"/>
              </w:rPr>
              <w:t>Note 3</w:t>
            </w:r>
          </w:p>
        </w:tc>
        <w:tc>
          <w:tcPr>
            <w:tcW w:w="80" w:type="dxa"/>
            <w:vAlign w:val="bottom"/>
          </w:tcPr>
          <w:p>
            <w:pPr>
              <w:spacing w:after="0"/>
              <w:rPr>
                <w:sz w:val="17"/>
                <w:szCs w:val="17"/>
                <w:color w:val="auto"/>
              </w:rPr>
            </w:pPr>
          </w:p>
        </w:tc>
        <w:tc>
          <w:tcPr>
            <w:tcW w:w="10200" w:type="dxa"/>
            <w:vAlign w:val="bottom"/>
            <w:gridSpan w:val="19"/>
          </w:tcPr>
          <w:p>
            <w:pPr>
              <w:ind w:left="640"/>
              <w:spacing w:after="0" w:line="205" w:lineRule="exact"/>
              <w:rPr>
                <w:sz w:val="20"/>
                <w:szCs w:val="20"/>
                <w:color w:val="auto"/>
              </w:rPr>
            </w:pPr>
            <w:r>
              <w:rPr>
                <w:rFonts w:ascii="Times New Roman" w:cs="Times New Roman" w:eastAsia="Times New Roman" w:hAnsi="Times New Roman"/>
                <w:sz w:val="18"/>
                <w:szCs w:val="18"/>
                <w:color w:val="0000FF"/>
              </w:rPr>
              <w:t>Revenue from Contracts with Customers</w:t>
            </w:r>
          </w:p>
        </w:tc>
        <w:tc>
          <w:tcPr>
            <w:tcW w:w="1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3051F2"/>
                <w:w w:val="99"/>
              </w:rPr>
              <w:t>88</w:t>
            </w:r>
          </w:p>
        </w:tc>
        <w:tc>
          <w:tcPr>
            <w:tcW w:w="60" w:type="dxa"/>
            <w:vAlign w:val="bottom"/>
          </w:tcPr>
          <w:p>
            <w:pPr>
              <w:spacing w:after="0"/>
              <w:rPr>
                <w:sz w:val="17"/>
                <w:szCs w:val="17"/>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0000FF"/>
                <w:w w:val="94"/>
              </w:rPr>
              <w:t>Note 4</w:t>
            </w:r>
          </w:p>
        </w:tc>
        <w:tc>
          <w:tcPr>
            <w:tcW w:w="80" w:type="dxa"/>
            <w:vAlign w:val="bottom"/>
          </w:tcPr>
          <w:p>
            <w:pPr>
              <w:spacing w:after="0"/>
              <w:rPr>
                <w:sz w:val="17"/>
                <w:szCs w:val="17"/>
                <w:color w:val="auto"/>
              </w:rPr>
            </w:pPr>
          </w:p>
        </w:tc>
        <w:tc>
          <w:tcPr>
            <w:tcW w:w="10200" w:type="dxa"/>
            <w:vAlign w:val="bottom"/>
            <w:gridSpan w:val="19"/>
          </w:tcPr>
          <w:p>
            <w:pPr>
              <w:ind w:left="640"/>
              <w:spacing w:after="0" w:line="205" w:lineRule="exact"/>
              <w:rPr>
                <w:sz w:val="20"/>
                <w:szCs w:val="20"/>
                <w:color w:val="auto"/>
              </w:rPr>
            </w:pPr>
            <w:r>
              <w:rPr>
                <w:rFonts w:ascii="Times New Roman" w:cs="Times New Roman" w:eastAsia="Times New Roman" w:hAnsi="Times New Roman"/>
                <w:sz w:val="18"/>
                <w:szCs w:val="18"/>
                <w:color w:val="0000FF"/>
              </w:rPr>
              <w:t>Business Combinations</w:t>
            </w:r>
          </w:p>
        </w:tc>
        <w:tc>
          <w:tcPr>
            <w:tcW w:w="1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3051F2"/>
                <w:w w:val="99"/>
              </w:rPr>
              <w:t>90</w:t>
            </w:r>
          </w:p>
        </w:tc>
        <w:tc>
          <w:tcPr>
            <w:tcW w:w="60" w:type="dxa"/>
            <w:vAlign w:val="bottom"/>
          </w:tcPr>
          <w:p>
            <w:pPr>
              <w:spacing w:after="0"/>
              <w:rPr>
                <w:sz w:val="17"/>
                <w:szCs w:val="17"/>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0000FF"/>
                <w:w w:val="94"/>
              </w:rPr>
              <w:t>Note 5</w:t>
            </w:r>
          </w:p>
        </w:tc>
        <w:tc>
          <w:tcPr>
            <w:tcW w:w="80" w:type="dxa"/>
            <w:vAlign w:val="bottom"/>
          </w:tcPr>
          <w:p>
            <w:pPr>
              <w:spacing w:after="0"/>
              <w:rPr>
                <w:sz w:val="17"/>
                <w:szCs w:val="17"/>
                <w:color w:val="auto"/>
              </w:rPr>
            </w:pPr>
          </w:p>
        </w:tc>
        <w:tc>
          <w:tcPr>
            <w:tcW w:w="10200" w:type="dxa"/>
            <w:vAlign w:val="bottom"/>
            <w:gridSpan w:val="19"/>
          </w:tcPr>
          <w:p>
            <w:pPr>
              <w:ind w:left="640"/>
              <w:spacing w:after="0" w:line="205" w:lineRule="exact"/>
              <w:rPr>
                <w:sz w:val="20"/>
                <w:szCs w:val="20"/>
                <w:color w:val="auto"/>
              </w:rPr>
            </w:pPr>
            <w:r>
              <w:rPr>
                <w:rFonts w:ascii="Times New Roman" w:cs="Times New Roman" w:eastAsia="Times New Roman" w:hAnsi="Times New Roman"/>
                <w:sz w:val="18"/>
                <w:szCs w:val="18"/>
                <w:color w:val="0000FF"/>
              </w:rPr>
              <w:t>Cash, Cash Equivalents, and Short-term Investments</w:t>
            </w:r>
          </w:p>
        </w:tc>
        <w:tc>
          <w:tcPr>
            <w:tcW w:w="1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3051F2"/>
                <w:w w:val="99"/>
              </w:rPr>
              <w:t>94</w:t>
            </w:r>
          </w:p>
        </w:tc>
        <w:tc>
          <w:tcPr>
            <w:tcW w:w="60" w:type="dxa"/>
            <w:vAlign w:val="bottom"/>
          </w:tcPr>
          <w:p>
            <w:pPr>
              <w:spacing w:after="0"/>
              <w:rPr>
                <w:sz w:val="17"/>
                <w:szCs w:val="17"/>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0000FF"/>
                <w:w w:val="94"/>
              </w:rPr>
              <w:t>Note 6</w:t>
            </w:r>
          </w:p>
        </w:tc>
        <w:tc>
          <w:tcPr>
            <w:tcW w:w="80" w:type="dxa"/>
            <w:vAlign w:val="bottom"/>
          </w:tcPr>
          <w:p>
            <w:pPr>
              <w:spacing w:after="0"/>
              <w:rPr>
                <w:sz w:val="17"/>
                <w:szCs w:val="17"/>
                <w:color w:val="auto"/>
              </w:rPr>
            </w:pPr>
          </w:p>
        </w:tc>
        <w:tc>
          <w:tcPr>
            <w:tcW w:w="10200" w:type="dxa"/>
            <w:vAlign w:val="bottom"/>
            <w:gridSpan w:val="19"/>
          </w:tcPr>
          <w:p>
            <w:pPr>
              <w:ind w:left="640"/>
              <w:spacing w:after="0" w:line="205" w:lineRule="exact"/>
              <w:rPr>
                <w:sz w:val="20"/>
                <w:szCs w:val="20"/>
                <w:color w:val="auto"/>
              </w:rPr>
            </w:pPr>
            <w:r>
              <w:rPr>
                <w:rFonts w:ascii="Times New Roman" w:cs="Times New Roman" w:eastAsia="Times New Roman" w:hAnsi="Times New Roman"/>
                <w:sz w:val="18"/>
                <w:szCs w:val="18"/>
                <w:color w:val="0000FF"/>
              </w:rPr>
              <w:t>Property and Equipment</w:t>
            </w:r>
          </w:p>
        </w:tc>
        <w:tc>
          <w:tcPr>
            <w:tcW w:w="1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3051F2"/>
                <w:w w:val="99"/>
              </w:rPr>
              <w:t>95</w:t>
            </w:r>
          </w:p>
        </w:tc>
        <w:tc>
          <w:tcPr>
            <w:tcW w:w="60" w:type="dxa"/>
            <w:vAlign w:val="bottom"/>
          </w:tcPr>
          <w:p>
            <w:pPr>
              <w:spacing w:after="0"/>
              <w:rPr>
                <w:sz w:val="17"/>
                <w:szCs w:val="17"/>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640" w:type="dxa"/>
            <w:vAlign w:val="bottom"/>
            <w:gridSpan w:val="3"/>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0000FF"/>
                <w:w w:val="94"/>
              </w:rPr>
              <w:t>Note 7</w:t>
            </w:r>
          </w:p>
        </w:tc>
        <w:tc>
          <w:tcPr>
            <w:tcW w:w="80" w:type="dxa"/>
            <w:vAlign w:val="bottom"/>
          </w:tcPr>
          <w:p>
            <w:pPr>
              <w:spacing w:after="0"/>
              <w:rPr>
                <w:sz w:val="17"/>
                <w:szCs w:val="17"/>
                <w:color w:val="auto"/>
              </w:rPr>
            </w:pPr>
          </w:p>
        </w:tc>
        <w:tc>
          <w:tcPr>
            <w:tcW w:w="10200" w:type="dxa"/>
            <w:vAlign w:val="bottom"/>
            <w:gridSpan w:val="19"/>
          </w:tcPr>
          <w:p>
            <w:pPr>
              <w:ind w:left="640"/>
              <w:spacing w:after="0" w:line="205" w:lineRule="exact"/>
              <w:rPr>
                <w:sz w:val="20"/>
                <w:szCs w:val="20"/>
                <w:color w:val="auto"/>
              </w:rPr>
            </w:pPr>
            <w:r>
              <w:rPr>
                <w:rFonts w:ascii="Times New Roman" w:cs="Times New Roman" w:eastAsia="Times New Roman" w:hAnsi="Times New Roman"/>
                <w:sz w:val="18"/>
                <w:szCs w:val="18"/>
                <w:color w:val="0000FF"/>
              </w:rPr>
              <w:t>Goodwill and Acquired Intangible Assets</w:t>
            </w:r>
          </w:p>
        </w:tc>
        <w:tc>
          <w:tcPr>
            <w:tcW w:w="1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3051F2"/>
                <w:w w:val="99"/>
              </w:rPr>
              <w:t>96</w:t>
            </w:r>
          </w:p>
        </w:tc>
        <w:tc>
          <w:tcPr>
            <w:tcW w:w="60" w:type="dxa"/>
            <w:vAlign w:val="bottom"/>
          </w:tcPr>
          <w:p>
            <w:pPr>
              <w:spacing w:after="0"/>
              <w:rPr>
                <w:sz w:val="17"/>
                <w:szCs w:val="17"/>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640" w:type="dxa"/>
            <w:vAlign w:val="bottom"/>
            <w:gridSpan w:val="3"/>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0000FF"/>
                <w:w w:val="94"/>
              </w:rPr>
              <w:t>Note 8</w:t>
            </w:r>
          </w:p>
        </w:tc>
        <w:tc>
          <w:tcPr>
            <w:tcW w:w="80" w:type="dxa"/>
            <w:vAlign w:val="bottom"/>
          </w:tcPr>
          <w:p>
            <w:pPr>
              <w:spacing w:after="0"/>
              <w:rPr>
                <w:sz w:val="17"/>
                <w:szCs w:val="17"/>
                <w:color w:val="auto"/>
              </w:rPr>
            </w:pPr>
          </w:p>
        </w:tc>
        <w:tc>
          <w:tcPr>
            <w:tcW w:w="10200" w:type="dxa"/>
            <w:vAlign w:val="bottom"/>
            <w:gridSpan w:val="19"/>
          </w:tcPr>
          <w:p>
            <w:pPr>
              <w:ind w:left="640"/>
              <w:spacing w:after="0" w:line="205" w:lineRule="exact"/>
              <w:rPr>
                <w:sz w:val="20"/>
                <w:szCs w:val="20"/>
                <w:color w:val="auto"/>
              </w:rPr>
            </w:pPr>
            <w:r>
              <w:rPr>
                <w:rFonts w:ascii="Times New Roman" w:cs="Times New Roman" w:eastAsia="Times New Roman" w:hAnsi="Times New Roman"/>
                <w:sz w:val="18"/>
                <w:szCs w:val="18"/>
                <w:color w:val="0000FF"/>
              </w:rPr>
              <w:t>Financing Arrangements</w:t>
            </w:r>
          </w:p>
        </w:tc>
        <w:tc>
          <w:tcPr>
            <w:tcW w:w="1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3051F2"/>
                <w:w w:val="99"/>
              </w:rPr>
              <w:t>97</w:t>
            </w:r>
          </w:p>
        </w:tc>
        <w:tc>
          <w:tcPr>
            <w:tcW w:w="60" w:type="dxa"/>
            <w:vAlign w:val="bottom"/>
          </w:tcPr>
          <w:p>
            <w:pPr>
              <w:spacing w:after="0"/>
              <w:rPr>
                <w:sz w:val="17"/>
                <w:szCs w:val="17"/>
                <w:color w:val="auto"/>
              </w:rPr>
            </w:pP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60" w:type="dxa"/>
            <w:vAlign w:val="bottom"/>
            <w:gridSpan w:val="5"/>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0000FF"/>
                <w:w w:val="94"/>
              </w:rPr>
              <w:t>Note 9</w:t>
            </w:r>
          </w:p>
        </w:tc>
        <w:tc>
          <w:tcPr>
            <w:tcW w:w="80" w:type="dxa"/>
            <w:vAlign w:val="bottom"/>
          </w:tcPr>
          <w:p>
            <w:pPr>
              <w:spacing w:after="0"/>
              <w:rPr>
                <w:sz w:val="17"/>
                <w:szCs w:val="17"/>
                <w:color w:val="auto"/>
              </w:rPr>
            </w:pPr>
          </w:p>
        </w:tc>
        <w:tc>
          <w:tcPr>
            <w:tcW w:w="10200" w:type="dxa"/>
            <w:vAlign w:val="bottom"/>
            <w:gridSpan w:val="19"/>
          </w:tcPr>
          <w:p>
            <w:pPr>
              <w:ind w:left="640"/>
              <w:spacing w:after="0" w:line="205" w:lineRule="exact"/>
              <w:rPr>
                <w:sz w:val="20"/>
                <w:szCs w:val="20"/>
                <w:color w:val="auto"/>
              </w:rPr>
            </w:pPr>
            <w:r>
              <w:rPr>
                <w:rFonts w:ascii="Times New Roman" w:cs="Times New Roman" w:eastAsia="Times New Roman" w:hAnsi="Times New Roman"/>
                <w:sz w:val="18"/>
                <w:szCs w:val="18"/>
                <w:color w:val="0000FF"/>
              </w:rPr>
              <w:t>Derivatives and Hedging Activities</w:t>
            </w:r>
          </w:p>
        </w:tc>
        <w:tc>
          <w:tcPr>
            <w:tcW w:w="1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3051F2"/>
                <w:w w:val="99"/>
              </w:rPr>
              <w:t>99</w:t>
            </w:r>
          </w:p>
        </w:tc>
        <w:tc>
          <w:tcPr>
            <w:tcW w:w="60" w:type="dxa"/>
            <w:vAlign w:val="bottom"/>
          </w:tcPr>
          <w:p>
            <w:pPr>
              <w:spacing w:after="0"/>
              <w:rPr>
                <w:sz w:val="17"/>
                <w:szCs w:val="17"/>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60" w:type="dxa"/>
            <w:vAlign w:val="bottom"/>
            <w:gridSpan w:val="5"/>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5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93"/>
              </w:rPr>
              <w:t>Note 10</w:t>
            </w:r>
          </w:p>
        </w:tc>
        <w:tc>
          <w:tcPr>
            <w:tcW w:w="10200" w:type="dxa"/>
            <w:vAlign w:val="bottom"/>
            <w:gridSpan w:val="19"/>
          </w:tcPr>
          <w:p>
            <w:pPr>
              <w:ind w:left="640"/>
              <w:spacing w:after="0" w:line="205" w:lineRule="exact"/>
              <w:rPr>
                <w:sz w:val="20"/>
                <w:szCs w:val="20"/>
                <w:color w:val="auto"/>
              </w:rPr>
            </w:pPr>
            <w:r>
              <w:rPr>
                <w:rFonts w:ascii="Times New Roman" w:cs="Times New Roman" w:eastAsia="Times New Roman" w:hAnsi="Times New Roman"/>
                <w:sz w:val="18"/>
                <w:szCs w:val="18"/>
                <w:color w:val="0000FF"/>
              </w:rPr>
              <w:t>Fair Value</w:t>
            </w:r>
          </w:p>
        </w:tc>
        <w:tc>
          <w:tcPr>
            <w:tcW w:w="240" w:type="dxa"/>
            <w:vAlign w:val="bottom"/>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3051F2"/>
                <w:w w:val="88"/>
              </w:rPr>
              <w:t>101</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0" w:type="dxa"/>
            <w:vAlign w:val="bottom"/>
            <w:tcBorders>
              <w:right w:val="single" w:sz="8" w:color="3051F2"/>
            </w:tcBorders>
            <w:gridSpan w:val="6"/>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Borders>
              <w:left w:val="single" w:sz="8" w:color="3051F2"/>
            </w:tcBorders>
          </w:tcPr>
          <w:p>
            <w:pPr>
              <w:spacing w:after="0" w:line="20" w:lineRule="exact"/>
              <w:rPr>
                <w:sz w:val="1"/>
                <w:szCs w:val="1"/>
                <w:color w:val="auto"/>
              </w:rPr>
            </w:pPr>
          </w:p>
        </w:tc>
      </w:tr>
      <w:tr>
        <w:trPr>
          <w:trHeight w:val="205"/>
        </w:trPr>
        <w:tc>
          <w:tcPr>
            <w:tcW w:w="5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93"/>
              </w:rPr>
              <w:t>Note 11</w:t>
            </w:r>
          </w:p>
        </w:tc>
        <w:tc>
          <w:tcPr>
            <w:tcW w:w="10200" w:type="dxa"/>
            <w:vAlign w:val="bottom"/>
            <w:gridSpan w:val="19"/>
          </w:tcPr>
          <w:p>
            <w:pPr>
              <w:ind w:left="640"/>
              <w:spacing w:after="0" w:line="205" w:lineRule="exact"/>
              <w:rPr>
                <w:sz w:val="20"/>
                <w:szCs w:val="20"/>
                <w:color w:val="auto"/>
              </w:rPr>
            </w:pPr>
            <w:r>
              <w:rPr>
                <w:rFonts w:ascii="Times New Roman" w:cs="Times New Roman" w:eastAsia="Times New Roman" w:hAnsi="Times New Roman"/>
                <w:sz w:val="18"/>
                <w:szCs w:val="18"/>
                <w:color w:val="0000FF"/>
              </w:rPr>
              <w:t>Commitments and Contingencies</w:t>
            </w:r>
          </w:p>
        </w:tc>
        <w:tc>
          <w:tcPr>
            <w:tcW w:w="240" w:type="dxa"/>
            <w:vAlign w:val="bottom"/>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3051F2"/>
                <w:w w:val="88"/>
              </w:rPr>
              <w:t>103</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0" w:type="dxa"/>
            <w:vAlign w:val="bottom"/>
            <w:tcBorders>
              <w:right w:val="single" w:sz="8" w:color="3051F2"/>
            </w:tcBorders>
            <w:gridSpan w:val="6"/>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Borders>
              <w:left w:val="single" w:sz="8" w:color="3051F2"/>
            </w:tcBorders>
          </w:tcPr>
          <w:p>
            <w:pPr>
              <w:spacing w:after="0" w:line="20" w:lineRule="exact"/>
              <w:rPr>
                <w:sz w:val="1"/>
                <w:szCs w:val="1"/>
                <w:color w:val="auto"/>
              </w:rPr>
            </w:pPr>
          </w:p>
        </w:tc>
      </w:tr>
      <w:tr>
        <w:trPr>
          <w:trHeight w:val="205"/>
        </w:trPr>
        <w:tc>
          <w:tcPr>
            <w:tcW w:w="5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93"/>
              </w:rPr>
              <w:t>Note 12</w:t>
            </w:r>
          </w:p>
        </w:tc>
        <w:tc>
          <w:tcPr>
            <w:tcW w:w="10200" w:type="dxa"/>
            <w:vAlign w:val="bottom"/>
            <w:gridSpan w:val="19"/>
          </w:tcPr>
          <w:p>
            <w:pPr>
              <w:ind w:left="640"/>
              <w:spacing w:after="0" w:line="205" w:lineRule="exact"/>
              <w:rPr>
                <w:sz w:val="20"/>
                <w:szCs w:val="20"/>
                <w:color w:val="auto"/>
              </w:rPr>
            </w:pPr>
            <w:r>
              <w:rPr>
                <w:rFonts w:ascii="Times New Roman" w:cs="Times New Roman" w:eastAsia="Times New Roman" w:hAnsi="Times New Roman"/>
                <w:sz w:val="18"/>
                <w:szCs w:val="18"/>
                <w:color w:val="0000FF"/>
              </w:rPr>
              <w:t>Stockholders' Equity</w:t>
            </w:r>
          </w:p>
        </w:tc>
        <w:tc>
          <w:tcPr>
            <w:tcW w:w="240" w:type="dxa"/>
            <w:vAlign w:val="bottom"/>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3051F2"/>
                <w:w w:val="88"/>
              </w:rPr>
              <w:t>104</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0" w:type="dxa"/>
            <w:vAlign w:val="bottom"/>
            <w:tcBorders>
              <w:right w:val="single" w:sz="8" w:color="3051F2"/>
            </w:tcBorders>
            <w:gridSpan w:val="7"/>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Borders>
              <w:left w:val="single" w:sz="8" w:color="3051F2"/>
            </w:tcBorders>
          </w:tcPr>
          <w:p>
            <w:pPr>
              <w:spacing w:after="0" w:line="20" w:lineRule="exact"/>
              <w:rPr>
                <w:sz w:val="1"/>
                <w:szCs w:val="1"/>
                <w:color w:val="auto"/>
              </w:rPr>
            </w:pPr>
          </w:p>
        </w:tc>
      </w:tr>
      <w:tr>
        <w:trPr>
          <w:trHeight w:val="205"/>
        </w:trPr>
        <w:tc>
          <w:tcPr>
            <w:tcW w:w="5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93"/>
              </w:rPr>
              <w:t>Note 13</w:t>
            </w:r>
          </w:p>
        </w:tc>
        <w:tc>
          <w:tcPr>
            <w:tcW w:w="10200" w:type="dxa"/>
            <w:vAlign w:val="bottom"/>
            <w:gridSpan w:val="19"/>
          </w:tcPr>
          <w:p>
            <w:pPr>
              <w:ind w:left="640"/>
              <w:spacing w:after="0" w:line="205" w:lineRule="exact"/>
              <w:rPr>
                <w:sz w:val="20"/>
                <w:szCs w:val="20"/>
                <w:color w:val="auto"/>
              </w:rPr>
            </w:pPr>
            <w:r>
              <w:rPr>
                <w:rFonts w:ascii="Times New Roman" w:cs="Times New Roman" w:eastAsia="Times New Roman" w:hAnsi="Times New Roman"/>
                <w:sz w:val="18"/>
                <w:szCs w:val="18"/>
                <w:color w:val="0000FF"/>
              </w:rPr>
              <w:t>Earnings Per Share</w:t>
            </w:r>
          </w:p>
        </w:tc>
        <w:tc>
          <w:tcPr>
            <w:tcW w:w="240" w:type="dxa"/>
            <w:vAlign w:val="bottom"/>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3051F2"/>
                <w:w w:val="88"/>
              </w:rPr>
              <w:t>107</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0" w:type="dxa"/>
            <w:vAlign w:val="bottom"/>
            <w:tcBorders>
              <w:right w:val="single" w:sz="8" w:color="3051F2"/>
            </w:tcBorders>
            <w:gridSpan w:val="7"/>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Borders>
              <w:left w:val="single" w:sz="8" w:color="3051F2"/>
            </w:tcBorders>
          </w:tcPr>
          <w:p>
            <w:pPr>
              <w:spacing w:after="0" w:line="20" w:lineRule="exact"/>
              <w:rPr>
                <w:sz w:val="1"/>
                <w:szCs w:val="1"/>
                <w:color w:val="auto"/>
              </w:rPr>
            </w:pPr>
          </w:p>
        </w:tc>
      </w:tr>
      <w:tr>
        <w:trPr>
          <w:trHeight w:val="205"/>
        </w:trPr>
        <w:tc>
          <w:tcPr>
            <w:tcW w:w="5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93"/>
              </w:rPr>
              <w:t>Note 14</w:t>
            </w:r>
          </w:p>
        </w:tc>
        <w:tc>
          <w:tcPr>
            <w:tcW w:w="10200" w:type="dxa"/>
            <w:vAlign w:val="bottom"/>
            <w:gridSpan w:val="19"/>
          </w:tcPr>
          <w:p>
            <w:pPr>
              <w:ind w:left="640"/>
              <w:spacing w:after="0" w:line="205" w:lineRule="exact"/>
              <w:rPr>
                <w:sz w:val="20"/>
                <w:szCs w:val="20"/>
                <w:color w:val="auto"/>
              </w:rPr>
            </w:pPr>
            <w:r>
              <w:rPr>
                <w:rFonts w:ascii="Times New Roman" w:cs="Times New Roman" w:eastAsia="Times New Roman" w:hAnsi="Times New Roman"/>
                <w:sz w:val="18"/>
                <w:szCs w:val="18"/>
                <w:color w:val="0000FF"/>
              </w:rPr>
              <w:t>Leases</w:t>
            </w:r>
          </w:p>
        </w:tc>
        <w:tc>
          <w:tcPr>
            <w:tcW w:w="1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3051F2"/>
                <w:w w:val="81"/>
              </w:rPr>
              <w:t>111</w:t>
            </w:r>
          </w:p>
        </w:tc>
        <w:tc>
          <w:tcPr>
            <w:tcW w:w="60" w:type="dxa"/>
            <w:vAlign w:val="bottom"/>
          </w:tcPr>
          <w:p>
            <w:pPr>
              <w:spacing w:after="0"/>
              <w:rPr>
                <w:sz w:val="17"/>
                <w:szCs w:val="17"/>
                <w:color w:val="auto"/>
              </w:rPr>
            </w:pP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0" w:type="dxa"/>
            <w:vAlign w:val="bottom"/>
            <w:tcBorders>
              <w:right w:val="single" w:sz="8" w:color="3051F2"/>
            </w:tcBorders>
            <w:gridSpan w:val="7"/>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Borders>
              <w:left w:val="single" w:sz="8" w:color="3051F2"/>
            </w:tcBorders>
          </w:tcPr>
          <w:p>
            <w:pPr>
              <w:spacing w:after="0" w:line="20" w:lineRule="exact"/>
              <w:rPr>
                <w:sz w:val="1"/>
                <w:szCs w:val="1"/>
                <w:color w:val="auto"/>
              </w:rPr>
            </w:pPr>
          </w:p>
        </w:tc>
      </w:tr>
      <w:tr>
        <w:trPr>
          <w:trHeight w:val="205"/>
        </w:trPr>
        <w:tc>
          <w:tcPr>
            <w:tcW w:w="5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93"/>
              </w:rPr>
              <w:t>Note 15</w:t>
            </w:r>
          </w:p>
        </w:tc>
        <w:tc>
          <w:tcPr>
            <w:tcW w:w="10200" w:type="dxa"/>
            <w:vAlign w:val="bottom"/>
            <w:gridSpan w:val="19"/>
          </w:tcPr>
          <w:p>
            <w:pPr>
              <w:ind w:left="640"/>
              <w:spacing w:after="0" w:line="205" w:lineRule="exact"/>
              <w:rPr>
                <w:sz w:val="20"/>
                <w:szCs w:val="20"/>
                <w:color w:val="auto"/>
              </w:rPr>
            </w:pPr>
            <w:r>
              <w:rPr>
                <w:rFonts w:ascii="Times New Roman" w:cs="Times New Roman" w:eastAsia="Times New Roman" w:hAnsi="Times New Roman"/>
                <w:sz w:val="18"/>
                <w:szCs w:val="18"/>
                <w:color w:val="0000FF"/>
              </w:rPr>
              <w:t>Equity-based Compensation</w:t>
            </w:r>
          </w:p>
        </w:tc>
        <w:tc>
          <w:tcPr>
            <w:tcW w:w="1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3051F2"/>
                <w:w w:val="81"/>
              </w:rPr>
              <w:t>113</w:t>
            </w:r>
          </w:p>
        </w:tc>
        <w:tc>
          <w:tcPr>
            <w:tcW w:w="60" w:type="dxa"/>
            <w:vAlign w:val="bottom"/>
          </w:tcPr>
          <w:p>
            <w:pPr>
              <w:spacing w:after="0"/>
              <w:rPr>
                <w:sz w:val="17"/>
                <w:szCs w:val="17"/>
                <w:color w:val="auto"/>
              </w:rPr>
            </w:pP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7400" w:type="dxa"/>
            <w:vAlign w:val="bottom"/>
            <w:tcBorders>
              <w:right w:val="single" w:sz="8" w:color="3051F2"/>
            </w:tcBorders>
            <w:gridSpan w:val="7"/>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Borders>
              <w:left w:val="single" w:sz="8" w:color="3051F2"/>
            </w:tcBorders>
          </w:tcPr>
          <w:p>
            <w:pPr>
              <w:spacing w:after="0" w:line="20" w:lineRule="exact"/>
              <w:rPr>
                <w:sz w:val="1"/>
                <w:szCs w:val="1"/>
                <w:color w:val="auto"/>
              </w:rPr>
            </w:pPr>
          </w:p>
        </w:tc>
      </w:tr>
      <w:tr>
        <w:trPr>
          <w:trHeight w:val="205"/>
        </w:trPr>
        <w:tc>
          <w:tcPr>
            <w:tcW w:w="5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93"/>
              </w:rPr>
              <w:t>Note 16</w:t>
            </w:r>
          </w:p>
        </w:tc>
        <w:tc>
          <w:tcPr>
            <w:tcW w:w="10200" w:type="dxa"/>
            <w:vAlign w:val="bottom"/>
            <w:gridSpan w:val="19"/>
          </w:tcPr>
          <w:p>
            <w:pPr>
              <w:ind w:left="640"/>
              <w:spacing w:after="0" w:line="205" w:lineRule="exact"/>
              <w:rPr>
                <w:sz w:val="20"/>
                <w:szCs w:val="20"/>
                <w:color w:val="auto"/>
              </w:rPr>
            </w:pPr>
            <w:r>
              <w:rPr>
                <w:rFonts w:ascii="Times New Roman" w:cs="Times New Roman" w:eastAsia="Times New Roman" w:hAnsi="Times New Roman"/>
                <w:sz w:val="18"/>
                <w:szCs w:val="18"/>
                <w:color w:val="0000FF"/>
              </w:rPr>
              <w:t>Segment and Geographic Data</w:t>
            </w:r>
          </w:p>
        </w:tc>
        <w:tc>
          <w:tcPr>
            <w:tcW w:w="1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3051F2"/>
                <w:w w:val="81"/>
              </w:rPr>
              <w:t>119</w:t>
            </w:r>
          </w:p>
        </w:tc>
        <w:tc>
          <w:tcPr>
            <w:tcW w:w="60" w:type="dxa"/>
            <w:vAlign w:val="bottom"/>
          </w:tcPr>
          <w:p>
            <w:pPr>
              <w:spacing w:after="0"/>
              <w:rPr>
                <w:sz w:val="17"/>
                <w:szCs w:val="17"/>
                <w:color w:val="auto"/>
              </w:rPr>
            </w:pP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7400" w:type="dxa"/>
            <w:vAlign w:val="bottom"/>
            <w:tcBorders>
              <w:right w:val="single" w:sz="8" w:color="3051F2"/>
            </w:tcBorders>
            <w:gridSpan w:val="7"/>
          </w:tcPr>
          <w:p>
            <w:pPr>
              <w:spacing w:after="0" w:line="20" w:lineRule="exact"/>
              <w:rPr>
                <w:sz w:val="1"/>
                <w:szCs w:val="1"/>
                <w:color w:val="auto"/>
              </w:rPr>
            </w:pPr>
          </w:p>
        </w:tc>
        <w:tc>
          <w:tcPr>
            <w:tcW w:w="240" w:type="dxa"/>
            <w:vAlign w:val="bottom"/>
            <w:gridSpan w:val="2"/>
            <w:shd w:val="clear" w:color="auto" w:fill="3051F2"/>
          </w:tcPr>
          <w:p>
            <w:pPr>
              <w:spacing w:after="0" w:line="20" w:lineRule="exact"/>
              <w:rPr>
                <w:sz w:val="1"/>
                <w:szCs w:val="1"/>
                <w:color w:val="auto"/>
              </w:rPr>
            </w:pPr>
          </w:p>
        </w:tc>
      </w:tr>
      <w:tr>
        <w:trPr>
          <w:trHeight w:val="205"/>
        </w:trPr>
        <w:tc>
          <w:tcPr>
            <w:tcW w:w="5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93"/>
              </w:rPr>
              <w:t>Note 17</w:t>
            </w:r>
          </w:p>
        </w:tc>
        <w:tc>
          <w:tcPr>
            <w:tcW w:w="10200" w:type="dxa"/>
            <w:vAlign w:val="bottom"/>
            <w:gridSpan w:val="19"/>
          </w:tcPr>
          <w:p>
            <w:pPr>
              <w:ind w:left="640"/>
              <w:spacing w:after="0" w:line="205" w:lineRule="exact"/>
              <w:rPr>
                <w:sz w:val="20"/>
                <w:szCs w:val="20"/>
                <w:color w:val="auto"/>
              </w:rPr>
            </w:pPr>
            <w:r>
              <w:rPr>
                <w:rFonts w:ascii="Times New Roman" w:cs="Times New Roman" w:eastAsia="Times New Roman" w:hAnsi="Times New Roman"/>
                <w:sz w:val="18"/>
                <w:szCs w:val="18"/>
                <w:color w:val="0000FF"/>
              </w:rPr>
              <w:t>Tax Receivable Agreements</w:t>
            </w:r>
          </w:p>
        </w:tc>
        <w:tc>
          <w:tcPr>
            <w:tcW w:w="240" w:type="dxa"/>
            <w:vAlign w:val="bottom"/>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3051F2"/>
                <w:w w:val="88"/>
              </w:rPr>
              <w:t>120</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gridSpan w:val="5"/>
            <w:shd w:val="clear" w:color="auto" w:fill="0000FF"/>
          </w:tcPr>
          <w:p>
            <w:pPr>
              <w:spacing w:after="0" w:line="20" w:lineRule="exact"/>
              <w:rPr>
                <w:sz w:val="1"/>
                <w:szCs w:val="1"/>
                <w:color w:val="auto"/>
              </w:rPr>
            </w:pPr>
          </w:p>
        </w:tc>
        <w:tc>
          <w:tcPr>
            <w:tcW w:w="7580" w:type="dxa"/>
            <w:vAlign w:val="bottom"/>
            <w:tcBorders>
              <w:right w:val="single" w:sz="8" w:color="3051F2"/>
            </w:tcBorders>
            <w:gridSpan w:val="9"/>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Borders>
              <w:left w:val="single" w:sz="8" w:color="3051F2"/>
            </w:tcBorders>
          </w:tcPr>
          <w:p>
            <w:pPr>
              <w:spacing w:after="0" w:line="20" w:lineRule="exact"/>
              <w:rPr>
                <w:sz w:val="1"/>
                <w:szCs w:val="1"/>
                <w:color w:val="auto"/>
              </w:rPr>
            </w:pPr>
          </w:p>
        </w:tc>
      </w:tr>
      <w:tr>
        <w:trPr>
          <w:trHeight w:val="205"/>
        </w:trPr>
        <w:tc>
          <w:tcPr>
            <w:tcW w:w="5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93"/>
              </w:rPr>
              <w:t>Note 18</w:t>
            </w:r>
          </w:p>
        </w:tc>
        <w:tc>
          <w:tcPr>
            <w:tcW w:w="10200" w:type="dxa"/>
            <w:vAlign w:val="bottom"/>
            <w:gridSpan w:val="19"/>
          </w:tcPr>
          <w:p>
            <w:pPr>
              <w:ind w:left="640"/>
              <w:spacing w:after="0" w:line="205" w:lineRule="exact"/>
              <w:rPr>
                <w:sz w:val="20"/>
                <w:szCs w:val="20"/>
                <w:color w:val="auto"/>
              </w:rPr>
            </w:pPr>
            <w:r>
              <w:rPr>
                <w:rFonts w:ascii="Times New Roman" w:cs="Times New Roman" w:eastAsia="Times New Roman" w:hAnsi="Times New Roman"/>
                <w:sz w:val="18"/>
                <w:szCs w:val="18"/>
                <w:color w:val="0000FF"/>
              </w:rPr>
              <w:t>Income Taxes</w:t>
            </w:r>
          </w:p>
        </w:tc>
        <w:tc>
          <w:tcPr>
            <w:tcW w:w="240" w:type="dxa"/>
            <w:vAlign w:val="bottom"/>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3051F2"/>
                <w:w w:val="88"/>
              </w:rPr>
              <w:t>121</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20" w:type="dxa"/>
            <w:vAlign w:val="bottom"/>
            <w:tcBorders>
              <w:right w:val="single" w:sz="8" w:color="3051F2"/>
            </w:tcBorders>
            <w:gridSpan w:val="14"/>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Borders>
              <w:left w:val="single" w:sz="8" w:color="3051F2"/>
            </w:tcBorders>
          </w:tcPr>
          <w:p>
            <w:pPr>
              <w:spacing w:after="0" w:line="20" w:lineRule="exact"/>
              <w:rPr>
                <w:sz w:val="1"/>
                <w:szCs w:val="1"/>
                <w:color w:val="auto"/>
              </w:rPr>
            </w:pPr>
          </w:p>
        </w:tc>
      </w:tr>
      <w:tr>
        <w:trPr>
          <w:trHeight w:val="205"/>
        </w:trPr>
        <w:tc>
          <w:tcPr>
            <w:tcW w:w="5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93"/>
              </w:rPr>
              <w:t>Note 19</w:t>
            </w:r>
          </w:p>
        </w:tc>
        <w:tc>
          <w:tcPr>
            <w:tcW w:w="10200" w:type="dxa"/>
            <w:vAlign w:val="bottom"/>
            <w:gridSpan w:val="19"/>
          </w:tcPr>
          <w:p>
            <w:pPr>
              <w:ind w:left="640"/>
              <w:spacing w:after="0" w:line="205" w:lineRule="exact"/>
              <w:rPr>
                <w:sz w:val="20"/>
                <w:szCs w:val="20"/>
                <w:color w:val="auto"/>
              </w:rPr>
            </w:pPr>
            <w:r>
              <w:rPr>
                <w:rFonts w:ascii="Times New Roman" w:cs="Times New Roman" w:eastAsia="Times New Roman" w:hAnsi="Times New Roman"/>
                <w:sz w:val="18"/>
                <w:szCs w:val="18"/>
                <w:color w:val="0000FF"/>
              </w:rPr>
              <w:t>Subsequent Events</w:t>
            </w:r>
          </w:p>
        </w:tc>
        <w:tc>
          <w:tcPr>
            <w:tcW w:w="240" w:type="dxa"/>
            <w:vAlign w:val="bottom"/>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3051F2"/>
                <w:w w:val="88"/>
              </w:rPr>
              <w:t>124</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560" w:type="dxa"/>
            <w:vAlign w:val="bottom"/>
            <w:tcBorders>
              <w:right w:val="single" w:sz="8" w:color="3051F2"/>
            </w:tcBorders>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Borders>
              <w:left w:val="single" w:sz="8" w:color="3051F2"/>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20"/>
          </w:cols>
          <w:pgMar w:left="320" w:top="118" w:right="5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Background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ZoomInfo Technologies Inc., through its operating subsidiaries, provides a go-to-market intelligence and engagement platform for sales and marketing teams. The Company’s cloud-based platform provides workflow tools with integrated, accurate, and comprehensive information on organizations and professionals to help users identify target customers and decision makers, obtain continually updated predictive lead and company scoring, monitor buying signals and other attributes of target companies, craft messages, engage via automated sales tools, and track progress through the deal cycle. Unless otherwise indicated or the context otherwise requires, references to “we,” “us,” “our,” “ZoomInfo,” and the “Company” refer (1) prior to the consummation of the Reorganization Transactions, to ZoomInfo OpCo and its consolidated subsidiaries, (2) after the consummation of the Reorganization Transactions and prior to the consummation of the Holding Company Reorganization, to ZoomInfo Intermediate Inc. (formerly known as ZoomInfo Technologies Inc.) and its consolidated subsidiaries, and (3) after the consummation of the Holding Company Reorganization, to ZoomInfo Technologies Inc. (formerly known as ZoomInfo NewCo Inc.) and its consolidated subsidiaries.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ZoomInfo Technologies Inc. was formed on November 14, 2019 with no operating assets or operations as a Delaware corporation for the purposes of facilitating an initial public offering (“IPO”) and other related transactions in order to carry on the business of ZoomInfo Holdings LLC (“ZoomInfo OpCo”) (formerly known as DiscoverOrg Holdings, LLC), a Delaware limited liability company. Following consummation of the Reorganization Transactions (as described below), ZoomInfo OpCo became a direct subsidiary of ZoomInfo Intermediate Holdings LLC (“ZoomInfo HoldCo”), a Delaware limited liability company and an indirect subsidiary of ZoomInfo Technologies Inc. Following the consummation of the Holding Company Reorganization, ZoomInfo OpCo became a direct subsidiary of ZoomInfo Technologies Inc. and ZoomInfo Intermediate Inc.</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headquarters are located in Vancouver, WA, and we have additional offices throughout the United States, and in Israel, Canada, the United Kingdom, and India.</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On June 8, 2020, ZoomInfo Technologies Inc. completed the IPO, in which it sold 51,175,000 shares of Class A common stock (including shares issued pursuant to the exercise in full of the underwriters’ option to purchase additional shares) at a public offering price of $21.00 per share for net proceeds of $1,019.6 million, after deducting underwriters’ discounts (but excluding other offering expenses and reimbursements). ZoomInfo Technologies Inc. used all of the proceeds from the IPO to (i) purchase 48,528,783 newly issued HoldCo Units from ZoomInfo HoldCo for approximately $966.9 million (which ZoomInfo HoldCo in turn used to purchase the same number of newly issued OpCo Units from ZoomInfo OpCo); (ii) purchase 2,370,948 OpCo Units from certain Pre-IPO OpCo Unitholders for approximately $47.2 million; and (iii) fund $5.5 million of merger consideration payable to certain Pre-IPO Blocker Holders in connection with the Blocker Mergers.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Background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Reorganization Transactions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connection with the IPO, the Company completed the following transactions (“Reorganization Transactions”):</w:t>
      </w:r>
    </w:p>
    <w:p>
      <w:pPr>
        <w:spacing w:after="0" w:line="164" w:lineRule="exact"/>
        <w:rPr>
          <w:sz w:val="20"/>
          <w:szCs w:val="20"/>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ZoomInfo OpCo effected a four—for—one reverse unit split;</w:t>
      </w:r>
    </w:p>
    <w:p>
      <w:pPr>
        <w:spacing w:after="0" w:line="164" w:lineRule="exact"/>
        <w:rPr>
          <w:rFonts w:ascii="Times New Roman" w:cs="Times New Roman" w:eastAsia="Times New Roman" w:hAnsi="Times New Roman"/>
          <w:sz w:val="18"/>
          <w:szCs w:val="18"/>
          <w:color w:val="auto"/>
        </w:rPr>
      </w:pPr>
    </w:p>
    <w:p>
      <w:pPr>
        <w:jc w:val="both"/>
        <w:ind w:left="640" w:hanging="316"/>
        <w:spacing w:after="0" w:line="251" w:lineRule="auto"/>
        <w:tabs>
          <w:tab w:leader="none" w:pos="6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ZoomInfo Technologies Inc. formed a new merger subsidiary with respect to each of the Blocker Companies through which certain of our Pre-IPO Blocker Holders held their interests in ZoomInfo OpCo, each merger subsidiary merged with and into the respective Blocker Companies in reverse-subsidiary mergers, and the surviving entities merged with and into ZoomInfo Technologies Inc. (such mergers, the “Blocker Mergers”), which Blocker Mergers resulted in the Pre-IPO Blocker Holders receiving a combination of (i) shares of Class C common stock of ZoomInfo Technologies Inc. and (ii) a cash amount in respect of reductions in such Pre-IPO Blocker Holders’ equity interests, based on the initial offering price of our Class A common stock in the IPO;</w:t>
      </w:r>
    </w:p>
    <w:p>
      <w:pPr>
        <w:spacing w:after="0" w:line="132"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Pre-IPO Owners acquired interests in ZoomInfo HoldCo as a result of the merger of an entity that held OpCo Units on behalf of such Pre-IPO Owners into ZoomInfo HoldCo (the “ZoomInfo HoldCo Contributions”) and the redemption of some OpCo Units pursuant to which the holders of such OpCo Units received HoldCo Units; and</w:t>
      </w:r>
    </w:p>
    <w:p>
      <w:pPr>
        <w:spacing w:after="0" w:line="124"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liability company agreement of each of ZoomInfo OpCo and ZoomInfo HoldCo was amended and restated to, among other things, modify their capital structure by reclassifying the interests held by the Pre-IPO OpCo Unitholders, the Continuing Class P Unitholders, and the Pre-IPO HoldCo Unitholders, resulting in OpCo Units of ZoomInfo OpCo, Class P Units of ZoomInfo OpCo, and HoldCo Units of ZoomInfo HoldCo, respectively (such reclassification, the “Reclassification”).</w:t>
      </w:r>
    </w:p>
    <w:p>
      <w:pPr>
        <w:spacing w:after="0" w:line="12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refer to the Reclassification, together with the Blocker Mergers and the ZoomInfo HoldCo Contributions, as the “Reorganization Transactions.” Following the Reorganization Transactions, ZoomInfo Technologies Inc. became a holding company, with its sole material asset being a controlling equity interest in ZoomInfo HoldCo, which became a holding company with its sole material asset being a controlling equity interest in ZoomInfo OpCo. ZoomInfo Technologies Inc. will operate and control all of the business and affairs, and consolidate the financial results, of ZoomInfo OpCo through ZoomInfo HoldCo and, through ZoomInfo OpCo and its subsidiaries, conduct our business. Accordingly, ZoomInfo Technologies Inc. consolidates the financial results of ZoomInfo HoldCo, and therefore ZoomInfo OpCo, and reports the non-controlling interests of the Pre-IPO HoldCo Units and Pre-IPO OpCo Units on its consolidated financial statements.</w:t>
      </w:r>
    </w:p>
    <w:p>
      <w:pPr>
        <w:spacing w:after="0" w:line="13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connection with the Reorganization Transactions and the IPO, ZoomInfo Technologies Inc. entered into two tax receivable agreements. Refer to Note 17 - Tax Receivable Agreements for additional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Structure Simplification Transactions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August 2021, the Company completed a series of reorganization transactions to simplify its corporate structure, including the distribution of shares of common stock of RKSI Acquisition Corp (“RKSI”) from ZoomInfo Holdings LLC to ZoomInfo HoldCo, the merger of RKSI with and into ZoomInfo HoldCo with ZoomInfo HoldCo surviving, and the merger of ZoomInfo HoldCo with and into the Company with the Company surviving. Prior to the consummation of the HoldCo Merger, all holders of HoldCo Units (other than the Company) exchanged their HoldCo Units and paired shares of Class B common stock of the Company for shares of Class A common stock of the Company pursuant to the terms of the limited liability company agreement of HoldCo.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Background (continued)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Holding Company Reorganization</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September 2021, the Board of Directors unanimously approved streamlining the Company’s corporate structure and governance by eliminating the Company’s umbrella partnership-C-corporation (“UP-C”) and multi-class voting structure. In October 2021, the Company implemented this reorganization, pursuant to which (i) a subsidiary of ZoomInfo Technologies Inc. (formerly known as ZoomInfo NewCo Inc.) (“New ZoomInfo”) merged with and into ZoomInfo Intermediate Inc. (“Old ZoomInfo”), formerly known as ZoomInfo Technologies Inc., which resulted in New ZoomInfo becoming the direct parent company of Old ZoomInfo, and (ii) immediately thereafter, another subsidiary of New ZoomInfo merged with and into ZoomInfo Holdings LLC (“ZoomInfo OpCo”), which resulted in ZoomInfo OpCo becoming a subsidiary of New ZoomInfo (the combined transaction described in (i) and (ii), the “Holding Company Reorganization”). As a result of the Holding Company Reorganization, New ZoomInfo became the successor issuer and reporting company to Old ZoomInfo pursuant to Rule 12g-3(a) under the Securities Exchange Act of 1934, as amended (the “Exchange Act”), and replaced the Predecessor Registrant as the public company trading on the Nasdaq Global Select Market (the “Nasdaq”) under the ticker symbol “ZI”.</w:t>
      </w:r>
    </w:p>
    <w:p>
      <w:pPr>
        <w:spacing w:after="0" w:line="13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After the consummation of the Holding Company Reorganization, the only class of common stock of the New ZoomInfo remaining issued and outstanding was the Class A common stock and all shares of Class B common stock were cancelled, and all shares of Class C common stock were converted to Class A common stock. In May 2022, following approval by the Company’s stockholders, the Company further amended and restated its Amended and Restated Certification of Incorporation to eliminate the multiple classes of common stock and to rename the Company’s Class A common stock as “Common Stock”. All references within this document to Class A common stock for periods subsequent to May 23, 2022, and, where the context requires, references within this document to Class A common stock for periods prior to May 23, 2022, have been updated for the renaming.</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Principles</w:t>
      </w:r>
    </w:p>
    <w:p>
      <w:pPr>
        <w:spacing w:after="0" w:line="168"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Our consolidated financial statements and accompanying notes are prepared in accordance with accounting principles generally accepted in the United States of America (“U.S. GAAP”).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us to make certain estimates, judgments, and assumptions that affect the reported amounts of assets and liabilities and disclosure of contingent assets and liabilities as of the date of the consolidated financial statements, as well as the reported amounts of revenue and expenses during the reporting period. We base these estimates on historical and anticipated results, trends, and other assumptions with respect to future events that we believe are reasonable and evaluate our estimates on an ongoing basis. Given that estimates and judgments are required, actual results may differ from our estimates and such differences could be material to our consolidated financial position and results of operations.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ZoomInfo Technologies Inc. and its subsidiaries. All significant intercompany transactions and balances have been eliminated in consolidation.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derives revenue primarily from subscription services. Our subscription services consist of our SaaS applications and related access to our platform. Subscription contracts are generally based on the number of users that access our applications, the level of functionality that they can access, and the amount of data that a customer integrates with their systems. Our subscription contracts typically have a term of one to three years and are non-cancelable. We typically bill for services annually, semi-annually, or quarterly in advance of 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accounts for revenue contracts with customers through the following steps:</w:t>
      </w:r>
    </w:p>
    <w:p>
      <w:pPr>
        <w:spacing w:after="0" w:line="164" w:lineRule="exact"/>
        <w:rPr>
          <w:sz w:val="20"/>
          <w:szCs w:val="20"/>
          <w:color w:val="auto"/>
        </w:rPr>
      </w:pPr>
    </w:p>
    <w:p>
      <w:pPr>
        <w:ind w:left="640" w:hanging="316"/>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a customer;</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Company satisfies a performance obligation.</w:t>
      </w:r>
    </w:p>
    <w:p>
      <w:pPr>
        <w:spacing w:after="0" w:line="16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recognize revenue for subscription contracts on a ratable basis over the contract term based on the number of calendar days in each period, beginning on the date that our service is made available to the customer. Unearned revenue results from revenue amounts billed to customers in advance or cash received from customers in advance of the satisfaction of performance obligations. Determining the transaction price often involves judgment and making estimates that can have a significant impact on the timing and amount of revenue reported. At times, the Company may adjust billing under a contract based on the addition of services or other circumstances, which are accounted for as variable consideration. The Company estimates these amounts based on historical experience and adjusts revenue recognized.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Short-term Investments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Cash equivalents consist of highly liquid marketable debt securities with remaining maturities of three months or less at the date of purchase. We classify our investments in marketable securities as “available-for-sale.” We carry these investments at fair value, based on quoted market prices or other readily available market information. Unrealized gains and losses, net of taxes, are included in </w:t>
      </w:r>
      <w:r>
        <w:rPr>
          <w:rFonts w:ascii="Times New Roman" w:cs="Times New Roman" w:eastAsia="Times New Roman" w:hAnsi="Times New Roman"/>
          <w:sz w:val="18"/>
          <w:szCs w:val="18"/>
          <w:i w:val="1"/>
          <w:iCs w:val="1"/>
          <w:color w:val="auto"/>
        </w:rPr>
        <w:t>Accumulated other comprehensive income</w:t>
      </w:r>
      <w:r>
        <w:rPr>
          <w:rFonts w:ascii="Times New Roman" w:cs="Times New Roman" w:eastAsia="Times New Roman" w:hAnsi="Times New Roman"/>
          <w:sz w:val="18"/>
          <w:szCs w:val="18"/>
          <w:color w:val="auto"/>
        </w:rPr>
        <w:t>, which is reflected as a separate component of stockholders’ equity on our Consolidated Balance Sheets. Gains and losses are determined using the specific identification method and recognized when realized on our Consolidated Statements of Operations. If we were to determine that an other-than-temporary decline in fair value has occurred, the amount of the decline related to a credit loss will be recognized in income.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Level 1 - Observable inputs that reflect unadjusted quoted prices in active markets for identical assets or liabilities</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Level 2 - Other inputs that are directly or indirectly observable in the marketplace</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including the Company’s own assumptions in determining fair value</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inputs or methodology used for valuing financial assets and liabilities are not necessarily an indication of the risk associated with investing in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Significant Customers</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consist principally of cash and cash equivalents, short-term investments, and accounts receivable. The Company holds cash at major financial institutions that often exceed Federal Deposit Insurance Corporation (“FDIC”) insured limits. The Company manages its credit risk associated with cash concentrations by concentrating its cash deposits in high-quality financial institutions and by periodically evaluating the credit quality of the primary financial institutions holding such deposits. The carrying value of cash approximates fair value. Our investment portfolio is comprised of highly rated securities with a weighted-average maturity of less than 12 months in accordance with our investment policy which seeks to preserve principal and maintain a high degree of liquidity. Historically, the Company has not experienced any losses due to such cash concentrations. The Company does not have any off-balance-sheet credit exposure related to its customers. Concentrations of credit risk with respect to accounts receivable and revenue are limited due to a large, diverse customer base. We do not require collateral from clients. We maintain an allowance for credit losses based upon the expected collectability of accounts receivable. The Company performs ongoing credit evaluations of its customers and maintains allowances for possible losses, which, when realized, have been within the range of management’s expectations. No single customer accounted for 10% or more of our revenue for the years ended December 31, 2023, 2022, and 2021 or accounted for more than 10% of accounts receivable as of December 31, 2023 and 2022.</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Contract Assets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Accounts receivable is comprised of invoices of revenue, net of allowance for expected credit losses, and does not bear interest. We consider receivables past due based on the contractual payment terms. Management’s evaluation of the adequacy of the allowance for credit losses considers historical collection experience, changes in customer payment profiles, the aging of receivable balances, as well as current economic conditions, all of which may impact a customer’s ability to pay. Account balances are written-off against the allowance after all means of collection have been exhausted and the potential for recovery is considered remote. As of December 31, 2023 and 2022, the allowance for expected credit losses was not significant to the accompanying consolidated financial statements.</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assessment of variable consideration to be constrained is based on estimates, and actual consideration may vary from current estimates. As adjustments to these estimates become necessary, they are reported in earnings in the periods in which they become known. Changes in variable consideration are recorded as a component of net revenue.</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Contract assets represent a contractual right to consideration in the future. Contract assets are generated when contractual billing schedules differ from revenue recognition timing.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Property and equipment is stated at cost, net of accumulated depreciation and amortization. All repairs and maintenance costs are expensed as incurred. Depreciation and amortization costs are expensed on a straight-line basis over the lesser of the estimated useful life of the asset or the remainder of the lease term for leasehold improvements. Qualifying internal use software costs incurred during the application development stage, which consist primarily of internal product development costs, outside services, personnel costs (including equity-based compensation), and purchased software license costs, are capitalized and amortized over the estimated useful life of the asset. Estimated useful lives range from three to ten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Commissions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Certain sales commissions earned by our sales force are considered incremental and recoverable costs of obtaining a contract with a customer. These sales commissions for initial contracts are capitalized and included in </w:t>
      </w:r>
      <w:r>
        <w:rPr>
          <w:rFonts w:ascii="Times New Roman" w:cs="Times New Roman" w:eastAsia="Times New Roman" w:hAnsi="Times New Roman"/>
          <w:sz w:val="18"/>
          <w:szCs w:val="18"/>
          <w:i w:val="1"/>
          <w:iCs w:val="1"/>
          <w:color w:val="auto"/>
        </w:rPr>
        <w:t>Deferred costs and other assets, net of current portion</w:t>
      </w:r>
      <w:r>
        <w:rPr>
          <w:rFonts w:ascii="Times New Roman" w:cs="Times New Roman" w:eastAsia="Times New Roman" w:hAnsi="Times New Roman"/>
          <w:sz w:val="18"/>
          <w:szCs w:val="18"/>
          <w:color w:val="auto"/>
        </w:rPr>
        <w:t xml:space="preserve"> on our Consolidated Balance Sheets. Deferred sales commissions are amortized on a straight-line basis over the estimated period of benefit from the customer relationship which we have determined to be one and three years for renewals and new clients, respectively. We determined the period of benefit by taking into consideration our customer contracts, our technology, and other factors. Amortization expense related to these capitalized commissions is included in </w:t>
      </w: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xml:space="preserve"> on our Consolidated Statements of Operations.</w:t>
      </w:r>
    </w:p>
    <w:p>
      <w:pPr>
        <w:spacing w:after="0" w:line="130"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color w:val="auto"/>
        </w:rPr>
        <w:t xml:space="preserve">Commissions payable at December 31, 2023 were $37.7 million, of which the current portion of $34.4 million was included in </w:t>
      </w:r>
      <w:r>
        <w:rPr>
          <w:rFonts w:ascii="Times New Roman" w:cs="Times New Roman" w:eastAsia="Times New Roman" w:hAnsi="Times New Roman"/>
          <w:sz w:val="18"/>
          <w:szCs w:val="18"/>
          <w:i w:val="1"/>
          <w:iCs w:val="1"/>
          <w:color w:val="auto"/>
        </w:rPr>
        <w:t>Accrued expenses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other current liabilities </w:t>
      </w:r>
      <w:r>
        <w:rPr>
          <w:rFonts w:ascii="Times New Roman" w:cs="Times New Roman" w:eastAsia="Times New Roman" w:hAnsi="Times New Roman"/>
          <w:sz w:val="18"/>
          <w:szCs w:val="18"/>
          <w:color w:val="auto"/>
        </w:rPr>
        <w:t>on our Consolidated Balance Sheets, and the long-term portion of $3.3 million was included in</w:t>
      </w:r>
      <w:r>
        <w:rPr>
          <w:rFonts w:ascii="Times New Roman" w:cs="Times New Roman" w:eastAsia="Times New Roman" w:hAnsi="Times New Roman"/>
          <w:sz w:val="18"/>
          <w:szCs w:val="18"/>
          <w:i w:val="1"/>
          <w:iCs w:val="1"/>
          <w:color w:val="auto"/>
        </w:rPr>
        <w:t xml:space="preserve"> Other long-term liabilities </w:t>
      </w:r>
      <w:r>
        <w:rPr>
          <w:rFonts w:ascii="Times New Roman" w:cs="Times New Roman" w:eastAsia="Times New Roman" w:hAnsi="Times New Roman"/>
          <w:sz w:val="18"/>
          <w:szCs w:val="18"/>
          <w:color w:val="auto"/>
        </w:rPr>
        <w:t>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Consolidated Balance Sheets. Commissions payable at December 31, 2022 were $36.2 million, of which the current portion of $32.1 million was included in </w:t>
      </w:r>
      <w:r>
        <w:rPr>
          <w:rFonts w:ascii="Times New Roman" w:cs="Times New Roman" w:eastAsia="Times New Roman" w:hAnsi="Times New Roman"/>
          <w:sz w:val="18"/>
          <w:szCs w:val="18"/>
          <w:i w:val="1"/>
          <w:iCs w:val="1"/>
          <w:color w:val="auto"/>
        </w:rPr>
        <w:t xml:space="preserve">Accrued expenses and other current liabilities </w:t>
      </w:r>
      <w:r>
        <w:rPr>
          <w:rFonts w:ascii="Times New Roman" w:cs="Times New Roman" w:eastAsia="Times New Roman" w:hAnsi="Times New Roman"/>
          <w:sz w:val="18"/>
          <w:szCs w:val="18"/>
          <w:color w:val="auto"/>
        </w:rPr>
        <w:t>on our Consolidated Balance Sheets, and the long-term portion of $4.1 million was included in</w:t>
      </w:r>
      <w:r>
        <w:rPr>
          <w:rFonts w:ascii="Times New Roman" w:cs="Times New Roman" w:eastAsia="Times New Roman" w:hAnsi="Times New Roman"/>
          <w:sz w:val="18"/>
          <w:szCs w:val="18"/>
          <w:i w:val="1"/>
          <w:iCs w:val="1"/>
          <w:color w:val="auto"/>
        </w:rPr>
        <w:t xml:space="preserve"> Other long-term liabilities </w:t>
      </w:r>
      <w:r>
        <w:rPr>
          <w:rFonts w:ascii="Times New Roman" w:cs="Times New Roman" w:eastAsia="Times New Roman" w:hAnsi="Times New Roman"/>
          <w:sz w:val="18"/>
          <w:szCs w:val="18"/>
          <w:color w:val="auto"/>
        </w:rPr>
        <w:t>on our Consolidated Balance Sheets.</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Certain commissions are not capitalized as they do not represent incremental costs of obtaining a contract. Such commissions are expensed as incurred.</w:t>
      </w:r>
    </w:p>
    <w:p>
      <w:pPr>
        <w:spacing w:after="0" w:line="16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The Company capitalized $85.5 million, $79.9 million, and $61.0 million of costs to obtain revenue contracts and amortized $75.3 million, $65.9 million, and $41.7 million to </w:t>
      </w: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xml:space="preserve"> for the years ended December 31, 2023, 2022, and 2021, respectively. Costs capitalized to obtain a revenue contract, net on the Company’s Consolidated Balance Sheets totaled $83.3 million and $73.3 million as of December 31, 2023 and 2022, respectively. There were no impairments of costs to obtain revenue contracts in the years ended December 31, 2023, 2022, and 2021.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and Promotional Expenses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The Company expenses advertising costs as incurred. Advertising expenses of $31.3 million, $28.8 million, and $22.7 million were recorded for the years ended December 31, 2023, 2022, and 2021, respectively. Advertising expenses are included in </w:t>
      </w: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xml:space="preserve"> on our Consolidated Statements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Research and development expenses consist primarily of compensation expense for our employees, including employee benefits, certain IT program expenses, facilities and related overhead costs. We continue to focus our research and development efforts on developing new products, adding new features and services, integrating acquired technologies, and increasing functionality. Expenditures for software developed or obtained for internal use are capitalized and amortized over a four-year period on a straight-line basis and recorded within </w:t>
      </w:r>
      <w:r>
        <w:rPr>
          <w:rFonts w:ascii="Times New Roman" w:cs="Times New Roman" w:eastAsia="Times New Roman" w:hAnsi="Times New Roman"/>
          <w:sz w:val="18"/>
          <w:szCs w:val="18"/>
          <w:i w:val="1"/>
          <w:iCs w:val="1"/>
          <w:color w:val="auto"/>
        </w:rPr>
        <w:t>Cost of service</w:t>
      </w:r>
      <w:r>
        <w:rPr>
          <w:rFonts w:ascii="Times New Roman" w:cs="Times New Roman" w:eastAsia="Times New Roman" w:hAnsi="Times New Roman"/>
          <w:sz w:val="18"/>
          <w:szCs w:val="18"/>
          <w:color w:val="auto"/>
        </w:rPr>
        <w:t xml:space="preserve"> on the Consolidated Statements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and Transaction-Related Expenses</w:t>
      </w:r>
    </w:p>
    <w:p>
      <w:pPr>
        <w:spacing w:after="0" w:line="166"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 xml:space="preserve">The Company defines </w:t>
      </w:r>
      <w:r>
        <w:rPr>
          <w:rFonts w:ascii="Times New Roman" w:cs="Times New Roman" w:eastAsia="Times New Roman" w:hAnsi="Times New Roman"/>
          <w:sz w:val="17"/>
          <w:szCs w:val="17"/>
          <w:i w:val="1"/>
          <w:iCs w:val="1"/>
          <w:color w:val="auto"/>
        </w:rPr>
        <w:t>Restructuring and transaction-related expenses</w:t>
      </w:r>
      <w:r>
        <w:rPr>
          <w:rFonts w:ascii="Times New Roman" w:cs="Times New Roman" w:eastAsia="Times New Roman" w:hAnsi="Times New Roman"/>
          <w:sz w:val="17"/>
          <w:szCs w:val="17"/>
          <w:color w:val="auto"/>
        </w:rPr>
        <w:t xml:space="preserve"> as costs directly associated with restructuring, acquisition, or disposal activities. Such costs include employee severance and termination benefits, contract termination fees and penalties, and other exit or disposal costs. In general, the Company records involuntary employee-related exit and disposal costs when there is a substantive plan for employee severance and related costs that are probable and estimable. For one-time termination benefits for key members of management (i.e., no substantive plan) expense is recorded when the employees are entitled to receive such benefits and the amount can be reasonably estimated. Transaction-related bonuses and related employee retention costs are recognized over the relevant service period. Contract termination fees and penalties and other exit and disposal costs are generally recorded when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allocate purchase consideration to the tangible assets acquired, liabilities assumed, and intangible assets acquired based on their estimated fair values. The purchase price is determined based on the fair value of the assets transferred, liabilities assumed and equity interests issued, after considering any transactions that are separate from the business combination. The fair value of equity issued as part of a business combination is determined based on grant date stock price of the Company. The excess of fair value of purchase consideration over the fair values of the identifiable assets and liabilities is recorded as goodwill.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3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estimates are inherently uncertain and subject to revision as additional information is obtained during the measurement period for an acquisition, which may last up to one year from the acquisition date. During the measurement period, we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uncertain tax positions and tax-related valuation allowances assumed in connection with a business combination are initially estimated as of the acquisition date. We re-evaluate these items based upon the facts and circumstances that existed as of the acquisition date, with any revisions to our preliminary estimates being recorded to goodwill, provided that the timing is within the measurement period. Subsequent to the measurement period, changes to uncertain tax positions and tax-related valuation allowances will be recorded to earnings.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Acquired Intangible Assets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Goodwill is calculated as the excess of the purchase consideration paid in a business combination over the fair value of the assets acquired less liabilities assumed. Goodwill is not amortized and is tested for impairment at least annually during the fourth quarter of our fiscal year or when events and circumstances indicate that the fair value of a reporting unit may be below its carrying value. The Company has one reporting unit.</w:t>
      </w:r>
    </w:p>
    <w:p>
      <w:pPr>
        <w:spacing w:after="0" w:line="12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first assess qualitative factors to evaluate whether it is more likely than not that the fair value of a reporting unit is less than the carrying amount or elect to bypass such assessment. If it is determined that it is more likely than not that the fair value of the reporting unit is less than its carrying value, or we elect to bypass the qualitative assessment, we perform a quantitative test by determining the fair value of the reporting unit. If the carrying value of the reporting unit exceeds the fair value, then an impairment loss is recognized for the difference.</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Acquired technology, customer relationships, trade names or brand portfolios, and other intangible assets are related to historical acquisitions (refer to Note 7 - Goodwill and Acquired Intangible Assets). Acquired intangible assets are amortized on a straight-line basis over the estimated period over which we expect to realize economic value related to the intangible asset. The amortization periods range from 2 years to 15 years. Any costs incurred to renew or extend the life of an intangible or long-lived asset are reviewed for capitalization.</w:t>
      </w:r>
    </w:p>
    <w:p>
      <w:pPr>
        <w:spacing w:after="0" w:line="12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Indefinite-lived intangible assets consist of brand portfolios acquired from Pre-Acquisition ZI and represent costs paid to legally register phrases and graphic designs that identify and distinguish products sold by the Company. Indefinite-lived intangible assets are not subject to amortization. Instead, they are subject to an annual assessment for potential impairment, or more frequently upon the occurrence of a triggering event when circumstances indicate that the book value is greater than its fair value. The Company first assesses qualitative factors to determine whether it is more likely than not that the fair value of the indefinite-lived intangible asset is less than the carrying value as a basis to determine whether further impairment testing is necessary. The Company conducts its impairment assessment during the fourth quarter of each fiscal year. No impairment charges relating to acquired goodwill or indefinite-lived intangible assets were recorded for the years ended December 31, 2023,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Long-lived assets, such as property and equipment, acquired intangible assets, and right-of-use assets, are reviewed for impairment whenever events or circumstances indicate that the carrying value of an asset may not be recoverable. Recoverability of assets to be held and used is measured by a comparison of the carrying amount of an asset to the undiscounted future cash flows expected to be generated by the asset or group of assets. If the carrying amount of the asset exceeds the estimated future cash flows, an impairment charge is recognized in the amount by which the carrying amount of the asset exceeds the estimated future cash flows of the asset. During the year ended December 31, 2023, we recorded impairment charges of $5.2 million, to reduce the carrying value of the right-of-use assets associated with certain of our office spaces. The estimated future cash flows associated with the right-of-use assets under ASC 842 were developed by incorporating current market data and forecasts provided by reputable external real estate brokers and data sources. These projections consider prevailing rental rates, anticipated lease renewals, expected vacancy periods, and other relevant market factors that contribute to the estimation of recoverable cash flows for the impaired office spaces we do not intend to occupy. No impairment charges were recorded for the year ended December 31, 2022. During the year ended December 31, 2021, we recorded impairment charges of $1.5 million to reduce the carrying value of our existing Waltham right-of-use asset and $1.2 million to reduce the carrying value of the related leasehold improvements to their respective fair values.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determine if an arrangement is or contains a lease at contract inception. For these arrangements, primarily those related to our data center arrangements, there is judgment in evaluating if the arrangement involves an identified asset that is physically distinct or whether we have the right to substantially all of the capacity of an identified asset that is not physically distinct. In arrangements that involve an identified asset, there is also judgment in evaluating if we have the right to direct the use of that asset.</w:t>
      </w:r>
    </w:p>
    <w:p>
      <w:pPr>
        <w:spacing w:after="0" w:line="12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do not have any finance leases. Operating leases are recorded on our Consolidated Balance Sheets. Right-of-use assets and lease liabilities are measured at the lease commencement date based on the present value of the fixed minimum remaining lease payments over the lease term, determined using the discount rate for the lease at the commencement date. Because the rates implicit in our leases are not readily determinable, we use our incremental borrowing rate as the discount rate for each respective lease, which approximates the interest rate at which we could borrow on a collateralized basis with similar terms and payments and in similar economic environments. Some leases include options to extend or options to terminate the lease prior to the stated lease expiration. Optional periods to extend a lease, including by not exercising a termination option, are included in the lease term when it is reasonably certain that the option will be exercised (or not exercised in the case of termination options). Operating lease expense is recognized on a straight-line basis over the lease term. We account for lease and non-lease components, principally common area maintenance and related taxes for our facilities leases, as a single lease component. Short term leases, defined as leases having an original lease term less than or equal to one year, are excluded from our right-of-use assets and lease liabilities.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 and Hedging Activities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FASB Accounting Standards Codification (“ASC”) 815—Derivatives and Hedging (“ASC 815”), provides the disclosure requirements for derivatives and hedging activities with the intent to provide users of financial statements with an enhanced understanding of: (a) how and why an entity uses derivative instruments, (b) how the entity accounts for derivative instruments and related hedged items, and (c) how derivative instruments and related hedged items affect an entity’s financial position, financial performance, and cash flows. Further, qualitative disclosures are required that explain the company’s objectives and strategies for using derivatives, as well as quantitative disclosures about the fair value of and gains and losses on derivative instruments, and disclosures about credit-risk-related contingent features in derivative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9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As required by ASC 815, the Company records all derivatives as either assets or liabilities on our Consolidated Balance Sheets and measures them at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such as interest rate risk, are considered fair value hedges. Derivatives designated and qualifying as a hedge of the exposure to variability in expected future cash flows, or other types of forecasted transactions, are considered cash flow hedges. Derivatives may also be designated as hedges of the foreign currency exposure of a net investment in a foreign operation.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The Company may enter into derivative contracts that are intended to economically hedge certain of its risk, even though hedge accounting does not apply or the Company elects not to apply hedge accounting. To receive hedge accounting treatment, all hedging relationships are formally documented at the inception of the hedge, and the hedges must be highly effective in offsetting changes to future cash flows on hedged transactions.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Unearned Revenue</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Unearned revenue consists of customer payments and billings in advance of revenue being recognized from our subscription services. Unearned revenue that is anticipated to be recognized within the next 12 months is recorded as </w:t>
      </w:r>
      <w:r>
        <w:rPr>
          <w:rFonts w:ascii="Times New Roman" w:cs="Times New Roman" w:eastAsia="Times New Roman" w:hAnsi="Times New Roman"/>
          <w:sz w:val="18"/>
          <w:szCs w:val="18"/>
          <w:i w:val="1"/>
          <w:iCs w:val="1"/>
          <w:color w:val="auto"/>
        </w:rPr>
        <w:t>Unearned revenue, current portion</w:t>
      </w:r>
      <w:r>
        <w:rPr>
          <w:rFonts w:ascii="Times New Roman" w:cs="Times New Roman" w:eastAsia="Times New Roman" w:hAnsi="Times New Roman"/>
          <w:sz w:val="18"/>
          <w:szCs w:val="18"/>
          <w:color w:val="auto"/>
        </w:rPr>
        <w:t xml:space="preserve"> and the remaining portion is included in </w:t>
      </w:r>
      <w:r>
        <w:rPr>
          <w:rFonts w:ascii="Times New Roman" w:cs="Times New Roman" w:eastAsia="Times New Roman" w:hAnsi="Times New Roman"/>
          <w:sz w:val="18"/>
          <w:szCs w:val="18"/>
          <w:i w:val="1"/>
          <w:iCs w:val="1"/>
          <w:color w:val="auto"/>
        </w:rPr>
        <w:t xml:space="preserve">Unearned revenue, net of current portion </w:t>
      </w:r>
      <w:r>
        <w:rPr>
          <w:rFonts w:ascii="Times New Roman" w:cs="Times New Roman" w:eastAsia="Times New Roman" w:hAnsi="Times New Roman"/>
          <w:sz w:val="18"/>
          <w:szCs w:val="18"/>
          <w:color w:val="auto"/>
        </w:rPr>
        <w:t>on our Consolidated Balance Sheets.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 xml:space="preserve">Costs incurred in connection with the issuance of long-term debt are deferred and amortized as interest expense over the terms of the related debt using the effective interest method for term debt and on a straight-line basis for revolving debt. Debt issuance costs are generally presented on our Consolidated Balance Sheets as a direct deduction from the carrying amount of the outstanding borrowings, consistent with debt discounts. However, the Company classifies the debt issuance costs related to its first lien revolving credit facility within </w:t>
      </w:r>
      <w:r>
        <w:rPr>
          <w:rFonts w:ascii="Times New Roman" w:cs="Times New Roman" w:eastAsia="Times New Roman" w:hAnsi="Times New Roman"/>
          <w:sz w:val="18"/>
          <w:szCs w:val="18"/>
          <w:i w:val="1"/>
          <w:iCs w:val="1"/>
          <w:color w:val="auto"/>
        </w:rPr>
        <w:t>Deferred costs and other assets, net of current portion</w:t>
      </w:r>
      <w:r>
        <w:rPr>
          <w:rFonts w:ascii="Times New Roman" w:cs="Times New Roman" w:eastAsia="Times New Roman" w:hAnsi="Times New Roman"/>
          <w:sz w:val="18"/>
          <w:szCs w:val="18"/>
          <w:color w:val="auto"/>
        </w:rPr>
        <w:t xml:space="preserve"> on our Consolidated Balance Sheets regardless of whether the Company has any outstanding borrowings on our first lien revolving credit facility. Upon a refinancing or amendment, the Company evaluates the modified debt instrument in accordance with ASC 470-50-40-10. When the present value of the cash flows under the modified debt instrument has changed by greater than 10 percent from the present value of the remaining cash flows under the terms of the original debt instrument, the Company accounts for the amendment as a debt extinguishment and all previously-capitalized debt issuance costs are expensed and included in </w:t>
      </w:r>
      <w:r>
        <w:rPr>
          <w:rFonts w:ascii="Times New Roman" w:cs="Times New Roman" w:eastAsia="Times New Roman" w:hAnsi="Times New Roman"/>
          <w:sz w:val="18"/>
          <w:szCs w:val="18"/>
          <w:i w:val="1"/>
          <w:iCs w:val="1"/>
          <w:color w:val="auto"/>
        </w:rPr>
        <w:t>Loss on debt modification and extinguishment</w:t>
      </w:r>
      <w:r>
        <w:rPr>
          <w:rFonts w:ascii="Times New Roman" w:cs="Times New Roman" w:eastAsia="Times New Roman" w:hAnsi="Times New Roman"/>
          <w:sz w:val="18"/>
          <w:szCs w:val="18"/>
          <w:color w:val="auto"/>
        </w:rPr>
        <w:t>. If the change in the present value of cash flows is less than 10 percent, any previously-capitalized debt issuance costs are amortized as interest expense over the term of the new debt instrument. The Company performs assessments of debt modifications at a lender-specific level for all syndicated financing arrangements.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connection with our IPO, we entered into two Tax Receivable Agreements ("TRAs") with certain non-controlling interest owners (the “TRA Holders”). The TRAs generally provide for payment by the Company to the TRA Holders of 85% of the net cash savings, if any, in U.S. federal, state and local income tax or franchise tax that the Company actually realizes or is deemed to realize in certain circumstances. The Company will retain the benefit of the remaining 15% of these net cash savings.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9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We account for amounts payable under the TRA in accordance with Accounting Standards Codification (“ASC”) Topic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xml:space="preserve">. Amounts payable under the TRA are accrued by a charge to income when it is probable that a liability has been incurred and the amount is estimable. TRA related liabilities are classified as current or noncurrent based on the expected date of payment and are included on our Consolidated Balance Sheets under the captions </w:t>
      </w:r>
      <w:r>
        <w:rPr>
          <w:rFonts w:ascii="Times New Roman" w:cs="Times New Roman" w:eastAsia="Times New Roman" w:hAnsi="Times New Roman"/>
          <w:sz w:val="18"/>
          <w:szCs w:val="18"/>
          <w:i w:val="1"/>
          <w:iCs w:val="1"/>
          <w:color w:val="auto"/>
        </w:rPr>
        <w:t>Current portion of tax receivable agreements liability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Tax receivable agreements liability, net of current portion,</w:t>
      </w:r>
      <w:r>
        <w:rPr>
          <w:rFonts w:ascii="Times New Roman" w:cs="Times New Roman" w:eastAsia="Times New Roman" w:hAnsi="Times New Roman"/>
          <w:sz w:val="18"/>
          <w:szCs w:val="18"/>
          <w:color w:val="auto"/>
        </w:rPr>
        <w:t xml:space="preserve"> respectively. Subsequent changes to the measurement of the TRA liability are recognized on our Consolidated Statements of Operations as a component of </w:t>
      </w:r>
      <w:r>
        <w:rPr>
          <w:rFonts w:ascii="Times New Roman" w:cs="Times New Roman" w:eastAsia="Times New Roman" w:hAnsi="Times New Roman"/>
          <w:sz w:val="18"/>
          <w:szCs w:val="18"/>
          <w:i w:val="1"/>
          <w:iCs w:val="1"/>
          <w:color w:val="auto"/>
        </w:rPr>
        <w:t>Other (income) loss, net</w:t>
      </w:r>
      <w:r>
        <w:rPr>
          <w:rFonts w:ascii="Times New Roman" w:cs="Times New Roman" w:eastAsia="Times New Roman" w:hAnsi="Times New Roman"/>
          <w:sz w:val="18"/>
          <w:szCs w:val="18"/>
          <w:color w:val="auto"/>
        </w:rPr>
        <w:t>. Refer to Note 17 - Tax Receivable Agreements for further details on the TRA liability.</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based on temporary differences between the financial statement and tax basis of assets and liabilities. Deferred tax assets and liabilities are measured using enacted tax rates in effect for the year in which the differences are expected to reverse. The effect on deferred tax assets and liabilities of a change in tax law is recognized in the Consolidated Statements of Operations in the period that includes the enactment date.</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need for valuation allowances is regularly evaluated for deferred tax assets for which future realization is uncertain. In assessing the realizability of deferred tax assets, we consider both positive and negative evidence, including scheduled reversals of deferred tax assets and liabilities, projected future taxable income, tax planning strategies and results of recent operations. If, based on the weight of available evidence, it is more likely than not that the deferred tax assets will not be realized, a valuation allowance is recorded.</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The Company recognizes the tax benefit of an uncertain tax position only if it is more likely than not that the position is sustainable upon examination by the taxing authority, solely based on its technical merits. The tax benefit recognized is measured as the largest amount of benefit which is greater than 50 percent likely to be realized upon settlement with the taxing authority. The Company recognizes interest accrued and penalties related to unrecognized tax benefits within </w:t>
      </w:r>
      <w:r>
        <w:rPr>
          <w:rFonts w:ascii="Times New Roman" w:cs="Times New Roman" w:eastAsia="Times New Roman" w:hAnsi="Times New Roman"/>
          <w:sz w:val="18"/>
          <w:szCs w:val="18"/>
          <w:i w:val="1"/>
          <w:iCs w:val="1"/>
          <w:color w:val="auto"/>
        </w:rPr>
        <w:t>Provision (Benefit) for income taxes</w:t>
      </w:r>
      <w:r>
        <w:rPr>
          <w:rFonts w:ascii="Times New Roman" w:cs="Times New Roman" w:eastAsia="Times New Roman" w:hAnsi="Times New Roman"/>
          <w:sz w:val="18"/>
          <w:szCs w:val="18"/>
          <w:color w:val="auto"/>
        </w:rPr>
        <w:t xml:space="preserve"> on the Consolidated Statements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 Expense</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Company periodically grants incentive awards to employees and non-employees, which generally vest over periods of up to four years. Incentive awards may be in the form of various equity-based awards such as Restricted Stock and Restricted Stock Units, and Common Stock Options. Prior to the IPO, the Company also granted awards in one of the Company’s legacy subsidiary partnerships and such awards were typically in the form of profits interests. Profits interests are an interest in the increase in the value of the entity over a participation threshold. Prior to the IPO, the participation threshold was based on the valuation determined by the Board of Managers of OpCo Units on or around the grant date. Subsequent to the IPO, the participation threshold was determined by reference to the closing price of our Class A common stock from the preceding trading day. The holders of profits interests had the right to participate in distributions of profits only in excess of the participation threshold. Previously awarded profits interests were converted into Restricted Stock awards in connection with the Holding Company Reorganization (refer to Note 1 - Organization and Background).</w:t>
      </w:r>
    </w:p>
    <w:p>
      <w:pPr>
        <w:spacing w:after="0" w:line="13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Compensation expense for incentive awards is measured at the estimated fair value of the incentive units and is included as compensation expense over the vesting period during which an employee provides service in exchange for the award. Compensation expense for performance-based Restricted Stock Units is measured at the estimated fair value of the units and is recognized using the accelerated attribution method over the service period when it is probable that the performance condition will be satisfied.</w:t>
      </w:r>
    </w:p>
    <w:p>
      <w:pPr>
        <w:spacing w:after="0" w:line="12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The Company uses a Black-Scholes option pricing model to determine the fair value of stock options and profits interests, as profits interests have certain economic similarities to options. The Black-Scholes option pricing model includes various assumptions, including the expected term of incentive units, the expected volatility, and the expected risk-free interest rate. These assumptions reflect the Company’s best estimates, but they involve inherent uncertainties based on market conditions generally outside the control of the Company. As a result, if other assumptions are used, compensation cost could differ.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9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Compensation expense related to the Company’s Employee Stock Purchase Plan is measured at the estimated fair value using the Black-Scholes option pricing model using the estimated number of awards as of the beginning of the offering period.</w:t>
      </w:r>
    </w:p>
    <w:p>
      <w:pPr>
        <w:spacing w:after="0" w:line="11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measures employee, non-employee, and Board of Director equity-based compensation on the grant date fair value basis. Equity-based compensation expense is recognized over the requisite service period of the awards. For equity awards that have a performance condition, the Company recognizes compensation expense based on its assessment of the probability that the performance condition will be achieved. The Company has elected to account for forfeitures as they occur.</w:t>
      </w:r>
    </w:p>
    <w:p>
      <w:pPr>
        <w:spacing w:after="0" w:line="127"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The Company classifies equity-based compensation expense on our Consolidated Statements of Operations in the same manner in which the award recipient’s salary and related costs are classified or in which the award recipient’s service payments are classified.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Bonus Accruals</w:t>
      </w:r>
    </w:p>
    <w:p>
      <w:pPr>
        <w:spacing w:after="0" w:line="168"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 xml:space="preserve">The Company has bonus programs for eligible employees. Bonuses are determined based on various criteria, including the achievement of corporate, departmental, and individual goals. Bonus accruals are estimated based on various factors, including target bonus percentages per level of employee and probability of achieving the goals upon which bonuses are based. The Company’s management periodically reviews the progress made towards the goals under the bonus programs. As bonus accruals are dependent upon management’s judgments of the likelihood of achieving the various goals, it is possible for bonus expense to vary significantly in future periods if changes occur in those management estimates. Bonus accruals were $25.5 million and $21.6 million as of December 31, 2023 and 2022, respectively, and were included in </w:t>
      </w:r>
      <w:r>
        <w:rPr>
          <w:rFonts w:ascii="Times New Roman" w:cs="Times New Roman" w:eastAsia="Times New Roman" w:hAnsi="Times New Roman"/>
          <w:sz w:val="17"/>
          <w:szCs w:val="17"/>
          <w:i w:val="1"/>
          <w:iCs w:val="1"/>
          <w:color w:val="auto"/>
        </w:rPr>
        <w:t>Accrued expenses and other current liabilities</w:t>
      </w:r>
      <w:r>
        <w:rPr>
          <w:rFonts w:ascii="Times New Roman" w:cs="Times New Roman" w:eastAsia="Times New Roman" w:hAnsi="Times New Roman"/>
          <w:sz w:val="17"/>
          <w:szCs w:val="17"/>
          <w:color w:val="auto"/>
        </w:rPr>
        <w:t xml:space="preserve"> on our Consolidated Balance Sheets.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Retirement Benefits</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has a 401(k) plan that all eligible employees can contribute pre-tax and after-tax (Roth) to up to the maximum annual amount established by the Internal Revenue Code. The Company matched 50% of the employee’s contribution to the 401(k) plan up to the first 7% of their contribution. Matching contributions made by the Company were approximately $9.0 million, $8.0 million, and $5.4 million for the years ended December 31, 2023, 2022, and 2021, respectively. Matching contributions vest 33% per year until fully vested after three years of employee service. Employee contributions are 100% vested immediately. The increased headcount contributed to the increase in the Company’s matching contribution in 2022.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Israeli Severance Pay Law</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Under Section 14 of the Israeli Severance Pay Law, employees in Israel are entitled to have monthly deposits, at a rate of 8.33% of their monthly salary, made on their behalf to their insurance funds which relieves the Company from future obligations under this law. During the years ended December 31, 2023, 2022, and 2021, the Company recorded $7.0 million, $7.2 million, and $4.8 million, respectively, in severance expenses related to these employees. The increased headcount contributed to the increase in the Company’s matching contribution in 2022.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Certain reclassifications have been made in the notes to the consolidated financial statements to conform previously reported amounts to current year presentation. These reclassifications had no impact on the previously reported net income or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64"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Standards Update (“ASU”) 2023-09, </w:t>
      </w:r>
      <w:r>
        <w:rPr>
          <w:rFonts w:ascii="Times New Roman" w:cs="Times New Roman" w:eastAsia="Times New Roman" w:hAnsi="Times New Roman"/>
          <w:sz w:val="18"/>
          <w:szCs w:val="18"/>
          <w:i w:val="1"/>
          <w:iCs w:val="1"/>
          <w:color w:val="auto"/>
        </w:rPr>
        <w:t>Income Taxes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740): Improvements to Income Tax Disclosures</w:t>
      </w:r>
      <w:r>
        <w:rPr>
          <w:rFonts w:ascii="Times New Roman" w:cs="Times New Roman" w:eastAsia="Times New Roman" w:hAnsi="Times New Roman"/>
          <w:sz w:val="18"/>
          <w:szCs w:val="18"/>
          <w:color w:val="auto"/>
        </w:rPr>
        <w:t>. The amendments in this ASU are intended to increase transparency through improvements to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disclosures primarily related to the rate reconciliation and income taxes paid information. This standard is effective for annual periods beginning after December 15, 2024 (i.e., a January 1, 2025 effective date), with early adoption permitted. The Company is currently evaluating the disclosure impacts of ASU 2023-09 on its consolidated financial statements as well as the impacts to its financial reporting process and related internal controls.</w:t>
      </w:r>
    </w:p>
    <w:p>
      <w:pPr>
        <w:spacing w:after="0" w:line="12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The amendments in this ASU are intended to improve reportable segment disclosure primarily through enhanced disclosures about significant segment expenses. This standard is effective for fiscal years beginning after December 15, 2023 (i.e., a January 1, 2024 effective date), and interim periods within fiscal years beginning after December 15, 2024 (i.e., the first quarter of 2025). The amendments in this ASU should be applied retrospectively to all prior periods presented in the financial statements. Early adoption is permitted. The Company is currently evaluating the disclosure impacts of ASU 2023-07 on its consolidated financial statements as well as the impacts to its financial reporting process and related internal controls.</w:t>
      </w:r>
    </w:p>
    <w:p>
      <w:pPr>
        <w:spacing w:after="0" w:line="13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In October 2023, the FASB issued ASU 2023-06, </w:t>
      </w:r>
      <w:r>
        <w:rPr>
          <w:rFonts w:ascii="Times New Roman" w:cs="Times New Roman" w:eastAsia="Times New Roman" w:hAnsi="Times New Roman"/>
          <w:sz w:val="18"/>
          <w:szCs w:val="18"/>
          <w:i w:val="1"/>
          <w:iCs w:val="1"/>
          <w:color w:val="auto"/>
        </w:rPr>
        <w:t>Disclosure Improvements: Codification Amendments in Response to the SEC’s Disclosure Update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Simplification Initiative</w:t>
      </w:r>
      <w:r>
        <w:rPr>
          <w:rFonts w:ascii="Times New Roman" w:cs="Times New Roman" w:eastAsia="Times New Roman" w:hAnsi="Times New Roman"/>
          <w:sz w:val="18"/>
          <w:szCs w:val="18"/>
          <w:color w:val="auto"/>
        </w:rPr>
        <w:t>. The amendments in this ASU incorporate into the FASB’s Accounting Standard Codification (“ASC”) certain SEC disclosure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that were referred to the FASB and overlap with, but require incremental information to, U.S. GAAP. The effective date for each amendment will be the date on which the SEC’s removal of that related disclosure from Regulation S-X or Regulation S-K becomes effective, with early adoption prohibited, and applied prospectively. If by June 30, 2027, the SEC has not removed the applicable requirement from Regulation S-X or Regulation S-K, the pending content of the related amendment will be removed from FASB’s ASC and will not become effective for any entity. The Company does not expect this ASU to have a material impact on its consolidated financial statements.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from Contracts with Customers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Revenue comprised the following service offerings: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3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6"/>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1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738.6</w:t>
            </w:r>
          </w:p>
        </w:tc>
      </w:tr>
      <w:tr>
        <w:trPr>
          <w:trHeight w:val="225"/>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Usage-based</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6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747.2</w:t>
            </w:r>
          </w:p>
        </w:tc>
      </w:tr>
      <w:tr>
        <w:trPr>
          <w:trHeight w:val="20"/>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Go-To-Market business intelligence tools are subscription services that allow customers access to our SaaS tools to support sales and marketing processes, which include data, analytics, and insights to provide accurate and comprehensive intelligence on organizations and professionals. Our customers use our platform to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Usage-based revenue is comprised largely of email verification and facilitation of online advertisements, which are charged to our customers on a per unit basis based on their usage. We regularly observe that customers integrate our usage-based services into their internal workflows and use our services on an ongoing basis. We recognize usage-based revenue at the point in time the services are consumed by the customer, thereby satisfying our performance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from Contracts with Customers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Other revenue is comprised largely of implementation and professional services fees. We recognize other revenue as services are delivered.</w:t>
      </w:r>
    </w:p>
    <w:p>
      <w:pPr>
        <w:spacing w:after="0" w:line="16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Of the total revenue recognized in the years ended December 31, 2023, 2022, and 2021, $403.1 million, $354.6 million, and $221.3 million were included in the unearned revenue balance as of December 31, 2022, 2021, and 2020, respectively. Revenue recognized from performance obligations satisfied (or partially satisfied) in previous periods was not material.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Unearned Revenue</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Company’s standard billing terms typically require payment at the beginning of each annual, semi-annual or quarterly period. Subscription revenue is generally recognized ratably over the contract term starting with when our service is made available to the customer. Usage-based revenue is recognized in the period services are utilized by our customers. The amount of revenue recognized reflects the consideration the Company expects to be entitled to receive in exchange for these services.</w:t>
      </w:r>
    </w:p>
    <w:p>
      <w:pPr>
        <w:spacing w:after="0" w:line="12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records a contract asset when revenue recognized on a contract exceeds the billings to date for that contract. Unearned revenue results from cash received or amounts billed to customers in advance of revenue recognized upon the satisfaction of performance obligations. The unearned revenue balance is influenced by several factors, including seasonality, the compounding effects of renewals, invoice duration, invoice timing, dollar size, and new business timing within the quarter. The unearned revenue balance does not represent the total contract value of annual or multi-year, non-cancelable subscription agreements.</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As of December 31, 2023 and 2022, the Company had contract assets of $5.9 million and $5.7 million respectively, which are recorded as current assets within </w:t>
      </w:r>
      <w:r>
        <w:rPr>
          <w:rFonts w:ascii="Times New Roman" w:cs="Times New Roman" w:eastAsia="Times New Roman" w:hAnsi="Times New Roman"/>
          <w:sz w:val="18"/>
          <w:szCs w:val="18"/>
          <w:i w:val="1"/>
          <w:iCs w:val="1"/>
          <w:color w:val="auto"/>
        </w:rPr>
        <w:t>Prepaid expenses and other current assets</w:t>
      </w:r>
      <w:r>
        <w:rPr>
          <w:rFonts w:ascii="Times New Roman" w:cs="Times New Roman" w:eastAsia="Times New Roman" w:hAnsi="Times New Roman"/>
          <w:sz w:val="18"/>
          <w:szCs w:val="18"/>
          <w:color w:val="auto"/>
        </w:rPr>
        <w:t xml:space="preserve"> on our Consolidated Balance Sheets. As of December 31, 2023 and 2022, the Company had unearned revenue of $441.9 million and $419.9 million, respectively.</w:t>
      </w:r>
    </w:p>
    <w:p>
      <w:pPr>
        <w:spacing w:after="0" w:line="125"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ASC 606 requires the allocation of the transaction price to the remaining performance obligations of a contract. 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remaining performance obligations consisted of the following:</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7"/>
        </w:trPr>
        <w:tc>
          <w:tcPr>
            <w:tcW w:w="6360" w:type="dxa"/>
            <w:vAlign w:val="bottom"/>
          </w:tcPr>
          <w:p>
            <w:pPr>
              <w:spacing w:after="0"/>
              <w:rPr>
                <w:sz w:val="24"/>
                <w:szCs w:val="24"/>
                <w:color w:val="auto"/>
              </w:rPr>
            </w:pPr>
          </w:p>
        </w:tc>
        <w:tc>
          <w:tcPr>
            <w:tcW w:w="16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Recognized within</w:t>
            </w:r>
          </w:p>
        </w:tc>
        <w:tc>
          <w:tcPr>
            <w:tcW w:w="220" w:type="dxa"/>
            <w:vAlign w:val="bottom"/>
          </w:tcPr>
          <w:p>
            <w:pPr>
              <w:spacing w:after="0"/>
              <w:rPr>
                <w:sz w:val="24"/>
                <w:szCs w:val="24"/>
                <w:color w:val="auto"/>
              </w:rPr>
            </w:pPr>
          </w:p>
        </w:tc>
        <w:tc>
          <w:tcPr>
            <w:tcW w:w="1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340" w:type="dxa"/>
            <w:vAlign w:val="bottom"/>
          </w:tcPr>
          <w:p>
            <w:pPr>
              <w:spacing w:after="0"/>
              <w:rPr>
                <w:sz w:val="24"/>
                <w:szCs w:val="24"/>
                <w:color w:val="auto"/>
              </w:rPr>
            </w:pPr>
          </w:p>
        </w:tc>
        <w:tc>
          <w:tcPr>
            <w:tcW w:w="1220" w:type="dxa"/>
            <w:vAlign w:val="bottom"/>
            <w:vMerge w:val="restart"/>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Pr>
          <w:p>
            <w:pPr>
              <w:spacing w:after="0"/>
              <w:rPr>
                <w:sz w:val="20"/>
                <w:szCs w:val="20"/>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one year</w:t>
            </w:r>
          </w:p>
        </w:tc>
        <w:tc>
          <w:tcPr>
            <w:tcW w:w="220" w:type="dxa"/>
            <w:vAlign w:val="bottom"/>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December 31, 2023</w:t>
            </w: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1,152.9</w:t>
            </w:r>
          </w:p>
        </w:tc>
        <w:tc>
          <w:tcPr>
            <w:tcW w:w="0" w:type="dxa"/>
            <w:vAlign w:val="bottom"/>
          </w:tcPr>
          <w:p>
            <w:pPr>
              <w:spacing w:after="0"/>
              <w:rPr>
                <w:sz w:val="1"/>
                <w:szCs w:val="1"/>
                <w:color w:val="auto"/>
              </w:rPr>
            </w:pPr>
          </w:p>
        </w:tc>
      </w:tr>
      <w:tr>
        <w:trPr>
          <w:trHeight w:val="231"/>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of December 31, 2022</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Business Combinations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Acquisitions</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April 2022, the Company acquired all the outstanding equity interests of Comparably, Inc. (“Comparably”) and acquired substantially all the assets and certain specified liabilities of Dogpatch Advisors, LLC (“Dogpatch”) (collectively, the “2022 Acquired Companies”) for a total purchase consideration of $150.6 million in cash and $10.0 million in convertible notes receivable. As part of the acquisitions, the Company issued 448,740 restricted stock units at a total grant date fair value of $26.8 million and could be required to issue additional equity awards up to a maximum value of $3.7 million based on the attainment of certain revenue thresholds and the continued employment of acquired employees. The acquisition of Comparably provides ZoomInfo with unique proprietary data to further build TalentOS into a best-in-class talent platform by enriching recruiter search options and providing recruiters with access to millions of quality candidates and employer brand solutions. We acquired Dogpatch Advisors to launch ZoomInfo Labs, a new go-to-market thought leadership team, driving go-to-market data analysis, product enhancements and strategy for our enterprise customers. Dogpatch is a go-to-market consultancy with expertise in scaling revenue teams and building modern sales and marketing systems. The purchase accounting for the 2022 Acquired Companies transactions has been finalized.</w:t>
      </w:r>
    </w:p>
    <w:p>
      <w:pPr>
        <w:spacing w:after="0" w:line="14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has included the financial results of the 2022 Acquired Companies in the consolidated financial statements from each date of acquisition. Due to the integration of the 2022 Acquired Companies into the operations of ZoomInfo, the Company cannot practicably determine the contribution of the 2022 Acquired Companies to consolidated net earnings. Transaction costs associated with each acquisition were not material.</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acquisition date fair value of the total consideration transferred was comprised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Preliminary Fair</w:t>
            </w:r>
          </w:p>
        </w:tc>
        <w:tc>
          <w:tcPr>
            <w:tcW w:w="200" w:type="dxa"/>
            <w:vAlign w:val="bottom"/>
          </w:tcPr>
          <w:p>
            <w:pPr>
              <w:spacing w:after="0"/>
              <w:rPr>
                <w:sz w:val="17"/>
                <w:szCs w:val="17"/>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Measurement</w:t>
            </w:r>
          </w:p>
        </w:tc>
        <w:tc>
          <w:tcPr>
            <w:tcW w:w="120" w:type="dxa"/>
            <w:vAlign w:val="bottom"/>
          </w:tcPr>
          <w:p>
            <w:pPr>
              <w:spacing w:after="0"/>
              <w:rPr>
                <w:sz w:val="17"/>
                <w:szCs w:val="17"/>
                <w:color w:val="auto"/>
              </w:rPr>
            </w:pPr>
          </w:p>
        </w:tc>
        <w:tc>
          <w:tcPr>
            <w:tcW w:w="142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8"/>
              </w:rPr>
              <w:t>Adjusted Fair</w:t>
            </w:r>
          </w:p>
        </w:tc>
        <w:tc>
          <w:tcPr>
            <w:tcW w:w="0" w:type="dxa"/>
            <w:vAlign w:val="bottom"/>
          </w:tcPr>
          <w:p>
            <w:pPr>
              <w:spacing w:after="0"/>
              <w:rPr>
                <w:sz w:val="1"/>
                <w:szCs w:val="1"/>
                <w:color w:val="auto"/>
              </w:rPr>
            </w:pPr>
          </w:p>
        </w:tc>
      </w:tr>
      <w:tr>
        <w:trPr>
          <w:trHeight w:val="172"/>
        </w:trPr>
        <w:tc>
          <w:tcPr>
            <w:tcW w:w="6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center"/>
              <w:ind w:right="200"/>
              <w:spacing w:after="0" w:line="172" w:lineRule="exact"/>
              <w:rPr>
                <w:sz w:val="20"/>
                <w:szCs w:val="20"/>
                <w:color w:val="auto"/>
              </w:rPr>
            </w:pPr>
            <w:r>
              <w:rPr>
                <w:rFonts w:ascii="Times New Roman" w:cs="Times New Roman" w:eastAsia="Times New Roman" w:hAnsi="Times New Roman"/>
                <w:sz w:val="18"/>
                <w:szCs w:val="18"/>
                <w:b w:val="1"/>
                <w:bCs w:val="1"/>
                <w:color w:val="auto"/>
                <w:w w:val="92"/>
              </w:rPr>
              <w:t>Value at</w:t>
            </w:r>
          </w:p>
        </w:tc>
        <w:tc>
          <w:tcPr>
            <w:tcW w:w="2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center"/>
              <w:ind w:right="32"/>
              <w:spacing w:after="0" w:line="172" w:lineRule="exact"/>
              <w:rPr>
                <w:sz w:val="20"/>
                <w:szCs w:val="20"/>
                <w:color w:val="auto"/>
              </w:rPr>
            </w:pPr>
            <w:r>
              <w:rPr>
                <w:rFonts w:ascii="Times New Roman" w:cs="Times New Roman" w:eastAsia="Times New Roman" w:hAnsi="Times New Roman"/>
                <w:sz w:val="18"/>
                <w:szCs w:val="18"/>
                <w:b w:val="1"/>
                <w:bCs w:val="1"/>
                <w:color w:val="auto"/>
                <w:w w:val="96"/>
              </w:rPr>
              <w:t>Value at</w:t>
            </w:r>
          </w:p>
        </w:tc>
        <w:tc>
          <w:tcPr>
            <w:tcW w:w="0" w:type="dxa"/>
            <w:vAlign w:val="bottom"/>
          </w:tcPr>
          <w:p>
            <w:pPr>
              <w:spacing w:after="0"/>
              <w:rPr>
                <w:sz w:val="1"/>
                <w:szCs w:val="1"/>
                <w:color w:val="auto"/>
              </w:rPr>
            </w:pPr>
          </w:p>
        </w:tc>
      </w:tr>
      <w:tr>
        <w:trPr>
          <w:trHeight w:val="238"/>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20"/>
                <w:szCs w:val="20"/>
                <w:color w:val="auto"/>
              </w:rPr>
            </w:pP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Acquisition Date</w:t>
            </w: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Period Adjustments</w:t>
            </w:r>
          </w:p>
        </w:tc>
        <w:tc>
          <w:tcPr>
            <w:tcW w:w="120" w:type="dxa"/>
            <w:vAlign w:val="bottom"/>
          </w:tcPr>
          <w:p>
            <w:pPr>
              <w:spacing w:after="0"/>
              <w:rPr>
                <w:sz w:val="20"/>
                <w:szCs w:val="20"/>
                <w:color w:val="auto"/>
              </w:rPr>
            </w:pPr>
          </w:p>
        </w:tc>
        <w:tc>
          <w:tcPr>
            <w:tcW w:w="142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8"/>
              </w:rPr>
              <w:t>Acquisition Date</w:t>
            </w:r>
          </w:p>
        </w:tc>
        <w:tc>
          <w:tcPr>
            <w:tcW w:w="0" w:type="dxa"/>
            <w:vAlign w:val="bottom"/>
          </w:tcPr>
          <w:p>
            <w:pPr>
              <w:spacing w:after="0"/>
              <w:rPr>
                <w:sz w:val="1"/>
                <w:szCs w:val="1"/>
                <w:color w:val="auto"/>
              </w:rPr>
            </w:pPr>
          </w:p>
        </w:tc>
      </w:tr>
      <w:tr>
        <w:trPr>
          <w:trHeight w:val="218"/>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0" w:type="dxa"/>
            <w:vAlign w:val="bottom"/>
          </w:tcPr>
          <w:p>
            <w:pPr>
              <w:spacing w:after="0"/>
              <w:rPr>
                <w:sz w:val="1"/>
                <w:szCs w:val="1"/>
                <w:color w:val="auto"/>
              </w:rPr>
            </w:pPr>
          </w:p>
        </w:tc>
      </w:tr>
      <w:tr>
        <w:trPr>
          <w:trHeight w:val="225"/>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of Note Receivable</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3"/>
        </w:trPr>
        <w:tc>
          <w:tcPr>
            <w:tcW w:w="64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Business Combinations (continued)</w:t>
      </w:r>
    </w:p>
    <w:p>
      <w:pPr>
        <w:spacing w:after="0" w:line="200" w:lineRule="exact"/>
        <w:rPr>
          <w:sz w:val="20"/>
          <w:szCs w:val="20"/>
          <w:color w:val="auto"/>
        </w:rPr>
      </w:pPr>
    </w:p>
    <w:p>
      <w:pPr>
        <w:spacing w:after="0" w:line="2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aggregate fair values of the assets acquired and liabilities assumed, as of the dates of the acquisition, for the 2022</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Acquired Companies: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Preliminary Fair</w:t>
            </w:r>
          </w:p>
        </w:tc>
        <w:tc>
          <w:tcPr>
            <w:tcW w:w="180" w:type="dxa"/>
            <w:vAlign w:val="bottom"/>
          </w:tcPr>
          <w:p>
            <w:pPr>
              <w:spacing w:after="0"/>
              <w:rPr>
                <w:sz w:val="17"/>
                <w:szCs w:val="17"/>
                <w:color w:val="auto"/>
              </w:rPr>
            </w:pPr>
          </w:p>
        </w:tc>
        <w:tc>
          <w:tcPr>
            <w:tcW w:w="14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Measurement</w:t>
            </w:r>
          </w:p>
        </w:tc>
        <w:tc>
          <w:tcPr>
            <w:tcW w:w="1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Adjusted Fair Value</w:t>
            </w:r>
          </w:p>
        </w:tc>
        <w:tc>
          <w:tcPr>
            <w:tcW w:w="0" w:type="dxa"/>
            <w:vAlign w:val="bottom"/>
          </w:tcPr>
          <w:p>
            <w:pPr>
              <w:spacing w:after="0"/>
              <w:rPr>
                <w:sz w:val="1"/>
                <w:szCs w:val="1"/>
                <w:color w:val="auto"/>
              </w:rPr>
            </w:pPr>
          </w:p>
        </w:tc>
      </w:tr>
      <w:tr>
        <w:trPr>
          <w:trHeight w:val="172"/>
        </w:trPr>
        <w:tc>
          <w:tcPr>
            <w:tcW w:w="6360" w:type="dxa"/>
            <w:vAlign w:val="bottom"/>
          </w:tcPr>
          <w:p>
            <w:pPr>
              <w:spacing w:after="0"/>
              <w:rPr>
                <w:sz w:val="14"/>
                <w:szCs w:val="14"/>
                <w:color w:val="auto"/>
              </w:rPr>
            </w:pPr>
          </w:p>
        </w:tc>
        <w:tc>
          <w:tcPr>
            <w:tcW w:w="1660" w:type="dxa"/>
            <w:vAlign w:val="bottom"/>
            <w:gridSpan w:val="3"/>
          </w:tcPr>
          <w:p>
            <w:pPr>
              <w:ind w:left="20"/>
              <w:spacing w:after="0" w:line="172" w:lineRule="exact"/>
              <w:rPr>
                <w:sz w:val="20"/>
                <w:szCs w:val="20"/>
                <w:color w:val="auto"/>
              </w:rPr>
            </w:pPr>
            <w:r>
              <w:rPr>
                <w:rFonts w:ascii="Times New Roman" w:cs="Times New Roman" w:eastAsia="Times New Roman" w:hAnsi="Times New Roman"/>
                <w:sz w:val="18"/>
                <w:szCs w:val="18"/>
                <w:b w:val="1"/>
                <w:bCs w:val="1"/>
                <w:color w:val="auto"/>
              </w:rPr>
              <w:t>Value at Acquisition</w:t>
            </w:r>
          </w:p>
        </w:tc>
        <w:tc>
          <w:tcPr>
            <w:tcW w:w="18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0" w:type="dxa"/>
            <w:vAlign w:val="bottom"/>
          </w:tcPr>
          <w:p>
            <w:pPr>
              <w:spacing w:after="0"/>
              <w:rPr>
                <w:sz w:val="20"/>
                <w:szCs w:val="20"/>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4"/>
              </w:rPr>
              <w:t>Date</w:t>
            </w:r>
          </w:p>
        </w:tc>
        <w:tc>
          <w:tcPr>
            <w:tcW w:w="16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8"/>
              </w:rPr>
              <w:t>Period Adjustments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at Acquisition Date</w:t>
            </w:r>
          </w:p>
        </w:tc>
        <w:tc>
          <w:tcPr>
            <w:tcW w:w="0" w:type="dxa"/>
            <w:vAlign w:val="bottom"/>
          </w:tcPr>
          <w:p>
            <w:pPr>
              <w:spacing w:after="0"/>
              <w:rPr>
                <w:sz w:val="1"/>
                <w:szCs w:val="1"/>
                <w:color w:val="auto"/>
              </w:rPr>
            </w:pPr>
          </w:p>
        </w:tc>
      </w:tr>
      <w:tr>
        <w:trPr>
          <w:trHeight w:val="218"/>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8"/>
        </w:trPr>
        <w:tc>
          <w:tcPr>
            <w:tcW w:w="6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identifiable net assets acquired</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0" w:type="dxa"/>
            <w:vAlign w:val="bottom"/>
          </w:tcPr>
          <w:p>
            <w:pPr>
              <w:spacing w:after="0"/>
              <w:rPr>
                <w:sz w:val="1"/>
                <w:szCs w:val="1"/>
                <w:color w:val="auto"/>
              </w:rPr>
            </w:pPr>
          </w:p>
        </w:tc>
      </w:tr>
      <w:tr>
        <w:trPr>
          <w:trHeight w:val="218"/>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consideration</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Cash acquired</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8"/>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acquisitions, net of cash acquired</w:t>
            </w: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paid (refunds received) for 2021 acquisitions in 2022 (see "2021 Acquisitions")</w:t>
            </w: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3"/>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paid for acquisitions in 2022</w:t>
            </w: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excess of purchase consideration over the fair value of net tangible and intangible assets acquired was recorded as goodwill. The fair values assigned to tangible and identifiable intangible assets acquired and liabilities assumed are based on management’s estimates and assumptions. The fair values of assets acquired and liabilities assumed in the Comparably acquisition may be subject to change as additional information is received regarding working capital balances at the acquisition date, and the values of the identifiable intangible assets.</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the components of identifiable intangible assets acquired and the estimated useful lives as of the dates of acquisition: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Preliminary Fair</w:t>
            </w:r>
          </w:p>
        </w:tc>
        <w:tc>
          <w:tcPr>
            <w:tcW w:w="200" w:type="dxa"/>
            <w:vAlign w:val="bottom"/>
          </w:tcPr>
          <w:p>
            <w:pPr>
              <w:spacing w:after="0"/>
              <w:rPr>
                <w:sz w:val="18"/>
                <w:szCs w:val="18"/>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Measurement</w:t>
            </w:r>
          </w:p>
        </w:tc>
        <w:tc>
          <w:tcPr>
            <w:tcW w:w="1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Adjusted Fair Value</w:t>
            </w:r>
          </w:p>
        </w:tc>
        <w:tc>
          <w:tcPr>
            <w:tcW w:w="100" w:type="dxa"/>
            <w:vAlign w:val="bottom"/>
          </w:tcPr>
          <w:p>
            <w:pPr>
              <w:spacing w:after="0"/>
              <w:rPr>
                <w:sz w:val="18"/>
                <w:szCs w:val="18"/>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Weighted Average</w:t>
            </w:r>
          </w:p>
        </w:tc>
        <w:tc>
          <w:tcPr>
            <w:tcW w:w="0" w:type="dxa"/>
            <w:vAlign w:val="bottom"/>
          </w:tcPr>
          <w:p>
            <w:pPr>
              <w:spacing w:after="0"/>
              <w:rPr>
                <w:sz w:val="1"/>
                <w:szCs w:val="1"/>
                <w:color w:val="auto"/>
              </w:rPr>
            </w:pPr>
          </w:p>
        </w:tc>
      </w:tr>
      <w:tr>
        <w:trPr>
          <w:trHeight w:val="172"/>
        </w:trPr>
        <w:tc>
          <w:tcPr>
            <w:tcW w:w="4700" w:type="dxa"/>
            <w:vAlign w:val="bottom"/>
          </w:tcPr>
          <w:p>
            <w:pPr>
              <w:spacing w:after="0"/>
              <w:rPr>
                <w:sz w:val="14"/>
                <w:szCs w:val="14"/>
                <w:color w:val="auto"/>
              </w:rPr>
            </w:pPr>
          </w:p>
        </w:tc>
        <w:tc>
          <w:tcPr>
            <w:tcW w:w="1660" w:type="dxa"/>
            <w:vAlign w:val="bottom"/>
            <w:gridSpan w:val="3"/>
          </w:tcPr>
          <w:p>
            <w:pPr>
              <w:ind w:left="20"/>
              <w:spacing w:after="0" w:line="172" w:lineRule="exact"/>
              <w:rPr>
                <w:sz w:val="20"/>
                <w:szCs w:val="20"/>
                <w:color w:val="auto"/>
              </w:rPr>
            </w:pPr>
            <w:r>
              <w:rPr>
                <w:rFonts w:ascii="Times New Roman" w:cs="Times New Roman" w:eastAsia="Times New Roman" w:hAnsi="Times New Roman"/>
                <w:sz w:val="18"/>
                <w:szCs w:val="18"/>
                <w:b w:val="1"/>
                <w:bCs w:val="1"/>
                <w:color w:val="auto"/>
              </w:rPr>
              <w:t>Value at Acquisition</w:t>
            </w:r>
          </w:p>
        </w:tc>
        <w:tc>
          <w:tcPr>
            <w:tcW w:w="2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0" w:type="dxa"/>
            <w:vAlign w:val="bottom"/>
          </w:tcPr>
          <w:p>
            <w:pPr>
              <w:spacing w:after="0"/>
              <w:rPr>
                <w:sz w:val="20"/>
                <w:szCs w:val="20"/>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4"/>
              </w:rPr>
              <w:t>Date</w:t>
            </w: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Period Adjustments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at Acquisition Date</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0" w:type="dxa"/>
            <w:vAlign w:val="bottom"/>
          </w:tcPr>
          <w:p>
            <w:pPr>
              <w:spacing w:after="0"/>
              <w:rPr>
                <w:sz w:val="1"/>
                <w:szCs w:val="1"/>
                <w:color w:val="auto"/>
              </w:rPr>
            </w:pPr>
          </w:p>
        </w:tc>
      </w:tr>
      <w:tr>
        <w:trPr>
          <w:trHeight w:val="221"/>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Existing Technology</w:t>
            </w: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5.8 years</w:t>
            </w:r>
          </w:p>
        </w:tc>
        <w:tc>
          <w:tcPr>
            <w:tcW w:w="0" w:type="dxa"/>
            <w:vAlign w:val="bottom"/>
          </w:tcPr>
          <w:p>
            <w:pPr>
              <w:spacing w:after="0"/>
              <w:rPr>
                <w:sz w:val="1"/>
                <w:szCs w:val="1"/>
                <w:color w:val="auto"/>
              </w:rPr>
            </w:pPr>
          </w:p>
        </w:tc>
      </w:tr>
      <w:tr>
        <w:trPr>
          <w:trHeight w:val="225"/>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 years</w:t>
            </w:r>
          </w:p>
        </w:tc>
        <w:tc>
          <w:tcPr>
            <w:tcW w:w="0" w:type="dxa"/>
            <w:vAlign w:val="bottom"/>
          </w:tcPr>
          <w:p>
            <w:pPr>
              <w:spacing w:after="0"/>
              <w:rPr>
                <w:sz w:val="1"/>
                <w:szCs w:val="1"/>
                <w:color w:val="auto"/>
              </w:rPr>
            </w:pPr>
          </w:p>
        </w:tc>
      </w:tr>
      <w:tr>
        <w:trPr>
          <w:trHeight w:val="225"/>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 / Trademarks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8.0 years</w:t>
            </w:r>
          </w:p>
        </w:tc>
        <w:tc>
          <w:tcPr>
            <w:tcW w:w="0" w:type="dxa"/>
            <w:vAlign w:val="bottom"/>
          </w:tcPr>
          <w:p>
            <w:pPr>
              <w:spacing w:after="0"/>
              <w:rPr>
                <w:sz w:val="1"/>
                <w:szCs w:val="1"/>
                <w:color w:val="auto"/>
              </w:rPr>
            </w:pPr>
          </w:p>
        </w:tc>
      </w:tr>
      <w:tr>
        <w:trPr>
          <w:trHeight w:val="219"/>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Developed technology represents the fair value of the technology portfolios acquired. The goodwill is primarily attributed to the expanded market opportunities when integrating technology with the Company’s technology and the assembled workforce. All goodwill acquired during the year ended December 31, 2022 is expected to be deductible for U.S. income tax purposes.</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Pro forma information related to the acquisitions has not been presented as the impact was not material to the Company’s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Business Combinations (continued)</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Acquisitions</w:t>
      </w:r>
    </w:p>
    <w:p>
      <w:pPr>
        <w:spacing w:after="0" w:line="168"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During the year ended December 31, 2021, the Company consummated the following acquisitions (collectively, “2021 Acquired Companies”) which have been accounted for as business combinations under ASC Topic 805.</w:t>
      </w:r>
    </w:p>
    <w:p>
      <w:pPr>
        <w:spacing w:after="0" w:line="110" w:lineRule="exact"/>
        <w:rPr>
          <w:sz w:val="20"/>
          <w:szCs w:val="20"/>
          <w:color w:val="auto"/>
        </w:rPr>
      </w:pPr>
    </w:p>
    <w:p>
      <w:pPr>
        <w:jc w:val="both"/>
        <w:ind w:left="640" w:hanging="316"/>
        <w:spacing w:after="0" w:line="252" w:lineRule="auto"/>
        <w:tabs>
          <w:tab w:leader="none" w:pos="6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2021, the Company acquired all of the outstanding equity interests of Insent, Inc. (“Insent”) for total purchase consideration of $34.0 million, consisting of $32.9 million in cash and estimated deferred purchase consideration of $1.1 million. During the year ended December 31, 2022, the Company adjusted this contingent payment liability by $0.1 million. The purchase accounting for this transaction has been finalized. As part of the acquisition, the Company issued 36,118 RSUs, at a total grant date fair value of $2.4 million, and agreed to pay $2.0 million of incentive compensation to acquired employees, subject to continued employment, to be recognized in the post-combination periods.</w:t>
      </w:r>
    </w:p>
    <w:p>
      <w:pPr>
        <w:spacing w:after="0" w:line="132" w:lineRule="exact"/>
        <w:rPr>
          <w:rFonts w:ascii="Times New Roman" w:cs="Times New Roman" w:eastAsia="Times New Roman" w:hAnsi="Times New Roman"/>
          <w:sz w:val="18"/>
          <w:szCs w:val="18"/>
          <w:color w:val="auto"/>
        </w:rPr>
      </w:pPr>
    </w:p>
    <w:p>
      <w:pPr>
        <w:jc w:val="both"/>
        <w:ind w:left="640" w:hanging="316"/>
        <w:spacing w:after="0" w:line="265" w:lineRule="auto"/>
        <w:tabs>
          <w:tab w:leader="none" w:pos="63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July 2021, the Company acquired substantially all of the net assets of AffectLayer, Inc. (d/b/a Chorus.ai) (“Chorus.ai”). At the time of purchase, the Company reserved a portion of cash transferred to settle the Seller’s estimated tax liability arising from the sale of Chorus.ai’s net assets. The Seller has since completed the final determination of its tax liability, resulting in a refund to the Company of approximately $33.9 million in cash, which was received in the fourth quarter of 2021 and previously included in the </w:t>
      </w:r>
      <w:r>
        <w:rPr>
          <w:rFonts w:ascii="Times New Roman" w:cs="Times New Roman" w:eastAsia="Times New Roman" w:hAnsi="Times New Roman"/>
          <w:sz w:val="17"/>
          <w:szCs w:val="17"/>
          <w:i w:val="1"/>
          <w:iCs w:val="1"/>
          <w:color w:val="auto"/>
        </w:rPr>
        <w:t>Prepaid expenses and other current assets</w:t>
      </w:r>
      <w:r>
        <w:rPr>
          <w:rFonts w:ascii="Times New Roman" w:cs="Times New Roman" w:eastAsia="Times New Roman" w:hAnsi="Times New Roman"/>
          <w:sz w:val="17"/>
          <w:szCs w:val="17"/>
          <w:color w:val="auto"/>
        </w:rPr>
        <w:t xml:space="preserve"> balance. After adjustment for this refund, purchase consideration transferred for the assets of Chorus.ai is $547.4 million in cash. The total purchase consideration includes $31.8 million attributable to certain unvested options issued by Chorus.ai that were accelerated in contemplation of the acquisition by ZoomInfo. The purchase accounting for this transaction has been finalized. As part of the acquisition, the Company issued 572,921 RSUs that replaced previously unvested equity in Chorus.ai or were issued as incremental incentive grants at a total grant date fair value of $30.3 million, and agreed to pay $6.0 million of compensation to acquired employees, subject to continued employment, to be recognized in the post-combination periods.</w:t>
      </w:r>
    </w:p>
    <w:p>
      <w:pPr>
        <w:spacing w:after="0" w:line="124" w:lineRule="exact"/>
        <w:rPr>
          <w:rFonts w:ascii="Times New Roman" w:cs="Times New Roman" w:eastAsia="Times New Roman" w:hAnsi="Times New Roman"/>
          <w:sz w:val="17"/>
          <w:szCs w:val="17"/>
          <w:color w:val="auto"/>
        </w:rPr>
      </w:pPr>
    </w:p>
    <w:p>
      <w:pPr>
        <w:jc w:val="both"/>
        <w:ind w:left="640" w:hanging="316"/>
        <w:spacing w:after="0" w:line="252" w:lineRule="auto"/>
        <w:tabs>
          <w:tab w:leader="none" w:pos="6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2021, the Company acquired substantially all of the net assets of RingLead, Inc. (“RingLead”) for total purchase consideration of $116.0 million, consisting of $114.9 million in cash and estimated deferred purchase consideration of $1.1 million. The purchase accounting for this transaction has been finalized. As part of the acquisition, the Company issued 42,854 replacement RSUs, at a total grant date fair value of $2.8 million and agreed to pay $3.7 million of incentive compensation to acquired employees, subject to continued employment, to be recognized in the post-combination periods.</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has included the financial results of the 2021 Acquired Companies in the consolidated financial statements from each date of acquisition. During the year ended December 31, 2021, the 2021 Acquired Companies contributed $13.2 million to revenue. Due to the integration of the 2021 Acquired Companies into the operations of ZoomInfo, the Company cannot practicably determine the contribution of the 2021 Acquired Companies to consolidated net earnings. Transaction costs associated with each acquisition were not material.</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acquisition date fair value of the total consideration transferred was comprised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Preliminary Fair</w:t>
            </w:r>
          </w:p>
        </w:tc>
        <w:tc>
          <w:tcPr>
            <w:tcW w:w="200" w:type="dxa"/>
            <w:vAlign w:val="bottom"/>
          </w:tcPr>
          <w:p>
            <w:pPr>
              <w:spacing w:after="0"/>
              <w:rPr>
                <w:sz w:val="18"/>
                <w:szCs w:val="18"/>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Measurement</w:t>
            </w:r>
          </w:p>
        </w:tc>
        <w:tc>
          <w:tcPr>
            <w:tcW w:w="120" w:type="dxa"/>
            <w:vAlign w:val="bottom"/>
          </w:tcPr>
          <w:p>
            <w:pPr>
              <w:spacing w:after="0"/>
              <w:rPr>
                <w:sz w:val="18"/>
                <w:szCs w:val="18"/>
                <w:color w:val="auto"/>
              </w:rPr>
            </w:pPr>
          </w:p>
        </w:tc>
        <w:tc>
          <w:tcPr>
            <w:tcW w:w="142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8"/>
              </w:rPr>
              <w:t>Adjusted Fair</w:t>
            </w:r>
          </w:p>
        </w:tc>
        <w:tc>
          <w:tcPr>
            <w:tcW w:w="0" w:type="dxa"/>
            <w:vAlign w:val="bottom"/>
          </w:tcPr>
          <w:p>
            <w:pPr>
              <w:spacing w:after="0"/>
              <w:rPr>
                <w:sz w:val="1"/>
                <w:szCs w:val="1"/>
                <w:color w:val="auto"/>
              </w:rPr>
            </w:pPr>
          </w:p>
        </w:tc>
      </w:tr>
      <w:tr>
        <w:trPr>
          <w:trHeight w:val="172"/>
        </w:trPr>
        <w:tc>
          <w:tcPr>
            <w:tcW w:w="6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center"/>
              <w:ind w:right="200"/>
              <w:spacing w:after="0" w:line="172" w:lineRule="exact"/>
              <w:rPr>
                <w:sz w:val="20"/>
                <w:szCs w:val="20"/>
                <w:color w:val="auto"/>
              </w:rPr>
            </w:pPr>
            <w:r>
              <w:rPr>
                <w:rFonts w:ascii="Times New Roman" w:cs="Times New Roman" w:eastAsia="Times New Roman" w:hAnsi="Times New Roman"/>
                <w:sz w:val="18"/>
                <w:szCs w:val="18"/>
                <w:b w:val="1"/>
                <w:bCs w:val="1"/>
                <w:color w:val="auto"/>
                <w:w w:val="92"/>
              </w:rPr>
              <w:t>Value at</w:t>
            </w:r>
          </w:p>
        </w:tc>
        <w:tc>
          <w:tcPr>
            <w:tcW w:w="2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center"/>
              <w:ind w:right="32"/>
              <w:spacing w:after="0" w:line="172" w:lineRule="exact"/>
              <w:rPr>
                <w:sz w:val="20"/>
                <w:szCs w:val="20"/>
                <w:color w:val="auto"/>
              </w:rPr>
            </w:pPr>
            <w:r>
              <w:rPr>
                <w:rFonts w:ascii="Times New Roman" w:cs="Times New Roman" w:eastAsia="Times New Roman" w:hAnsi="Times New Roman"/>
                <w:sz w:val="18"/>
                <w:szCs w:val="18"/>
                <w:b w:val="1"/>
                <w:bCs w:val="1"/>
                <w:color w:val="auto"/>
                <w:w w:val="96"/>
              </w:rPr>
              <w:t>Value at</w:t>
            </w:r>
          </w:p>
        </w:tc>
        <w:tc>
          <w:tcPr>
            <w:tcW w:w="0" w:type="dxa"/>
            <w:vAlign w:val="bottom"/>
          </w:tcPr>
          <w:p>
            <w:pPr>
              <w:spacing w:after="0"/>
              <w:rPr>
                <w:sz w:val="1"/>
                <w:szCs w:val="1"/>
                <w:color w:val="auto"/>
              </w:rPr>
            </w:pPr>
          </w:p>
        </w:tc>
      </w:tr>
      <w:tr>
        <w:trPr>
          <w:trHeight w:val="238"/>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20"/>
                <w:szCs w:val="20"/>
                <w:color w:val="auto"/>
              </w:rPr>
            </w:pP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Acquisition Date</w:t>
            </w: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Period Adjustments</w:t>
            </w:r>
          </w:p>
        </w:tc>
        <w:tc>
          <w:tcPr>
            <w:tcW w:w="120" w:type="dxa"/>
            <w:vAlign w:val="bottom"/>
          </w:tcPr>
          <w:p>
            <w:pPr>
              <w:spacing w:after="0"/>
              <w:rPr>
                <w:sz w:val="20"/>
                <w:szCs w:val="20"/>
                <w:color w:val="auto"/>
              </w:rPr>
            </w:pPr>
          </w:p>
        </w:tc>
        <w:tc>
          <w:tcPr>
            <w:tcW w:w="142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8"/>
              </w:rPr>
              <w:t>Acquisition Date</w:t>
            </w:r>
          </w:p>
        </w:tc>
        <w:tc>
          <w:tcPr>
            <w:tcW w:w="0" w:type="dxa"/>
            <w:vAlign w:val="bottom"/>
          </w:tcPr>
          <w:p>
            <w:pPr>
              <w:spacing w:after="0"/>
              <w:rPr>
                <w:sz w:val="1"/>
                <w:szCs w:val="1"/>
                <w:color w:val="auto"/>
              </w:rPr>
            </w:pPr>
          </w:p>
        </w:tc>
      </w:tr>
      <w:tr>
        <w:trPr>
          <w:trHeight w:val="218"/>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695.2</w:t>
            </w:r>
          </w:p>
        </w:tc>
        <w:tc>
          <w:tcPr>
            <w:tcW w:w="0" w:type="dxa"/>
            <w:vAlign w:val="bottom"/>
          </w:tcPr>
          <w:p>
            <w:pPr>
              <w:spacing w:after="0"/>
              <w:rPr>
                <w:sz w:val="1"/>
                <w:szCs w:val="1"/>
                <w:color w:val="auto"/>
              </w:rPr>
            </w:pPr>
          </w:p>
        </w:tc>
      </w:tr>
      <w:tr>
        <w:trPr>
          <w:trHeight w:val="225"/>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purchase consideration</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3"/>
        </w:trPr>
        <w:tc>
          <w:tcPr>
            <w:tcW w:w="64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697.4</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Business Combinations (continued)</w:t>
      </w:r>
    </w:p>
    <w:p>
      <w:pPr>
        <w:spacing w:after="0" w:line="200" w:lineRule="exact"/>
        <w:rPr>
          <w:sz w:val="20"/>
          <w:szCs w:val="20"/>
          <w:color w:val="auto"/>
        </w:rPr>
      </w:pPr>
    </w:p>
    <w:p>
      <w:pPr>
        <w:spacing w:after="0" w:line="2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aggregate fair values of the assets acquired and liabilities assumed, as of the dates of the acquisition for the 2021</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Acquired Companies, as adjusted in the fourth quarter of 2021 and the first quarter of 2022:</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Preliminary Fair</w:t>
            </w:r>
          </w:p>
        </w:tc>
        <w:tc>
          <w:tcPr>
            <w:tcW w:w="180" w:type="dxa"/>
            <w:vAlign w:val="bottom"/>
          </w:tcPr>
          <w:p>
            <w:pPr>
              <w:spacing w:after="0"/>
              <w:rPr>
                <w:sz w:val="17"/>
                <w:szCs w:val="17"/>
                <w:color w:val="auto"/>
              </w:rPr>
            </w:pPr>
          </w:p>
        </w:tc>
        <w:tc>
          <w:tcPr>
            <w:tcW w:w="14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Measurement</w:t>
            </w:r>
          </w:p>
        </w:tc>
        <w:tc>
          <w:tcPr>
            <w:tcW w:w="1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Adjusted Fair Value</w:t>
            </w:r>
          </w:p>
        </w:tc>
        <w:tc>
          <w:tcPr>
            <w:tcW w:w="0" w:type="dxa"/>
            <w:vAlign w:val="bottom"/>
          </w:tcPr>
          <w:p>
            <w:pPr>
              <w:spacing w:after="0"/>
              <w:rPr>
                <w:sz w:val="1"/>
                <w:szCs w:val="1"/>
                <w:color w:val="auto"/>
              </w:rPr>
            </w:pPr>
          </w:p>
        </w:tc>
      </w:tr>
      <w:tr>
        <w:trPr>
          <w:trHeight w:val="172"/>
        </w:trPr>
        <w:tc>
          <w:tcPr>
            <w:tcW w:w="6360" w:type="dxa"/>
            <w:vAlign w:val="bottom"/>
          </w:tcPr>
          <w:p>
            <w:pPr>
              <w:spacing w:after="0"/>
              <w:rPr>
                <w:sz w:val="14"/>
                <w:szCs w:val="14"/>
                <w:color w:val="auto"/>
              </w:rPr>
            </w:pPr>
          </w:p>
        </w:tc>
        <w:tc>
          <w:tcPr>
            <w:tcW w:w="1660" w:type="dxa"/>
            <w:vAlign w:val="bottom"/>
            <w:gridSpan w:val="3"/>
          </w:tcPr>
          <w:p>
            <w:pPr>
              <w:ind w:left="20"/>
              <w:spacing w:after="0" w:line="172" w:lineRule="exact"/>
              <w:rPr>
                <w:sz w:val="20"/>
                <w:szCs w:val="20"/>
                <w:color w:val="auto"/>
              </w:rPr>
            </w:pPr>
            <w:r>
              <w:rPr>
                <w:rFonts w:ascii="Times New Roman" w:cs="Times New Roman" w:eastAsia="Times New Roman" w:hAnsi="Times New Roman"/>
                <w:sz w:val="18"/>
                <w:szCs w:val="18"/>
                <w:b w:val="1"/>
                <w:bCs w:val="1"/>
                <w:color w:val="auto"/>
              </w:rPr>
              <w:t>Value at Acquisition</w:t>
            </w:r>
          </w:p>
        </w:tc>
        <w:tc>
          <w:tcPr>
            <w:tcW w:w="18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0" w:type="dxa"/>
            <w:vAlign w:val="bottom"/>
          </w:tcPr>
          <w:p>
            <w:pPr>
              <w:spacing w:after="0"/>
              <w:rPr>
                <w:sz w:val="20"/>
                <w:szCs w:val="20"/>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4"/>
              </w:rPr>
              <w:t>Date</w:t>
            </w: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Period Adjustments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at Acquisition Date</w:t>
            </w:r>
          </w:p>
        </w:tc>
        <w:tc>
          <w:tcPr>
            <w:tcW w:w="0" w:type="dxa"/>
            <w:vAlign w:val="bottom"/>
          </w:tcPr>
          <w:p>
            <w:pPr>
              <w:spacing w:after="0"/>
              <w:rPr>
                <w:sz w:val="1"/>
                <w:szCs w:val="1"/>
                <w:color w:val="auto"/>
              </w:rPr>
            </w:pPr>
          </w:p>
        </w:tc>
      </w:tr>
      <w:tr>
        <w:trPr>
          <w:trHeight w:val="219"/>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8"/>
        </w:trPr>
        <w:tc>
          <w:tcPr>
            <w:tcW w:w="6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identifiable net assets acquired</w:t>
            </w: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w:t>
            </w:r>
          </w:p>
        </w:tc>
        <w:tc>
          <w:tcPr>
            <w:tcW w:w="0" w:type="dxa"/>
            <w:vAlign w:val="bottom"/>
          </w:tcPr>
          <w:p>
            <w:pPr>
              <w:spacing w:after="0"/>
              <w:rPr>
                <w:sz w:val="1"/>
                <w:szCs w:val="1"/>
                <w:color w:val="auto"/>
              </w:rPr>
            </w:pPr>
          </w:p>
        </w:tc>
      </w:tr>
      <w:tr>
        <w:trPr>
          <w:trHeight w:val="218"/>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consideration</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697.4</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Cash refund from Chorus.ai acquisition</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6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Deferred consideration</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Accruals from adjustments to working capital balances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5"/>
        </w:trPr>
        <w:tc>
          <w:tcPr>
            <w:tcW w:w="6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Accruals from adjustments to tax liabilities</w:t>
            </w:r>
          </w:p>
        </w:tc>
        <w:tc>
          <w:tcPr>
            <w:tcW w:w="14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Cash acquired</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8"/>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acquisitions, net of cash acquired</w:t>
            </w: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681.8</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(refunds received) for 2020 acquisitions in 2021</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Refunds received for 2021 acquisitions in 2022 (see “2021 Acquisitions”)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8"/>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paid for acquisitions in 2021</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684.2</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excess of purchase consideration over the fair value of net tangible and intangible assets acquired was recorded as goodwill. The fair values assigned to tangible and identifiable intangible assets acquired and liabilities assumed are based on management’s estimates and assumptions.</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the components of identifiable intangible assets acquired and the estimated useful lives as of the dates of acquisition: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Preliminary Fair</w:t>
            </w:r>
          </w:p>
        </w:tc>
        <w:tc>
          <w:tcPr>
            <w:tcW w:w="200" w:type="dxa"/>
            <w:vAlign w:val="bottom"/>
          </w:tcPr>
          <w:p>
            <w:pPr>
              <w:spacing w:after="0"/>
              <w:rPr>
                <w:sz w:val="18"/>
                <w:szCs w:val="18"/>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Measurement</w:t>
            </w:r>
          </w:p>
        </w:tc>
        <w:tc>
          <w:tcPr>
            <w:tcW w:w="1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Adjusted Fair Value</w:t>
            </w:r>
          </w:p>
        </w:tc>
        <w:tc>
          <w:tcPr>
            <w:tcW w:w="100" w:type="dxa"/>
            <w:vAlign w:val="bottom"/>
          </w:tcPr>
          <w:p>
            <w:pPr>
              <w:spacing w:after="0"/>
              <w:rPr>
                <w:sz w:val="18"/>
                <w:szCs w:val="18"/>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Weighted Average</w:t>
            </w:r>
          </w:p>
        </w:tc>
        <w:tc>
          <w:tcPr>
            <w:tcW w:w="0" w:type="dxa"/>
            <w:vAlign w:val="bottom"/>
          </w:tcPr>
          <w:p>
            <w:pPr>
              <w:spacing w:after="0"/>
              <w:rPr>
                <w:sz w:val="1"/>
                <w:szCs w:val="1"/>
                <w:color w:val="auto"/>
              </w:rPr>
            </w:pPr>
          </w:p>
        </w:tc>
      </w:tr>
      <w:tr>
        <w:trPr>
          <w:trHeight w:val="172"/>
        </w:trPr>
        <w:tc>
          <w:tcPr>
            <w:tcW w:w="4700" w:type="dxa"/>
            <w:vAlign w:val="bottom"/>
          </w:tcPr>
          <w:p>
            <w:pPr>
              <w:spacing w:after="0"/>
              <w:rPr>
                <w:sz w:val="14"/>
                <w:szCs w:val="14"/>
                <w:color w:val="auto"/>
              </w:rPr>
            </w:pPr>
          </w:p>
        </w:tc>
        <w:tc>
          <w:tcPr>
            <w:tcW w:w="1660" w:type="dxa"/>
            <w:vAlign w:val="bottom"/>
            <w:gridSpan w:val="3"/>
          </w:tcPr>
          <w:p>
            <w:pPr>
              <w:ind w:left="20"/>
              <w:spacing w:after="0" w:line="172" w:lineRule="exact"/>
              <w:rPr>
                <w:sz w:val="20"/>
                <w:szCs w:val="20"/>
                <w:color w:val="auto"/>
              </w:rPr>
            </w:pPr>
            <w:r>
              <w:rPr>
                <w:rFonts w:ascii="Times New Roman" w:cs="Times New Roman" w:eastAsia="Times New Roman" w:hAnsi="Times New Roman"/>
                <w:sz w:val="18"/>
                <w:szCs w:val="18"/>
                <w:b w:val="1"/>
                <w:bCs w:val="1"/>
                <w:color w:val="auto"/>
              </w:rPr>
              <w:t>Value at Acquisition</w:t>
            </w:r>
          </w:p>
        </w:tc>
        <w:tc>
          <w:tcPr>
            <w:tcW w:w="2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0" w:type="dxa"/>
            <w:vAlign w:val="bottom"/>
          </w:tcPr>
          <w:p>
            <w:pPr>
              <w:spacing w:after="0"/>
              <w:rPr>
                <w:sz w:val="20"/>
                <w:szCs w:val="20"/>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4"/>
              </w:rPr>
              <w:t>Date</w:t>
            </w: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Period Adjustments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at Acquisition Date</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0" w:type="dxa"/>
            <w:vAlign w:val="bottom"/>
          </w:tcPr>
          <w:p>
            <w:pPr>
              <w:spacing w:after="0"/>
              <w:rPr>
                <w:sz w:val="1"/>
                <w:szCs w:val="1"/>
                <w:color w:val="auto"/>
              </w:rPr>
            </w:pPr>
          </w:p>
        </w:tc>
      </w:tr>
      <w:tr>
        <w:trPr>
          <w:trHeight w:val="221"/>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Brand portfolio</w:t>
            </w: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 years</w:t>
            </w:r>
          </w:p>
        </w:tc>
        <w:tc>
          <w:tcPr>
            <w:tcW w:w="0" w:type="dxa"/>
            <w:vAlign w:val="bottom"/>
          </w:tcPr>
          <w:p>
            <w:pPr>
              <w:spacing w:after="0"/>
              <w:rPr>
                <w:sz w:val="1"/>
                <w:szCs w:val="1"/>
                <w:color w:val="auto"/>
              </w:rPr>
            </w:pPr>
          </w:p>
        </w:tc>
      </w:tr>
      <w:tr>
        <w:trPr>
          <w:trHeight w:val="225"/>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 years</w:t>
            </w:r>
          </w:p>
        </w:tc>
        <w:tc>
          <w:tcPr>
            <w:tcW w:w="0" w:type="dxa"/>
            <w:vAlign w:val="bottom"/>
          </w:tcPr>
          <w:p>
            <w:pPr>
              <w:spacing w:after="0"/>
              <w:rPr>
                <w:sz w:val="1"/>
                <w:szCs w:val="1"/>
                <w:color w:val="auto"/>
              </w:rPr>
            </w:pPr>
          </w:p>
        </w:tc>
      </w:tr>
      <w:tr>
        <w:trPr>
          <w:trHeight w:val="225"/>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7.7 years</w:t>
            </w:r>
          </w:p>
        </w:tc>
        <w:tc>
          <w:tcPr>
            <w:tcW w:w="0" w:type="dxa"/>
            <w:vAlign w:val="bottom"/>
          </w:tcPr>
          <w:p>
            <w:pPr>
              <w:spacing w:after="0"/>
              <w:rPr>
                <w:sz w:val="1"/>
                <w:szCs w:val="1"/>
                <w:color w:val="auto"/>
              </w:rPr>
            </w:pPr>
          </w:p>
        </w:tc>
      </w:tr>
      <w:tr>
        <w:trPr>
          <w:trHeight w:val="218"/>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Business Combinations (continued)</w:t>
      </w:r>
    </w:p>
    <w:p>
      <w:pPr>
        <w:spacing w:after="0" w:line="200" w:lineRule="exact"/>
        <w:rPr>
          <w:sz w:val="20"/>
          <w:szCs w:val="20"/>
          <w:color w:val="auto"/>
        </w:rPr>
      </w:pPr>
    </w:p>
    <w:p>
      <w:pPr>
        <w:spacing w:after="0" w:line="29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Developed technology represents the fair value of the technology portfolios acquired. The goodwill is primarily attributed to the expanded market opportunities when integrating technology with the Company’s technology and the assembled workforce. All goodwill acquired during the year ended December 31, 2021 is expected to be deductible for U.S. income tax purposes.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Pro Forma Financial Information for the 2021 Acquisitions</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following table presents the unaudited pro forma results for the year ended December 31, 2021. The unaudited pro forma financial information combines the results of operations of the 2021 Acquired Companies and ZoomInfo as though each of the acquisitions had been completed on January 1, 2021. The pro forma information is presented for informational purposes only and is not indicative of the results of operations that would have been achieved if the acquisitions had taken place at such time. The unaudited pro forma results presented below primarily include adjustments for amortization of identifiable intangible assets, the valuation of deferred revenue assumed in the acquisitions, interest expense, aggregate transaction expenses and transaction success bonuses of $12.6 million, equity-based compensation, and related tax effects of the adjustments: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6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w:t>
            </w:r>
          </w:p>
        </w:tc>
        <w:tc>
          <w:tcPr>
            <w:tcW w:w="0" w:type="dxa"/>
            <w:vAlign w:val="bottom"/>
          </w:tcPr>
          <w:p>
            <w:pPr>
              <w:spacing w:after="0"/>
              <w:rPr>
                <w:sz w:val="1"/>
                <w:szCs w:val="1"/>
                <w:color w:val="auto"/>
              </w:rPr>
            </w:pPr>
          </w:p>
        </w:tc>
      </w:tr>
      <w:tr>
        <w:trPr>
          <w:trHeight w:val="236"/>
        </w:trPr>
        <w:tc>
          <w:tcPr>
            <w:tcW w:w="5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b w:val="1"/>
                <w:bCs w:val="1"/>
                <w:color w:val="auto"/>
              </w:rPr>
              <w:t>31,</w:t>
            </w:r>
          </w:p>
        </w:tc>
        <w:tc>
          <w:tcPr>
            <w:tcW w:w="0" w:type="dxa"/>
            <w:vAlign w:val="bottom"/>
          </w:tcPr>
          <w:p>
            <w:pPr>
              <w:spacing w:after="0"/>
              <w:rPr>
                <w:sz w:val="1"/>
                <w:szCs w:val="1"/>
                <w:color w:val="auto"/>
              </w:rPr>
            </w:pPr>
          </w:p>
        </w:tc>
      </w:tr>
      <w:tr>
        <w:trPr>
          <w:trHeight w:val="221"/>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6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8"/>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w:t>
            </w:r>
          </w:p>
        </w:tc>
        <w:tc>
          <w:tcPr>
            <w:tcW w:w="0" w:type="dxa"/>
            <w:vAlign w:val="bottom"/>
          </w:tcPr>
          <w:p>
            <w:pPr>
              <w:spacing w:after="0"/>
              <w:rPr>
                <w:sz w:val="1"/>
                <w:szCs w:val="1"/>
                <w:color w:val="auto"/>
              </w:rPr>
            </w:pPr>
          </w:p>
        </w:tc>
      </w:tr>
      <w:tr>
        <w:trPr>
          <w:trHeight w:val="231"/>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936"/>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 Cash, Cash Equivalents, and Short-term Investments</w:t>
            </w: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790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Cash, cash equivalents, and short-term investments consisted of the following as of December 31, 2023:</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5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Gains</w:t>
            </w:r>
          </w:p>
        </w:tc>
        <w:tc>
          <w:tcPr>
            <w:tcW w:w="1100" w:type="dxa"/>
            <w:vAlign w:val="bottom"/>
            <w:gridSpan w:val="2"/>
          </w:tcPr>
          <w:p>
            <w:pPr>
              <w:jc w:val="center"/>
              <w:ind w:left="192"/>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6"/>
              </w:rPr>
              <w:t>Estimated Fair</w:t>
            </w:r>
          </w:p>
        </w:tc>
        <w:tc>
          <w:tcPr>
            <w:tcW w:w="0" w:type="dxa"/>
            <w:vAlign w:val="bottom"/>
          </w:tcPr>
          <w:p>
            <w:pPr>
              <w:spacing w:after="0"/>
              <w:rPr>
                <w:sz w:val="1"/>
                <w:szCs w:val="1"/>
                <w:color w:val="auto"/>
              </w:rPr>
            </w:pPr>
          </w:p>
        </w:tc>
      </w:tr>
      <w:tr>
        <w:trPr>
          <w:trHeight w:val="238"/>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60" w:type="dxa"/>
            <w:vAlign w:val="bottom"/>
          </w:tcPr>
          <w:p>
            <w:pPr>
              <w:spacing w:after="0"/>
              <w:rPr>
                <w:sz w:val="20"/>
                <w:szCs w:val="20"/>
                <w:color w:val="auto"/>
              </w:rPr>
            </w:pPr>
          </w:p>
        </w:tc>
        <w:tc>
          <w:tcPr>
            <w:tcW w:w="1440" w:type="dxa"/>
            <w:vAlign w:val="bottom"/>
            <w:gridSpan w:val="3"/>
            <w:vMerge w:val="continue"/>
          </w:tcPr>
          <w:p>
            <w:pPr>
              <w:spacing w:after="0"/>
              <w:rPr>
                <w:sz w:val="20"/>
                <w:szCs w:val="20"/>
                <w:color w:val="auto"/>
              </w:rPr>
            </w:pPr>
          </w:p>
        </w:tc>
        <w:tc>
          <w:tcPr>
            <w:tcW w:w="1440" w:type="dxa"/>
            <w:vAlign w:val="bottom"/>
            <w:gridSpan w:val="3"/>
            <w:vMerge w:val="continue"/>
          </w:tcPr>
          <w:p>
            <w:pPr>
              <w:spacing w:after="0"/>
              <w:rPr>
                <w:sz w:val="20"/>
                <w:szCs w:val="20"/>
                <w:color w:val="auto"/>
              </w:rPr>
            </w:pPr>
          </w:p>
        </w:tc>
        <w:tc>
          <w:tcPr>
            <w:tcW w:w="110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b w:val="1"/>
                <w:bCs w:val="1"/>
                <w:color w:val="auto"/>
                <w:w w:val="95"/>
              </w:rPr>
              <w:t>Losses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19"/>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46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center"/>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205"/>
        </w:trPr>
        <w:tc>
          <w:tcPr>
            <w:tcW w:w="51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Cash equivalents:</w:t>
            </w: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4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0" w:type="dxa"/>
            <w:vAlign w:val="bottom"/>
          </w:tcPr>
          <w:p>
            <w:pPr>
              <w:spacing w:after="0"/>
              <w:rPr>
                <w:sz w:val="1"/>
                <w:szCs w:val="1"/>
                <w:color w:val="auto"/>
              </w:rPr>
            </w:pPr>
          </w:p>
        </w:tc>
      </w:tr>
      <w:tr>
        <w:trPr>
          <w:trHeight w:val="218"/>
        </w:trPr>
        <w:tc>
          <w:tcPr>
            <w:tcW w:w="51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cash equivalents</w:t>
            </w:r>
          </w:p>
        </w:tc>
        <w:tc>
          <w:tcPr>
            <w:tcW w:w="460" w:type="dxa"/>
            <w:vAlign w:val="bottom"/>
            <w:tcBorders>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jc w:val="center"/>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10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46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center"/>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0" w:type="dxa"/>
            <w:vAlign w:val="bottom"/>
          </w:tcPr>
          <w:p>
            <w:pPr>
              <w:spacing w:after="0"/>
              <w:rPr>
                <w:sz w:val="1"/>
                <w:szCs w:val="1"/>
                <w:color w:val="auto"/>
              </w:rPr>
            </w:pPr>
          </w:p>
        </w:tc>
      </w:tr>
      <w:tr>
        <w:trPr>
          <w:trHeight w:val="205"/>
        </w:trPr>
        <w:tc>
          <w:tcPr>
            <w:tcW w:w="51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Short-term investments:</w:t>
            </w: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9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25"/>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Securities guaranteed by U.S. government</w:t>
            </w: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25"/>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governmental securities</w:t>
            </w:r>
          </w:p>
        </w:tc>
        <w:tc>
          <w:tcPr>
            <w:tcW w:w="4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18"/>
        </w:trPr>
        <w:tc>
          <w:tcPr>
            <w:tcW w:w="5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460" w:type="dxa"/>
            <w:vAlign w:val="bottom"/>
            <w:tcBorders>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jc w:val="center"/>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0" w:type="dxa"/>
            <w:vAlign w:val="bottom"/>
          </w:tcPr>
          <w:p>
            <w:pPr>
              <w:spacing w:after="0"/>
              <w:rPr>
                <w:sz w:val="1"/>
                <w:szCs w:val="1"/>
                <w:color w:val="auto"/>
              </w:rPr>
            </w:pPr>
          </w:p>
        </w:tc>
      </w:tr>
      <w:tr>
        <w:trPr>
          <w:trHeight w:val="243"/>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short-term investments</w:t>
            </w:r>
          </w:p>
        </w:tc>
        <w:tc>
          <w:tcPr>
            <w:tcW w:w="4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center"/>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529.3</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529.3</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6"/>
        </w:trPr>
        <w:tc>
          <w:tcPr>
            <w:tcW w:w="5100" w:type="dxa"/>
            <w:vAlign w:val="bottom"/>
          </w:tcPr>
          <w:p>
            <w:pPr>
              <w:spacing w:after="0"/>
              <w:rPr>
                <w:sz w:val="24"/>
                <w:szCs w:val="24"/>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94</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00" w:type="dxa"/>
            <w:vAlign w:val="bottom"/>
            <w:tcBorders>
              <w:bottom w:val="single" w:sz="8" w:color="9A9A9A"/>
            </w:tcBorders>
          </w:tcPr>
          <w:p>
            <w:pPr>
              <w:spacing w:after="0"/>
              <w:rPr>
                <w:sz w:val="23"/>
                <w:szCs w:val="23"/>
                <w:color w:val="auto"/>
              </w:rPr>
            </w:pPr>
          </w:p>
        </w:tc>
        <w:tc>
          <w:tcPr>
            <w:tcW w:w="460" w:type="dxa"/>
            <w:vAlign w:val="bottom"/>
            <w:tcBorders>
              <w:bottom w:val="single" w:sz="8" w:color="9A9A9A"/>
            </w:tcBorders>
          </w:tcPr>
          <w:p>
            <w:pPr>
              <w:spacing w:after="0"/>
              <w:rPr>
                <w:sz w:val="23"/>
                <w:szCs w:val="23"/>
                <w:color w:val="auto"/>
              </w:rPr>
            </w:pPr>
          </w:p>
        </w:tc>
        <w:tc>
          <w:tcPr>
            <w:tcW w:w="520" w:type="dxa"/>
            <w:vAlign w:val="bottom"/>
            <w:tcBorders>
              <w:bottom w:val="single" w:sz="8" w:color="9A9A9A"/>
            </w:tcBorders>
          </w:tcPr>
          <w:p>
            <w:pPr>
              <w:spacing w:after="0"/>
              <w:rPr>
                <w:sz w:val="23"/>
                <w:szCs w:val="23"/>
                <w:color w:val="auto"/>
              </w:rPr>
            </w:pPr>
          </w:p>
        </w:tc>
        <w:tc>
          <w:tcPr>
            <w:tcW w:w="82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900" w:type="dxa"/>
            <w:vAlign w:val="bottom"/>
            <w:tcBorders>
              <w:bottom w:val="single" w:sz="8" w:color="9A9A9A"/>
            </w:tcBorders>
          </w:tcPr>
          <w:p>
            <w:pPr>
              <w:spacing w:after="0"/>
              <w:rPr>
                <w:sz w:val="23"/>
                <w:szCs w:val="23"/>
                <w:color w:val="auto"/>
              </w:rPr>
            </w:pPr>
          </w:p>
        </w:tc>
        <w:tc>
          <w:tcPr>
            <w:tcW w:w="46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940" w:type="dxa"/>
            <w:vAlign w:val="bottom"/>
            <w:tcBorders>
              <w:bottom w:val="single" w:sz="8" w:color="9A9A9A"/>
            </w:tcBorders>
          </w:tcPr>
          <w:p>
            <w:pPr>
              <w:spacing w:after="0"/>
              <w:rPr>
                <w:sz w:val="23"/>
                <w:szCs w:val="23"/>
                <w:color w:val="auto"/>
              </w:rPr>
            </w:pPr>
          </w:p>
        </w:tc>
        <w:tc>
          <w:tcPr>
            <w:tcW w:w="160" w:type="dxa"/>
            <w:vAlign w:val="bottom"/>
            <w:tcBorders>
              <w:bottom w:val="single" w:sz="8" w:color="9A9A9A"/>
            </w:tcBorders>
          </w:tcPr>
          <w:p>
            <w:pPr>
              <w:spacing w:after="0"/>
              <w:rPr>
                <w:sz w:val="23"/>
                <w:szCs w:val="23"/>
                <w:color w:val="auto"/>
              </w:rPr>
            </w:pPr>
          </w:p>
        </w:tc>
        <w:tc>
          <w:tcPr>
            <w:tcW w:w="26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124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Cash, Cash Equivalents, and Short-term Investments (continued)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Cash, cash equivalents, and short-term investments consisted of the following as of December 31, 2022:</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tcPr>
          <w:p>
            <w:pPr>
              <w:spacing w:after="0"/>
              <w:rPr>
                <w:sz w:val="17"/>
                <w:szCs w:val="17"/>
                <w:color w:val="auto"/>
              </w:rPr>
            </w:pPr>
          </w:p>
        </w:tc>
        <w:tc>
          <w:tcPr>
            <w:tcW w:w="144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Gains</w:t>
            </w:r>
          </w:p>
        </w:tc>
        <w:tc>
          <w:tcPr>
            <w:tcW w:w="20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00" w:type="dxa"/>
            <w:vAlign w:val="bottom"/>
          </w:tcPr>
          <w:p>
            <w:pPr>
              <w:spacing w:after="0"/>
              <w:rPr>
                <w:sz w:val="17"/>
                <w:szCs w:val="17"/>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6"/>
              </w:rPr>
              <w:t>Estimated Fair</w:t>
            </w:r>
          </w:p>
        </w:tc>
        <w:tc>
          <w:tcPr>
            <w:tcW w:w="0" w:type="dxa"/>
            <w:vAlign w:val="bottom"/>
          </w:tcPr>
          <w:p>
            <w:pPr>
              <w:spacing w:after="0"/>
              <w:rPr>
                <w:sz w:val="1"/>
                <w:szCs w:val="1"/>
                <w:color w:val="auto"/>
              </w:rPr>
            </w:pPr>
          </w:p>
        </w:tc>
      </w:tr>
      <w:tr>
        <w:trPr>
          <w:trHeight w:val="238"/>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40" w:type="dxa"/>
            <w:vAlign w:val="bottom"/>
            <w:gridSpan w:val="3"/>
            <w:vMerge w:val="continue"/>
          </w:tcPr>
          <w:p>
            <w:pPr>
              <w:spacing w:after="0"/>
              <w:rPr>
                <w:sz w:val="20"/>
                <w:szCs w:val="20"/>
                <w:color w:val="auto"/>
              </w:rPr>
            </w:pPr>
          </w:p>
        </w:tc>
        <w:tc>
          <w:tcPr>
            <w:tcW w:w="1440" w:type="dxa"/>
            <w:vAlign w:val="bottom"/>
            <w:gridSpan w:val="3"/>
            <w:vMerge w:val="continue"/>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5"/>
              </w:rPr>
              <w:t>Losses</w:t>
            </w:r>
          </w:p>
        </w:tc>
        <w:tc>
          <w:tcPr>
            <w:tcW w:w="100" w:type="dxa"/>
            <w:vAlign w:val="bottom"/>
          </w:tcPr>
          <w:p>
            <w:pPr>
              <w:spacing w:after="0"/>
              <w:rPr>
                <w:sz w:val="20"/>
                <w:szCs w:val="20"/>
                <w:color w:val="auto"/>
              </w:rPr>
            </w:pPr>
          </w:p>
        </w:tc>
        <w:tc>
          <w:tcPr>
            <w:tcW w:w="124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18"/>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500" w:type="dxa"/>
            <w:vAlign w:val="bottom"/>
            <w:tcBorders>
              <w:top w:val="single" w:sz="8" w:color="auto"/>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0" w:type="dxa"/>
            <w:vAlign w:val="bottom"/>
          </w:tcPr>
          <w:p>
            <w:pPr>
              <w:spacing w:after="0"/>
              <w:rPr>
                <w:sz w:val="1"/>
                <w:szCs w:val="1"/>
                <w:color w:val="auto"/>
              </w:rPr>
            </w:pPr>
          </w:p>
        </w:tc>
      </w:tr>
      <w:tr>
        <w:trPr>
          <w:trHeight w:val="205"/>
        </w:trPr>
        <w:tc>
          <w:tcPr>
            <w:tcW w:w="55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Cash equivalents</w:t>
            </w: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0" w:type="dxa"/>
            <w:vAlign w:val="bottom"/>
          </w:tcPr>
          <w:p>
            <w:pPr>
              <w:spacing w:after="0"/>
              <w:rPr>
                <w:sz w:val="1"/>
                <w:szCs w:val="1"/>
                <w:color w:val="auto"/>
              </w:rPr>
            </w:pPr>
          </w:p>
        </w:tc>
      </w:tr>
      <w:tr>
        <w:trPr>
          <w:trHeight w:val="225"/>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25"/>
        </w:trPr>
        <w:tc>
          <w:tcPr>
            <w:tcW w:w="5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Securities guaranteed by U.S. government</w:t>
            </w: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8"/>
        </w:trPr>
        <w:tc>
          <w:tcPr>
            <w:tcW w:w="55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cash equivalents</w:t>
            </w:r>
          </w:p>
        </w:tc>
        <w:tc>
          <w:tcPr>
            <w:tcW w:w="5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00" w:type="dxa"/>
            <w:vAlign w:val="bottom"/>
            <w:tcBorders>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0" w:type="dxa"/>
            <w:vAlign w:val="bottom"/>
          </w:tcPr>
          <w:p>
            <w:pPr>
              <w:spacing w:after="0"/>
              <w:rPr>
                <w:sz w:val="1"/>
                <w:szCs w:val="1"/>
                <w:color w:val="auto"/>
              </w:rPr>
            </w:pPr>
          </w:p>
        </w:tc>
      </w:tr>
      <w:tr>
        <w:trPr>
          <w:trHeight w:val="218"/>
        </w:trPr>
        <w:tc>
          <w:tcPr>
            <w:tcW w:w="5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w:t>
            </w:r>
          </w:p>
        </w:tc>
        <w:tc>
          <w:tcPr>
            <w:tcW w:w="0" w:type="dxa"/>
            <w:vAlign w:val="bottom"/>
          </w:tcPr>
          <w:p>
            <w:pPr>
              <w:spacing w:after="0"/>
              <w:rPr>
                <w:sz w:val="1"/>
                <w:szCs w:val="1"/>
                <w:color w:val="auto"/>
              </w:rPr>
            </w:pPr>
          </w:p>
        </w:tc>
      </w:tr>
      <w:tr>
        <w:trPr>
          <w:trHeight w:val="205"/>
        </w:trPr>
        <w:tc>
          <w:tcPr>
            <w:tcW w:w="55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Short-term investments:</w:t>
            </w: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0" w:type="dxa"/>
            <w:vAlign w:val="bottom"/>
          </w:tcPr>
          <w:p>
            <w:pPr>
              <w:spacing w:after="0"/>
              <w:rPr>
                <w:sz w:val="1"/>
                <w:szCs w:val="1"/>
                <w:color w:val="auto"/>
              </w:rPr>
            </w:pPr>
          </w:p>
        </w:tc>
      </w:tr>
      <w:tr>
        <w:trPr>
          <w:trHeight w:val="225"/>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Securities guaranteed by U.S. government</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25"/>
        </w:trPr>
        <w:tc>
          <w:tcPr>
            <w:tcW w:w="5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governmental securities</w:t>
            </w: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8"/>
        </w:trPr>
        <w:tc>
          <w:tcPr>
            <w:tcW w:w="5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5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tcBorders>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0" w:type="dxa"/>
            <w:vAlign w:val="bottom"/>
          </w:tcPr>
          <w:p>
            <w:pPr>
              <w:spacing w:after="0"/>
              <w:rPr>
                <w:sz w:val="1"/>
                <w:szCs w:val="1"/>
                <w:color w:val="auto"/>
              </w:rPr>
            </w:pPr>
          </w:p>
        </w:tc>
      </w:tr>
      <w:tr>
        <w:trPr>
          <w:trHeight w:val="243"/>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short-term investments</w:t>
            </w: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545.9</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Refer to Note 10 - Fair Value for further information regarding the fair value of our financial instruments.</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Gross unrealized losses on our available-for sale securities were immaterial at December 31, 2023 and 2022.</w:t>
      </w:r>
    </w:p>
    <w:p>
      <w:pPr>
        <w:spacing w:after="0" w:line="16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cost and estimated fair value of the securities classified as short-term investments based on stated effective maturities as of December 31, 2023 and 2022:</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80" w:type="dxa"/>
            <w:vAlign w:val="bottom"/>
            <w:gridSpan w:val="5"/>
          </w:tcPr>
          <w:p>
            <w:pPr>
              <w:ind w:left="10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40" w:type="dxa"/>
            <w:vAlign w:val="bottom"/>
          </w:tcPr>
          <w:p>
            <w:pPr>
              <w:spacing w:after="0"/>
              <w:rPr>
                <w:sz w:val="20"/>
                <w:szCs w:val="20"/>
                <w:color w:val="auto"/>
              </w:rPr>
            </w:pPr>
          </w:p>
        </w:tc>
        <w:tc>
          <w:tcPr>
            <w:tcW w:w="3700" w:type="dxa"/>
            <w:vAlign w:val="bottom"/>
            <w:gridSpan w:val="4"/>
          </w:tcPr>
          <w:p>
            <w:pPr>
              <w:jc w:val="right"/>
              <w:ind w:right="1172"/>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19"/>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2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98"/>
              </w:rPr>
              <w:t>Estimated Fair Value</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4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96"/>
              </w:rPr>
              <w:t>Estimated Fair Value</w:t>
            </w:r>
          </w:p>
        </w:tc>
      </w:tr>
      <w:tr>
        <w:trPr>
          <w:trHeight w:val="225"/>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r>
      <w:tr>
        <w:trPr>
          <w:trHeight w:val="21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w:t>
            </w:r>
          </w:p>
        </w:tc>
      </w:tr>
      <w:tr>
        <w:trPr>
          <w:trHeight w:val="20"/>
        </w:trPr>
        <w:tc>
          <w:tcPr>
            <w:tcW w:w="3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Property and Equipment</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property and equipment consist of the following:</w:t>
      </w:r>
    </w:p>
    <w:p>
      <w:pPr>
        <w:spacing w:after="0" w:line="202"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5"/>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5"/>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 use developed software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9"/>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19"/>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Depreciation expense was $19.6 million, $17.6 million, and $13.7 million for the years ended December 31,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 Goodwill and Acquired Intangible Assets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8540" w:type="dxa"/>
            <w:vAlign w:val="bottom"/>
            <w:gridSpan w:val="12"/>
          </w:tcPr>
          <w:p>
            <w:pPr>
              <w:ind w:left="320"/>
              <w:spacing w:after="0"/>
              <w:rPr>
                <w:sz w:val="20"/>
                <w:szCs w:val="20"/>
                <w:color w:val="auto"/>
              </w:rPr>
            </w:pPr>
            <w:r>
              <w:rPr>
                <w:rFonts w:ascii="Times New Roman" w:cs="Times New Roman" w:eastAsia="Times New Roman" w:hAnsi="Times New Roman"/>
                <w:sz w:val="18"/>
                <w:szCs w:val="18"/>
                <w:color w:val="auto"/>
                <w:w w:val="99"/>
              </w:rPr>
              <w:t>Intangible assets, other than goodwill, consisted of the following as of December 31, 2023 and 2022, respectively:</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4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Gross Carrying</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6"/>
              </w:rPr>
              <w:t>Weighted Average</w:t>
            </w:r>
          </w:p>
        </w:tc>
        <w:tc>
          <w:tcPr>
            <w:tcW w:w="0" w:type="dxa"/>
            <w:vAlign w:val="bottom"/>
          </w:tcPr>
          <w:p>
            <w:pPr>
              <w:spacing w:after="0"/>
              <w:rPr>
                <w:sz w:val="1"/>
                <w:szCs w:val="1"/>
                <w:color w:val="auto"/>
              </w:rPr>
            </w:pPr>
          </w:p>
        </w:tc>
      </w:tr>
      <w:tr>
        <w:trPr>
          <w:trHeight w:val="172"/>
        </w:trPr>
        <w:tc>
          <w:tcPr>
            <w:tcW w:w="4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vMerge w:val="restart"/>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Net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2"/>
          </w:tcPr>
          <w:p>
            <w:pPr>
              <w:jc w:val="center"/>
              <w:ind w:right="60"/>
              <w:spacing w:after="0" w:line="172" w:lineRule="exact"/>
              <w:rPr>
                <w:sz w:val="20"/>
                <w:szCs w:val="20"/>
                <w:color w:val="auto"/>
              </w:rPr>
            </w:pPr>
            <w:r>
              <w:rPr>
                <w:rFonts w:ascii="Times New Roman" w:cs="Times New Roman" w:eastAsia="Times New Roman" w:hAnsi="Times New Roman"/>
                <w:sz w:val="18"/>
                <w:szCs w:val="18"/>
                <w:b w:val="1"/>
                <w:bCs w:val="1"/>
                <w:color w:val="auto"/>
                <w:w w:val="99"/>
              </w:rPr>
              <w:t>Amortization</w:t>
            </w:r>
          </w:p>
        </w:tc>
        <w:tc>
          <w:tcPr>
            <w:tcW w:w="0" w:type="dxa"/>
            <w:vAlign w:val="bottom"/>
          </w:tcPr>
          <w:p>
            <w:pPr>
              <w:spacing w:after="0"/>
              <w:rPr>
                <w:sz w:val="1"/>
                <w:szCs w:val="1"/>
                <w:color w:val="auto"/>
              </w:rPr>
            </w:pPr>
          </w:p>
        </w:tc>
      </w:tr>
      <w:tr>
        <w:trPr>
          <w:trHeight w:val="238"/>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0" w:type="dxa"/>
            <w:vAlign w:val="bottom"/>
          </w:tcPr>
          <w:p>
            <w:pPr>
              <w:spacing w:after="0"/>
              <w:rPr>
                <w:sz w:val="20"/>
                <w:szCs w:val="20"/>
                <w:color w:val="auto"/>
              </w:rPr>
            </w:pP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6"/>
              </w:rPr>
              <w:t>Period in Years</w:t>
            </w:r>
          </w:p>
        </w:tc>
        <w:tc>
          <w:tcPr>
            <w:tcW w:w="0" w:type="dxa"/>
            <w:vAlign w:val="bottom"/>
          </w:tcPr>
          <w:p>
            <w:pPr>
              <w:spacing w:after="0"/>
              <w:rPr>
                <w:sz w:val="1"/>
                <w:szCs w:val="1"/>
                <w:color w:val="auto"/>
              </w:rPr>
            </w:pPr>
          </w:p>
        </w:tc>
      </w:tr>
      <w:tr>
        <w:trPr>
          <w:trHeight w:val="205"/>
        </w:trPr>
        <w:tc>
          <w:tcPr>
            <w:tcW w:w="4840" w:type="dxa"/>
            <w:vAlign w:val="bottom"/>
            <w:tcBorders>
              <w:top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Intangible assets subject to amortization:</w:t>
            </w: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gridSpan w:val="2"/>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Acquired technology</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Brand portfolio</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60" w:type="dxa"/>
            <w:vAlign w:val="bottom"/>
            <w:tcBorders>
              <w:bottom w:val="single" w:sz="8" w:color="CCEEFF"/>
            </w:tcBorders>
            <w:gridSpan w:val="4"/>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Pre-Acquisition ZI brand portfolio</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not subject to amortization</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8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540" w:type="dxa"/>
            <w:vAlign w:val="bottom"/>
            <w:tcBorders>
              <w:bottom w:val="single" w:sz="8" w:color="CCEE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CCEEFF"/>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Weighted Average</w:t>
            </w: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4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Gross Carrying</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vMerge w:val="restart"/>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Net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2"/>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7"/>
              </w:rPr>
              <w:t>Amortization</w:t>
            </w:r>
          </w:p>
        </w:tc>
        <w:tc>
          <w:tcPr>
            <w:tcW w:w="0" w:type="dxa"/>
            <w:vAlign w:val="bottom"/>
          </w:tcPr>
          <w:p>
            <w:pPr>
              <w:spacing w:after="0"/>
              <w:rPr>
                <w:sz w:val="1"/>
                <w:szCs w:val="1"/>
                <w:color w:val="auto"/>
              </w:rPr>
            </w:pPr>
          </w:p>
        </w:tc>
      </w:tr>
      <w:tr>
        <w:trPr>
          <w:trHeight w:val="238"/>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0" w:type="dxa"/>
            <w:vAlign w:val="bottom"/>
          </w:tcPr>
          <w:p>
            <w:pPr>
              <w:spacing w:after="0"/>
              <w:rPr>
                <w:sz w:val="20"/>
                <w:szCs w:val="20"/>
                <w:color w:val="auto"/>
              </w:rPr>
            </w:pP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Period in Years</w:t>
            </w:r>
          </w:p>
        </w:tc>
        <w:tc>
          <w:tcPr>
            <w:tcW w:w="0" w:type="dxa"/>
            <w:vAlign w:val="bottom"/>
          </w:tcPr>
          <w:p>
            <w:pPr>
              <w:spacing w:after="0"/>
              <w:rPr>
                <w:sz w:val="1"/>
                <w:szCs w:val="1"/>
                <w:color w:val="auto"/>
              </w:rPr>
            </w:pPr>
          </w:p>
        </w:tc>
      </w:tr>
      <w:tr>
        <w:trPr>
          <w:trHeight w:val="205"/>
        </w:trPr>
        <w:tc>
          <w:tcPr>
            <w:tcW w:w="4840" w:type="dxa"/>
            <w:vAlign w:val="bottom"/>
            <w:tcBorders>
              <w:top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Intangible assets subject to amortization:</w:t>
            </w: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16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25"/>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Acquired technology</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6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5"/>
        </w:trPr>
        <w:tc>
          <w:tcPr>
            <w:tcW w:w="4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Brand portfolio</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9"/>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629.9</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Pre-Acquisition ZI brand portfolio</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not subject to amortization</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8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5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Amortization expense was $61.0 million, $70.2 million, and $55.6 million for the years ended December 31,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Goodwill and Acquired Intangible Assets (continued)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Future amortization expense for intangible assets as of December 31, 2023 is as follows:</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9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Estimated</w:t>
            </w:r>
          </w:p>
        </w:tc>
      </w:tr>
      <w:tr>
        <w:trPr>
          <w:trHeight w:val="212"/>
        </w:trPr>
        <w:tc>
          <w:tcPr>
            <w:tcW w:w="9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35"/>
        </w:trPr>
        <w:tc>
          <w:tcPr>
            <w:tcW w:w="9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Pr>
          <w:p>
            <w:pPr>
              <w:spacing w:after="0"/>
              <w:rPr>
                <w:sz w:val="20"/>
                <w:szCs w:val="20"/>
                <w:color w:val="auto"/>
              </w:rPr>
            </w:pPr>
          </w:p>
        </w:tc>
        <w:tc>
          <w:tcPr>
            <w:tcW w:w="146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Expense</w:t>
            </w:r>
          </w:p>
        </w:tc>
      </w:tr>
      <w:tr>
        <w:trPr>
          <w:trHeight w:val="24"/>
        </w:trPr>
        <w:tc>
          <w:tcPr>
            <w:tcW w:w="9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5"/>
        </w:trPr>
        <w:tc>
          <w:tcPr>
            <w:tcW w:w="95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For years ended December 31,</w:t>
            </w: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25"/>
        </w:trPr>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r>
      <w:tr>
        <w:trPr>
          <w:trHeight w:val="225"/>
        </w:trPr>
        <w:tc>
          <w:tcPr>
            <w:tcW w:w="9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r>
      <w:tr>
        <w:trPr>
          <w:trHeight w:val="225"/>
        </w:trPr>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25"/>
        </w:trPr>
        <w:tc>
          <w:tcPr>
            <w:tcW w:w="9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25"/>
        </w:trPr>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25"/>
        </w:trPr>
        <w:tc>
          <w:tcPr>
            <w:tcW w:w="9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r>
      <w:tr>
        <w:trPr>
          <w:trHeight w:val="218"/>
        </w:trPr>
        <w:tc>
          <w:tcPr>
            <w:tcW w:w="9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301.6</w:t>
            </w:r>
          </w:p>
        </w:tc>
      </w:tr>
      <w:tr>
        <w:trPr>
          <w:trHeight w:val="20"/>
        </w:trPr>
        <w:tc>
          <w:tcPr>
            <w:tcW w:w="9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summarizes changes to the Company’s goodwill for the years ended December 31, 2023 and 2022 (in millions). There were no changes to the carrying amount of goodwill for the year ended December 31, 2023.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58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1,575.1</w:t>
            </w:r>
          </w:p>
        </w:tc>
      </w:tr>
      <w:tr>
        <w:trPr>
          <w:trHeight w:val="225"/>
        </w:trPr>
        <w:tc>
          <w:tcPr>
            <w:tcW w:w="9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Adjustment from 2021 acquisitions</w:t>
            </w: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5"/>
        </w:trPr>
        <w:tc>
          <w:tcPr>
            <w:tcW w:w="9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 from 2022 acquisitions</w:t>
            </w:r>
          </w:p>
        </w:tc>
        <w:tc>
          <w:tcPr>
            <w:tcW w:w="5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r>
      <w:tr>
        <w:trPr>
          <w:trHeight w:val="218"/>
        </w:trPr>
        <w:tc>
          <w:tcPr>
            <w:tcW w:w="9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5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1,692.7</w:t>
            </w:r>
          </w:p>
        </w:tc>
      </w:tr>
      <w:tr>
        <w:trPr>
          <w:trHeight w:val="243"/>
        </w:trPr>
        <w:tc>
          <w:tcPr>
            <w:tcW w:w="9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58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1,692.7</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Based on the results of the Company’s impairment assessment, the Company did not recognize any impairment of goodwill during the years ended December 31, 2023, 2022, and 2021.</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Financing Arrangements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December 31, 2023 and 2022, the carrying values of the Company’s borrowings were as follows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tcBorders>
              <w:bottom w:val="single" w:sz="8" w:color="auto"/>
            </w:tcBorders>
          </w:tcPr>
          <w:p>
            <w:pPr>
              <w:spacing w:after="0"/>
              <w:rPr>
                <w:sz w:val="20"/>
                <w:szCs w:val="20"/>
                <w:color w:val="auto"/>
              </w:rPr>
            </w:pPr>
          </w:p>
        </w:tc>
      </w:tr>
      <w:tr>
        <w:trPr>
          <w:trHeight w:val="218"/>
        </w:trPr>
        <w:tc>
          <w:tcPr>
            <w:tcW w:w="234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Instrument</w:t>
            </w:r>
          </w:p>
        </w:tc>
        <w:tc>
          <w:tcPr>
            <w:tcW w:w="20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Date of Issuance</w:t>
            </w: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Maturity Date</w:t>
            </w: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Elected Interest Rate</w:t>
            </w:r>
          </w:p>
        </w:tc>
        <w:tc>
          <w:tcPr>
            <w:tcW w:w="320" w:type="dxa"/>
            <w:vAlign w:val="bottom"/>
          </w:tcPr>
          <w:p>
            <w:pPr>
              <w:spacing w:after="0"/>
              <w:rPr>
                <w:sz w:val="19"/>
                <w:szCs w:val="19"/>
                <w:color w:val="auto"/>
              </w:rPr>
            </w:pPr>
          </w:p>
        </w:tc>
        <w:tc>
          <w:tcPr>
            <w:tcW w:w="108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18"/>
        </w:trPr>
        <w:tc>
          <w:tcPr>
            <w:tcW w:w="2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Lien Term Loan</w:t>
            </w:r>
          </w:p>
        </w:tc>
        <w:tc>
          <w:tcPr>
            <w:tcW w:w="1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February 1, 2019</w:t>
            </w:r>
          </w:p>
        </w:tc>
        <w:tc>
          <w:tcPr>
            <w:tcW w:w="12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February 28, 2030</w:t>
            </w:r>
          </w:p>
        </w:tc>
        <w:tc>
          <w:tcPr>
            <w:tcW w:w="12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SOFR + 2.25%</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590.7</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595.5</w:t>
            </w:r>
          </w:p>
        </w:tc>
      </w:tr>
      <w:tr>
        <w:trPr>
          <w:trHeight w:val="225"/>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Lien Revolver</w:t>
            </w:r>
          </w:p>
        </w:tc>
        <w:tc>
          <w:tcPr>
            <w:tcW w:w="2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February 1, 2019</w:t>
            </w:r>
          </w:p>
        </w:tc>
        <w:tc>
          <w:tcPr>
            <w:tcW w:w="2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February 28, 2028</w:t>
            </w:r>
          </w:p>
        </w:tc>
        <w:tc>
          <w:tcPr>
            <w:tcW w:w="19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SOFR + 2.10%</w:t>
            </w:r>
          </w:p>
        </w:tc>
        <w:tc>
          <w:tcPr>
            <w:tcW w:w="3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2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February 2, 2021</w:t>
            </w:r>
          </w:p>
        </w:tc>
        <w:tc>
          <w:tcPr>
            <w:tcW w:w="2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February 1, 2029</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3.875%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641.7</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640.2</w:t>
            </w:r>
          </w:p>
        </w:tc>
      </w:tr>
      <w:tr>
        <w:trPr>
          <w:trHeight w:val="218"/>
        </w:trPr>
        <w:tc>
          <w:tcPr>
            <w:tcW w:w="2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1,232.4</w:t>
            </w:r>
          </w:p>
        </w:tc>
        <w:tc>
          <w:tcPr>
            <w:tcW w:w="120" w:type="dxa"/>
            <w:vAlign w:val="bottom"/>
          </w:tcPr>
          <w:p>
            <w:pPr>
              <w:spacing w:after="0"/>
              <w:rPr>
                <w:sz w:val="19"/>
                <w:szCs w:val="19"/>
                <w:color w:val="auto"/>
              </w:rPr>
            </w:pPr>
          </w:p>
        </w:tc>
        <w:tc>
          <w:tcPr>
            <w:tcW w:w="4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1,235.7</w:t>
            </w:r>
          </w:p>
        </w:tc>
      </w:tr>
      <w:tr>
        <w:trPr>
          <w:trHeight w:val="225"/>
        </w:trPr>
        <w:tc>
          <w:tcPr>
            <w:tcW w:w="2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current portion</w:t>
            </w:r>
          </w:p>
        </w:tc>
        <w:tc>
          <w:tcPr>
            <w:tcW w:w="1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43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 Long-term debt, net of current portion</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1,226.4</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1,235.7</w:t>
            </w:r>
          </w:p>
        </w:tc>
      </w:tr>
      <w:tr>
        <w:trPr>
          <w:trHeight w:val="20"/>
        </w:trPr>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Financing Arrangements (continued)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Lien Credit Agreement</w:t>
      </w:r>
    </w:p>
    <w:p>
      <w:pPr>
        <w:spacing w:after="0" w:line="168"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Performance of obligations under the First Lien Credit Agreement is secured by substantially all the productive assets of the Company. The First Lien Credit Agreement contains a number of covenants that restrict, subject to certain exceptions, the Company’s ability to, among other things:</w:t>
      </w:r>
    </w:p>
    <w:p>
      <w:pPr>
        <w:spacing w:after="0" w:line="110" w:lineRule="exact"/>
        <w:rPr>
          <w:sz w:val="20"/>
          <w:szCs w:val="20"/>
          <w:color w:val="auto"/>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fundamental changes, including mergers or consolidations;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transfer assets;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distributions on our subsidiaries’ capital stock;</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acquisitions, investments, loans or advances;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affiliates;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negative pledge clauses and clauses restricting subsidiary distributions.</w:t>
      </w:r>
    </w:p>
    <w:p>
      <w:pPr>
        <w:spacing w:after="0" w:line="16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If the Company draws more than $87.5 million of the revolving credit loan, the revolving credit loan is subject to a springing financial covenant pursuant to which the consolidated first lien net leverage ratio must not exceed 5.00 to 1.00. The credit agreements also contain certain customary affirmative covenants and events of default, including a change of control. If an event of default occurs, the lenders under the credit agreements will be entitled to take various actions, including the acceleration of amounts due under the credit agreements and all actions permitted to be taken by a secured creditor.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Lien Term Loan</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December 2023, we entered into an amendment to our existing First Lien Credit Agreement (the "Sixth Amendment"), pursuant to which the Company completed a repricing of its First Lien Term Loan Facility, which decreased the applicable rate for Base Rate loans from 1.75% to 1.25% and SOFR based loans from 2.85% to 2.25%, which included the removal of the 0.1% credit spread adjustment.</w:t>
      </w:r>
    </w:p>
    <w:p>
      <w:pPr>
        <w:spacing w:after="0" w:line="125"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In February 2023, we entered into an amendment to our existing First Lien Credit Agreement (the “Fifth Amendment”), pursuant to which the Company completed a repricing of its First Lien Term Loan Facility, which provided for an extension of the maturity date to February 28, 2030. The first lien term debt had a variable interest rate whereby the Company can elect to use a Base Rate or SOFR plus an applicable rate. Pursuant to the Fifth Amendment, the applicable rate decreased for Base Rate loans from 2.00% to 1.75% and from 3.10% to 2.85% for SOFR based loans. Under the terms of the Fifth Amendment, the Company is obligated to make principal payments each quarter in the amount of 0.25% of the aggregate initial outstanding amount.</w:t>
      </w:r>
    </w:p>
    <w:p>
      <w:pPr>
        <w:spacing w:after="0" w:line="113"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 xml:space="preserve">The Company recognized an immaterial loss in connection with the repricing in the fiscal year ending December 31, 2023 within </w:t>
      </w:r>
      <w:r>
        <w:rPr>
          <w:rFonts w:ascii="Times New Roman" w:cs="Times New Roman" w:eastAsia="Times New Roman" w:hAnsi="Times New Roman"/>
          <w:sz w:val="18"/>
          <w:szCs w:val="18"/>
          <w:i w:val="1"/>
          <w:iCs w:val="1"/>
          <w:color w:val="auto"/>
        </w:rPr>
        <w:t>Loss on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modification and extinguishment </w:t>
      </w:r>
      <w:r>
        <w:rPr>
          <w:rFonts w:ascii="Times New Roman" w:cs="Times New Roman" w:eastAsia="Times New Roman" w:hAnsi="Times New Roman"/>
          <w:sz w:val="18"/>
          <w:szCs w:val="18"/>
          <w:color w:val="auto"/>
        </w:rPr>
        <w:t>on the Consolidated Statements of Operations.</w:t>
      </w:r>
    </w:p>
    <w:p>
      <w:pPr>
        <w:spacing w:after="0" w:line="10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December 30, 2022, the Company amended the First Lien Credit Agreement by converting the interest rate for both the first lien term loan and the first lien revolving credit facility from LIBOR plus the applicable spread to SOFR plus a credit spread adjustment of 0.1% and the applicable spread. No other terms, including the amount of borrowing or the maturity date, were changed as a result of this amendment.</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effective interest rate on the first lien debt was 7.83% and 7.38% as of December 31,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Financing Arrangements (continued)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Lien Revolving Credit Facility</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Pursuant to the Fifth Amendment, the Company also extended the maturity date of $213.0 million of our $250.0 million existing commitments of the first lien revolving credit facility to February 28, 2028. Pursuant to the Sixth Amendment, $26.0 million of the non-extended commitments were extended to February 28, 2028. With respect to the $11.0 million commitments which were not extended as of December 31, 2023, the maturity date is November 2, 2025. Debt issuance costs were incurred in connection with the repricing of the revolving credit facility. These debt issuance costs are amortized into interest expense over the expected life of the arrangement. Unamortized debt issuance costs included in </w:t>
      </w:r>
      <w:r>
        <w:rPr>
          <w:rFonts w:ascii="Times New Roman" w:cs="Times New Roman" w:eastAsia="Times New Roman" w:hAnsi="Times New Roman"/>
          <w:sz w:val="18"/>
          <w:szCs w:val="18"/>
          <w:i w:val="1"/>
          <w:iCs w:val="1"/>
          <w:color w:val="auto"/>
        </w:rPr>
        <w:t>Deferred costs and other assets, net of current portion</w:t>
      </w:r>
      <w:r>
        <w:rPr>
          <w:rFonts w:ascii="Times New Roman" w:cs="Times New Roman" w:eastAsia="Times New Roman" w:hAnsi="Times New Roman"/>
          <w:sz w:val="18"/>
          <w:szCs w:val="18"/>
          <w:color w:val="auto"/>
        </w:rPr>
        <w:t xml:space="preserve"> on our Consolidated Balance Sheets were immaterial as of December 31, 2023 and 2022.</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first lien revolving debt has a variable interest rate whereby the Company can elect to use a Base Rate or SOFR plus an applicable rate. The applicable margin is 1.00% to 1.25% for Base Rate loans. The applicable margin for SOFR loans is 2.10% to 2.35%, which includes the credit spread adjustment of 0.1%, depending on the Company’s Consolidated First Lien Net Leverage Ratio.</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expected future principal payments for all borrowings as of December 31, 2023 is as follows:</w:t>
            </w:r>
          </w:p>
        </w:tc>
        <w:tc>
          <w:tcPr>
            <w:tcW w:w="400" w:type="dxa"/>
            <w:vAlign w:val="bottom"/>
          </w:tcPr>
          <w:p>
            <w:pPr>
              <w:spacing w:after="0"/>
              <w:rPr>
                <w:sz w:val="20"/>
                <w:szCs w:val="20"/>
                <w:color w:val="auto"/>
              </w:rPr>
            </w:pPr>
          </w:p>
        </w:tc>
        <w:tc>
          <w:tcPr>
            <w:tcW w:w="2660" w:type="dxa"/>
            <w:vAlign w:val="bottom"/>
          </w:tcPr>
          <w:p>
            <w:pPr>
              <w:spacing w:after="0"/>
              <w:rPr>
                <w:sz w:val="20"/>
                <w:szCs w:val="20"/>
                <w:color w:val="auto"/>
              </w:rPr>
            </w:pPr>
          </w:p>
        </w:tc>
      </w:tr>
      <w:tr>
        <w:trPr>
          <w:trHeight w:val="41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Contractual Maturity</w:t>
            </w:r>
          </w:p>
        </w:tc>
      </w:tr>
      <w:tr>
        <w:trPr>
          <w:trHeight w:val="21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shd w:val="clear" w:color="auto" w:fill="CCEEFF"/>
          </w:tcPr>
          <w:p>
            <w:pPr>
              <w:spacing w:after="0"/>
              <w:rPr>
                <w:sz w:val="19"/>
                <w:szCs w:val="19"/>
                <w:color w:val="auto"/>
              </w:rPr>
            </w:pP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0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00" w:type="dxa"/>
            <w:vAlign w:val="bottom"/>
            <w:shd w:val="clear" w:color="auto" w:fill="CCEEFF"/>
          </w:tcPr>
          <w:p>
            <w:pPr>
              <w:spacing w:after="0"/>
              <w:rPr>
                <w:sz w:val="19"/>
                <w:szCs w:val="19"/>
                <w:color w:val="auto"/>
              </w:rPr>
            </w:pP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1,214.0</w:t>
            </w:r>
          </w:p>
        </w:tc>
      </w:tr>
      <w:tr>
        <w:trPr>
          <w:trHeight w:val="218"/>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principal payments</w:t>
            </w: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1,244.0</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40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44"/>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debt</w:t>
            </w: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2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6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Derivatives and Hedging Activities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Hedges</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are exposed to risks from changes in interest rates related to the first lien term loan (See Note 8 - Financing Arrangements). The Company uses derivative financial instruments, specifically, interest rate swap contracts, in order to manage its exposure to interest rate movements. Interest rate swaps designated as cash flow hedges involve the receipt of variable amounts from a counterparty in exchange for the Company making fixed-rate payments over the life of the agreements without exchange of the underlying notional amount. Our primary objective in holding derivatives is to reduce the volatility of cash flows associated with changes in interest rates. The Company does not enter into derivative transactions for speculative or trading purposes.</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the second quarter of 2022, two interest rate swap contracts in the notional amount of $350.0 million matured. Interest rate swaps in the notional amount of $500.0 million became effective in April 2022.</w:t>
      </w:r>
    </w:p>
    <w:p>
      <w:pPr>
        <w:spacing w:after="0" w:line="11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In the third quarter of 2022, the Company sold $400.0 million of the notional amount of the interest rate cap contract which was not designated as an accounting hedge. We recognized a gain of $3.0 million, partially offset by the derecognition of $2.5 million of derivative assets, resulting from this sale within </w:t>
      </w: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xml:space="preserve"> on our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Derivatives and Hedging Activities (continued)</w:t>
      </w:r>
    </w:p>
    <w:p>
      <w:pPr>
        <w:spacing w:after="0" w:line="200" w:lineRule="exact"/>
        <w:rPr>
          <w:sz w:val="20"/>
          <w:szCs w:val="20"/>
          <w:color w:val="auto"/>
        </w:rPr>
      </w:pPr>
    </w:p>
    <w:p>
      <w:pPr>
        <w:spacing w:after="0" w:line="29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the fourth quarter of 2022, the Company transitioned two interest rate swap contracts and one interest cap contract from LIBOR to SOFR by terminating the original transactions and simultaneously entering into new derivatives. The terms of the new derivatives were unchanged except for the index. The Company elected optional expedients to allow for this transition without any interruptions to the hedge accounting.</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December 31, 2023, the Company had the following outstanding interest rate derivatives that were designated as cash flow hedges of interest rate risk ($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Interest Rate Derivatives</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20" w:type="dxa"/>
            <w:vAlign w:val="bottom"/>
          </w:tcPr>
          <w:p>
            <w:pPr>
              <w:spacing w:after="0"/>
              <w:rPr>
                <w:sz w:val="17"/>
                <w:szCs w:val="17"/>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Notional Aggregate</w:t>
            </w:r>
          </w:p>
        </w:tc>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Interest Cap / Swap</w:t>
            </w:r>
          </w:p>
        </w:tc>
        <w:tc>
          <w:tcPr>
            <w:tcW w:w="1780" w:type="dxa"/>
            <w:vAlign w:val="bottom"/>
            <w:gridSpan w:val="2"/>
            <w:vMerge w:val="restart"/>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0" w:type="dxa"/>
            <w:vAlign w:val="bottom"/>
          </w:tcPr>
          <w:p>
            <w:pPr>
              <w:spacing w:after="0"/>
              <w:rPr>
                <w:sz w:val="1"/>
                <w:szCs w:val="1"/>
                <w:color w:val="auto"/>
              </w:rPr>
            </w:pPr>
          </w:p>
        </w:tc>
      </w:tr>
      <w:tr>
        <w:trPr>
          <w:trHeight w:val="238"/>
        </w:trPr>
        <w:tc>
          <w:tcPr>
            <w:tcW w:w="37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Instruments</w:t>
            </w:r>
          </w:p>
        </w:tc>
        <w:tc>
          <w:tcPr>
            <w:tcW w:w="120" w:type="dxa"/>
            <w:vAlign w:val="bottom"/>
          </w:tcPr>
          <w:p>
            <w:pPr>
              <w:spacing w:after="0"/>
              <w:rPr>
                <w:sz w:val="20"/>
                <w:szCs w:val="20"/>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Principal Amount</w:t>
            </w:r>
          </w:p>
        </w:tc>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7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3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cap contract</w:t>
            </w:r>
          </w:p>
        </w:tc>
        <w:tc>
          <w:tcPr>
            <w:tcW w:w="8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One</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3.500 %</w:t>
            </w:r>
          </w:p>
        </w:tc>
        <w:tc>
          <w:tcPr>
            <w:tcW w:w="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April 30,</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31"/>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Two</w:t>
            </w: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0.370 %</w:t>
            </w:r>
          </w:p>
        </w:tc>
        <w:tc>
          <w:tcPr>
            <w:tcW w:w="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30,</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bl>
    <w:p>
      <w:pPr>
        <w:spacing w:after="0" w:line="2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The derivative interest rate swaps are designated and qualify as cash flow hedges. Consequently, the change in the estimated fair value of the effective portion of the derivative is recognized in </w:t>
      </w:r>
      <w:r>
        <w:rPr>
          <w:rFonts w:ascii="Times New Roman" w:cs="Times New Roman" w:eastAsia="Times New Roman" w:hAnsi="Times New Roman"/>
          <w:sz w:val="18"/>
          <w:szCs w:val="18"/>
          <w:i w:val="1"/>
          <w:iCs w:val="1"/>
          <w:color w:val="auto"/>
        </w:rPr>
        <w:t>Accumulated other comprehensive income</w:t>
      </w:r>
      <w:r>
        <w:rPr>
          <w:rFonts w:ascii="Times New Roman" w:cs="Times New Roman" w:eastAsia="Times New Roman" w:hAnsi="Times New Roman"/>
          <w:sz w:val="18"/>
          <w:szCs w:val="18"/>
          <w:color w:val="auto"/>
        </w:rPr>
        <w:t xml:space="preserve"> on our Consolidated Balance Sheets and reclassified to </w:t>
      </w: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when the underlying transaction has an impact on earnings. The Company expects to recognize approximately $21.6 million of net pre-tax gains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accumulated other comprehensive income as a reduction of interest expense in the next twelve months associated with its interest rate swap.</w:t>
      </w:r>
    </w:p>
    <w:p>
      <w:pPr>
        <w:spacing w:after="0" w:line="125"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 xml:space="preserve">Refer to the Company’s Consolidated Statements of Comprehensive Income (Loss) for amounts reclassified from </w:t>
      </w:r>
      <w:r>
        <w:rPr>
          <w:rFonts w:ascii="Times New Roman" w:cs="Times New Roman" w:eastAsia="Times New Roman" w:hAnsi="Times New Roman"/>
          <w:sz w:val="18"/>
          <w:szCs w:val="18"/>
          <w:i w:val="1"/>
          <w:iCs w:val="1"/>
          <w:color w:val="auto"/>
        </w:rPr>
        <w:t>Accumulated other comprehensive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income </w:t>
      </w:r>
      <w:r>
        <w:rPr>
          <w:rFonts w:ascii="Times New Roman" w:cs="Times New Roman" w:eastAsia="Times New Roman" w:hAnsi="Times New Roman"/>
          <w:sz w:val="18"/>
          <w:szCs w:val="18"/>
          <w:color w:val="auto"/>
        </w:rPr>
        <w:t>into earnings related to the Company’s derivative instruments designated as cash flow hedging instruments for each of the reporting periods.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Hedges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are exposed to changes in currency exchange rates, primarily relating to changes in the Israeli shekel. Consequently, from time to time, we may use foreign exchange forward contracts or other financial instruments to manage our exposure to foreign exchange rate movements. Our primary objective in holding derivatives is to reduce the volatility of cash flows associated with changes in foreign exchange rates. We do not enter into derivative transactions for speculative or trading purposes.</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year ended December 31, 2023, the Company actively participated in foreign currency forward contracts with a cumulative notional amount of $26.2 million, all of which were settled in 2023. These transactions resulted in an immaterial loss which offset lower operating expenses due to favorable changes in the foreign currency.</w:t>
      </w:r>
    </w:p>
    <w:p>
      <w:pPr>
        <w:spacing w:after="0" w:line="12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The derivative foreign currency forward contracts are designated and qualify as cash flow hedges. Consequently, the change in the estimated fair value of the effective portion of the derivative is recognized in </w:t>
      </w:r>
      <w:r>
        <w:rPr>
          <w:rFonts w:ascii="Times New Roman" w:cs="Times New Roman" w:eastAsia="Times New Roman" w:hAnsi="Times New Roman"/>
          <w:sz w:val="18"/>
          <w:szCs w:val="18"/>
          <w:i w:val="1"/>
          <w:iCs w:val="1"/>
          <w:color w:val="auto"/>
        </w:rPr>
        <w:t>Accumulated other comprehensive income</w:t>
      </w:r>
      <w:r>
        <w:rPr>
          <w:rFonts w:ascii="Times New Roman" w:cs="Times New Roman" w:eastAsia="Times New Roman" w:hAnsi="Times New Roman"/>
          <w:sz w:val="18"/>
          <w:szCs w:val="18"/>
          <w:color w:val="auto"/>
        </w:rPr>
        <w:t xml:space="preserve"> on our Consolidated Balance Sheets and reclassified to revenue or operating expenses depending on the nature of the underlying transaction, when the underlying transaction has an impact on earnings. Impacts on </w:t>
      </w: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are presented as operating cash flows on our Consolidated Statements of Cash Flows in the period contracts are settled.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does not expect to recognize a material gain or loss from our existing foreign currency forward contracts in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Derivatives and Hedging Activities (continued)</w:t>
      </w:r>
    </w:p>
    <w:p>
      <w:pPr>
        <w:spacing w:after="0" w:line="200" w:lineRule="exact"/>
        <w:rPr>
          <w:sz w:val="20"/>
          <w:szCs w:val="20"/>
          <w:color w:val="auto"/>
        </w:rPr>
      </w:pPr>
    </w:p>
    <w:p>
      <w:pPr>
        <w:spacing w:after="0" w:line="297"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fair value and presentation on our Consolidated Balance Sheets for derivatives as of December 31, 2023 and 2022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 of Derivative Instruments</w:t>
            </w:r>
          </w:p>
        </w:tc>
        <w:tc>
          <w:tcPr>
            <w:tcW w:w="10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r>
      <w:tr>
        <w:trPr>
          <w:trHeight w:val="218"/>
        </w:trPr>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80" w:type="dxa"/>
            <w:vAlign w:val="bottom"/>
            <w:gridSpan w:val="5"/>
          </w:tcPr>
          <w:p>
            <w:pPr>
              <w:ind w:left="8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Pr>
          <w:p>
            <w:pPr>
              <w:spacing w:after="0"/>
              <w:rPr>
                <w:sz w:val="19"/>
                <w:szCs w:val="19"/>
                <w:color w:val="auto"/>
              </w:rPr>
            </w:pPr>
          </w:p>
        </w:tc>
        <w:tc>
          <w:tcPr>
            <w:tcW w:w="2660" w:type="dxa"/>
            <w:vAlign w:val="bottom"/>
            <w:gridSpan w:val="3"/>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620" w:type="dxa"/>
            <w:vAlign w:val="bottom"/>
          </w:tcPr>
          <w:p>
            <w:pPr>
              <w:spacing w:after="0"/>
              <w:rPr>
                <w:sz w:val="19"/>
                <w:szCs w:val="19"/>
                <w:color w:val="auto"/>
              </w:rPr>
            </w:pPr>
          </w:p>
        </w:tc>
      </w:tr>
      <w:tr>
        <w:trPr>
          <w:trHeight w:val="218"/>
        </w:trPr>
        <w:tc>
          <w:tcPr>
            <w:tcW w:w="4280" w:type="dxa"/>
            <w:vAlign w:val="bottom"/>
            <w:gridSpan w:val="2"/>
          </w:tcPr>
          <w:p>
            <w:pPr>
              <w:ind w:left="1660"/>
              <w:spacing w:after="0"/>
              <w:rPr>
                <w:sz w:val="20"/>
                <w:szCs w:val="20"/>
                <w:color w:val="auto"/>
              </w:rPr>
            </w:pPr>
            <w:r>
              <w:rPr>
                <w:rFonts w:ascii="Times New Roman" w:cs="Times New Roman" w:eastAsia="Times New Roman" w:hAnsi="Times New Roman"/>
                <w:sz w:val="18"/>
                <w:szCs w:val="18"/>
                <w:b w:val="1"/>
                <w:bCs w:val="1"/>
                <w:color w:val="auto"/>
              </w:rPr>
              <w:t>Instrument</w:t>
            </w:r>
          </w:p>
        </w:tc>
        <w:tc>
          <w:tcPr>
            <w:tcW w:w="16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16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Derivative Liabilities</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16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Derivative Liabilities</w:t>
            </w:r>
          </w:p>
        </w:tc>
      </w:tr>
      <w:tr>
        <w:trPr>
          <w:trHeight w:val="219"/>
        </w:trPr>
        <w:tc>
          <w:tcPr>
            <w:tcW w:w="4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r>
      <w:tr>
        <w:trPr>
          <w:trHeight w:val="225"/>
        </w:trPr>
        <w:tc>
          <w:tcPr>
            <w:tcW w:w="4280" w:type="dxa"/>
            <w:vAlign w:val="bottom"/>
            <w:gridSpan w:val="2"/>
          </w:tcPr>
          <w:p>
            <w:pPr>
              <w:ind w:left="240"/>
              <w:spacing w:after="0" w:line="225" w:lineRule="exact"/>
              <w:rPr>
                <w:sz w:val="20"/>
                <w:szCs w:val="20"/>
                <w:color w:val="auto"/>
              </w:rPr>
            </w:pPr>
            <w:r>
              <w:rPr>
                <w:rFonts w:ascii="Times New Roman" w:cs="Times New Roman" w:eastAsia="Times New Roman" w:hAnsi="Times New Roman"/>
                <w:sz w:val="18"/>
                <w:szCs w:val="18"/>
                <w:color w:val="auto"/>
              </w:rPr>
              <w:t>Interest rate cap contract</w:t>
            </w:r>
            <w:r>
              <w:rPr>
                <w:rFonts w:ascii="Times New Roman" w:cs="Times New Roman" w:eastAsia="Times New Roman" w:hAnsi="Times New Roman"/>
                <w:sz w:val="22"/>
                <w:szCs w:val="22"/>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9"/>
                <w:szCs w:val="19"/>
                <w:color w:val="auto"/>
              </w:rPr>
            </w:pP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040" w:type="dxa"/>
            <w:vAlign w:val="bottom"/>
          </w:tcPr>
          <w:p>
            <w:pPr>
              <w:jc w:val="right"/>
              <w:ind w:right="85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280" w:type="dxa"/>
            <w:vAlign w:val="bottom"/>
            <w:gridSpan w:val="2"/>
            <w:shd w:val="clear" w:color="auto" w:fill="CCEEFF"/>
          </w:tcPr>
          <w:p>
            <w:pPr>
              <w:ind w:left="240"/>
              <w:spacing w:after="0" w:line="225" w:lineRule="exact"/>
              <w:rPr>
                <w:sz w:val="20"/>
                <w:szCs w:val="20"/>
                <w:color w:val="auto"/>
              </w:rPr>
            </w:pPr>
            <w:r>
              <w:rPr>
                <w:rFonts w:ascii="Times New Roman" w:cs="Times New Roman" w:eastAsia="Times New Roman" w:hAnsi="Times New Roman"/>
                <w:sz w:val="18"/>
                <w:szCs w:val="18"/>
                <w:color w:val="auto"/>
              </w:rPr>
              <w:t>Interest rate cap contract</w:t>
            </w:r>
            <w:r>
              <w:rPr>
                <w:rFonts w:ascii="Times New Roman" w:cs="Times New Roman" w:eastAsia="Times New Roman" w:hAnsi="Times New Roman"/>
                <w:sz w:val="22"/>
                <w:szCs w:val="22"/>
                <w:color w:val="auto"/>
                <w:vertAlign w:val="superscript"/>
              </w:rPr>
              <w:t>(2)</w:t>
            </w: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280" w:type="dxa"/>
            <w:vAlign w:val="bottom"/>
            <w:gridSpan w:val="2"/>
          </w:tcPr>
          <w:p>
            <w:pPr>
              <w:ind w:left="240"/>
              <w:spacing w:after="0" w:line="225" w:lineRule="exact"/>
              <w:rPr>
                <w:sz w:val="20"/>
                <w:szCs w:val="20"/>
                <w:color w:val="auto"/>
              </w:rPr>
            </w:pPr>
            <w:r>
              <w:rPr>
                <w:rFonts w:ascii="Times New Roman" w:cs="Times New Roman" w:eastAsia="Times New Roman" w:hAnsi="Times New Roman"/>
                <w:sz w:val="18"/>
                <w:szCs w:val="18"/>
                <w:color w:val="auto"/>
              </w:rPr>
              <w:t>Interest rate swap contracts</w:t>
            </w:r>
            <w:r>
              <w:rPr>
                <w:rFonts w:ascii="Times New Roman" w:cs="Times New Roman" w:eastAsia="Times New Roman" w:hAnsi="Times New Roman"/>
                <w:sz w:val="22"/>
                <w:szCs w:val="22"/>
                <w:color w:val="auto"/>
                <w:vertAlign w:val="superscript"/>
              </w:rPr>
              <w:t>(1)</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280" w:type="dxa"/>
            <w:vAlign w:val="bottom"/>
            <w:gridSpan w:val="2"/>
            <w:shd w:val="clear" w:color="auto" w:fill="CCEEFF"/>
          </w:tcPr>
          <w:p>
            <w:pPr>
              <w:ind w:left="240"/>
              <w:spacing w:after="0" w:line="225" w:lineRule="exact"/>
              <w:rPr>
                <w:sz w:val="20"/>
                <w:szCs w:val="20"/>
                <w:color w:val="auto"/>
              </w:rPr>
            </w:pPr>
            <w:r>
              <w:rPr>
                <w:rFonts w:ascii="Times New Roman" w:cs="Times New Roman" w:eastAsia="Times New Roman" w:hAnsi="Times New Roman"/>
                <w:sz w:val="18"/>
                <w:szCs w:val="18"/>
                <w:color w:val="auto"/>
              </w:rPr>
              <w:t>Interest rate swap contracts</w:t>
            </w:r>
            <w:r>
              <w:rPr>
                <w:rFonts w:ascii="Times New Roman" w:cs="Times New Roman" w:eastAsia="Times New Roman" w:hAnsi="Times New Roman"/>
                <w:sz w:val="22"/>
                <w:szCs w:val="22"/>
                <w:color w:val="auto"/>
                <w:vertAlign w:val="superscript"/>
              </w:rPr>
              <w:t>(2)</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designated derivative fair value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w:t>
      </w:r>
    </w:p>
    <w:p>
      <w:pPr>
        <w:spacing w:after="0" w:line="14" w:lineRule="exact"/>
        <w:rPr>
          <w:sz w:val="20"/>
          <w:szCs w:val="20"/>
          <w:color w:val="auto"/>
        </w:rPr>
      </w:pPr>
    </w:p>
    <w:p>
      <w:pPr>
        <w:ind w:left="320" w:hanging="314"/>
        <w:spacing w:after="0"/>
        <w:tabs>
          <w:tab w:leader="none" w:pos="3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Included in </w:t>
      </w:r>
      <w:r>
        <w:rPr>
          <w:rFonts w:ascii="Times New Roman" w:cs="Times New Roman" w:eastAsia="Times New Roman" w:hAnsi="Times New Roman"/>
          <w:sz w:val="14"/>
          <w:szCs w:val="14"/>
          <w:i w:val="1"/>
          <w:iCs w:val="1"/>
          <w:color w:val="auto"/>
        </w:rPr>
        <w:t>Prepaid expenses and other current assets</w:t>
      </w:r>
      <w:r>
        <w:rPr>
          <w:rFonts w:ascii="Times New Roman" w:cs="Times New Roman" w:eastAsia="Times New Roman" w:hAnsi="Times New Roman"/>
          <w:sz w:val="14"/>
          <w:szCs w:val="14"/>
          <w:color w:val="auto"/>
        </w:rPr>
        <w:t xml:space="preserve"> on our Consolidated Balance Sheets.</w:t>
      </w:r>
    </w:p>
    <w:p>
      <w:pPr>
        <w:spacing w:after="0" w:line="6" w:lineRule="exact"/>
        <w:rPr>
          <w:rFonts w:ascii="Times New Roman" w:cs="Times New Roman" w:eastAsia="Times New Roman" w:hAnsi="Times New Roman"/>
          <w:sz w:val="14"/>
          <w:szCs w:val="14"/>
          <w:color w:val="auto"/>
        </w:rPr>
      </w:pPr>
    </w:p>
    <w:p>
      <w:pPr>
        <w:ind w:left="320" w:hanging="314"/>
        <w:spacing w:after="0"/>
        <w:tabs>
          <w:tab w:leader="none" w:pos="3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Included in </w:t>
      </w:r>
      <w:r>
        <w:rPr>
          <w:rFonts w:ascii="Times New Roman" w:cs="Times New Roman" w:eastAsia="Times New Roman" w:hAnsi="Times New Roman"/>
          <w:sz w:val="14"/>
          <w:szCs w:val="14"/>
          <w:i w:val="1"/>
          <w:iCs w:val="1"/>
          <w:color w:val="auto"/>
        </w:rPr>
        <w:t>Deferred costs and other assets, net of current portion</w:t>
      </w:r>
      <w:r>
        <w:rPr>
          <w:rFonts w:ascii="Times New Roman" w:cs="Times New Roman" w:eastAsia="Times New Roman" w:hAnsi="Times New Roman"/>
          <w:sz w:val="14"/>
          <w:szCs w:val="14"/>
          <w:color w:val="auto"/>
        </w:rPr>
        <w:t xml:space="preserve"> on our Consolidated Balance Sheets.</w:t>
      </w:r>
    </w:p>
    <w:p>
      <w:pPr>
        <w:spacing w:after="0" w:line="240"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 xml:space="preserve">Refer to the Company’s Consolidated Statements of Comprehensive Income (Loss) for amounts reclassified from </w:t>
      </w:r>
      <w:r>
        <w:rPr>
          <w:rFonts w:ascii="Times New Roman" w:cs="Times New Roman" w:eastAsia="Times New Roman" w:hAnsi="Times New Roman"/>
          <w:sz w:val="18"/>
          <w:szCs w:val="18"/>
          <w:i w:val="1"/>
          <w:iCs w:val="1"/>
          <w:color w:val="auto"/>
        </w:rPr>
        <w:t>Accumulated other comprehensive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income </w:t>
      </w:r>
      <w:r>
        <w:rPr>
          <w:rFonts w:ascii="Times New Roman" w:cs="Times New Roman" w:eastAsia="Times New Roman" w:hAnsi="Times New Roman"/>
          <w:sz w:val="18"/>
          <w:szCs w:val="18"/>
          <w:color w:val="auto"/>
        </w:rPr>
        <w:t>into earnings related to the Company’s Derivative Instruments designated as cash flow hedging instruments for each of the reporting periods.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Fair Value</w:t>
      </w:r>
    </w:p>
    <w:p>
      <w:pPr>
        <w:spacing w:after="0" w:line="16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Company's financial instruments consist principally of cash and cash equivalents, short-term investments, prepaid expenses and other current assets, accounts receivable, and accounts payable, accrued expenses, and long-term debt. The carrying value of cash and cash equivalents, prepaid expenses and other current assets, accounts receivable, accounts payable, and accrued expenses approximate fair value, primarily due to short maturities. We classify our money market mutual funds as Level 1 within the fair value hierarchy. We classify our corporate debt securities, securities guaranteed by the U.S. government and other governmental securities as Level 2 within the fair value hierarchy. The fair value of our first term lien debt and Senior Notes as of December 31, 2023 was $595.5 million and $588.3 million, respectively, based on observable market prices in less active markets and categorized as Level 2 within the fair value measurement framework.</w:t>
      </w:r>
    </w:p>
    <w:p>
      <w:pPr>
        <w:spacing w:after="0" w:line="13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The Company has elected to use the income approach to value the interest rate derivatives using observable Level 2 market expectations at measurement date and standard valuation techniques to convert future amounts to a single present amount (discounted) reflecting current market expectations about those future amounts. Level 2 inputs for the derivative valuations are limited to quoted prices for similar assets or liabilities in active markets (specifically futures contracts) and inputs other than quoted prices that are observable for the asset or liability (specifically SOFR cash and swap rates, implied volatility for options, caps and floors, basis swap adjustments, overnight indexed swap (“OIS”) short term rates and OIS swap rates, when applicable, and credit risk at commonly quoted intervals). Mid-market pricing is used as a practical expedient for most fair value measurements. Key inputs, including the cash rates for very short-term, futures rates and swap rates beyond the derivative maturity, are interpolated to provide spot rates at resets specified by each derivative (reset rates are then further adjusted by the basis swap, if necessary). Derivatives are discounted to present value at the measurement date at SOFR rates unless they are fully collateralized. Fully collateralized derivatives are discounted to present value at the measurement date at OIS rates (short-term OIS rates and long-term OIS swap rates).</w:t>
      </w:r>
    </w:p>
    <w:p>
      <w:pPr>
        <w:spacing w:after="0" w:line="140"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Inputs are collected from SuperDerivatives, an independent third-party derivative pricing data provider, as of the close on the last day of the period. The valuation of the interest rate swaps also take into consideration estimates of our own, as well as our counterparty’s, risk of non-performance under the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Fair Value (continued)</w:t>
      </w:r>
    </w:p>
    <w:p>
      <w:pPr>
        <w:spacing w:after="0" w:line="200" w:lineRule="exact"/>
        <w:rPr>
          <w:sz w:val="20"/>
          <w:szCs w:val="20"/>
          <w:color w:val="auto"/>
        </w:rPr>
      </w:pPr>
    </w:p>
    <w:p>
      <w:pPr>
        <w:spacing w:after="0" w:line="29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estimate the value of other long-lived assets that are recorded at fair value on a non-recurring basis based on a market valuation approach. We use prices and other relevant information generated primarily by recent market transactions involving similar or comparable assets, as well as our historical experience in divestitures, acquisitions and real estate transactions. Additionally, we may use a cost valuation approach to value long-lived assets when a market valuation approach is unavailable. Under this approach, we determine the cost to replace the service capacity of an asset, adjusted for physical and economic obsolescence. When available, we use valuation inputs from independent valuation experts, such as real estate appraisers and brokers, to corroborate our estimates of fair value. Real estate appraisers’ and brokers’ valuations are typically developed using one or more valuation techniques including market, income, and replacement cost approaches. Because these valuations contain unobservable inputs, we classify the measurement of fair value of long-lived assets as Level 3.</w:t>
      </w:r>
    </w:p>
    <w:p>
      <w:pPr>
        <w:spacing w:after="0" w:line="1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fair value of our financial assets (liabilities) was determined using the following inputs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2023</w:t>
            </w:r>
          </w:p>
        </w:tc>
        <w:tc>
          <w:tcPr>
            <w:tcW w:w="30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00" w:type="dxa"/>
            <w:vAlign w:val="bottom"/>
          </w:tcPr>
          <w:p>
            <w:pPr>
              <w:spacing w:after="0"/>
              <w:rPr>
                <w:sz w:val="20"/>
                <w:szCs w:val="20"/>
                <w:color w:val="auto"/>
              </w:rPr>
            </w:pPr>
          </w:p>
        </w:tc>
        <w:tc>
          <w:tcPr>
            <w:tcW w:w="126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8"/>
        </w:trPr>
        <w:tc>
          <w:tcPr>
            <w:tcW w:w="6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Measured on a recurring basis:</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r>
      <w:tr>
        <w:trPr>
          <w:trHeight w:val="225"/>
        </w:trPr>
        <w:tc>
          <w:tcPr>
            <w:tcW w:w="6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5"/>
        </w:trPr>
        <w:tc>
          <w:tcPr>
            <w:tcW w:w="63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5"/>
        </w:trPr>
        <w:tc>
          <w:tcPr>
            <w:tcW w:w="63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3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Securities guaranteed by U.S. government</w:t>
            </w:r>
          </w:p>
        </w:tc>
        <w:tc>
          <w:tcPr>
            <w:tcW w:w="3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3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governmental securities</w:t>
            </w: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5"/>
        </w:trPr>
        <w:tc>
          <w:tcPr>
            <w:tcW w:w="63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cap contract</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3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3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3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costs and other assets, net of current portion:</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5"/>
        </w:trPr>
        <w:tc>
          <w:tcPr>
            <w:tcW w:w="63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5"/>
        </w:trPr>
        <w:tc>
          <w:tcPr>
            <w:tcW w:w="6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25"/>
        </w:trPr>
        <w:tc>
          <w:tcPr>
            <w:tcW w:w="6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Measured on a non-recurring basis: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5"/>
        </w:trPr>
        <w:tc>
          <w:tcPr>
            <w:tcW w:w="63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Impaired lease-related assets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424"/>
        </w:trPr>
        <w:tc>
          <w:tcPr>
            <w:tcW w:w="6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2022</w:t>
            </w:r>
          </w:p>
        </w:tc>
        <w:tc>
          <w:tcPr>
            <w:tcW w:w="300" w:type="dxa"/>
            <w:vAlign w:val="bottom"/>
          </w:tcPr>
          <w:p>
            <w:pPr>
              <w:spacing w:after="0"/>
              <w:rPr>
                <w:sz w:val="24"/>
                <w:szCs w:val="24"/>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24"/>
                <w:szCs w:val="24"/>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00" w:type="dxa"/>
            <w:vAlign w:val="bottom"/>
          </w:tcPr>
          <w:p>
            <w:pPr>
              <w:spacing w:after="0"/>
              <w:rPr>
                <w:sz w:val="24"/>
                <w:szCs w:val="24"/>
                <w:color w:val="auto"/>
              </w:rPr>
            </w:pPr>
          </w:p>
        </w:tc>
        <w:tc>
          <w:tcPr>
            <w:tcW w:w="126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9"/>
        </w:trPr>
        <w:tc>
          <w:tcPr>
            <w:tcW w:w="62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Measured on a recurring basis: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r>
      <w:tr>
        <w:trPr>
          <w:trHeight w:val="225"/>
        </w:trPr>
        <w:tc>
          <w:tcPr>
            <w:tcW w:w="6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5"/>
        </w:trPr>
        <w:tc>
          <w:tcPr>
            <w:tcW w:w="63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3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3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Securities guaranteed by U.S. government</w:t>
            </w: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5"/>
        </w:trPr>
        <w:tc>
          <w:tcPr>
            <w:tcW w:w="63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3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Securities guaranteed by U.S. government</w:t>
            </w:r>
          </w:p>
        </w:tc>
        <w:tc>
          <w:tcPr>
            <w:tcW w:w="3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3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governmental securities</w:t>
            </w: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5"/>
        </w:trPr>
        <w:tc>
          <w:tcPr>
            <w:tcW w:w="63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cap contract</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3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3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3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costs and other assets, net of current portion:</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5"/>
        </w:trPr>
        <w:tc>
          <w:tcPr>
            <w:tcW w:w="63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Interest rate cap contract</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3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Fair Value (continued)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were no transfers between fair value measurement levels during the years ended December 31, 2023 and 2022.</w:t>
      </w:r>
    </w:p>
    <w:p>
      <w:pPr>
        <w:spacing w:after="0" w:line="16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Refer to Note 5 - Cash, Cash Equivalents, and Short-term Investments for further information regarding the fair value of our financial instruments. Refer to Note 9 - Derivatives and Hedging Activities for further information regarding the fair value of our derivative instruments. Refer to Note 14 - Leases for further information regarding the impairment of our Ra’anana operating 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Commitments and Contingencies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Non-cancelable purchase obligations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December 31, 2023, our outstanding non-cancelable purchase obligations, mainly related to third-party cloud hosting and SaaS arrangements, were as follows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Fiscal Period</w:t>
            </w:r>
          </w:p>
        </w:tc>
        <w:tc>
          <w:tcPr>
            <w:tcW w:w="4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8"/>
        </w:trPr>
        <w:tc>
          <w:tcPr>
            <w:tcW w:w="9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r>
      <w:tr>
        <w:trPr>
          <w:trHeight w:val="225"/>
        </w:trPr>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4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5"/>
        </w:trPr>
        <w:tc>
          <w:tcPr>
            <w:tcW w:w="9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5"/>
        </w:trPr>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2027</w:t>
            </w:r>
          </w:p>
        </w:tc>
        <w:tc>
          <w:tcPr>
            <w:tcW w:w="4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9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2028</w:t>
            </w:r>
          </w:p>
        </w:tc>
        <w:tc>
          <w:tcPr>
            <w:tcW w:w="4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9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0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For information regarding financing-related obligations, refer to Note 8 - Financing Arrangements. For information regarding lease-related obligations, refer to Note 14 - Leases.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use tax</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The Company has conducted an assessment of sales and use tax exposure in states where the Company has established nexus. Based on this assessment, the Company has recorded a liability for taxes owed and related penalties and interest in the amount of $7.0 million and $4.9 million at December 31, 2023 and 2022, respectively. This liability is included in </w:t>
      </w:r>
      <w:r>
        <w:rPr>
          <w:rFonts w:ascii="Times New Roman" w:cs="Times New Roman" w:eastAsia="Times New Roman" w:hAnsi="Times New Roman"/>
          <w:sz w:val="18"/>
          <w:szCs w:val="18"/>
          <w:i w:val="1"/>
          <w:iCs w:val="1"/>
          <w:color w:val="auto"/>
        </w:rPr>
        <w:t>Accrued expenses and other current liabilities</w:t>
      </w:r>
      <w:r>
        <w:rPr>
          <w:rFonts w:ascii="Times New Roman" w:cs="Times New Roman" w:eastAsia="Times New Roman" w:hAnsi="Times New Roman"/>
          <w:sz w:val="18"/>
          <w:szCs w:val="18"/>
          <w:color w:val="auto"/>
        </w:rPr>
        <w:t xml:space="preserve"> on our Consolidated Balance Sheets.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earnout payments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connection with the acquisition of Dogpatch, the Company could be required to issue equity awards up to $2.6 million. Refer to Note 4 - Business Combinations for additional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acquisition-related payments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connection with the acquisition of Insent, the Company expects to pay an additional $2.0 million, of which $0.8 million represents deferred consideration. Refer to Note 4 - Business Combinations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Commitments and Contingencies (continued)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are subject to various legal proceedings, claims, and governmental inspections, audits, or investigations that arise in the ordinary course of our business. There are inherent uncertainties in these matters, some of which are beyond management’s control, making the ultimate outcomes difficult to predict. Moreover, management’s views and estimates related to these matters may change in the future, as new events and circumstances arise and the matters continue to develop. Based on the information known by the Company as of the date of this filing, it is not possible to provide an estimated amount of any loss or range of loss that may occur with respect to these matters, including without limitation the matters described below.</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April 15, 2021, a putative class action lawsuit was filed against ZoomInfo Technologies LLC in the United States District Court for the Northern District of Illinois (Eastern Division) alleging ZoomInfo’s use of Illinois residents’ names in public-facing web pages violates the Illinois Right of Publicity Act, and seeking statutory, compensatory and punitive damages, costs, and attorneys’ fees. The Company intends to vigorously defend against this lawsuit.</w:t>
      </w:r>
    </w:p>
    <w:p>
      <w:pPr>
        <w:spacing w:after="0" w:line="12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September 30, 2021, a putative class action lawsuit was filed against ZoomInfo Technologies Inc. in the United States District Court for the Western District of Washington alleging ZoomInfo’s use of California residents’ names in public-facing web pages violates California statutory and common law regarding the right of publicity as well as misappropriation, and seeking compensatory and punitive damages, restitution, injunctive relief, declaratory relief, costs, and attorneys’ fees. The Company intends to vigorously defend against this lawsuit.</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February 10, 2023, a putative class action lawsuit was filed against Datanyze, LLC, one of the Company’s subsidiaries, in the Circuit Court of Cook County, Illinois alleging Datanyze's use of Illinois residents’ names in a free trial violates the Illinois Right of Publicity Act, and seeking statutory, compensatory and punitive damages, costs, and attorneys’ fees. The case is now pending in the United States District Court for the Northern District of Illinois (Eastern Division). The Company intends to vigorously defend against this lawsuit.</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March 8, 2023, a putative class action lawsuit was filed against Datanyze, LLC in the United States District Court for the Northern District of Ohio alleging Datanyze's use of Ohio residents names in a free trial violates the Ohio Right of Publicity Statute, and seeking statutory damages, costs, and attorneys’ fees. On November 17, 2023, the court dismissed the plaintiffs’ claims with prejudice, and the plaintiffs have since appealed the dismissal. The Company intends to continue to vigorously defend against this lawsuit.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Stockholders' Equity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March 2023, the Board authorized a program to repurchase up to $100.0 million of the Company’s Common Stock, and in July 2023, the Board approved an additional $500.0 million of share repurchase authorization (collectively, the “Share Repurchase Program”). Under the Share Repurchase Program, shares of Common Stock may be repurchased from time to time through open market transactions in compliance with applicable securities laws. The timing, manner, price and amount of any repurchases, as well as the capital resources to fund the repurchases, are determined by the Company, in its discretion, and depend on a variety of factors, including legal requirements, price and economic and market conditions.</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year ended December 31, 2023, the Company repurchased and subsequently retired 22,627,664 shares of Common Stock at an average price of $17.68, for an aggregate $400.1 million. As of December 31, 2023, $199.9 million remained available and authorized for repurchases under the Share Repurchase Program.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ZoomInfo Common Stock Rights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authorized capital stock consists of 3,300,000,000 shares of Common Stock and 200,000,000 shares of preferred stock, par value $0.01 per share. No shares of preferred stock have been issued or are currently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Stockholders' Equity (continued)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Holders of Common Stock will vote as a single class and are entitled to one vote per share on all matters on which stockholders of ZoomInfo Technologies Inc. are entitled to vote generally, including the election or removal of directors. The holders of our Common Stock do not have cumulative voting rights in the election of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Preemptive or similar rights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Holders of shares of our Common Stock do not have preemptive, subscription, redemption or conversion rights. There are no redemption or sinking fund provisions applicable to the Common Stock.</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and distributions</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Holders of Common Stock are entitled to receive dividends at the same rate, when, as and if declared by our Board of Directors out of funds legally available therefor, subject to any statutory or contractual restrictions on the payment of dividends and to the rights of the holders of one or more outstanding series of our preferred stock. To date, no dividends have been declared or paid by us.</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Upon our liquidation, dissolution, or winding up, subject to the rights of holders of one or more outstanding series of preferred stock having liquidation preferences, the holders of shares of our Common Stock are entitled to receive pro rata our remaining assets available for distribution.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Old ZoomInfo Class A, B, and C Common Stock Rights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As noted above, subsequent to the Holding Company Reorganization, there were no issued and outstanding shares of Class B common stock or Class C common stock, and in May 2022, following approval by the Company’s stockholders, the Company further amended and restated its Amended and Restated Certification of Incorporation to eliminate the multiple classes of common stock and to rename the Company’s Class A common stock as “Common Stock”. The below represent the historical rights of Old ZoomInfo Class A, Class B, and Class C common stock. Shares of Old ZoomInfo Class A common stock and Class C common stock were identical in all respects, except for voting rights, certain conversion rights and transfer restrictions in respect of the shares of Class C common stock, as described below.</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Prior to the Holding Company Reorganization, holders of Old ZoomInfo Class A common stock were entitled to one vote per share and holders of Old ZoomInfo Class B and Class C common stock were entitled to ten votes per share (for so long as the aggregate number of outstanding shares of our Old ZoomInfo Class B and Class C common stock represents at least 5% of the aggregate number of our outstanding shares of common stock, and thereafter, one vote per share), on all matters on which stockholders of ZoomInfo Technologies Inc. are entitled to vote generally, including the election or removal of directors.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 rights and transfer restrictions</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Prior to the Holding Company Reorganization, the shares of Old ZoomInfo Class C common stock were convertible at the option of the holder into shares of Old ZoomInfo Class A common stock on a one-for-one basis. In addition, each share of Old ZoomInfo Class C common stock converted automatically into one share of Old ZoomInfo Class A common stock upon any transfer, whether or not for value, or, if on the record date for any meeting of the stockholders, the aggregate number of outstanding shares of our Old ZoomInfo Class B common stock and Class C common stock was less than 5% of our outstanding shares of common stock. Once converted into Class A common stock, Class C common stock was not reissued.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Stockholders' Equity (continued)</w:t>
      </w:r>
    </w:p>
    <w:p>
      <w:pPr>
        <w:spacing w:after="0" w:line="200" w:lineRule="exact"/>
        <w:rPr>
          <w:sz w:val="20"/>
          <w:szCs w:val="20"/>
          <w:color w:val="auto"/>
        </w:rPr>
      </w:pPr>
    </w:p>
    <w:p>
      <w:pPr>
        <w:spacing w:after="0" w:line="29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Prior to the Holding Company Reorganization, shares of Old ZoomInfo Class B common stock were not transferable except for (i) transfers to us for no consideration upon which transfer such share of Old ZoomInfo Class B common stock was automatically canceled, or (ii) together with the transfer of an identical number of OpCo Units or HoldCo Units made to the permitted transferee of such OpCo Units or HoldCo Units made in compliance with the applicable limited liability company agreement of ZoomInfo OpCo or ZoomInfo HoldCo. Upon the exchange of an OpCo Unit or a HoldCo Unit (together with a share of Old ZoomInfo Class B common stock), as applicable, the shares of Old ZoomInfo Class B common stock were automatically canceled with no consideration and no longer outstanding.</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and distributions</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Prior to the Holding Company Reorganization, holders of Old ZoomInfo Class A and Class C common stock were entitled to receive dividends at the same rate, when, as and if declared by our Board of Directors out of funds legally available therefor, subject to any statutory or contractual restrictions on the payment of dividends and to the rights of the holders of one or more outstanding series of our preferred stock. Holders of Old ZoomInfo Class B common stock did not have any right to receive dividends or to receive a distribution upon a liquidation, dissolution or winding up of ZoomInfo Technologies Inc. No dividends were paid while Old ZoomInfo Class B and Class C common stock was outstanding.</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 xml:space="preserve">ZoomInfo Technologies Inc. operates and controls all of the business and affairs, and consolidates the financial results through ZoomInfo OpCo and its subsidiaries, conducts our business. Accordingly, ZoomInfo Technologies Inc. consolidates the financial results of ZoomInfo OpCo, and reports the noncontrolling interests of its consolidated subsidiaries on its consolidated financial statements based on the HoldCo Units and OpCo Units held by Continuing Members. Changes in ZoomInfo’s ownership interest in its consolidated subsidiaries are accounted for as equity transactions. As such, redemptions or direct exchanges of HoldCo Units or OpCo Units by Continuing Members resulted in a change in ownership and reduced or increased the amount recorded as </w:t>
      </w:r>
      <w:r>
        <w:rPr>
          <w:rFonts w:ascii="Times New Roman" w:cs="Times New Roman" w:eastAsia="Times New Roman" w:hAnsi="Times New Roman"/>
          <w:sz w:val="18"/>
          <w:szCs w:val="18"/>
          <w:i w:val="1"/>
          <w:iCs w:val="1"/>
          <w:color w:val="auto"/>
        </w:rPr>
        <w:t>Noncontrolling interests</w:t>
      </w:r>
      <w:r>
        <w:rPr>
          <w:rFonts w:ascii="Times New Roman" w:cs="Times New Roman" w:eastAsia="Times New Roman" w:hAnsi="Times New Roman"/>
          <w:sz w:val="18"/>
          <w:szCs w:val="18"/>
          <w:color w:val="auto"/>
        </w:rPr>
        <w:t xml:space="preserve"> and increased or decreased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xml:space="preserve"> on the Company’s Consolidated Balance Sheets. During the third quarter of 2021, all remaining HoldCo Units held by Continuing Members were exchanged for shares in ZoomInfo Technologies Inc. followed by the merger of HoldCo into ZoomInfo Technologies Inc. During the fourth quarter of 2021, all remaining OpCo Units held by Continuing Members were converted into Class A shares in connection with the merger of ZoomInfo OpCo into a newly formed subsidiary of ZoomInfo Technologies, Inc.</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December 31, 2023, ZoomInfo Technologies Inc. held units resulting in an ownership interest of 100% in the consolidated subsidiaries.</w:t>
      </w:r>
    </w:p>
    <w:p>
      <w:pPr>
        <w:spacing w:after="0" w:line="16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holders of OpCo Units may be subject to U.S. federal, state and local income taxes on their proportionate share of any taxable income of ZoomInfo OpCo. Net profits and net losses of ZoomInfo OpCo will generally be allocated to its holders pro rata in accordance with the percentages of their respective limited liability company interests. The amended and restated limited liability company agreement of ZoomInfo OpCo provides for cash distributions (“tax distributions”) to the holders of OpCo Units and Class P Units. During the year ended December 31, 2021, the Company paid $19.9 million in tax distributions to the noncontrolling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Earnings Per Share</w:t>
      </w:r>
    </w:p>
    <w:p>
      <w:pPr>
        <w:spacing w:after="0" w:line="166"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 xml:space="preserve">For the periods in which we had multiple classes of stock participating in earnings, we use the two-class method in calculating earnings per share. </w:t>
      </w:r>
      <w:r>
        <w:rPr>
          <w:rFonts w:ascii="Times New Roman" w:cs="Times New Roman" w:eastAsia="Times New Roman" w:hAnsi="Times New Roman"/>
          <w:sz w:val="18"/>
          <w:szCs w:val="18"/>
          <w:color w:val="242424"/>
        </w:rPr>
        <w:t>Basic</w:t>
      </w:r>
      <w:r>
        <w:rPr>
          <w:rFonts w:ascii="Times New Roman" w:cs="Times New Roman" w:eastAsia="Times New Roman" w:hAnsi="Times New Roman"/>
          <w:sz w:val="18"/>
          <w:szCs w:val="18"/>
          <w:color w:val="auto"/>
        </w:rPr>
        <w:t xml:space="preserve"> earnings per share </w:t>
      </w:r>
      <w:r>
        <w:rPr>
          <w:rFonts w:ascii="Times New Roman" w:cs="Times New Roman" w:eastAsia="Times New Roman" w:hAnsi="Times New Roman"/>
          <w:sz w:val="18"/>
          <w:szCs w:val="18"/>
          <w:color w:val="242424"/>
        </w:rPr>
        <w:t xml:space="preserve">of Class A and Class C common stock is computed by dividing net income attributable to ZoomInfo Technologies Inc. by the weighted-average number of shares of Class A and Class C common stock outstanding during the period. Diluted earnings per share of Class A and Class C common stock is </w:t>
      </w:r>
      <w:r>
        <w:rPr>
          <w:rFonts w:ascii="Times New Roman" w:cs="Times New Roman" w:eastAsia="Times New Roman" w:hAnsi="Times New Roman"/>
          <w:sz w:val="18"/>
          <w:szCs w:val="18"/>
          <w:color w:val="000000"/>
        </w:rPr>
        <w:t>computed</w:t>
      </w:r>
      <w:r>
        <w:rPr>
          <w:rFonts w:ascii="Times New Roman" w:cs="Times New Roman" w:eastAsia="Times New Roman" w:hAnsi="Times New Roman"/>
          <w:sz w:val="18"/>
          <w:szCs w:val="18"/>
          <w:color w:val="242424"/>
        </w:rPr>
        <w:t xml:space="preserve"> by dividing net income attributable to ZoomInfo Technologies Inc., adjusted for the assumed exchange of all potentially dilutive </w:t>
      </w:r>
      <w:r>
        <w:rPr>
          <w:rFonts w:ascii="Times New Roman" w:cs="Times New Roman" w:eastAsia="Times New Roman" w:hAnsi="Times New Roman"/>
          <w:sz w:val="18"/>
          <w:szCs w:val="18"/>
          <w:color w:val="000000"/>
        </w:rPr>
        <w:t xml:space="preserve">instruments for Class A common stock, </w:t>
      </w:r>
      <w:r>
        <w:rPr>
          <w:rFonts w:ascii="Times New Roman" w:cs="Times New Roman" w:eastAsia="Times New Roman" w:hAnsi="Times New Roman"/>
          <w:sz w:val="18"/>
          <w:szCs w:val="18"/>
          <w:color w:val="242424"/>
        </w:rPr>
        <w:t>by the weighted-average number of shares of Class A and Class C common stock outstanding</w:t>
      </w:r>
      <w:r>
        <w:rPr>
          <w:rFonts w:ascii="Times New Roman" w:cs="Times New Roman" w:eastAsia="Times New Roman" w:hAnsi="Times New Roman"/>
          <w:sz w:val="18"/>
          <w:szCs w:val="18"/>
          <w:color w:val="000000"/>
        </w:rPr>
        <w:t>, adjusted to give effect to potentially dilutive elements. As of the fourth quarter in 2021, as a result of the Holding Company Reorganization discussed in Note 1 - Organization and Background, the only remaining class of common stock issued and outstanding was the Class A common stock, and as such, the two-class method is not presented for subsequent periods. As previously discussed, in May 2022, following approval by the Company’s stockholders, the Company further amended and restated its Amended and Restated Certificate of Incorporation to eliminate the multiple classes of common stock and to rename the Company’s Class A common stock to “Common Stock”.</w:t>
      </w:r>
    </w:p>
    <w:p>
      <w:pPr>
        <w:spacing w:after="0" w:line="14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242424"/>
        </w:rPr>
        <w:t>The followin</w:t>
      </w:r>
      <w:r>
        <w:rPr>
          <w:rFonts w:ascii="Times New Roman" w:cs="Times New Roman" w:eastAsia="Times New Roman" w:hAnsi="Times New Roman"/>
          <w:sz w:val="18"/>
          <w:szCs w:val="18"/>
          <w:color w:val="000000"/>
        </w:rPr>
        <w:t>g table sets forth reconciliations of the numerators used to compute basic and diluted earnings (loss) per share</w:t>
      </w:r>
      <w:r>
        <w:rPr>
          <w:rFonts w:ascii="Times New Roman" w:cs="Times New Roman" w:eastAsia="Times New Roman" w:hAnsi="Times New Roman"/>
          <w:sz w:val="18"/>
          <w:szCs w:val="18"/>
          <w:color w:val="242424"/>
        </w:rPr>
        <w:t xml:space="preserve"> of Class A and Class C </w:t>
      </w:r>
      <w:r>
        <w:rPr>
          <w:rFonts w:ascii="Times New Roman" w:cs="Times New Roman" w:eastAsia="Times New Roman" w:hAnsi="Times New Roman"/>
          <w:sz w:val="18"/>
          <w:szCs w:val="18"/>
          <w:color w:val="000000"/>
        </w:rPr>
        <w:t>(as</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 xml:space="preserve">applicable) </w:t>
      </w:r>
      <w:r>
        <w:rPr>
          <w:rFonts w:ascii="Times New Roman" w:cs="Times New Roman" w:eastAsia="Times New Roman" w:hAnsi="Times New Roman"/>
          <w:sz w:val="18"/>
          <w:szCs w:val="18"/>
          <w:color w:val="242424"/>
        </w:rPr>
        <w:t>common stock for the</w:t>
      </w:r>
      <w:r>
        <w:rPr>
          <w:rFonts w:ascii="Times New Roman" w:cs="Times New Roman" w:eastAsia="Times New Roman" w:hAnsi="Times New Roman"/>
          <w:sz w:val="18"/>
          <w:szCs w:val="18"/>
          <w:color w:val="000000"/>
        </w:rPr>
        <w:t xml:space="preserve"> years </w:t>
      </w:r>
      <w:r>
        <w:rPr>
          <w:rFonts w:ascii="Times New Roman" w:cs="Times New Roman" w:eastAsia="Times New Roman" w:hAnsi="Times New Roman"/>
          <w:sz w:val="18"/>
          <w:szCs w:val="18"/>
          <w:color w:val="242424"/>
        </w:rPr>
        <w:t>ended</w:t>
      </w:r>
      <w:r>
        <w:rPr>
          <w:rFonts w:ascii="Times New Roman" w:cs="Times New Roman" w:eastAsia="Times New Roman" w:hAnsi="Times New Roman"/>
          <w:sz w:val="18"/>
          <w:szCs w:val="18"/>
          <w:color w:val="000000"/>
        </w:rPr>
        <w:t xml:space="preserve"> December 31, 2023, 2022, and 2021</w:t>
      </w:r>
      <w:r>
        <w:rPr>
          <w:rFonts w:ascii="Times New Roman" w:cs="Times New Roman" w:eastAsia="Times New Roman" w:hAnsi="Times New Roman"/>
          <w:sz w:val="18"/>
          <w:szCs w:val="18"/>
          <w:color w:val="242424"/>
        </w:rPr>
        <w: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60" w:type="dxa"/>
            <w:vAlign w:val="bottom"/>
            <w:gridSpan w:val="6"/>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80" w:type="dxa"/>
            <w:vAlign w:val="bottom"/>
          </w:tcPr>
          <w:p>
            <w:pPr>
              <w:spacing w:after="0"/>
              <w:rPr>
                <w:sz w:val="19"/>
                <w:szCs w:val="19"/>
                <w:color w:val="auto"/>
              </w:rPr>
            </w:pPr>
          </w:p>
        </w:tc>
      </w:tr>
      <w:tr>
        <w:trPr>
          <w:trHeight w:val="232"/>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5"/>
        </w:trPr>
        <w:tc>
          <w:tcPr>
            <w:tcW w:w="644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5"/>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8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r>
      <w:tr>
        <w:trPr>
          <w:trHeight w:val="225"/>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18"/>
        </w:trPr>
        <w:tc>
          <w:tcPr>
            <w:tcW w:w="6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 (loss) attributable to ZoomInfo Technologies Inc.</w:t>
            </w: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w:t>
            </w:r>
          </w:p>
        </w:tc>
      </w:tr>
      <w:tr>
        <w:trPr>
          <w:trHeight w:val="20"/>
        </w:trPr>
        <w:tc>
          <w:tcPr>
            <w:tcW w:w="6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Earnings Per Share (continued)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tables set forth the computation of basic and diluted net income (loss) per share of Class A and Class C (as applicable) common stock (in millions, except shares and per share amounts):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Basic net income (loss) per share attributable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-118745</wp:posOffset>
            </wp:positionV>
            <wp:extent cx="7134860" cy="1428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428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40"/>
        <w:spacing w:after="0"/>
        <w:rPr>
          <w:sz w:val="20"/>
          <w:szCs w:val="20"/>
          <w:color w:val="auto"/>
        </w:rPr>
      </w:pPr>
      <w:r>
        <w:rPr>
          <w:rFonts w:ascii="Times New Roman" w:cs="Times New Roman" w:eastAsia="Times New Roman" w:hAnsi="Times New Roman"/>
          <w:sz w:val="18"/>
          <w:szCs w:val="18"/>
          <w:color w:val="auto"/>
        </w:rPr>
        <w:t>Net income (loss)</w:t>
      </w:r>
    </w:p>
    <w:p>
      <w:pPr>
        <w:spacing w:after="0" w:line="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428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40"/>
        <w:spacing w:after="0"/>
        <w:rPr>
          <w:sz w:val="20"/>
          <w:szCs w:val="20"/>
          <w:color w:val="auto"/>
        </w:rPr>
      </w:pPr>
      <w:r>
        <w:rPr>
          <w:rFonts w:ascii="Times New Roman" w:cs="Times New Roman" w:eastAsia="Times New Roman" w:hAnsi="Times New Roman"/>
          <w:sz w:val="18"/>
          <w:szCs w:val="18"/>
          <w:color w:val="auto"/>
        </w:rPr>
        <w:t>Weighted average number of shares of Common Stock outstanding</w:t>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Basic net income (loss) per share attributable to common stockholders</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jc w:val="center"/>
        <w:spacing w:after="0"/>
        <w:rPr>
          <w:sz w:val="20"/>
          <w:szCs w:val="20"/>
          <w:color w:val="auto"/>
        </w:rPr>
      </w:pP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wp:posOffset>
            </wp:positionV>
            <wp:extent cx="133794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r>
      <w:tr>
        <w:trPr>
          <w:trHeight w:val="449"/>
        </w:trPr>
        <w:tc>
          <w:tcPr>
            <w:tcW w:w="6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396,987,015</w:t>
            </w:r>
          </w:p>
        </w:tc>
      </w:tr>
      <w:tr>
        <w:trPr>
          <w:trHeight w:val="218"/>
        </w:trPr>
        <w:tc>
          <w:tcPr>
            <w:tcW w:w="6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8420" w:space="720"/>
            <w:col w:w="210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05"/>
        </w:trPr>
        <w:tc>
          <w:tcPr>
            <w:tcW w:w="9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25"/>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net income (loss) per share attributable to common stockholders</w:t>
            </w:r>
          </w:p>
        </w:tc>
        <w:tc>
          <w:tcPr>
            <w:tcW w:w="6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5"/>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6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5"/>
        </w:trPr>
        <w:tc>
          <w:tcPr>
            <w:tcW w:w="9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Allocation of undistributed earnings</w:t>
            </w:r>
          </w:p>
        </w:tc>
        <w:tc>
          <w:tcPr>
            <w:tcW w:w="6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r>
      <w:tr>
        <w:trPr>
          <w:trHeight w:val="225"/>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6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5"/>
        </w:trPr>
        <w:tc>
          <w:tcPr>
            <w:tcW w:w="9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Number of shares used in basic computation</w:t>
            </w:r>
          </w:p>
        </w:tc>
        <w:tc>
          <w:tcPr>
            <w:tcW w:w="6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396,987,015</w:t>
            </w:r>
          </w:p>
        </w:tc>
      </w:tr>
      <w:tr>
        <w:trPr>
          <w:trHeight w:val="225"/>
        </w:trPr>
        <w:tc>
          <w:tcPr>
            <w:tcW w:w="9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 weighted-average effect of dilutive securities exchangeable for Common Stock:</w:t>
            </w:r>
          </w:p>
        </w:tc>
        <w:tc>
          <w:tcPr>
            <w:tcW w:w="6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5"/>
        </w:trPr>
        <w:tc>
          <w:tcPr>
            <w:tcW w:w="9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Stock Awards</w:t>
            </w:r>
          </w:p>
        </w:tc>
        <w:tc>
          <w:tcPr>
            <w:tcW w:w="6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323,619</w:t>
            </w:r>
          </w:p>
        </w:tc>
      </w:tr>
      <w:tr>
        <w:trPr>
          <w:trHeight w:val="225"/>
        </w:trPr>
        <w:tc>
          <w:tcPr>
            <w:tcW w:w="9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6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25,630</w:t>
            </w:r>
          </w:p>
        </w:tc>
      </w:tr>
      <w:tr>
        <w:trPr>
          <w:trHeight w:val="225"/>
        </w:trPr>
        <w:tc>
          <w:tcPr>
            <w:tcW w:w="91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6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144,167</w:t>
            </w:r>
          </w:p>
        </w:tc>
      </w:tr>
      <w:tr>
        <w:trPr>
          <w:trHeight w:val="219"/>
        </w:trPr>
        <w:tc>
          <w:tcPr>
            <w:tcW w:w="9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 average shares of Common Stock outstanding used to calculate diluted net income per share</w:t>
            </w:r>
          </w:p>
        </w:tc>
        <w:tc>
          <w:tcPr>
            <w:tcW w:w="6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397,480,431</w:t>
            </w:r>
          </w:p>
        </w:tc>
      </w:tr>
      <w:tr>
        <w:trPr>
          <w:trHeight w:val="219"/>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income (loss) per share attributable to common stockholders</w:t>
            </w:r>
          </w:p>
        </w:tc>
        <w:tc>
          <w:tcPr>
            <w:tcW w:w="6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r>
      <w:tr>
        <w:trPr>
          <w:trHeight w:val="20"/>
        </w:trPr>
        <w:tc>
          <w:tcPr>
            <w:tcW w:w="9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Earnings Per Share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Basic net income (loss) per share attributable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-118745</wp:posOffset>
            </wp:positionV>
            <wp:extent cx="7134860" cy="1428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428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40"/>
        <w:spacing w:after="0"/>
        <w:rPr>
          <w:sz w:val="20"/>
          <w:szCs w:val="20"/>
          <w:color w:val="auto"/>
        </w:rPr>
      </w:pPr>
      <w:r>
        <w:rPr>
          <w:rFonts w:ascii="Times New Roman" w:cs="Times New Roman" w:eastAsia="Times New Roman" w:hAnsi="Times New Roman"/>
          <w:sz w:val="18"/>
          <w:szCs w:val="18"/>
          <w:color w:val="auto"/>
        </w:rPr>
        <w:t>Net income (loss)</w:t>
      </w:r>
    </w:p>
    <w:p>
      <w:pPr>
        <w:spacing w:after="0" w:line="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428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40"/>
        <w:spacing w:after="0"/>
        <w:rPr>
          <w:sz w:val="20"/>
          <w:szCs w:val="20"/>
          <w:color w:val="auto"/>
        </w:rPr>
      </w:pPr>
      <w:r>
        <w:rPr>
          <w:rFonts w:ascii="Times New Roman" w:cs="Times New Roman" w:eastAsia="Times New Roman" w:hAnsi="Times New Roman"/>
          <w:sz w:val="18"/>
          <w:szCs w:val="18"/>
          <w:color w:val="auto"/>
        </w:rPr>
        <w:t>Weighted average number of shares of Common Stock outstanding</w:t>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Basic net income (loss) per share attributable to common stockholders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jc w:val="center"/>
        <w:spacing w:after="0"/>
        <w:rPr>
          <w:sz w:val="20"/>
          <w:szCs w:val="20"/>
          <w:color w:val="auto"/>
        </w:rPr>
      </w:pPr>
      <w:r>
        <w:rPr>
          <w:rFonts w:ascii="Times New Roman" w:cs="Times New Roman" w:eastAsia="Times New Roman" w:hAnsi="Times New Roman"/>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wp:posOffset>
            </wp:positionV>
            <wp:extent cx="133794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450"/>
        </w:trPr>
        <w:tc>
          <w:tcPr>
            <w:tcW w:w="6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401,490,459</w:t>
            </w:r>
          </w:p>
        </w:tc>
      </w:tr>
      <w:tr>
        <w:trPr>
          <w:trHeight w:val="218"/>
        </w:trPr>
        <w:tc>
          <w:tcPr>
            <w:tcW w:w="6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8420" w:space="720"/>
            <w:col w:w="210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19"/>
        </w:trPr>
        <w:tc>
          <w:tcPr>
            <w:tcW w:w="9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5"/>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net income (loss) per share attributable to common stockholders</w:t>
            </w:r>
          </w:p>
        </w:tc>
        <w:tc>
          <w:tcPr>
            <w:tcW w:w="6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5"/>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6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5"/>
        </w:trPr>
        <w:tc>
          <w:tcPr>
            <w:tcW w:w="9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Allocation of undistributed earnings</w:t>
            </w:r>
          </w:p>
        </w:tc>
        <w:tc>
          <w:tcPr>
            <w:tcW w:w="6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225"/>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6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5"/>
        </w:trPr>
        <w:tc>
          <w:tcPr>
            <w:tcW w:w="9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Number of shares used in basic computation</w:t>
            </w:r>
          </w:p>
        </w:tc>
        <w:tc>
          <w:tcPr>
            <w:tcW w:w="6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401,490,459</w:t>
            </w:r>
          </w:p>
        </w:tc>
      </w:tr>
      <w:tr>
        <w:trPr>
          <w:trHeight w:val="225"/>
        </w:trPr>
        <w:tc>
          <w:tcPr>
            <w:tcW w:w="9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 weighted-average effect of dilutive securities exchangeable for Common Stock:</w:t>
            </w:r>
          </w:p>
        </w:tc>
        <w:tc>
          <w:tcPr>
            <w:tcW w:w="6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5"/>
        </w:trPr>
        <w:tc>
          <w:tcPr>
            <w:tcW w:w="9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Stock Awards</w:t>
            </w:r>
          </w:p>
        </w:tc>
        <w:tc>
          <w:tcPr>
            <w:tcW w:w="6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1,641,544</w:t>
            </w:r>
          </w:p>
        </w:tc>
      </w:tr>
      <w:tr>
        <w:trPr>
          <w:trHeight w:val="225"/>
        </w:trPr>
        <w:tc>
          <w:tcPr>
            <w:tcW w:w="9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6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187,578</w:t>
            </w:r>
          </w:p>
        </w:tc>
      </w:tr>
      <w:tr>
        <w:trPr>
          <w:trHeight w:val="225"/>
        </w:trPr>
        <w:tc>
          <w:tcPr>
            <w:tcW w:w="91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6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72,877</w:t>
            </w:r>
          </w:p>
        </w:tc>
      </w:tr>
      <w:tr>
        <w:trPr>
          <w:trHeight w:val="218"/>
        </w:trPr>
        <w:tc>
          <w:tcPr>
            <w:tcW w:w="9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 average shares of Common Stock outstanding used to calculate diluted net income per share</w:t>
            </w:r>
          </w:p>
        </w:tc>
        <w:tc>
          <w:tcPr>
            <w:tcW w:w="6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403,392,458</w:t>
            </w:r>
          </w:p>
        </w:tc>
      </w:tr>
      <w:tr>
        <w:trPr>
          <w:trHeight w:val="218"/>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income (loss) per share attributable to common stockholders</w:t>
            </w:r>
          </w:p>
        </w:tc>
        <w:tc>
          <w:tcPr>
            <w:tcW w:w="6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r>
      <w:tr>
        <w:trPr>
          <w:trHeight w:val="20"/>
        </w:trPr>
        <w:tc>
          <w:tcPr>
            <w:tcW w:w="9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Earnings Per Share (continued)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9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gridSpan w:val="4"/>
          </w:tcPr>
          <w:p>
            <w:pPr>
              <w:jc w:val="right"/>
              <w:ind w:right="912"/>
              <w:spacing w:after="0"/>
              <w:rPr>
                <w:sz w:val="20"/>
                <w:szCs w:val="20"/>
                <w:color w:val="auto"/>
              </w:rPr>
            </w:pPr>
            <w:r>
              <w:rPr>
                <w:rFonts w:ascii="Times New Roman" w:cs="Times New Roman" w:eastAsia="Times New Roman" w:hAnsi="Times New Roman"/>
                <w:sz w:val="18"/>
                <w:szCs w:val="18"/>
                <w:b w:val="1"/>
                <w:bCs w:val="1"/>
                <w:color w:val="auto"/>
              </w:rPr>
              <w:t>Year Ended December 31, 2021</w:t>
            </w:r>
          </w:p>
        </w:tc>
      </w:tr>
      <w:tr>
        <w:trPr>
          <w:trHeight w:val="218"/>
        </w:trPr>
        <w:tc>
          <w:tcPr>
            <w:tcW w:w="6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440" w:type="dxa"/>
            <w:vAlign w:val="bottom"/>
          </w:tcPr>
          <w:p>
            <w:pPr>
              <w:spacing w:after="0"/>
              <w:rPr>
                <w:sz w:val="19"/>
                <w:szCs w:val="19"/>
                <w:color w:val="auto"/>
              </w:rPr>
            </w:pPr>
          </w:p>
        </w:tc>
        <w:tc>
          <w:tcPr>
            <w:tcW w:w="1660" w:type="dxa"/>
            <w:vAlign w:val="bottom"/>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rPr>
              <w:t>Class C</w:t>
            </w:r>
          </w:p>
        </w:tc>
      </w:tr>
      <w:tr>
        <w:trPr>
          <w:trHeight w:val="205"/>
        </w:trPr>
        <w:tc>
          <w:tcPr>
            <w:tcW w:w="6900" w:type="dxa"/>
            <w:vAlign w:val="bottom"/>
            <w:tcBorders>
              <w:top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Basic net income (loss) per share attributable to common stockholders</w:t>
            </w:r>
          </w:p>
        </w:tc>
        <w:tc>
          <w:tcPr>
            <w:tcW w:w="44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r>
      <w:tr>
        <w:trPr>
          <w:trHeight w:val="225"/>
        </w:trPr>
        <w:tc>
          <w:tcPr>
            <w:tcW w:w="69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4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5"/>
        </w:trPr>
        <w:tc>
          <w:tcPr>
            <w:tcW w:w="6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Allocation of net income attributable to ZoomInfo Technologies Inc.</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25"/>
        </w:trPr>
        <w:tc>
          <w:tcPr>
            <w:tcW w:w="69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4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5"/>
        </w:trPr>
        <w:tc>
          <w:tcPr>
            <w:tcW w:w="6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 average number of shares of Class A and Class C common stock outstanding</w:t>
            </w:r>
          </w:p>
        </w:tc>
        <w:tc>
          <w:tcPr>
            <w:tcW w:w="4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202,573,536</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53,293,720</w:t>
            </w:r>
          </w:p>
        </w:tc>
      </w:tr>
      <w:tr>
        <w:trPr>
          <w:trHeight w:val="218"/>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income (loss) per share attributable to common stockholders</w:t>
            </w: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40" w:type="dxa"/>
            <w:vAlign w:val="bottom"/>
          </w:tcPr>
          <w:p>
            <w:pPr>
              <w:spacing w:after="0"/>
              <w:rPr>
                <w:sz w:val="19"/>
                <w:szCs w:val="19"/>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0.46</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32"/>
        </w:trPr>
        <w:tc>
          <w:tcPr>
            <w:tcW w:w="69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25"/>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net income (loss) per share attributable to common stockholders</w:t>
            </w:r>
          </w:p>
        </w:tc>
        <w:tc>
          <w:tcPr>
            <w:tcW w:w="4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5"/>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4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5"/>
        </w:trPr>
        <w:tc>
          <w:tcPr>
            <w:tcW w:w="6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Undistributed earnings for basic computation</w:t>
            </w: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4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172"/>
        </w:trPr>
        <w:tc>
          <w:tcPr>
            <w:tcW w:w="6900" w:type="dxa"/>
            <w:vAlign w:val="bottom"/>
            <w:shd w:val="clear" w:color="auto" w:fill="CCEEFF"/>
          </w:tcPr>
          <w:p>
            <w:pPr>
              <w:ind w:left="240"/>
              <w:spacing w:after="0" w:line="172" w:lineRule="exact"/>
              <w:rPr>
                <w:sz w:val="20"/>
                <w:szCs w:val="20"/>
                <w:color w:val="auto"/>
              </w:rPr>
            </w:pPr>
            <w:r>
              <w:rPr>
                <w:rFonts w:ascii="Times New Roman" w:cs="Times New Roman" w:eastAsia="Times New Roman" w:hAnsi="Times New Roman"/>
                <w:sz w:val="18"/>
                <w:szCs w:val="18"/>
                <w:color w:val="auto"/>
              </w:rPr>
              <w:t>Increase in earnings attributable to common shareholders upon conversion of potentially</w:t>
            </w:r>
          </w:p>
        </w:tc>
        <w:tc>
          <w:tcPr>
            <w:tcW w:w="44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r>
      <w:tr>
        <w:trPr>
          <w:trHeight w:val="239"/>
        </w:trPr>
        <w:tc>
          <w:tcPr>
            <w:tcW w:w="6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dilutive instruments</w:t>
            </w:r>
          </w:p>
        </w:tc>
        <w:tc>
          <w:tcPr>
            <w:tcW w:w="44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5"/>
        </w:trPr>
        <w:tc>
          <w:tcPr>
            <w:tcW w:w="6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Reallocation of earnings as a result of conversion of potentially dilutive instruments</w:t>
            </w:r>
          </w:p>
        </w:tc>
        <w:tc>
          <w:tcPr>
            <w:tcW w:w="4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5"/>
        </w:trPr>
        <w:tc>
          <w:tcPr>
            <w:tcW w:w="6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Reallocation of undistributed earnings as a result of conversion of Class C to Class A shares</w:t>
            </w:r>
          </w:p>
        </w:tc>
        <w:tc>
          <w:tcPr>
            <w:tcW w:w="4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Allocation of undistributed earnings</w:t>
            </w: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05"/>
        </w:trPr>
        <w:tc>
          <w:tcPr>
            <w:tcW w:w="69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4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25"/>
        </w:trPr>
        <w:tc>
          <w:tcPr>
            <w:tcW w:w="6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Number of shares used in basic computation</w:t>
            </w:r>
          </w:p>
        </w:tc>
        <w:tc>
          <w:tcPr>
            <w:tcW w:w="4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202,573,536</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53,293,720</w:t>
            </w:r>
          </w:p>
        </w:tc>
      </w:tr>
      <w:tr>
        <w:trPr>
          <w:trHeight w:val="225"/>
        </w:trPr>
        <w:tc>
          <w:tcPr>
            <w:tcW w:w="6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 weighted-average effect of dilutive securities exchangeable for Class A common stock:</w:t>
            </w:r>
          </w:p>
        </w:tc>
        <w:tc>
          <w:tcPr>
            <w:tcW w:w="4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5"/>
        </w:trPr>
        <w:tc>
          <w:tcPr>
            <w:tcW w:w="6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OpCo Units</w:t>
            </w:r>
          </w:p>
        </w:tc>
        <w:tc>
          <w:tcPr>
            <w:tcW w:w="4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129,468,657</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25"/>
        </w:trPr>
        <w:tc>
          <w:tcPr>
            <w:tcW w:w="6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HSKB I Class 1 Units</w:t>
            </w:r>
          </w:p>
        </w:tc>
        <w:tc>
          <w:tcPr>
            <w:tcW w:w="4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5,247,514</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25"/>
        </w:trPr>
        <w:tc>
          <w:tcPr>
            <w:tcW w:w="6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HSKB II Class 1 Units</w:t>
            </w:r>
          </w:p>
        </w:tc>
        <w:tc>
          <w:tcPr>
            <w:tcW w:w="4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212,245</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25"/>
        </w:trPr>
        <w:tc>
          <w:tcPr>
            <w:tcW w:w="6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HSKB II Phantom Units</w:t>
            </w:r>
          </w:p>
        </w:tc>
        <w:tc>
          <w:tcPr>
            <w:tcW w:w="4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773,518</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25"/>
        </w:trPr>
        <w:tc>
          <w:tcPr>
            <w:tcW w:w="6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HoldCo Units</w:t>
            </w:r>
          </w:p>
        </w:tc>
        <w:tc>
          <w:tcPr>
            <w:tcW w:w="4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888,675</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25"/>
        </w:trPr>
        <w:tc>
          <w:tcPr>
            <w:tcW w:w="6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Restricted Stock Awards</w:t>
            </w:r>
          </w:p>
        </w:tc>
        <w:tc>
          <w:tcPr>
            <w:tcW w:w="4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829,763</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Stock Units</w:t>
            </w:r>
          </w:p>
        </w:tc>
        <w:tc>
          <w:tcPr>
            <w:tcW w:w="4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344,342</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LTIP Units</w:t>
            </w:r>
          </w:p>
        </w:tc>
        <w:tc>
          <w:tcPr>
            <w:tcW w:w="4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35,301</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Exercise of Class A Common Stock Options</w:t>
            </w:r>
          </w:p>
        </w:tc>
        <w:tc>
          <w:tcPr>
            <w:tcW w:w="4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296,296</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Conversion of Class C to Class A common shares outstanding</w:t>
            </w:r>
          </w:p>
        </w:tc>
        <w:tc>
          <w:tcPr>
            <w:tcW w:w="4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53,293,720</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52"/>
        </w:trPr>
        <w:tc>
          <w:tcPr>
            <w:tcW w:w="6900" w:type="dxa"/>
            <w:vAlign w:val="bottom"/>
          </w:tcPr>
          <w:p>
            <w:pPr>
              <w:ind w:left="340"/>
              <w:spacing w:after="0" w:line="152" w:lineRule="exact"/>
              <w:rPr>
                <w:sz w:val="20"/>
                <w:szCs w:val="20"/>
                <w:color w:val="auto"/>
              </w:rPr>
            </w:pPr>
            <w:r>
              <w:rPr>
                <w:rFonts w:ascii="Times New Roman" w:cs="Times New Roman" w:eastAsia="Times New Roman" w:hAnsi="Times New Roman"/>
                <w:sz w:val="17"/>
                <w:szCs w:val="17"/>
                <w:color w:val="auto"/>
              </w:rPr>
              <w:t>Weighted average shares of Class A and Class C common stock outstanding used to</w:t>
            </w:r>
          </w:p>
        </w:tc>
        <w:tc>
          <w:tcPr>
            <w:tcW w:w="4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9"/>
        </w:trPr>
        <w:tc>
          <w:tcPr>
            <w:tcW w:w="69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calculate diluted net income per share</w:t>
            </w:r>
          </w:p>
        </w:tc>
        <w:tc>
          <w:tcPr>
            <w:tcW w:w="4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393,963,567</w:t>
            </w:r>
          </w:p>
        </w:tc>
        <w:tc>
          <w:tcPr>
            <w:tcW w:w="14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53,293,720</w:t>
            </w:r>
          </w:p>
        </w:tc>
      </w:tr>
      <w:tr>
        <w:trPr>
          <w:trHeight w:val="243"/>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(loss) per share attributable to common stockholders</w:t>
            </w: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242424"/>
        </w:rPr>
        <w:t>Shares of the Company’s Class B common stock d</w:t>
      </w:r>
      <w:r>
        <w:rPr>
          <w:rFonts w:ascii="Times New Roman" w:cs="Times New Roman" w:eastAsia="Times New Roman" w:hAnsi="Times New Roman"/>
          <w:sz w:val="18"/>
          <w:szCs w:val="18"/>
          <w:color w:val="000000"/>
        </w:rPr>
        <w:t>id</w:t>
      </w:r>
      <w:r>
        <w:rPr>
          <w:rFonts w:ascii="Times New Roman" w:cs="Times New Roman" w:eastAsia="Times New Roman" w:hAnsi="Times New Roman"/>
          <w:sz w:val="18"/>
          <w:szCs w:val="18"/>
          <w:color w:val="242424"/>
        </w:rPr>
        <w:t xml:space="preserve"> not participate in the earnings or losses of ZoomInfo Technologies Inc. and </w:t>
      </w:r>
      <w:r>
        <w:rPr>
          <w:rFonts w:ascii="Times New Roman" w:cs="Times New Roman" w:eastAsia="Times New Roman" w:hAnsi="Times New Roman"/>
          <w:sz w:val="18"/>
          <w:szCs w:val="18"/>
          <w:color w:val="000000"/>
        </w:rPr>
        <w:t>were</w:t>
      </w:r>
      <w:r>
        <w:rPr>
          <w:rFonts w:ascii="Times New Roman" w:cs="Times New Roman" w:eastAsia="Times New Roman" w:hAnsi="Times New Roman"/>
          <w:sz w:val="18"/>
          <w:szCs w:val="18"/>
          <w:color w:val="242424"/>
        </w:rPr>
        <w:t xml:space="preserve"> therefore not participating securities. As such, separate presentation of basic and diluted earnings per share of Class B common stock under the two-class method has not been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Earnings Per Share (continued)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242424"/>
        </w:rPr>
        <w:t>The following weighted-average potentially dilutive securities were evaluated under the treasury stock method for potentially dilutive effects and have been excluded from diluted net income (loss) per share in the periods presented due to their anti-dilutive effect: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780" w:type="dxa"/>
            <w:vAlign w:val="bottom"/>
          </w:tcPr>
          <w:p>
            <w:pPr>
              <w:spacing w:after="0"/>
              <w:rPr>
                <w:sz w:val="20"/>
                <w:szCs w:val="20"/>
                <w:color w:val="auto"/>
              </w:rPr>
            </w:pPr>
          </w:p>
        </w:tc>
        <w:tc>
          <w:tcPr>
            <w:tcW w:w="22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1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06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19"/>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P Units</w:t>
            </w: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8,100,932</w:t>
            </w:r>
          </w:p>
        </w:tc>
      </w:tr>
      <w:tr>
        <w:trPr>
          <w:trHeight w:val="225"/>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13,179,013</w:t>
            </w:r>
          </w:p>
        </w:tc>
        <w:tc>
          <w:tcPr>
            <w:tcW w:w="100" w:type="dxa"/>
            <w:vAlign w:val="bottom"/>
            <w:tcBorders>
              <w:bottom w:val="single" w:sz="8" w:color="CCEEFF"/>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8,198,069</w:t>
            </w:r>
          </w:p>
        </w:tc>
        <w:tc>
          <w:tcPr>
            <w:tcW w:w="100" w:type="dxa"/>
            <w:vAlign w:val="bottom"/>
            <w:tcBorders>
              <w:bottom w:val="single" w:sz="8" w:color="CCEEFF"/>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4"/>
        </w:trPr>
        <w:tc>
          <w:tcPr>
            <w:tcW w:w="4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anti-dilutive securities</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13,179,013</w:t>
            </w:r>
          </w:p>
        </w:tc>
        <w:tc>
          <w:tcPr>
            <w:tcW w:w="10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8,198,069</w:t>
            </w:r>
          </w:p>
        </w:tc>
        <w:tc>
          <w:tcPr>
            <w:tcW w:w="10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8,100,932</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Leases</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has operating leases for corporate offices under non-cancelable agreements with various expiration dates. Our leases do not have significant rent escalation, holidays, concessions, material residual value guarantees, material restrictive covenants, or contingent rent provisions. Our leases include both lease (e.g., fixed payments including rent, taxes, and insurance costs) and non-lease components (e.g., common-area or other maintenance costs) which are accounted for as a single lease component. In addition, we have elected the practical expedient to exclude short-term leases, which have an original lease term of one year or less, from our right-of-use assets and lease liabilities as well as the package of practical expedients relating to the adoption of ASC 842.</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The Company subleases three offices. The subleases have remaining lease terms of less than eight years. Sublease income, which is recorded as a reduction of rent expense and allocated to the appropriate financial statement line items to arrive at </w:t>
      </w:r>
      <w:r>
        <w:rPr>
          <w:rFonts w:ascii="Times New Roman" w:cs="Times New Roman" w:eastAsia="Times New Roman" w:hAnsi="Times New Roman"/>
          <w:sz w:val="18"/>
          <w:szCs w:val="18"/>
          <w:i w:val="1"/>
          <w:iCs w:val="1"/>
          <w:color w:val="auto"/>
        </w:rPr>
        <w:t>Income (Loss) from operations</w:t>
      </w:r>
      <w:r>
        <w:rPr>
          <w:rFonts w:ascii="Times New Roman" w:cs="Times New Roman" w:eastAsia="Times New Roman" w:hAnsi="Times New Roman"/>
          <w:sz w:val="18"/>
          <w:szCs w:val="18"/>
          <w:color w:val="auto"/>
        </w:rPr>
        <w:t xml:space="preserve"> on our Consolidated Statements of Operations, was immaterial for the years ended December 31, 2023, 2022, and 2021.</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are additional details related to operating leases recorded on our Consolidated Balance Sheets as of December 31, 2023 and 2022:</w:t>
      </w:r>
    </w:p>
    <w:p>
      <w:pPr>
        <w:spacing w:after="0" w:line="202"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8"/>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r>
      <w:tr>
        <w:trPr>
          <w:trHeight w:val="212"/>
        </w:trPr>
        <w:tc>
          <w:tcPr>
            <w:tcW w:w="7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5"/>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5"/>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w:t>
            </w:r>
          </w:p>
        </w:tc>
      </w:tr>
      <w:tr>
        <w:trPr>
          <w:trHeight w:val="244"/>
        </w:trPr>
        <w:tc>
          <w:tcPr>
            <w:tcW w:w="7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liabilities</w:t>
            </w: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Rent expense was $17.7 million, $13.4 million, and $11.1 million for the years ended December 31, 2023, 2022, and 2021, respectively.</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Other information related to leases was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18"/>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5"/>
        </w:trPr>
        <w:tc>
          <w:tcPr>
            <w:tcW w:w="63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5"/>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5"/>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received for tenant incentive reimbursement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6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25"/>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Lease liabilities arising from obtaining right-of-use assets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5"/>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From acquisitions</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5"/>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From new and existing lease agreements and modifications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Leases (continued)</w:t>
      </w:r>
    </w:p>
    <w:p>
      <w:pPr>
        <w:spacing w:after="0" w:line="200" w:lineRule="exact"/>
        <w:rPr>
          <w:sz w:val="20"/>
          <w:szCs w:val="20"/>
          <w:color w:val="auto"/>
        </w:rPr>
      </w:pPr>
    </w:p>
    <w:p>
      <w:pPr>
        <w:spacing w:after="0" w:line="335"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100" w:type="dxa"/>
            <w:vAlign w:val="bottom"/>
            <w:gridSpan w:val="2"/>
          </w:tcPr>
          <w:p>
            <w:pPr>
              <w:spacing w:after="0"/>
              <w:rPr>
                <w:sz w:val="19"/>
                <w:szCs w:val="19"/>
                <w:color w:val="auto"/>
              </w:rPr>
            </w:pPr>
          </w:p>
        </w:tc>
        <w:tc>
          <w:tcPr>
            <w:tcW w:w="138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20" w:type="dxa"/>
            <w:vAlign w:val="bottom"/>
            <w:tcBorders>
              <w:top w:val="single" w:sz="8" w:color="auto"/>
            </w:tcBorders>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9"/>
        </w:trPr>
        <w:tc>
          <w:tcPr>
            <w:tcW w:w="7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 (in years)</w:t>
            </w:r>
          </w:p>
        </w:tc>
        <w:tc>
          <w:tcPr>
            <w:tcW w:w="1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33"/>
        </w:trPr>
        <w:tc>
          <w:tcPr>
            <w:tcW w:w="84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r>
    </w:tbl>
    <w:p>
      <w:pPr>
        <w:spacing w:after="0" w:line="2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table below reconciles the undiscounted future minimum lease payments under non-cancelable leases to the total lease liabilities recognized as of December 31, 2023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6"/>
              </w:rPr>
              <w:t>Operating Leases</w:t>
            </w:r>
          </w:p>
        </w:tc>
      </w:tr>
      <w:tr>
        <w:trPr>
          <w:trHeight w:val="218"/>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5"/>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25"/>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25"/>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5"/>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5"/>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18"/>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r>
      <w:tr>
        <w:trPr>
          <w:trHeight w:val="225"/>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Effects of discounting</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43"/>
        </w:trPr>
        <w:tc>
          <w:tcPr>
            <w:tcW w:w="9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table above does not include any legally binding minimum lease payments for leases signed but not yet commenced. Included in the undiscounted future minimum lease payments for the year ending December 31, 2024 are future tenant improvement allowance reimbursements related to our Ra’anana, Israel and Waltham, Massachusetts leases.</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Expense associated with short-term leases and variable lease costs were immaterial for the years ended December 31, 2023, 2022, and 2021. The expense related to short-term leases reasonably reflected our short-term lease commitments.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Leasing Activity</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Relating to our office space in Waltham, Massachusetts, the second phase of the lease commenced in April 2023. As the commencement of the remaining subsequent phases of this lease are expected to occur in the future, the Company has not recorded operating lease right-of-use assets or lease liabilities for these phases as of December 31, 2023.</w:t>
      </w:r>
    </w:p>
    <w:p>
      <w:pPr>
        <w:spacing w:after="0" w:line="12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During the year ended December 31, 2023, previously executed leases for office space located in Ra’anana, Israel commenced. We recognized an impairment charge of $4.6 million to reduce the carrying value of the associated right-of-use assets. Other impairments recognized during the year were immaterial and relate to subleased and abandoned locations. These charges were recognized within </w:t>
      </w:r>
      <w:r>
        <w:rPr>
          <w:rFonts w:ascii="Times New Roman" w:cs="Times New Roman" w:eastAsia="Times New Roman" w:hAnsi="Times New Roman"/>
          <w:sz w:val="18"/>
          <w:szCs w:val="18"/>
          <w:i w:val="1"/>
          <w:iCs w:val="1"/>
          <w:color w:val="auto"/>
        </w:rPr>
        <w:t>Restructuring and transaction-related expenses</w:t>
      </w:r>
      <w:r>
        <w:rPr>
          <w:rFonts w:ascii="Times New Roman" w:cs="Times New Roman" w:eastAsia="Times New Roman" w:hAnsi="Times New Roman"/>
          <w:sz w:val="18"/>
          <w:szCs w:val="18"/>
          <w:color w:val="auto"/>
        </w:rPr>
        <w:t xml:space="preserve"> on our Consolidated Statements of Operations.</w:t>
      </w:r>
    </w:p>
    <w:p>
      <w:pPr>
        <w:spacing w:after="0" w:line="12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the first quarter of 2022, the Company executed a seven-year lease for office space in Ra’anana, Israel. The rent payments are expected to commence in March 2024. Upon execution of the lease, the Company paid rent in advance of $1.7 million. The lease contains two options to extend for an additional three and five years, respectively, for which the Company is not reasonably certain of exercising as of December 31, 2023. The lease is subject to fixed rate rent with the addition of VAT and certain future increases of the Israel Consumer Price Index. The lease provides for $13.6 million in tenant improvements. The Company determined that it is the accounting owner of all tenant improvements.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Leases (continued)</w:t>
      </w:r>
    </w:p>
    <w:p>
      <w:pPr>
        <w:spacing w:after="0" w:line="200" w:lineRule="exact"/>
        <w:rPr>
          <w:sz w:val="20"/>
          <w:szCs w:val="20"/>
          <w:color w:val="auto"/>
        </w:rPr>
      </w:pPr>
    </w:p>
    <w:p>
      <w:pPr>
        <w:spacing w:after="0" w:line="29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In the third quarter of 2022, the Company executed a sublease termination agreement for sublet office space in Waltham, Massachusetts. Pursuant to the termination agreement, the sublessee paid the Company a lease termination penalty in the amount of $2.5 million. Additionally, this termination resulted in the derecognition of the previously capitalized initial direct costs of $1.4 million and the recognition of a gain of $1.1 million as a reduction of rent expense and allocated to the appropriate financial statement line items to arrive at </w:t>
      </w:r>
      <w:r>
        <w:rPr>
          <w:rFonts w:ascii="Times New Roman" w:cs="Times New Roman" w:eastAsia="Times New Roman" w:hAnsi="Times New Roman"/>
          <w:sz w:val="18"/>
          <w:szCs w:val="18"/>
          <w:i w:val="1"/>
          <w:iCs w:val="1"/>
          <w:color w:val="auto"/>
        </w:rPr>
        <w:t>Income (Loss) from operations</w:t>
      </w:r>
      <w:r>
        <w:rPr>
          <w:rFonts w:ascii="Times New Roman" w:cs="Times New Roman" w:eastAsia="Times New Roman" w:hAnsi="Times New Roman"/>
          <w:sz w:val="18"/>
          <w:szCs w:val="18"/>
          <w:color w:val="auto"/>
        </w:rPr>
        <w:t xml:space="preserve"> on our Consolidated Statements of Operations. The Company executed an agreement to sublet the Waltham office space to a new tenant for the remainder of our lease term which commenced in September 2022. Sublease income will be recorded as a reduction of rent expense and allocated to the appropriate financial statement line items to arrive at </w:t>
      </w:r>
      <w:r>
        <w:rPr>
          <w:rFonts w:ascii="Times New Roman" w:cs="Times New Roman" w:eastAsia="Times New Roman" w:hAnsi="Times New Roman"/>
          <w:sz w:val="18"/>
          <w:szCs w:val="18"/>
          <w:i w:val="1"/>
          <w:iCs w:val="1"/>
          <w:color w:val="auto"/>
        </w:rPr>
        <w:t>Income (Loss)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from operations </w:t>
      </w:r>
      <w:r>
        <w:rPr>
          <w:rFonts w:ascii="Times New Roman" w:cs="Times New Roman" w:eastAsia="Times New Roman" w:hAnsi="Times New Roman"/>
          <w:sz w:val="18"/>
          <w:szCs w:val="18"/>
          <w:color w:val="auto"/>
        </w:rPr>
        <w:t>on our Consolidated Statements of Operations.</w:t>
      </w:r>
    </w:p>
    <w:p>
      <w:pPr>
        <w:spacing w:after="0" w:line="13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Company's head lease for the sublet office space in Waltham provides for the option to extend for an additional five years which we were previously not reasonably certain to exercise. In connection with the subleasing activity detailed above, the Company reassessed the lease term of our sublet office space in Waltham and determined that the Company is reasonably certain of exercising the option. In July 2022, the Company recorded a $5.1 million increase in the operating lease right-of-use asset and a $5.1 million increase in the lease liability.</w:t>
      </w:r>
    </w:p>
    <w:p>
      <w:pPr>
        <w:spacing w:after="0" w:line="12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Undiscounted lease payments under all leases executed and not yet commenced are anticipated to be $293.6 million, which are not included in the tabular disclosure of undiscounted future minimum lease payments under non-cancelable leases above.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Equity-based Compensation</w:t>
      </w:r>
    </w:p>
    <w:p>
      <w:pPr>
        <w:spacing w:after="0" w:line="164"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2020 Omnibus Incentive Plan </w:t>
      </w:r>
      <w:r>
        <w:rPr>
          <w:rFonts w:ascii="Times New Roman" w:cs="Times New Roman" w:eastAsia="Times New Roman" w:hAnsi="Times New Roman"/>
          <w:sz w:val="18"/>
          <w:szCs w:val="18"/>
          <w:color w:val="auto"/>
        </w:rPr>
        <w:t>- On May 26, 2020, the Board adopted the Omnibus Plan. The Omnibus Plan provides for potential grants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awards with respect to shares of the Common Stock and OpCo Units: (i) incentive stock options qualified as such under U.S. federal income tax laws; (ii) non-qualified stock options or any other form of stock options; (iii) stock appreciation rights; (iv) Restricted Stock; (v) Restricted Stock Units; (vi) OpCo Units, and (vii) other equity-based and cash-based incentive awards as determined by the compensation committee of the Board or any properly delegated subcommittee.</w:t>
      </w:r>
    </w:p>
    <w:p>
      <w:pPr>
        <w:spacing w:after="0" w:line="13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At adoption, the maximum aggregate number of shares of Common Stock that could be issued pursuant to awards under the Omnibus Plan was 18,650,000 shares (including OpCo Units or other securities which have been issued under the plan and were converted into awards based on shares of common stock) (the “Plan Share Reserve”). The Omnibus Plan also contains a provision that will add an additional number of shares of Common Stock to the Plan Share Reserve on the first day of each year starting with January 1, 2021, equal to the lesser of (i) the positive difference between (x) 5% of the number of shares of Common Stock outstanding on the last day of the immediately preceding year, and (y) the Plan Share Reserve on the last day of the immediately preceding year, and (ii) a lower number of shares of Common Stock as may be determined by the Board. As of December 31, 2023, the number of shares remaining available for future issuance under the Omnibus Incentive Plan was 13,688,677.</w:t>
      </w:r>
    </w:p>
    <w:p>
      <w:pPr>
        <w:spacing w:after="0" w:line="13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currently has equity-based compensation awards outstanding as follows: Restricted Stock Units, Common Stock Options, and Restricted Stock. In addition, the Company recognizes equity-based compensation expense from awards granted to employees as further described below under HSKB Incentive Units.</w:t>
      </w:r>
    </w:p>
    <w:p>
      <w:pPr>
        <w:spacing w:after="0" w:line="12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Except where indicated otherwise, the equity-based compensation awards described below are subject to time-based service requirements. For grants issued prior to June 2020, the service vesting condition is generally over four years with 50% vesting on the two-year anniversary of the grant date of the award and the remainder vesting monthly thereafter. For awards made after May 2020 to employees, the service vesting condition is generally four years with 25% vesting on the one-year anniversary of the grant date of the award and 6.25% vesting quarterly thereafter; or three years with 33% vesting on the one-year anniversary of the grant date of the award and 8.375% vesting quarterly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Equity-based Compensation (continued)</w:t>
      </w:r>
    </w:p>
    <w:p>
      <w:pPr>
        <w:spacing w:after="0" w:line="200" w:lineRule="exact"/>
        <w:rPr>
          <w:sz w:val="20"/>
          <w:szCs w:val="20"/>
          <w:color w:val="auto"/>
        </w:rPr>
      </w:pPr>
    </w:p>
    <w:p>
      <w:pPr>
        <w:spacing w:after="0" w:line="29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For performance-based Restricted Stock Units (“PRSUs”) issued in the third quarter of 2022, the service vesting condition is one year and includes performance conditions of specified company performance targets. During the year ended December 31, 2023, the Company issued PRSUs, which were recommended by the Compensation Committee of the Board and approved by the full Board. The service vesting condition for one of the issued awards is one year. Each of the remaining PRSUs will vest in annual tranches over a three-year service period. Total PRSUs earned for grants made in 2023 may vary between 0% and 200% of the PRSUs granted based on the attainment of company-specific performance targets during the related performance period and continued service. All of the PRSUs earned will be settled through the issuance of an equivalent number of shares of the Company’s common stock based on the payout level achieved. Certain additional grants have other vesting periods approved by the Compensation Committee of the Board.</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Restricted Stock Unit activity was as follows during the periods indicated: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tcPr>
          <w:p>
            <w:pPr>
              <w:spacing w:after="0"/>
              <w:rPr>
                <w:sz w:val="17"/>
                <w:szCs w:val="17"/>
                <w:color w:val="auto"/>
              </w:rPr>
            </w:pPr>
          </w:p>
        </w:tc>
        <w:tc>
          <w:tcPr>
            <w:tcW w:w="3640" w:type="dxa"/>
            <w:vAlign w:val="bottom"/>
            <w:gridSpan w:val="5"/>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Year Ended December</w:t>
            </w:r>
          </w:p>
        </w:tc>
        <w:tc>
          <w:tcPr>
            <w:tcW w:w="0" w:type="dxa"/>
            <w:vAlign w:val="bottom"/>
          </w:tcPr>
          <w:p>
            <w:pPr>
              <w:spacing w:after="0"/>
              <w:rPr>
                <w:sz w:val="1"/>
                <w:szCs w:val="1"/>
                <w:color w:val="auto"/>
              </w:rPr>
            </w:pPr>
          </w:p>
        </w:tc>
      </w:tr>
      <w:tr>
        <w:trPr>
          <w:trHeight w:val="238"/>
        </w:trPr>
        <w:tc>
          <w:tcPr>
            <w:tcW w:w="4060" w:type="dxa"/>
            <w:vAlign w:val="bottom"/>
          </w:tcPr>
          <w:p>
            <w:pPr>
              <w:spacing w:after="0"/>
              <w:rPr>
                <w:sz w:val="20"/>
                <w:szCs w:val="20"/>
                <w:color w:val="auto"/>
              </w:rPr>
            </w:pPr>
          </w:p>
        </w:tc>
        <w:tc>
          <w:tcPr>
            <w:tcW w:w="3640" w:type="dxa"/>
            <w:vAlign w:val="bottom"/>
            <w:gridSpan w:val="5"/>
            <w:vMerge w:val="continue"/>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December 31, 2022</w:t>
            </w:r>
          </w:p>
        </w:tc>
        <w:tc>
          <w:tcPr>
            <w:tcW w:w="174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31, 2021</w:t>
            </w:r>
          </w:p>
        </w:tc>
        <w:tc>
          <w:tcPr>
            <w:tcW w:w="0" w:type="dxa"/>
            <w:vAlign w:val="bottom"/>
          </w:tcPr>
          <w:p>
            <w:pPr>
              <w:spacing w:after="0"/>
              <w:rPr>
                <w:sz w:val="1"/>
                <w:szCs w:val="1"/>
                <w:color w:val="auto"/>
              </w:rPr>
            </w:pPr>
          </w:p>
        </w:tc>
      </w:tr>
      <w:tr>
        <w:trPr>
          <w:trHeight w:val="166"/>
        </w:trPr>
        <w:tc>
          <w:tcPr>
            <w:tcW w:w="4060" w:type="dxa"/>
            <w:vAlign w:val="bottom"/>
          </w:tcPr>
          <w:p>
            <w:pPr>
              <w:spacing w:after="0"/>
              <w:rPr>
                <w:sz w:val="14"/>
                <w:szCs w:val="14"/>
                <w:color w:val="auto"/>
              </w:rPr>
            </w:pPr>
          </w:p>
        </w:tc>
        <w:tc>
          <w:tcPr>
            <w:tcW w:w="17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jc w:val="center"/>
              <w:ind w:right="72"/>
              <w:spacing w:after="0" w:line="165" w:lineRule="exact"/>
              <w:rPr>
                <w:sz w:val="20"/>
                <w:szCs w:val="20"/>
                <w:color w:val="auto"/>
              </w:rPr>
            </w:pPr>
            <w:r>
              <w:rPr>
                <w:rFonts w:ascii="Times New Roman" w:cs="Times New Roman" w:eastAsia="Times New Roman" w:hAnsi="Times New Roman"/>
                <w:sz w:val="18"/>
                <w:szCs w:val="18"/>
                <w:b w:val="1"/>
                <w:bCs w:val="1"/>
                <w:color w:val="auto"/>
                <w:w w:val="96"/>
              </w:rPr>
              <w:t>Weighted Average</w:t>
            </w:r>
          </w:p>
        </w:tc>
        <w:tc>
          <w:tcPr>
            <w:tcW w:w="100" w:type="dxa"/>
            <w:vAlign w:val="bottom"/>
          </w:tcPr>
          <w:p>
            <w:pPr>
              <w:spacing w:after="0"/>
              <w:rPr>
                <w:sz w:val="14"/>
                <w:szCs w:val="14"/>
                <w:color w:val="auto"/>
              </w:rPr>
            </w:pPr>
          </w:p>
        </w:tc>
        <w:tc>
          <w:tcPr>
            <w:tcW w:w="17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060" w:type="dxa"/>
            <w:vAlign w:val="bottom"/>
          </w:tcPr>
          <w:p>
            <w:pPr>
              <w:spacing w:after="0"/>
              <w:rPr>
                <w:sz w:val="15"/>
                <w:szCs w:val="15"/>
                <w:color w:val="auto"/>
              </w:rPr>
            </w:pP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Restricted Stock Units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gridSpan w:val="2"/>
          </w:tcPr>
          <w:p>
            <w:pPr>
              <w:jc w:val="center"/>
              <w:ind w:right="240"/>
              <w:spacing w:after="0" w:line="178"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1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Restricted Stock Units</w:t>
            </w:r>
          </w:p>
        </w:tc>
        <w:tc>
          <w:tcPr>
            <w:tcW w:w="1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Restricted Stock Units</w:t>
            </w:r>
          </w:p>
        </w:tc>
        <w:tc>
          <w:tcPr>
            <w:tcW w:w="0" w:type="dxa"/>
            <w:vAlign w:val="bottom"/>
          </w:tcPr>
          <w:p>
            <w:pPr>
              <w:spacing w:after="0"/>
              <w:rPr>
                <w:sz w:val="1"/>
                <w:szCs w:val="1"/>
                <w:color w:val="auto"/>
              </w:rPr>
            </w:pPr>
          </w:p>
        </w:tc>
      </w:tr>
      <w:tr>
        <w:trPr>
          <w:trHeight w:val="232"/>
        </w:trPr>
        <w:tc>
          <w:tcPr>
            <w:tcW w:w="4060" w:type="dxa"/>
            <w:vAlign w:val="bottom"/>
          </w:tcPr>
          <w:p>
            <w:pPr>
              <w:spacing w:after="0"/>
              <w:rPr>
                <w:sz w:val="20"/>
                <w:szCs w:val="20"/>
                <w:color w:val="auto"/>
              </w:rPr>
            </w:pPr>
          </w:p>
        </w:tc>
        <w:tc>
          <w:tcPr>
            <w:tcW w:w="17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800" w:type="dxa"/>
            <w:vAlign w:val="bottom"/>
            <w:gridSpan w:val="2"/>
            <w:vMerge w:val="continue"/>
          </w:tcPr>
          <w:p>
            <w:pPr>
              <w:spacing w:after="0"/>
              <w:rPr>
                <w:sz w:val="20"/>
                <w:szCs w:val="20"/>
                <w:color w:val="auto"/>
              </w:rPr>
            </w:pPr>
          </w:p>
        </w:tc>
        <w:tc>
          <w:tcPr>
            <w:tcW w:w="1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beginning of period</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10,377,568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4,853,795</w:t>
            </w:r>
          </w:p>
        </w:tc>
        <w:tc>
          <w:tcPr>
            <w:tcW w:w="8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985,398</w:t>
            </w:r>
          </w:p>
        </w:tc>
        <w:tc>
          <w:tcPr>
            <w:tcW w:w="0" w:type="dxa"/>
            <w:vAlign w:val="bottom"/>
          </w:tcPr>
          <w:p>
            <w:pPr>
              <w:spacing w:after="0"/>
              <w:rPr>
                <w:sz w:val="1"/>
                <w:szCs w:val="1"/>
                <w:color w:val="auto"/>
              </w:rPr>
            </w:pPr>
          </w:p>
        </w:tc>
      </w:tr>
      <w:tr>
        <w:trPr>
          <w:trHeight w:val="225"/>
        </w:trPr>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8,731,967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8,678,522</w:t>
            </w:r>
          </w:p>
        </w:tc>
        <w:tc>
          <w:tcPr>
            <w:tcW w:w="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4,656,717</w:t>
            </w:r>
          </w:p>
        </w:tc>
        <w:tc>
          <w:tcPr>
            <w:tcW w:w="0" w:type="dxa"/>
            <w:vAlign w:val="bottom"/>
          </w:tcPr>
          <w:p>
            <w:pPr>
              <w:spacing w:after="0"/>
              <w:rPr>
                <w:sz w:val="1"/>
                <w:szCs w:val="1"/>
                <w:color w:val="auto"/>
              </w:rPr>
            </w:pPr>
          </w:p>
        </w:tc>
      </w:tr>
      <w:tr>
        <w:trPr>
          <w:trHeight w:val="225"/>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Granted - performance-based</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147,445</w:t>
            </w: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(4,292,910)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46.63</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(1,265,449)</w:t>
            </w:r>
          </w:p>
        </w:tc>
        <w:tc>
          <w:tcPr>
            <w:tcW w:w="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(443,647)</w:t>
            </w:r>
          </w:p>
        </w:tc>
        <w:tc>
          <w:tcPr>
            <w:tcW w:w="0" w:type="dxa"/>
            <w:vAlign w:val="bottom"/>
          </w:tcPr>
          <w:p>
            <w:pPr>
              <w:spacing w:after="0"/>
              <w:rPr>
                <w:sz w:val="1"/>
                <w:szCs w:val="1"/>
                <w:color w:val="auto"/>
              </w:rPr>
            </w:pPr>
          </w:p>
        </w:tc>
      </w:tr>
      <w:tr>
        <w:trPr>
          <w:trHeight w:val="225"/>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(2,689,989)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10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(2,036,745)</w:t>
            </w:r>
          </w:p>
        </w:tc>
        <w:tc>
          <w:tcPr>
            <w:tcW w:w="8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(344,673)</w:t>
            </w:r>
          </w:p>
        </w:tc>
        <w:tc>
          <w:tcPr>
            <w:tcW w:w="0" w:type="dxa"/>
            <w:vAlign w:val="bottom"/>
          </w:tcPr>
          <w:p>
            <w:pPr>
              <w:spacing w:after="0"/>
              <w:rPr>
                <w:sz w:val="1"/>
                <w:szCs w:val="1"/>
                <w:color w:val="auto"/>
              </w:rPr>
            </w:pPr>
          </w:p>
        </w:tc>
      </w:tr>
      <w:tr>
        <w:trPr>
          <w:trHeight w:val="218"/>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at end of period</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12,636,460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100" w:type="dxa"/>
            <w:vAlign w:val="bottom"/>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10,377,568</w:t>
            </w:r>
          </w:p>
        </w:tc>
        <w:tc>
          <w:tcPr>
            <w:tcW w:w="8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4,853,795</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2021, the Company issued shares of Restricted Stock in exchange for all unvested HoldCo Units, Class P Units, and LTIP Units owned directly by employees of the Company (refer to Note 1 - Organization and Background). The exchanged shares of Restricted Stock remain subject to the same service vesting requirements of the original units. Upon fulfillment of the original employment service conditions, the restrictions will be lifted and the Restricted Stock will convert to unrestricted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Equity-based Compensation (continued)</w:t>
      </w:r>
    </w:p>
    <w:p>
      <w:pPr>
        <w:spacing w:after="0" w:line="200" w:lineRule="exact"/>
        <w:rPr>
          <w:sz w:val="20"/>
          <w:szCs w:val="20"/>
          <w:color w:val="auto"/>
        </w:rPr>
      </w:pPr>
    </w:p>
    <w:p>
      <w:pPr>
        <w:spacing w:after="0" w:line="2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Restricted Stock activity was as follows during the periods indicated: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17"/>
                <w:szCs w:val="17"/>
                <w:color w:val="auto"/>
              </w:rPr>
            </w:pPr>
          </w:p>
        </w:tc>
        <w:tc>
          <w:tcPr>
            <w:tcW w:w="3640" w:type="dxa"/>
            <w:vAlign w:val="bottom"/>
            <w:gridSpan w:val="5"/>
            <w:vMerge w:val="restart"/>
          </w:tcPr>
          <w:p>
            <w:pPr>
              <w:ind w:left="60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Year Ended December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 Ended December</w:t>
            </w:r>
          </w:p>
        </w:tc>
        <w:tc>
          <w:tcPr>
            <w:tcW w:w="0" w:type="dxa"/>
            <w:vAlign w:val="bottom"/>
          </w:tcPr>
          <w:p>
            <w:pPr>
              <w:spacing w:after="0"/>
              <w:rPr>
                <w:sz w:val="1"/>
                <w:szCs w:val="1"/>
                <w:color w:val="auto"/>
              </w:rPr>
            </w:pPr>
          </w:p>
        </w:tc>
      </w:tr>
      <w:tr>
        <w:trPr>
          <w:trHeight w:val="238"/>
        </w:trPr>
        <w:tc>
          <w:tcPr>
            <w:tcW w:w="4040" w:type="dxa"/>
            <w:vAlign w:val="bottom"/>
          </w:tcPr>
          <w:p>
            <w:pPr>
              <w:spacing w:after="0"/>
              <w:rPr>
                <w:sz w:val="20"/>
                <w:szCs w:val="20"/>
                <w:color w:val="auto"/>
              </w:rPr>
            </w:pPr>
          </w:p>
        </w:tc>
        <w:tc>
          <w:tcPr>
            <w:tcW w:w="3640" w:type="dxa"/>
            <w:vAlign w:val="bottom"/>
            <w:gridSpan w:val="5"/>
            <w:vMerge w:val="continue"/>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31, 2022</w:t>
            </w:r>
          </w:p>
        </w:tc>
        <w:tc>
          <w:tcPr>
            <w:tcW w:w="8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31, 2021</w:t>
            </w:r>
          </w:p>
        </w:tc>
        <w:tc>
          <w:tcPr>
            <w:tcW w:w="0" w:type="dxa"/>
            <w:vAlign w:val="bottom"/>
          </w:tcPr>
          <w:p>
            <w:pPr>
              <w:spacing w:after="0"/>
              <w:rPr>
                <w:sz w:val="1"/>
                <w:szCs w:val="1"/>
                <w:color w:val="auto"/>
              </w:rPr>
            </w:pPr>
          </w:p>
        </w:tc>
      </w:tr>
      <w:tr>
        <w:trPr>
          <w:trHeight w:val="165"/>
        </w:trPr>
        <w:tc>
          <w:tcPr>
            <w:tcW w:w="4040" w:type="dxa"/>
            <w:vAlign w:val="bottom"/>
          </w:tcPr>
          <w:p>
            <w:pPr>
              <w:spacing w:after="0"/>
              <w:rPr>
                <w:sz w:val="14"/>
                <w:szCs w:val="14"/>
                <w:color w:val="auto"/>
              </w:rPr>
            </w:pPr>
          </w:p>
        </w:tc>
        <w:tc>
          <w:tcPr>
            <w:tcW w:w="17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jc w:val="center"/>
              <w:ind w:right="32"/>
              <w:spacing w:after="0" w:line="165" w:lineRule="exact"/>
              <w:rPr>
                <w:sz w:val="20"/>
                <w:szCs w:val="20"/>
                <w:color w:val="auto"/>
              </w:rPr>
            </w:pPr>
            <w:r>
              <w:rPr>
                <w:rFonts w:ascii="Times New Roman" w:cs="Times New Roman" w:eastAsia="Times New Roman" w:hAnsi="Times New Roman"/>
                <w:sz w:val="18"/>
                <w:szCs w:val="18"/>
                <w:b w:val="1"/>
                <w:bCs w:val="1"/>
                <w:color w:val="auto"/>
                <w:w w:val="96"/>
              </w:rPr>
              <w:t>Weighted Average</w:t>
            </w:r>
          </w:p>
        </w:tc>
        <w:tc>
          <w:tcPr>
            <w:tcW w:w="100" w:type="dxa"/>
            <w:vAlign w:val="bottom"/>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040" w:type="dxa"/>
            <w:vAlign w:val="bottom"/>
          </w:tcPr>
          <w:p>
            <w:pPr>
              <w:spacing w:after="0"/>
              <w:rPr>
                <w:sz w:val="15"/>
                <w:szCs w:val="15"/>
                <w:color w:val="auto"/>
              </w:rPr>
            </w:pPr>
          </w:p>
        </w:tc>
        <w:tc>
          <w:tcPr>
            <w:tcW w:w="1720" w:type="dxa"/>
            <w:vAlign w:val="bottom"/>
            <w:vMerge w:val="restart"/>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Restricted stock</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gridSpan w:val="2"/>
          </w:tcPr>
          <w:p>
            <w:pPr>
              <w:jc w:val="center"/>
              <w:ind w:right="220"/>
              <w:spacing w:after="0" w:line="178" w:lineRule="exact"/>
              <w:rPr>
                <w:sz w:val="20"/>
                <w:szCs w:val="20"/>
                <w:color w:val="auto"/>
              </w:rPr>
            </w:pPr>
            <w:r>
              <w:rPr>
                <w:rFonts w:ascii="Times New Roman" w:cs="Times New Roman" w:eastAsia="Times New Roman" w:hAnsi="Times New Roman"/>
                <w:sz w:val="18"/>
                <w:szCs w:val="18"/>
                <w:b w:val="1"/>
                <w:bCs w:val="1"/>
                <w:color w:val="auto"/>
                <w:w w:val="97"/>
              </w:rPr>
              <w:t>Grant Date Fair</w:t>
            </w:r>
          </w:p>
        </w:tc>
        <w:tc>
          <w:tcPr>
            <w:tcW w:w="1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Restricted stock</w:t>
            </w: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Restricted stock</w:t>
            </w:r>
          </w:p>
        </w:tc>
        <w:tc>
          <w:tcPr>
            <w:tcW w:w="0" w:type="dxa"/>
            <w:vAlign w:val="bottom"/>
          </w:tcPr>
          <w:p>
            <w:pPr>
              <w:spacing w:after="0"/>
              <w:rPr>
                <w:sz w:val="1"/>
                <w:szCs w:val="1"/>
                <w:color w:val="auto"/>
              </w:rPr>
            </w:pPr>
          </w:p>
        </w:tc>
      </w:tr>
      <w:tr>
        <w:trPr>
          <w:trHeight w:val="232"/>
        </w:trPr>
        <w:tc>
          <w:tcPr>
            <w:tcW w:w="4040" w:type="dxa"/>
            <w:vAlign w:val="bottom"/>
          </w:tcPr>
          <w:p>
            <w:pPr>
              <w:spacing w:after="0"/>
              <w:rPr>
                <w:sz w:val="20"/>
                <w:szCs w:val="20"/>
                <w:color w:val="auto"/>
              </w:rPr>
            </w:pPr>
          </w:p>
        </w:tc>
        <w:tc>
          <w:tcPr>
            <w:tcW w:w="17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820" w:type="dxa"/>
            <w:vAlign w:val="bottom"/>
            <w:gridSpan w:val="2"/>
            <w:vMerge w:val="continue"/>
          </w:tcPr>
          <w:p>
            <w:pPr>
              <w:spacing w:after="0"/>
              <w:rPr>
                <w:sz w:val="20"/>
                <w:szCs w:val="20"/>
                <w:color w:val="auto"/>
              </w:rPr>
            </w:pPr>
          </w:p>
        </w:tc>
        <w:tc>
          <w:tcPr>
            <w:tcW w:w="1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beginning of period</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858,560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3,525,373</w:t>
            </w:r>
          </w:p>
        </w:tc>
        <w:tc>
          <w:tcPr>
            <w:tcW w:w="8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Exchanged HoldCo Units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872,371</w:t>
            </w:r>
          </w:p>
        </w:tc>
        <w:tc>
          <w:tcPr>
            <w:tcW w:w="0" w:type="dxa"/>
            <w:vAlign w:val="bottom"/>
          </w:tcPr>
          <w:p>
            <w:pPr>
              <w:spacing w:after="0"/>
              <w:rPr>
                <w:sz w:val="1"/>
                <w:szCs w:val="1"/>
                <w:color w:val="auto"/>
              </w:rPr>
            </w:pPr>
          </w:p>
        </w:tc>
      </w:tr>
      <w:tr>
        <w:trPr>
          <w:trHeight w:val="225"/>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Exchanged Class P Units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3,380,469</w:t>
            </w:r>
          </w:p>
        </w:tc>
        <w:tc>
          <w:tcPr>
            <w:tcW w:w="0" w:type="dxa"/>
            <w:vAlign w:val="bottom"/>
          </w:tcPr>
          <w:p>
            <w:pPr>
              <w:spacing w:after="0"/>
              <w:rPr>
                <w:sz w:val="1"/>
                <w:szCs w:val="1"/>
                <w:color w:val="auto"/>
              </w:rPr>
            </w:pPr>
          </w:p>
        </w:tc>
      </w:tr>
      <w:tr>
        <w:trPr>
          <w:trHeight w:val="225"/>
        </w:trPr>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Exchanged LTIP Units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294,665</w:t>
            </w:r>
          </w:p>
        </w:tc>
        <w:tc>
          <w:tcPr>
            <w:tcW w:w="0" w:type="dxa"/>
            <w:vAlign w:val="bottom"/>
          </w:tcPr>
          <w:p>
            <w:pPr>
              <w:spacing w:after="0"/>
              <w:rPr>
                <w:sz w:val="1"/>
                <w:szCs w:val="1"/>
                <w:color w:val="auto"/>
              </w:rPr>
            </w:pPr>
          </w:p>
        </w:tc>
      </w:tr>
      <w:tr>
        <w:trPr>
          <w:trHeight w:val="225"/>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(2,387,766)</w:t>
            </w: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(992,945)</w:t>
            </w:r>
          </w:p>
        </w:tc>
        <w:tc>
          <w:tcPr>
            <w:tcW w:w="0" w:type="dxa"/>
            <w:vAlign w:val="bottom"/>
          </w:tcPr>
          <w:p>
            <w:pPr>
              <w:spacing w:after="0"/>
              <w:rPr>
                <w:sz w:val="1"/>
                <w:szCs w:val="1"/>
                <w:color w:val="auto"/>
              </w:rPr>
            </w:pPr>
          </w:p>
        </w:tc>
      </w:tr>
      <w:tr>
        <w:trPr>
          <w:trHeight w:val="225"/>
        </w:trPr>
        <w:tc>
          <w:tcPr>
            <w:tcW w:w="4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(279,047)</w:t>
            </w:r>
          </w:p>
        </w:tc>
        <w:tc>
          <w:tcPr>
            <w:tcW w:w="8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(29,187)</w:t>
            </w:r>
          </w:p>
        </w:tc>
        <w:tc>
          <w:tcPr>
            <w:tcW w:w="0" w:type="dxa"/>
            <w:vAlign w:val="bottom"/>
          </w:tcPr>
          <w:p>
            <w:pPr>
              <w:spacing w:after="0"/>
              <w:rPr>
                <w:sz w:val="1"/>
                <w:szCs w:val="1"/>
                <w:color w:val="auto"/>
              </w:rPr>
            </w:pPr>
          </w:p>
        </w:tc>
      </w:tr>
      <w:tr>
        <w:trPr>
          <w:trHeight w:val="243"/>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end of period</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347,976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1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858,560</w:t>
            </w:r>
          </w:p>
        </w:tc>
        <w:tc>
          <w:tcPr>
            <w:tcW w:w="8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3,525,373</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Options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Options activity was as follows during the period indicated: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17"/>
                <w:szCs w:val="17"/>
                <w:color w:val="auto"/>
              </w:rPr>
            </w:pPr>
          </w:p>
        </w:tc>
        <w:tc>
          <w:tcPr>
            <w:tcW w:w="3540" w:type="dxa"/>
            <w:vAlign w:val="bottom"/>
            <w:gridSpan w:val="4"/>
            <w:vMerge w:val="restart"/>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100" w:type="dxa"/>
            <w:vAlign w:val="bottom"/>
          </w:tcPr>
          <w:p>
            <w:pPr>
              <w:spacing w:after="0"/>
              <w:rPr>
                <w:sz w:val="17"/>
                <w:szCs w:val="17"/>
                <w:color w:val="auto"/>
              </w:rPr>
            </w:pP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Year Ended December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 Ended December</w:t>
            </w:r>
          </w:p>
        </w:tc>
        <w:tc>
          <w:tcPr>
            <w:tcW w:w="0" w:type="dxa"/>
            <w:vAlign w:val="bottom"/>
          </w:tcPr>
          <w:p>
            <w:pPr>
              <w:spacing w:after="0"/>
              <w:rPr>
                <w:sz w:val="1"/>
                <w:szCs w:val="1"/>
                <w:color w:val="auto"/>
              </w:rPr>
            </w:pPr>
          </w:p>
        </w:tc>
      </w:tr>
      <w:tr>
        <w:trPr>
          <w:trHeight w:val="238"/>
        </w:trPr>
        <w:tc>
          <w:tcPr>
            <w:tcW w:w="4040" w:type="dxa"/>
            <w:vAlign w:val="bottom"/>
          </w:tcPr>
          <w:p>
            <w:pPr>
              <w:spacing w:after="0"/>
              <w:rPr>
                <w:sz w:val="20"/>
                <w:szCs w:val="20"/>
                <w:color w:val="auto"/>
              </w:rPr>
            </w:pPr>
          </w:p>
        </w:tc>
        <w:tc>
          <w:tcPr>
            <w:tcW w:w="3540" w:type="dxa"/>
            <w:vAlign w:val="bottom"/>
            <w:tcBorders>
              <w:bottom w:val="single" w:sz="8" w:color="auto"/>
            </w:tcBorders>
            <w:gridSpan w:val="4"/>
            <w:vMerge w:val="continue"/>
          </w:tcPr>
          <w:p>
            <w:pPr>
              <w:spacing w:after="0"/>
              <w:rPr>
                <w:sz w:val="20"/>
                <w:szCs w:val="20"/>
                <w:color w:val="auto"/>
              </w:rPr>
            </w:pPr>
          </w:p>
        </w:tc>
        <w:tc>
          <w:tcPr>
            <w:tcW w:w="1840" w:type="dxa"/>
            <w:vAlign w:val="bottom"/>
            <w:tcBorders>
              <w:bottom w:val="single" w:sz="8" w:color="auto"/>
            </w:tcBorders>
            <w:gridSpan w:val="2"/>
          </w:tcPr>
          <w:p>
            <w:pPr>
              <w:jc w:val="center"/>
              <w:ind w:left="12"/>
              <w:spacing w:after="0"/>
              <w:rPr>
                <w:sz w:val="20"/>
                <w:szCs w:val="20"/>
                <w:color w:val="auto"/>
              </w:rPr>
            </w:pPr>
            <w:r>
              <w:rPr>
                <w:rFonts w:ascii="Times New Roman" w:cs="Times New Roman" w:eastAsia="Times New Roman" w:hAnsi="Times New Roman"/>
                <w:sz w:val="18"/>
                <w:szCs w:val="18"/>
                <w:b w:val="1"/>
                <w:bCs w:val="1"/>
                <w:color w:val="auto"/>
                <w:w w:val="98"/>
              </w:rPr>
              <w:t>31, 2022</w:t>
            </w:r>
          </w:p>
        </w:tc>
        <w:tc>
          <w:tcPr>
            <w:tcW w:w="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31, 2021</w:t>
            </w:r>
          </w:p>
        </w:tc>
        <w:tc>
          <w:tcPr>
            <w:tcW w:w="0" w:type="dxa"/>
            <w:vAlign w:val="bottom"/>
          </w:tcPr>
          <w:p>
            <w:pPr>
              <w:spacing w:after="0"/>
              <w:rPr>
                <w:sz w:val="1"/>
                <w:szCs w:val="1"/>
                <w:color w:val="auto"/>
              </w:rPr>
            </w:pPr>
          </w:p>
        </w:tc>
      </w:tr>
      <w:tr>
        <w:trPr>
          <w:trHeight w:val="166"/>
        </w:trPr>
        <w:tc>
          <w:tcPr>
            <w:tcW w:w="4040" w:type="dxa"/>
            <w:vAlign w:val="bottom"/>
          </w:tcPr>
          <w:p>
            <w:pPr>
              <w:spacing w:after="0"/>
              <w:rPr>
                <w:sz w:val="14"/>
                <w:szCs w:val="14"/>
                <w:color w:val="auto"/>
              </w:rPr>
            </w:pPr>
          </w:p>
        </w:tc>
        <w:tc>
          <w:tcPr>
            <w:tcW w:w="1720" w:type="dxa"/>
            <w:vAlign w:val="bottom"/>
            <w:vMerge w:val="restart"/>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jc w:val="right"/>
              <w:ind w:right="72"/>
              <w:spacing w:after="0" w:line="165"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00" w:type="dxa"/>
            <w:vAlign w:val="bottom"/>
          </w:tcPr>
          <w:p>
            <w:pPr>
              <w:spacing w:after="0"/>
              <w:rPr>
                <w:sz w:val="14"/>
                <w:szCs w:val="14"/>
                <w:color w:val="auto"/>
              </w:rPr>
            </w:pPr>
          </w:p>
        </w:tc>
        <w:tc>
          <w:tcPr>
            <w:tcW w:w="1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0" w:type="dxa"/>
            <w:vAlign w:val="bottom"/>
          </w:tcPr>
          <w:p>
            <w:pPr>
              <w:spacing w:after="0"/>
              <w:rPr>
                <w:sz w:val="1"/>
                <w:szCs w:val="1"/>
                <w:color w:val="auto"/>
              </w:rPr>
            </w:pPr>
          </w:p>
        </w:tc>
      </w:tr>
      <w:tr>
        <w:trPr>
          <w:trHeight w:val="238"/>
        </w:trPr>
        <w:tc>
          <w:tcPr>
            <w:tcW w:w="4040" w:type="dxa"/>
            <w:vAlign w:val="bottom"/>
          </w:tcPr>
          <w:p>
            <w:pPr>
              <w:spacing w:after="0"/>
              <w:rPr>
                <w:sz w:val="20"/>
                <w:szCs w:val="20"/>
                <w:color w:val="auto"/>
              </w:rPr>
            </w:pPr>
          </w:p>
        </w:tc>
        <w:tc>
          <w:tcPr>
            <w:tcW w:w="17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00" w:type="dxa"/>
            <w:vAlign w:val="bottom"/>
          </w:tcPr>
          <w:p>
            <w:pPr>
              <w:spacing w:after="0"/>
              <w:rPr>
                <w:sz w:val="20"/>
                <w:szCs w:val="20"/>
                <w:color w:val="auto"/>
              </w:rPr>
            </w:pPr>
          </w:p>
        </w:tc>
        <w:tc>
          <w:tcPr>
            <w:tcW w:w="1820" w:type="dxa"/>
            <w:vAlign w:val="bottom"/>
            <w:gridSpan w:val="2"/>
            <w:vMerge w:val="continue"/>
          </w:tcPr>
          <w:p>
            <w:pPr>
              <w:spacing w:after="0"/>
              <w:rPr>
                <w:sz w:val="20"/>
                <w:szCs w:val="20"/>
                <w:color w:val="auto"/>
              </w:rPr>
            </w:pPr>
          </w:p>
        </w:tc>
        <w:tc>
          <w:tcPr>
            <w:tcW w:w="1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323,002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417,085</w:t>
            </w:r>
          </w:p>
        </w:tc>
        <w:tc>
          <w:tcPr>
            <w:tcW w:w="8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552,440</w:t>
            </w:r>
          </w:p>
        </w:tc>
        <w:tc>
          <w:tcPr>
            <w:tcW w:w="0" w:type="dxa"/>
            <w:vAlign w:val="bottom"/>
          </w:tcPr>
          <w:p>
            <w:pPr>
              <w:spacing w:after="0"/>
              <w:rPr>
                <w:sz w:val="1"/>
                <w:szCs w:val="1"/>
                <w:color w:val="auto"/>
              </w:rPr>
            </w:pPr>
          </w:p>
        </w:tc>
      </w:tr>
      <w:tr>
        <w:trPr>
          <w:trHeight w:val="225"/>
        </w:trPr>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(63,193)</w:t>
            </w:r>
          </w:p>
        </w:tc>
        <w:tc>
          <w:tcPr>
            <w:tcW w:w="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(102,330)</w:t>
            </w:r>
          </w:p>
        </w:tc>
        <w:tc>
          <w:tcPr>
            <w:tcW w:w="0" w:type="dxa"/>
            <w:vAlign w:val="bottom"/>
          </w:tcPr>
          <w:p>
            <w:pPr>
              <w:spacing w:after="0"/>
              <w:rPr>
                <w:sz w:val="1"/>
                <w:szCs w:val="1"/>
                <w:color w:val="auto"/>
              </w:rPr>
            </w:pPr>
          </w:p>
        </w:tc>
      </w:tr>
      <w:tr>
        <w:trPr>
          <w:trHeight w:val="225"/>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Expired</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(7,950)</w:t>
            </w: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(22,940)</w:t>
            </w:r>
          </w:p>
        </w:tc>
        <w:tc>
          <w:tcPr>
            <w:tcW w:w="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(33,025)</w:t>
            </w:r>
          </w:p>
        </w:tc>
        <w:tc>
          <w:tcPr>
            <w:tcW w:w="0" w:type="dxa"/>
            <w:vAlign w:val="bottom"/>
          </w:tcPr>
          <w:p>
            <w:pPr>
              <w:spacing w:after="0"/>
              <w:rPr>
                <w:sz w:val="1"/>
                <w:szCs w:val="1"/>
                <w:color w:val="auto"/>
              </w:rPr>
            </w:pPr>
          </w:p>
        </w:tc>
      </w:tr>
      <w:tr>
        <w:trPr>
          <w:trHeight w:val="243"/>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5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tcBorders>
              <w:top w:val="single" w:sz="8" w:color="CCEEFF"/>
              <w:bottom w:val="single" w:sz="8" w:color="auto"/>
            </w:tcBorders>
            <w:shd w:val="clear" w:color="auto" w:fill="CCEEFF"/>
          </w:tcPr>
          <w:p>
            <w:pPr>
              <w:spacing w:after="0"/>
              <w:rPr>
                <w:sz w:val="20"/>
                <w:szCs w:val="20"/>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323,002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417,085</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Options have a maximum contractual term of ten years. The aggregate intrinsic value and weighted average remaining contractual terms of Options outstanding and Options exercisable were as follows as of December 31, 2023.</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9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5"/>
        </w:trPr>
        <w:tc>
          <w:tcPr>
            <w:tcW w:w="898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 xml:space="preserve">Aggregate intrinsic value </w:t>
            </w:r>
            <w:r>
              <w:rPr>
                <w:rFonts w:ascii="Times New Roman" w:cs="Times New Roman" w:eastAsia="Times New Roman" w:hAnsi="Times New Roman"/>
                <w:sz w:val="18"/>
                <w:szCs w:val="18"/>
                <w:i w:val="1"/>
                <w:iCs w:val="1"/>
                <w:color w:val="auto"/>
              </w:rPr>
              <w:t>(in millions)</w:t>
            </w:r>
            <w:r>
              <w:rPr>
                <w:rFonts w:ascii="Times New Roman" w:cs="Times New Roman" w:eastAsia="Times New Roman" w:hAnsi="Times New Roman"/>
                <w:sz w:val="22"/>
                <w:szCs w:val="22"/>
                <w:i w:val="1"/>
                <w:iCs w:val="1"/>
                <w:color w:val="auto"/>
                <w:vertAlign w:val="superscript"/>
              </w:rPr>
              <w:t>(1)</w:t>
            </w:r>
          </w:p>
        </w:tc>
        <w:tc>
          <w:tcPr>
            <w:tcW w:w="26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r>
      <w:tr>
        <w:trPr>
          <w:trHeight w:val="225"/>
        </w:trPr>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 outstanding</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Options exercisable</w:t>
            </w: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Weighted average remaining contractual term </w:t>
            </w:r>
            <w:r>
              <w:rPr>
                <w:rFonts w:ascii="Times New Roman" w:cs="Times New Roman" w:eastAsia="Times New Roman" w:hAnsi="Times New Roman"/>
                <w:sz w:val="18"/>
                <w:szCs w:val="18"/>
                <w:i w:val="1"/>
                <w:iCs w:val="1"/>
                <w:color w:val="auto"/>
              </w:rPr>
              <w:t>(in years)</w:t>
            </w:r>
          </w:p>
        </w:tc>
        <w:tc>
          <w:tcPr>
            <w:tcW w:w="2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25"/>
        </w:trPr>
        <w:tc>
          <w:tcPr>
            <w:tcW w:w="8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Options outstanding</w:t>
            </w: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w w:val="98"/>
              </w:rPr>
              <w:t>6.3 years</w:t>
            </w:r>
          </w:p>
        </w:tc>
      </w:tr>
      <w:tr>
        <w:trPr>
          <w:trHeight w:val="231"/>
        </w:trPr>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 exercisable</w:t>
            </w:r>
          </w:p>
        </w:tc>
        <w:tc>
          <w:tcPr>
            <w:tcW w:w="260" w:type="dxa"/>
            <w:vAlign w:val="bottom"/>
          </w:tcPr>
          <w:p>
            <w:pPr>
              <w:spacing w:after="0"/>
              <w:rPr>
                <w:sz w:val="20"/>
                <w:szCs w:val="20"/>
                <w:color w:val="auto"/>
              </w:rPr>
            </w:pPr>
          </w:p>
        </w:tc>
        <w:tc>
          <w:tcPr>
            <w:tcW w:w="20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8"/>
              </w:rPr>
              <w:t>6.3 years</w:t>
            </w:r>
          </w:p>
        </w:tc>
      </w:tr>
      <w:tr>
        <w:trPr>
          <w:trHeight w:val="301"/>
        </w:trPr>
        <w:tc>
          <w:tcPr>
            <w:tcW w:w="898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w:t>
            </w: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r>
    </w:tbl>
    <w:p>
      <w:pPr>
        <w:ind w:left="640" w:hanging="634"/>
        <w:spacing w:after="0"/>
        <w:tabs>
          <w:tab w:leader="none" w:pos="6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intrinsic value of options outstanding and exercisable is zero, as all options are out of the money.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Equity-based Compensation (continued)</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HoldCo Units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2021, ZoomInfo HoldCo waived the restriction on exchanges of unvested HoldCo Units on condition that such holders accept shares of our common stock subject to the same vesting terms as the corresponding exchanged HoldCo Units. Subsequently, all unvested HoldCo Units, along with the same number of corresponding shares of our Class B common stock held directly by employees of the Company were voluntarily exchanged for shares of Restricted Stock.</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4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HoldCo Unit activity was as follows during the periods indicated:</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7"/>
        </w:trPr>
        <w:tc>
          <w:tcPr>
            <w:tcW w:w="4040" w:type="dxa"/>
            <w:vAlign w:val="bottom"/>
          </w:tcPr>
          <w:p>
            <w:pPr>
              <w:spacing w:after="0"/>
              <w:rPr>
                <w:sz w:val="24"/>
                <w:szCs w:val="24"/>
                <w:color w:val="auto"/>
              </w:rPr>
            </w:pPr>
          </w:p>
        </w:tc>
        <w:tc>
          <w:tcPr>
            <w:tcW w:w="3660" w:type="dxa"/>
            <w:vAlign w:val="bottom"/>
            <w:gridSpan w:val="6"/>
            <w:vMerge w:val="restart"/>
          </w:tcPr>
          <w:p>
            <w:pPr>
              <w:ind w:left="60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 Ended December</w:t>
            </w:r>
          </w:p>
        </w:tc>
        <w:tc>
          <w:tcPr>
            <w:tcW w:w="0" w:type="dxa"/>
            <w:vAlign w:val="bottom"/>
          </w:tcPr>
          <w:p>
            <w:pPr>
              <w:spacing w:after="0"/>
              <w:rPr>
                <w:sz w:val="1"/>
                <w:szCs w:val="1"/>
                <w:color w:val="auto"/>
              </w:rPr>
            </w:pPr>
          </w:p>
        </w:tc>
      </w:tr>
      <w:tr>
        <w:trPr>
          <w:trHeight w:val="238"/>
        </w:trPr>
        <w:tc>
          <w:tcPr>
            <w:tcW w:w="4040" w:type="dxa"/>
            <w:vAlign w:val="bottom"/>
          </w:tcPr>
          <w:p>
            <w:pPr>
              <w:spacing w:after="0"/>
              <w:rPr>
                <w:sz w:val="20"/>
                <w:szCs w:val="20"/>
                <w:color w:val="auto"/>
              </w:rPr>
            </w:pPr>
          </w:p>
        </w:tc>
        <w:tc>
          <w:tcPr>
            <w:tcW w:w="3660" w:type="dxa"/>
            <w:vAlign w:val="bottom"/>
            <w:gridSpan w:val="6"/>
            <w:vMerge w:val="continue"/>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December 31, 2022</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31, 2021</w:t>
            </w:r>
          </w:p>
        </w:tc>
        <w:tc>
          <w:tcPr>
            <w:tcW w:w="0" w:type="dxa"/>
            <w:vAlign w:val="bottom"/>
          </w:tcPr>
          <w:p>
            <w:pPr>
              <w:spacing w:after="0"/>
              <w:rPr>
                <w:sz w:val="1"/>
                <w:szCs w:val="1"/>
                <w:color w:val="auto"/>
              </w:rPr>
            </w:pPr>
          </w:p>
        </w:tc>
      </w:tr>
      <w:tr>
        <w:trPr>
          <w:trHeight w:val="166"/>
        </w:trPr>
        <w:tc>
          <w:tcPr>
            <w:tcW w:w="4040" w:type="dxa"/>
            <w:vAlign w:val="bottom"/>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jc w:val="center"/>
              <w:ind w:right="72"/>
              <w:spacing w:after="0" w:line="165" w:lineRule="exact"/>
              <w:rPr>
                <w:sz w:val="20"/>
                <w:szCs w:val="20"/>
                <w:color w:val="auto"/>
              </w:rPr>
            </w:pPr>
            <w:r>
              <w:rPr>
                <w:rFonts w:ascii="Times New Roman" w:cs="Times New Roman" w:eastAsia="Times New Roman" w:hAnsi="Times New Roman"/>
                <w:sz w:val="18"/>
                <w:szCs w:val="18"/>
                <w:b w:val="1"/>
                <w:bCs w:val="1"/>
                <w:color w:val="auto"/>
                <w:w w:val="96"/>
              </w:rPr>
              <w:t>Weighted Average</w:t>
            </w:r>
          </w:p>
        </w:tc>
        <w:tc>
          <w:tcPr>
            <w:tcW w:w="100" w:type="dxa"/>
            <w:vAlign w:val="bottom"/>
          </w:tcPr>
          <w:p>
            <w:pPr>
              <w:spacing w:after="0"/>
              <w:rPr>
                <w:sz w:val="14"/>
                <w:szCs w:val="14"/>
                <w:color w:val="auto"/>
              </w:rPr>
            </w:pPr>
          </w:p>
        </w:tc>
        <w:tc>
          <w:tcPr>
            <w:tcW w:w="17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040" w:type="dxa"/>
            <w:vAlign w:val="bottom"/>
          </w:tcPr>
          <w:p>
            <w:pPr>
              <w:spacing w:after="0"/>
              <w:rPr>
                <w:sz w:val="15"/>
                <w:szCs w:val="15"/>
                <w:color w:val="auto"/>
              </w:rPr>
            </w:pPr>
          </w:p>
        </w:tc>
        <w:tc>
          <w:tcPr>
            <w:tcW w:w="14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HoldCo Units</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gridSpan w:val="2"/>
          </w:tcPr>
          <w:p>
            <w:pPr>
              <w:jc w:val="center"/>
              <w:ind w:right="240"/>
              <w:spacing w:after="0" w:line="178"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1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HoldCo Units</w:t>
            </w: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HoldCo Units</w:t>
            </w:r>
          </w:p>
        </w:tc>
        <w:tc>
          <w:tcPr>
            <w:tcW w:w="0" w:type="dxa"/>
            <w:vAlign w:val="bottom"/>
          </w:tcPr>
          <w:p>
            <w:pPr>
              <w:spacing w:after="0"/>
              <w:rPr>
                <w:sz w:val="1"/>
                <w:szCs w:val="1"/>
                <w:color w:val="auto"/>
              </w:rPr>
            </w:pPr>
          </w:p>
        </w:tc>
      </w:tr>
      <w:tr>
        <w:trPr>
          <w:trHeight w:val="232"/>
        </w:trPr>
        <w:tc>
          <w:tcPr>
            <w:tcW w:w="4040" w:type="dxa"/>
            <w:vAlign w:val="bottom"/>
          </w:tcPr>
          <w:p>
            <w:pPr>
              <w:spacing w:after="0"/>
              <w:rPr>
                <w:sz w:val="20"/>
                <w:szCs w:val="20"/>
                <w:color w:val="auto"/>
              </w:rPr>
            </w:pPr>
          </w:p>
        </w:tc>
        <w:tc>
          <w:tcPr>
            <w:tcW w:w="142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800" w:type="dxa"/>
            <w:vAlign w:val="bottom"/>
            <w:gridSpan w:val="2"/>
            <w:vMerge w:val="continue"/>
          </w:tcPr>
          <w:p>
            <w:pPr>
              <w:spacing w:after="0"/>
              <w:rPr>
                <w:sz w:val="20"/>
                <w:szCs w:val="20"/>
                <w:color w:val="auto"/>
              </w:rPr>
            </w:pPr>
          </w:p>
        </w:tc>
        <w:tc>
          <w:tcPr>
            <w:tcW w:w="1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beginning of period</w:t>
            </w:r>
          </w:p>
        </w:tc>
        <w:tc>
          <w:tcPr>
            <w:tcW w:w="14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1,214,105</w:t>
            </w:r>
          </w:p>
        </w:tc>
        <w:tc>
          <w:tcPr>
            <w:tcW w:w="0" w:type="dxa"/>
            <w:vAlign w:val="bottom"/>
          </w:tcPr>
          <w:p>
            <w:pPr>
              <w:spacing w:after="0"/>
              <w:rPr>
                <w:sz w:val="1"/>
                <w:szCs w:val="1"/>
                <w:color w:val="auto"/>
              </w:rPr>
            </w:pPr>
          </w:p>
        </w:tc>
      </w:tr>
      <w:tr>
        <w:trPr>
          <w:trHeight w:val="225"/>
        </w:trPr>
        <w:tc>
          <w:tcPr>
            <w:tcW w:w="5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Exchanged for Restricted Stock</w:t>
            </w:r>
          </w:p>
        </w:tc>
        <w:tc>
          <w:tcPr>
            <w:tcW w:w="5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(872,371)</w:t>
            </w:r>
          </w:p>
        </w:tc>
        <w:tc>
          <w:tcPr>
            <w:tcW w:w="0" w:type="dxa"/>
            <w:vAlign w:val="bottom"/>
          </w:tcPr>
          <w:p>
            <w:pPr>
              <w:spacing w:after="0"/>
              <w:rPr>
                <w:sz w:val="1"/>
                <w:szCs w:val="1"/>
                <w:color w:val="auto"/>
              </w:rPr>
            </w:pPr>
          </w:p>
        </w:tc>
      </w:tr>
      <w:tr>
        <w:trPr>
          <w:trHeight w:val="225"/>
        </w:trPr>
        <w:tc>
          <w:tcPr>
            <w:tcW w:w="5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5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(298,177)</w:t>
            </w:r>
          </w:p>
        </w:tc>
        <w:tc>
          <w:tcPr>
            <w:tcW w:w="0" w:type="dxa"/>
            <w:vAlign w:val="bottom"/>
          </w:tcPr>
          <w:p>
            <w:pPr>
              <w:spacing w:after="0"/>
              <w:rPr>
                <w:sz w:val="1"/>
                <w:szCs w:val="1"/>
                <w:color w:val="auto"/>
              </w:rPr>
            </w:pPr>
          </w:p>
        </w:tc>
      </w:tr>
      <w:tr>
        <w:trPr>
          <w:trHeight w:val="225"/>
        </w:trPr>
        <w:tc>
          <w:tcPr>
            <w:tcW w:w="4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tcPr>
          <w:p>
            <w:pPr>
              <w:spacing w:after="0"/>
              <w:rPr>
                <w:sz w:val="19"/>
                <w:szCs w:val="19"/>
                <w:color w:val="auto"/>
              </w:rPr>
            </w:pPr>
          </w:p>
        </w:tc>
        <w:tc>
          <w:tcPr>
            <w:tcW w:w="1680" w:type="dxa"/>
            <w:vAlign w:val="bottom"/>
            <w:tcBorders>
              <w:bottom w:val="single" w:sz="8" w:color="CCEEFF"/>
            </w:tcBorders>
            <w:gridSpan w:val="2"/>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(43,557)</w:t>
            </w:r>
          </w:p>
        </w:tc>
        <w:tc>
          <w:tcPr>
            <w:tcW w:w="0" w:type="dxa"/>
            <w:vAlign w:val="bottom"/>
          </w:tcPr>
          <w:p>
            <w:pPr>
              <w:spacing w:after="0"/>
              <w:rPr>
                <w:sz w:val="1"/>
                <w:szCs w:val="1"/>
                <w:color w:val="auto"/>
              </w:rPr>
            </w:pPr>
          </w:p>
        </w:tc>
      </w:tr>
      <w:tr>
        <w:trPr>
          <w:trHeight w:val="238"/>
        </w:trPr>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end of period</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P Units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During the year ended December 31, 2021, the Company permitted employees to exercise the exchange rights on unvested Class P Units, pursuant to Board approval. Subsequently, the Company exercised the exchange rights on unvested Class P Units due to the Holding Company Reorganization (refer to Note 1 - Organization and Background). The recipients received a number of shares of Restricted Stock equal in value to the implied “spread value” of the corresponding Class P Units, calculated based on the excess of the public trading price of Class A common stock at the time of the exchange over the per unit participation threshold of such Class P Units. The shares of Restricted Stock received are subject to the same vesting terms as the corresponding exchanged unvested Class P units.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Class P Unit activity was as follows during the periods indicated:</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7"/>
        </w:trPr>
        <w:tc>
          <w:tcPr>
            <w:tcW w:w="4020" w:type="dxa"/>
            <w:vAlign w:val="bottom"/>
          </w:tcPr>
          <w:p>
            <w:pPr>
              <w:spacing w:after="0"/>
              <w:rPr>
                <w:sz w:val="24"/>
                <w:szCs w:val="24"/>
                <w:color w:val="auto"/>
              </w:rPr>
            </w:pPr>
          </w:p>
        </w:tc>
        <w:tc>
          <w:tcPr>
            <w:tcW w:w="3680" w:type="dxa"/>
            <w:vAlign w:val="bottom"/>
            <w:gridSpan w:val="6"/>
            <w:vMerge w:val="restart"/>
          </w:tcPr>
          <w:p>
            <w:pPr>
              <w:ind w:left="60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 Ended December</w:t>
            </w:r>
          </w:p>
        </w:tc>
        <w:tc>
          <w:tcPr>
            <w:tcW w:w="0" w:type="dxa"/>
            <w:vAlign w:val="bottom"/>
          </w:tcPr>
          <w:p>
            <w:pPr>
              <w:spacing w:after="0"/>
              <w:rPr>
                <w:sz w:val="1"/>
                <w:szCs w:val="1"/>
                <w:color w:val="auto"/>
              </w:rPr>
            </w:pPr>
          </w:p>
        </w:tc>
      </w:tr>
      <w:tr>
        <w:trPr>
          <w:trHeight w:val="238"/>
        </w:trPr>
        <w:tc>
          <w:tcPr>
            <w:tcW w:w="4020" w:type="dxa"/>
            <w:vAlign w:val="bottom"/>
          </w:tcPr>
          <w:p>
            <w:pPr>
              <w:spacing w:after="0"/>
              <w:rPr>
                <w:sz w:val="20"/>
                <w:szCs w:val="20"/>
                <w:color w:val="auto"/>
              </w:rPr>
            </w:pPr>
          </w:p>
        </w:tc>
        <w:tc>
          <w:tcPr>
            <w:tcW w:w="3680" w:type="dxa"/>
            <w:vAlign w:val="bottom"/>
            <w:gridSpan w:val="6"/>
            <w:vMerge w:val="continue"/>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December 31, 2022</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31, 2021</w:t>
            </w:r>
          </w:p>
        </w:tc>
        <w:tc>
          <w:tcPr>
            <w:tcW w:w="0" w:type="dxa"/>
            <w:vAlign w:val="bottom"/>
          </w:tcPr>
          <w:p>
            <w:pPr>
              <w:spacing w:after="0"/>
              <w:rPr>
                <w:sz w:val="1"/>
                <w:szCs w:val="1"/>
                <w:color w:val="auto"/>
              </w:rPr>
            </w:pPr>
          </w:p>
        </w:tc>
      </w:tr>
      <w:tr>
        <w:trPr>
          <w:trHeight w:val="165"/>
        </w:trPr>
        <w:tc>
          <w:tcPr>
            <w:tcW w:w="4020" w:type="dxa"/>
            <w:vAlign w:val="bottom"/>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jc w:val="center"/>
              <w:ind w:right="52"/>
              <w:spacing w:after="0" w:line="165" w:lineRule="exact"/>
              <w:rPr>
                <w:sz w:val="20"/>
                <w:szCs w:val="20"/>
                <w:color w:val="auto"/>
              </w:rPr>
            </w:pPr>
            <w:r>
              <w:rPr>
                <w:rFonts w:ascii="Times New Roman" w:cs="Times New Roman" w:eastAsia="Times New Roman" w:hAnsi="Times New Roman"/>
                <w:sz w:val="18"/>
                <w:szCs w:val="18"/>
                <w:b w:val="1"/>
                <w:bCs w:val="1"/>
                <w:color w:val="auto"/>
                <w:w w:val="96"/>
              </w:rPr>
              <w:t>Weighted Average</w:t>
            </w:r>
          </w:p>
        </w:tc>
        <w:tc>
          <w:tcPr>
            <w:tcW w:w="100" w:type="dxa"/>
            <w:vAlign w:val="bottom"/>
          </w:tcPr>
          <w:p>
            <w:pPr>
              <w:spacing w:after="0"/>
              <w:rPr>
                <w:sz w:val="14"/>
                <w:szCs w:val="14"/>
                <w:color w:val="auto"/>
              </w:rPr>
            </w:pPr>
          </w:p>
        </w:tc>
        <w:tc>
          <w:tcPr>
            <w:tcW w:w="17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20" w:type="dxa"/>
            <w:vAlign w:val="bottom"/>
          </w:tcPr>
          <w:p>
            <w:pPr>
              <w:spacing w:after="0"/>
              <w:rPr>
                <w:sz w:val="14"/>
                <w:szCs w:val="14"/>
                <w:color w:val="auto"/>
              </w:rPr>
            </w:pPr>
          </w:p>
        </w:tc>
        <w:tc>
          <w:tcPr>
            <w:tcW w:w="14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Class P Units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center"/>
              <w:ind w:right="240"/>
              <w:spacing w:after="0" w:line="172" w:lineRule="exact"/>
              <w:rPr>
                <w:sz w:val="20"/>
                <w:szCs w:val="20"/>
                <w:color w:val="auto"/>
              </w:rPr>
            </w:pPr>
            <w:r>
              <w:rPr>
                <w:rFonts w:ascii="Times New Roman" w:cs="Times New Roman" w:eastAsia="Times New Roman" w:hAnsi="Times New Roman"/>
                <w:sz w:val="18"/>
                <w:szCs w:val="18"/>
                <w:b w:val="1"/>
                <w:bCs w:val="1"/>
                <w:color w:val="auto"/>
                <w:w w:val="96"/>
              </w:rPr>
              <w:t>Participation</w:t>
            </w:r>
          </w:p>
        </w:tc>
        <w:tc>
          <w:tcPr>
            <w:tcW w:w="1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Class P Units</w:t>
            </w: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Class P Units</w:t>
            </w:r>
          </w:p>
        </w:tc>
        <w:tc>
          <w:tcPr>
            <w:tcW w:w="0" w:type="dxa"/>
            <w:vAlign w:val="bottom"/>
          </w:tcPr>
          <w:p>
            <w:pPr>
              <w:spacing w:after="0"/>
              <w:rPr>
                <w:sz w:val="1"/>
                <w:szCs w:val="1"/>
                <w:color w:val="auto"/>
              </w:rPr>
            </w:pPr>
          </w:p>
        </w:tc>
      </w:tr>
      <w:tr>
        <w:trPr>
          <w:trHeight w:val="238"/>
        </w:trPr>
        <w:tc>
          <w:tcPr>
            <w:tcW w:w="4020" w:type="dxa"/>
            <w:vAlign w:val="bottom"/>
          </w:tcPr>
          <w:p>
            <w:pPr>
              <w:spacing w:after="0"/>
              <w:rPr>
                <w:sz w:val="20"/>
                <w:szCs w:val="20"/>
                <w:color w:val="auto"/>
              </w:rPr>
            </w:pPr>
          </w:p>
        </w:tc>
        <w:tc>
          <w:tcPr>
            <w:tcW w:w="142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Threshold</w:t>
            </w:r>
          </w:p>
        </w:tc>
        <w:tc>
          <w:tcPr>
            <w:tcW w:w="1800" w:type="dxa"/>
            <w:vAlign w:val="bottom"/>
            <w:gridSpan w:val="2"/>
            <w:vMerge w:val="continue"/>
          </w:tcPr>
          <w:p>
            <w:pPr>
              <w:spacing w:after="0"/>
              <w:rPr>
                <w:sz w:val="20"/>
                <w:szCs w:val="20"/>
                <w:color w:val="auto"/>
              </w:rPr>
            </w:pPr>
          </w:p>
        </w:tc>
        <w:tc>
          <w:tcPr>
            <w:tcW w:w="1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beginning of period</w:t>
            </w:r>
          </w:p>
        </w:tc>
        <w:tc>
          <w:tcPr>
            <w:tcW w:w="14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8,796,642</w:t>
            </w:r>
          </w:p>
        </w:tc>
        <w:tc>
          <w:tcPr>
            <w:tcW w:w="0" w:type="dxa"/>
            <w:vAlign w:val="bottom"/>
          </w:tcPr>
          <w:p>
            <w:pPr>
              <w:spacing w:after="0"/>
              <w:rPr>
                <w:sz w:val="1"/>
                <w:szCs w:val="1"/>
                <w:color w:val="auto"/>
              </w:rPr>
            </w:pPr>
          </w:p>
        </w:tc>
      </w:tr>
      <w:tr>
        <w:trPr>
          <w:trHeight w:val="225"/>
        </w:trPr>
        <w:tc>
          <w:tcPr>
            <w:tcW w:w="5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Exchanged for Restricted Stock</w:t>
            </w:r>
          </w:p>
        </w:tc>
        <w:tc>
          <w:tcPr>
            <w:tcW w:w="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(3,855,843)</w:t>
            </w:r>
          </w:p>
        </w:tc>
        <w:tc>
          <w:tcPr>
            <w:tcW w:w="0" w:type="dxa"/>
            <w:vAlign w:val="bottom"/>
          </w:tcPr>
          <w:p>
            <w:pPr>
              <w:spacing w:after="0"/>
              <w:rPr>
                <w:sz w:val="1"/>
                <w:szCs w:val="1"/>
                <w:color w:val="auto"/>
              </w:rPr>
            </w:pPr>
          </w:p>
        </w:tc>
      </w:tr>
      <w:tr>
        <w:trPr>
          <w:trHeight w:val="225"/>
        </w:trPr>
        <w:tc>
          <w:tcPr>
            <w:tcW w:w="5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5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(4,846,178)</w:t>
            </w:r>
          </w:p>
        </w:tc>
        <w:tc>
          <w:tcPr>
            <w:tcW w:w="0" w:type="dxa"/>
            <w:vAlign w:val="bottom"/>
          </w:tcPr>
          <w:p>
            <w:pPr>
              <w:spacing w:after="0"/>
              <w:rPr>
                <w:sz w:val="1"/>
                <w:szCs w:val="1"/>
                <w:color w:val="auto"/>
              </w:rPr>
            </w:pPr>
          </w:p>
        </w:tc>
      </w:tr>
      <w:tr>
        <w:trPr>
          <w:trHeight w:val="225"/>
        </w:trPr>
        <w:tc>
          <w:tcPr>
            <w:tcW w:w="4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tcPr>
          <w:p>
            <w:pPr>
              <w:spacing w:after="0"/>
              <w:rPr>
                <w:sz w:val="19"/>
                <w:szCs w:val="19"/>
                <w:color w:val="auto"/>
              </w:rPr>
            </w:pPr>
          </w:p>
        </w:tc>
        <w:tc>
          <w:tcPr>
            <w:tcW w:w="1700" w:type="dxa"/>
            <w:vAlign w:val="bottom"/>
            <w:tcBorders>
              <w:bottom w:val="single" w:sz="8" w:color="CCEEFF"/>
            </w:tcBorders>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(94,621)</w:t>
            </w:r>
          </w:p>
        </w:tc>
        <w:tc>
          <w:tcPr>
            <w:tcW w:w="0" w:type="dxa"/>
            <w:vAlign w:val="bottom"/>
          </w:tcPr>
          <w:p>
            <w:pPr>
              <w:spacing w:after="0"/>
              <w:rPr>
                <w:sz w:val="1"/>
                <w:szCs w:val="1"/>
                <w:color w:val="auto"/>
              </w:rPr>
            </w:pPr>
          </w:p>
        </w:tc>
      </w:tr>
      <w:tr>
        <w:trPr>
          <w:trHeight w:val="238"/>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end of period</w:t>
            </w: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Equity-based Compensation (continued)</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LTIP Units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During the year ended December 31, 2021, the Company exercised the exchange rights on unvested LTIP Units due to the Holding Company Reorganization (refer to Note 1 - Organization and Background).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4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LTIP Unit activity was as follows during the periods indicated:</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7"/>
        </w:trPr>
        <w:tc>
          <w:tcPr>
            <w:tcW w:w="4020" w:type="dxa"/>
            <w:vAlign w:val="bottom"/>
          </w:tcPr>
          <w:p>
            <w:pPr>
              <w:spacing w:after="0"/>
              <w:rPr>
                <w:sz w:val="24"/>
                <w:szCs w:val="24"/>
                <w:color w:val="auto"/>
              </w:rPr>
            </w:pPr>
          </w:p>
        </w:tc>
        <w:tc>
          <w:tcPr>
            <w:tcW w:w="3680" w:type="dxa"/>
            <w:vAlign w:val="bottom"/>
            <w:gridSpan w:val="6"/>
            <w:vMerge w:val="restart"/>
          </w:tcPr>
          <w:p>
            <w:pPr>
              <w:ind w:left="60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 Ended December</w:t>
            </w:r>
          </w:p>
        </w:tc>
        <w:tc>
          <w:tcPr>
            <w:tcW w:w="0" w:type="dxa"/>
            <w:vAlign w:val="bottom"/>
          </w:tcPr>
          <w:p>
            <w:pPr>
              <w:spacing w:after="0"/>
              <w:rPr>
                <w:sz w:val="1"/>
                <w:szCs w:val="1"/>
                <w:color w:val="auto"/>
              </w:rPr>
            </w:pPr>
          </w:p>
        </w:tc>
      </w:tr>
      <w:tr>
        <w:trPr>
          <w:trHeight w:val="238"/>
        </w:trPr>
        <w:tc>
          <w:tcPr>
            <w:tcW w:w="4020" w:type="dxa"/>
            <w:vAlign w:val="bottom"/>
          </w:tcPr>
          <w:p>
            <w:pPr>
              <w:spacing w:after="0"/>
              <w:rPr>
                <w:sz w:val="20"/>
                <w:szCs w:val="20"/>
                <w:color w:val="auto"/>
              </w:rPr>
            </w:pPr>
          </w:p>
        </w:tc>
        <w:tc>
          <w:tcPr>
            <w:tcW w:w="3680" w:type="dxa"/>
            <w:vAlign w:val="bottom"/>
            <w:gridSpan w:val="6"/>
            <w:vMerge w:val="continue"/>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December 31, 2022</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31, 2021</w:t>
            </w:r>
          </w:p>
        </w:tc>
        <w:tc>
          <w:tcPr>
            <w:tcW w:w="0" w:type="dxa"/>
            <w:vAlign w:val="bottom"/>
          </w:tcPr>
          <w:p>
            <w:pPr>
              <w:spacing w:after="0"/>
              <w:rPr>
                <w:sz w:val="1"/>
                <w:szCs w:val="1"/>
                <w:color w:val="auto"/>
              </w:rPr>
            </w:pPr>
          </w:p>
        </w:tc>
      </w:tr>
      <w:tr>
        <w:trPr>
          <w:trHeight w:val="165"/>
        </w:trPr>
        <w:tc>
          <w:tcPr>
            <w:tcW w:w="4020" w:type="dxa"/>
            <w:vAlign w:val="bottom"/>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jc w:val="center"/>
              <w:ind w:right="52"/>
              <w:spacing w:after="0" w:line="165" w:lineRule="exact"/>
              <w:rPr>
                <w:sz w:val="20"/>
                <w:szCs w:val="20"/>
                <w:color w:val="auto"/>
              </w:rPr>
            </w:pPr>
            <w:r>
              <w:rPr>
                <w:rFonts w:ascii="Times New Roman" w:cs="Times New Roman" w:eastAsia="Times New Roman" w:hAnsi="Times New Roman"/>
                <w:sz w:val="18"/>
                <w:szCs w:val="18"/>
                <w:b w:val="1"/>
                <w:bCs w:val="1"/>
                <w:color w:val="auto"/>
                <w:w w:val="96"/>
              </w:rPr>
              <w:t>Weighted Average</w:t>
            </w:r>
          </w:p>
        </w:tc>
        <w:tc>
          <w:tcPr>
            <w:tcW w:w="100" w:type="dxa"/>
            <w:vAlign w:val="bottom"/>
          </w:tcPr>
          <w:p>
            <w:pPr>
              <w:spacing w:after="0"/>
              <w:rPr>
                <w:sz w:val="14"/>
                <w:szCs w:val="14"/>
                <w:color w:val="auto"/>
              </w:rPr>
            </w:pPr>
          </w:p>
        </w:tc>
        <w:tc>
          <w:tcPr>
            <w:tcW w:w="17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020" w:type="dxa"/>
            <w:vAlign w:val="bottom"/>
          </w:tcPr>
          <w:p>
            <w:pPr>
              <w:spacing w:after="0"/>
              <w:rPr>
                <w:sz w:val="15"/>
                <w:szCs w:val="15"/>
                <w:color w:val="auto"/>
              </w:rPr>
            </w:pPr>
          </w:p>
        </w:tc>
        <w:tc>
          <w:tcPr>
            <w:tcW w:w="1380" w:type="dxa"/>
            <w:vAlign w:val="bottom"/>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LTIP Units</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2"/>
          </w:tcPr>
          <w:p>
            <w:pPr>
              <w:jc w:val="center"/>
              <w:ind w:right="240"/>
              <w:spacing w:after="0" w:line="178" w:lineRule="exact"/>
              <w:rPr>
                <w:sz w:val="20"/>
                <w:szCs w:val="20"/>
                <w:color w:val="auto"/>
              </w:rPr>
            </w:pPr>
            <w:r>
              <w:rPr>
                <w:rFonts w:ascii="Times New Roman" w:cs="Times New Roman" w:eastAsia="Times New Roman" w:hAnsi="Times New Roman"/>
                <w:sz w:val="18"/>
                <w:szCs w:val="18"/>
                <w:b w:val="1"/>
                <w:bCs w:val="1"/>
                <w:color w:val="auto"/>
                <w:w w:val="96"/>
              </w:rPr>
              <w:t>Participation</w:t>
            </w:r>
          </w:p>
        </w:tc>
        <w:tc>
          <w:tcPr>
            <w:tcW w:w="1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5"/>
              </w:rPr>
              <w:t>LTIP Units</w:t>
            </w: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LTIP Units</w:t>
            </w:r>
          </w:p>
        </w:tc>
        <w:tc>
          <w:tcPr>
            <w:tcW w:w="0" w:type="dxa"/>
            <w:vAlign w:val="bottom"/>
          </w:tcPr>
          <w:p>
            <w:pPr>
              <w:spacing w:after="0"/>
              <w:rPr>
                <w:sz w:val="1"/>
                <w:szCs w:val="1"/>
                <w:color w:val="auto"/>
              </w:rPr>
            </w:pPr>
          </w:p>
        </w:tc>
      </w:tr>
      <w:tr>
        <w:trPr>
          <w:trHeight w:val="232"/>
        </w:trPr>
        <w:tc>
          <w:tcPr>
            <w:tcW w:w="4020" w:type="dxa"/>
            <w:vAlign w:val="bottom"/>
          </w:tcPr>
          <w:p>
            <w:pPr>
              <w:spacing w:after="0"/>
              <w:rPr>
                <w:sz w:val="20"/>
                <w:szCs w:val="20"/>
                <w:color w:val="auto"/>
              </w:rPr>
            </w:pPr>
          </w:p>
        </w:tc>
        <w:tc>
          <w:tcPr>
            <w:tcW w:w="13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Threshold</w:t>
            </w:r>
          </w:p>
        </w:tc>
        <w:tc>
          <w:tcPr>
            <w:tcW w:w="1800" w:type="dxa"/>
            <w:vAlign w:val="bottom"/>
            <w:gridSpan w:val="2"/>
            <w:vMerge w:val="continue"/>
          </w:tcPr>
          <w:p>
            <w:pPr>
              <w:spacing w:after="0"/>
              <w:rPr>
                <w:sz w:val="20"/>
                <w:szCs w:val="20"/>
                <w:color w:val="auto"/>
              </w:rPr>
            </w:pPr>
          </w:p>
        </w:tc>
        <w:tc>
          <w:tcPr>
            <w:tcW w:w="1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beginning of period</w:t>
            </w:r>
          </w:p>
        </w:tc>
        <w:tc>
          <w:tcPr>
            <w:tcW w:w="138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47,620</w:t>
            </w:r>
          </w:p>
        </w:tc>
        <w:tc>
          <w:tcPr>
            <w:tcW w:w="0" w:type="dxa"/>
            <w:vAlign w:val="bottom"/>
          </w:tcPr>
          <w:p>
            <w:pPr>
              <w:spacing w:after="0"/>
              <w:rPr>
                <w:sz w:val="1"/>
                <w:szCs w:val="1"/>
                <w:color w:val="auto"/>
              </w:rPr>
            </w:pPr>
          </w:p>
        </w:tc>
      </w:tr>
      <w:tr>
        <w:trPr>
          <w:trHeight w:val="225"/>
        </w:trPr>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Exchanged for Restricted Stock</w:t>
            </w:r>
          </w:p>
        </w:tc>
        <w:tc>
          <w:tcPr>
            <w:tcW w:w="6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(294,665)</w:t>
            </w:r>
          </w:p>
        </w:tc>
        <w:tc>
          <w:tcPr>
            <w:tcW w:w="0" w:type="dxa"/>
            <w:vAlign w:val="bottom"/>
          </w:tcPr>
          <w:p>
            <w:pPr>
              <w:spacing w:after="0"/>
              <w:rPr>
                <w:sz w:val="1"/>
                <w:szCs w:val="1"/>
                <w:color w:val="auto"/>
              </w:rPr>
            </w:pPr>
          </w:p>
        </w:tc>
      </w:tr>
      <w:tr>
        <w:trPr>
          <w:trHeight w:val="225"/>
        </w:trPr>
        <w:tc>
          <w:tcPr>
            <w:tcW w:w="4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spacing w:after="0"/>
              <w:rPr>
                <w:sz w:val="19"/>
                <w:szCs w:val="19"/>
                <w:color w:val="auto"/>
              </w:rPr>
            </w:pPr>
          </w:p>
        </w:tc>
        <w:tc>
          <w:tcPr>
            <w:tcW w:w="170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247,045</w:t>
            </w:r>
          </w:p>
        </w:tc>
        <w:tc>
          <w:tcPr>
            <w:tcW w:w="0" w:type="dxa"/>
            <w:vAlign w:val="bottom"/>
          </w:tcPr>
          <w:p>
            <w:pPr>
              <w:spacing w:after="0"/>
              <w:rPr>
                <w:sz w:val="1"/>
                <w:szCs w:val="1"/>
                <w:color w:val="auto"/>
              </w:rPr>
            </w:pPr>
          </w:p>
        </w:tc>
      </w:tr>
      <w:tr>
        <w:trPr>
          <w:trHeight w:val="218"/>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Unvested at end of period</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OpCo Units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are no OpCo Units that are unvested and all vested OpCo Units have been converted into shares of our Common Stock due to the Holding Company Reorganization (refer to Note 1 - Organization and Background).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June 3, 2020, the Board adopted the ZoomInfo Technologies Inc. 2020 Employee Stock Purchase Plan (the “ESPP”) that allows eligible employees to purchase shares of the Company's common stock at a discounted price, through payroll deductions of up to 15% of their eligible compensation and the IRS allowable limit per calendar year. The Compensation Committee of the Board administers the ESPP, including with respect to the frequency and duration of offering periods, the maximum number of shares that an eligible employee may purchase during an offering period, and, subject to certain limitations set forth in the ESPP, the per-share purchase price. Currently, the maximum number of shares that can be purchased by an eligible employee under the ESPP is 1,500 shares per offering period and there are two six-month offering periods that begin in the second and fourth quarter of each fiscal year. The purchase price for one share of Common Stock under the ESPP is currently equal to 90% of the fair market value of one share of Common Stock on the first trading day of the offering period or the purchase date, whichever is lower.</w:t>
      </w:r>
    </w:p>
    <w:p>
      <w:pPr>
        <w:spacing w:after="0" w:line="13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maximum aggregate number of shares of the Common Stock that may be issued under the ESPP is no more than 7,500,000 shares (the “ESPP Plan Share Reserve”). The ESPP plan also contains a provision that will add an additional number of shares of Common Stock to the ESPP Plan Reserve on the first day of each year starting with January 1, 2021, equal to the lesser of (i) the positive difference between (x) 1% of the number of shares of Common Stock outstanding on the last day of the immediately preceding fiscal year, and (y) the ESPP Plan Share Reserve on the last day of the immediately preceding fiscal year, and (ii) a lower number of shares of Common Stock as may be determined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Equity-based Compensation (continued)</w:t>
      </w:r>
    </w:p>
    <w:p>
      <w:pPr>
        <w:spacing w:after="0" w:line="200" w:lineRule="exact"/>
        <w:rPr>
          <w:sz w:val="20"/>
          <w:szCs w:val="20"/>
          <w:color w:val="auto"/>
        </w:rPr>
      </w:pPr>
    </w:p>
    <w:p>
      <w:pPr>
        <w:spacing w:after="0" w:line="29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fair value of the ESPP purchase was determined using the Black-Scholes option pricing model with the following assumption ranges and fair value per unit: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80" w:type="dxa"/>
            <w:vAlign w:val="bottom"/>
          </w:tcPr>
          <w:p>
            <w:pPr>
              <w:spacing w:after="0"/>
              <w:rPr>
                <w:sz w:val="17"/>
                <w:szCs w:val="17"/>
                <w:color w:val="auto"/>
              </w:rPr>
            </w:pP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Year Ended December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 Ended December</w:t>
            </w:r>
          </w:p>
        </w:tc>
      </w:tr>
      <w:tr>
        <w:trPr>
          <w:trHeight w:val="236"/>
        </w:trPr>
        <w:tc>
          <w:tcPr>
            <w:tcW w:w="768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31, 2023</w:t>
            </w:r>
          </w:p>
        </w:tc>
        <w:tc>
          <w:tcPr>
            <w:tcW w:w="8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31, 2022</w:t>
            </w:r>
          </w:p>
        </w:tc>
      </w:tr>
      <w:tr>
        <w:trPr>
          <w:trHeight w:val="221"/>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50.4% to 67.6%</w:t>
            </w: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71.9% to 77.0%</w:t>
            </w:r>
          </w:p>
        </w:tc>
      </w:tr>
      <w:tr>
        <w:trPr>
          <w:trHeight w:val="225"/>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0.5 years</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0.5 years</w:t>
            </w:r>
          </w:p>
        </w:tc>
      </w:tr>
      <w:tr>
        <w:trPr>
          <w:trHeight w:val="225"/>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18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5.3% to 5.4%</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2.2% to 4.7%</w:t>
            </w:r>
          </w:p>
        </w:tc>
      </w:tr>
      <w:tr>
        <w:trPr>
          <w:trHeight w:val="225"/>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dividends</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225"/>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fair value per unit</w:t>
            </w:r>
          </w:p>
        </w:tc>
        <w:tc>
          <w:tcPr>
            <w:tcW w:w="18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$5.45 to $6.72</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$9.56 to $9.58</w:t>
            </w:r>
          </w:p>
        </w:tc>
      </w:tr>
    </w:tbl>
    <w:p>
      <w:pPr>
        <w:spacing w:after="0" w:line="23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expected term for the purchases was based on the six-month offering period. We estimate the future stock price volatility based on the historical volatility of the Company with a lookback period commensurate with the expected term of the ESPP purchases. The risk-free rate is the implied yield available on U.S. Treasury zero-coupon bonds issued with a remaining term equal to the expected term.</w:t>
      </w:r>
    </w:p>
    <w:p>
      <w:pPr>
        <w:spacing w:after="0" w:line="12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The Company withheld $7.0 million and $4.9 million worth of ESPP contributions for the years ended December 31, 2023 and 2022, respectively, on behalf of participating employees through payroll deductions included in </w:t>
      </w:r>
      <w:r>
        <w:rPr>
          <w:rFonts w:ascii="Times New Roman" w:cs="Times New Roman" w:eastAsia="Times New Roman" w:hAnsi="Times New Roman"/>
          <w:sz w:val="18"/>
          <w:szCs w:val="18"/>
          <w:i w:val="1"/>
          <w:iCs w:val="1"/>
          <w:color w:val="auto"/>
        </w:rPr>
        <w:t>Accrued expenses and other current liabilities</w:t>
      </w:r>
      <w:r>
        <w:rPr>
          <w:rFonts w:ascii="Times New Roman" w:cs="Times New Roman" w:eastAsia="Times New Roman" w:hAnsi="Times New Roman"/>
          <w:sz w:val="18"/>
          <w:szCs w:val="18"/>
          <w:color w:val="auto"/>
        </w:rPr>
        <w:t xml:space="preserve"> on our Consolidated Balance Sheets. The Company purchased 339,282 and 155,599 shares of Common Stock under the ESPP for the years ended December 31, 2023 and 2022, respectively. The Company recognized $3.1 million and $1.8 million of equity-based compensation expense related to the ESPP for the years ended December 31, 2023 and 2022, respectively.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HSKB Incentive Units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founders of the Company contributed membership units of ZoomInfo OpCo into an upper tier entity, HSKB Funds, LLC, which is controlled by the current CEO of the Company (“HSKB Manager”). In connection with the Reorganization Transactions, HSKB was reorganized into HSKB I and HSKB II (together, “HSKB”), with HSKB I owning OpCo Units and HSKB II owning HoldCo Units.</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year ended December 31, 2021, HSKB II exchanged their HoldCo Units and paired shares of Class B common stock of the Company for shares of Class A common stock of the Company pursuant to the terms of the limited liability company agreement of HoldCo. Subsequently, HSKB I exchanged their OpCo Units and paired shares of Class B common stock of the Company for shares of Class A common stock of the Company.</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HSKB has issued LLC units to the employees of the Company (“HSKB Grant”) in the form of Class 1 units and Class 2 units. Such units may be exchangeable into one share of Common Stock upon vesting. HSKB awards are recorded as compensation expense of the Company in accordance with the measurement and recognition criteria of ASC 718 for awards made by economic interest holders to employees of the Company.</w:t>
      </w:r>
    </w:p>
    <w:p>
      <w:pPr>
        <w:spacing w:after="0" w:line="12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HSKB has also allocated $31.3 million to be paid in cash over three years from 2019 to 2021 if the holder of an HSKB Grant remains employed by the Company as of the payment date. This pool was further expanded in March 31, 2020, when HSKB allocated an additional $5.3 million to be paid out over three years, starting with March 31, 2020, to holders of HSKB Grants who received grants after the March 2018 Carlyle Investment, subject to the holder’s continued employment by the Company. During the years ended December 31, 2023 and 2022, HSKB paid $0.9 million and $1.7 million respectively, from allocated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Equity-based Compensation (continued)</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HSKB Phantom Units</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December 2019, HSKB I adopted the HSKB Funds, LLC 2019 Phantom Unit Plan wherein HSKB may grant Phantom Units (“HSKB Phantom Units”) to employees of the Company. HSKB Phantom Units are recorded as compensation expense of the Company in accordance with the measurement and recognition criteria of ASC 718 for awards made by economic interest holders to employees of the Company. HSKB Phantom Units represent the economic equivalent of one share of common stock in the Company. In connection with the Reorganization Transactions, all HSKB Phantom Units were moved from HSKB I to HSKB II. Within 30 days of the later of the date upon which a Phantom Unit vests, HSKB II must settle the HSKB Phantom Unit in exchange for either (1) cash or (2) Common Stock as determined by the HSKB Manager, in each case, equal to the fair market value of such Common Unit at the time of such exchange.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Unamortized Equity-based Compensation</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of December 31, 2023, unamortized equity-based compensation costs related to each equity-based incentive award described above is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Weighted Average</w:t>
            </w:r>
          </w:p>
        </w:tc>
        <w:tc>
          <w:tcPr>
            <w:tcW w:w="0" w:type="dxa"/>
            <w:vAlign w:val="bottom"/>
          </w:tcPr>
          <w:p>
            <w:pPr>
              <w:spacing w:after="0"/>
              <w:rPr>
                <w:sz w:val="1"/>
                <w:szCs w:val="1"/>
                <w:color w:val="auto"/>
              </w:rPr>
            </w:pPr>
          </w:p>
        </w:tc>
      </w:tr>
      <w:tr>
        <w:trPr>
          <w:trHeight w:val="178"/>
        </w:trPr>
        <w:tc>
          <w:tcPr>
            <w:tcW w:w="7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vMerge w:val="restart"/>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5"/>
                <w:szCs w:val="15"/>
                <w:color w:val="auto"/>
              </w:rPr>
            </w:pPr>
          </w:p>
        </w:tc>
        <w:tc>
          <w:tcPr>
            <w:tcW w:w="174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8"/>
              </w:rPr>
              <w:t>Remaining Service</w:t>
            </w:r>
          </w:p>
        </w:tc>
        <w:tc>
          <w:tcPr>
            <w:tcW w:w="0" w:type="dxa"/>
            <w:vAlign w:val="bottom"/>
          </w:tcPr>
          <w:p>
            <w:pPr>
              <w:spacing w:after="0"/>
              <w:rPr>
                <w:sz w:val="1"/>
                <w:szCs w:val="1"/>
                <w:color w:val="auto"/>
              </w:rPr>
            </w:pPr>
          </w:p>
        </w:tc>
      </w:tr>
      <w:tr>
        <w:trPr>
          <w:trHeight w:val="232"/>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 period in years)</w:t>
            </w: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5"/>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6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5"/>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HSKB Phantom Units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86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5"/>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60" w:type="dxa"/>
            <w:vAlign w:val="bottom"/>
            <w:tcBorders>
              <w:bottom w:val="single" w:sz="8" w:color="CCEEFF"/>
            </w:tcBorders>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43"/>
        </w:trPr>
        <w:tc>
          <w:tcPr>
            <w:tcW w:w="7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unamortized equity-based compensation cost</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1860" w:type="dxa"/>
            <w:vAlign w:val="bottom"/>
            <w:tcBorders>
              <w:bottom w:val="single" w:sz="8" w:color="CCEEFF"/>
            </w:tcBorders>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total intrinsic value of profit interests and options that were exercised during the years ended December 31, 2023, 2022 and 2021 was $0.1 million, $1.6 million and $568.4 million, respectively. The total fair value of all other previously unvested equity-based awards that vested during the years ended December 31, 2023, 2022 and 2021 was $213.6 million, $104.2 million and $59.2 million, respectively.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Segment and Geographic Data</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operates as one operating segment. The Company’s chief operating decision maker (“CODM”) is its Chief Executive Officer, who reviews financial information for purposes of making operating decisions, assessing financial performance and allocating resources. The Company’s CODM evaluates financial information on a consolidated basis. As the Company operates as one operating segment, all required segment financial information is found in the consolidated financial statements.</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Long-lived assets by geographical region are based on the location of the legal entity that owns the assets, which includes property and equipment, net and operating lease right-of-use assets, net. As of December 31, 2023, long-lived assets held in the United States and Israel were $120.2 million and $20.2 million, respectively, representing approximately 96% of the consolidated total. As of December 31, 2022, no significant long-lived assets were held by entities outside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Segment and Geographic Data (continued)</w:t>
      </w:r>
    </w:p>
    <w:p>
      <w:pPr>
        <w:spacing w:after="0" w:line="200" w:lineRule="exact"/>
        <w:rPr>
          <w:sz w:val="20"/>
          <w:szCs w:val="20"/>
          <w:color w:val="auto"/>
        </w:rPr>
      </w:pPr>
    </w:p>
    <w:p>
      <w:pPr>
        <w:spacing w:after="0" w:line="29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Contracts denominated in currencies other than the U.S. Dollar were not material for the years ended December 31, 2023, 2022, and 2021. Revenues derived from customers and partners located outside the United States, as determined based on the address provided by our customers and partners, accounted for approximately 13%, 12%, and 11% of total revenue for the years ended December 31, 2023, 2022, and 2021, respectively. Revenue by geographic region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3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6"/>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18"/>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665.0</w:t>
            </w:r>
          </w:p>
        </w:tc>
      </w:tr>
      <w:tr>
        <w:trPr>
          <w:trHeight w:val="225"/>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r>
      <w:tr>
        <w:trPr>
          <w:trHeight w:val="243"/>
        </w:trPr>
        <w:tc>
          <w:tcPr>
            <w:tcW w:w="6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747.2</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Tax Receivable Agreements</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connection with the Reorganization Transactions and the IPO, the Company entered into (i) the Exchange Tax Receivable Agreement with certain Pre-IPO OpCo Unitholders and (ii) the Reorganization Tax Receivable Agreement with the Pre-IPO Blocker Holders (collectively, the “Tax Receivable Agreements”). These Tax Receivable Agreements provide for the payment by the “ZoomInfo Tax Group” to such Pre-IPO Owners and certain Pre-IPO HoldCo Unitholders of 85.0% of the benefits, if any, that the ZoomInfo Tax Group actually realizes, or is deemed to realize in certain circumstances, as a result of utilization or deemed utilization of certain tax attributes and benefits covered by the Tax Receivable Agreements. The Company expects to benefit from the remaining 15.0% of the cash savings that it realizes.</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tax attributes and benefits covered by the Exchange Tax Receivable Agreements include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common stock after the IPO, and certain other tax benefits, including tax benefits attributable to payments under the Exchange Tax Receivable Agreement.</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tax attributes and benefits covered by the Reorganization Tax Receivable Agreement includes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w:t>
      </w:r>
    </w:p>
    <w:p>
      <w:pPr>
        <w:spacing w:after="0" w:line="12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reflected an increase in its share of the tax basis in the net assets of ZoomInfo HoldCo when OpCo Units were exchanged by Pre-IPO OpCo Unitholders. The Company treated any redemptions and exchanges of OpCo Units as direct purchases for U.S. federal income tax purposes. These increases in tax basis may reduce the amounts that it would otherwise pay in the future to various tax authorities. They may also decrease gains (or increase losses) on future dispositions of certain capital assets to the extent tax basis is allocated to those capital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Tax Receivable Agreements (continued)</w:t>
      </w:r>
    </w:p>
    <w:p>
      <w:pPr>
        <w:spacing w:after="0" w:line="200" w:lineRule="exact"/>
        <w:rPr>
          <w:sz w:val="20"/>
          <w:szCs w:val="20"/>
          <w:color w:val="auto"/>
        </w:rPr>
      </w:pPr>
    </w:p>
    <w:p>
      <w:pPr>
        <w:spacing w:after="0" w:line="29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 xml:space="preserve">As of December 31, 2023 and 2022, the Company had a liability of $2,818.0 million and $2,978.7 million respectively, related to its projected obligations under the Tax Receivable Agreements. This liability, or a portion thereof, becomes payable once the tax attributes under the Tax Receivable Agreements reduce the Company’s current income tax liability which would have been otherwise due absent such tax attributes. The liability will be reduced to the extent the tax attributes are expected to expire or otherwise cannot be applied to reduce the Company’s tax liabilities. The liability is classified as current or noncurrent based on the expected date of payment and are included on our Consolidated Balance Sheets under the captions </w:t>
      </w:r>
      <w:r>
        <w:rPr>
          <w:rFonts w:ascii="Times New Roman" w:cs="Times New Roman" w:eastAsia="Times New Roman" w:hAnsi="Times New Roman"/>
          <w:sz w:val="18"/>
          <w:szCs w:val="18"/>
          <w:i w:val="1"/>
          <w:iCs w:val="1"/>
          <w:color w:val="auto"/>
        </w:rPr>
        <w:t>Current portion of tax receivable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agreements liability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Tax receivable agreements liability, net of current portion</w:t>
      </w:r>
      <w:r>
        <w:rPr>
          <w:rFonts w:ascii="Times New Roman" w:cs="Times New Roman" w:eastAsia="Times New Roman" w:hAnsi="Times New Roman"/>
          <w:sz w:val="18"/>
          <w:szCs w:val="18"/>
          <w:color w:val="auto"/>
        </w:rPr>
        <w:t>, respectively. During the years ended December 31, 2023, 2022, and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we paid a total of zero, $12.2 million, and zero, respectively, pursuant to the Tax Receivable Agreements. The TRA remeasurement gains and losses are recorded within </w:t>
      </w:r>
      <w:r>
        <w:rPr>
          <w:rFonts w:ascii="Times New Roman" w:cs="Times New Roman" w:eastAsia="Times New Roman" w:hAnsi="Times New Roman"/>
          <w:sz w:val="18"/>
          <w:szCs w:val="18"/>
          <w:i w:val="1"/>
          <w:iCs w:val="1"/>
          <w:color w:val="auto"/>
        </w:rPr>
        <w:t>Other (income) loss, net</w:t>
      </w:r>
      <w:r>
        <w:rPr>
          <w:rFonts w:ascii="Times New Roman" w:cs="Times New Roman" w:eastAsia="Times New Roman" w:hAnsi="Times New Roman"/>
          <w:sz w:val="18"/>
          <w:szCs w:val="18"/>
          <w:color w:val="auto"/>
        </w:rPr>
        <w:t xml:space="preserve"> on our Consolidated Statements of Operations. For the year ended December 31, 2023, we recognized a TRA remeasurement gain of $160.7 million principally due to a reduction in our future blended state tax rate resulting from Massachusetts legislation enacted in 2023 and to reduce TRA-related attributes that did not achieve tax savings under the terms of the TRA. During the year ended December 31, 2022, we recognized a TRA remeasurement gain of $65.6 million principally due to movements in our blended state tax rate resulting from legislation enacted in 2022 and changes in the apportionment of payroll, property and sales in the states in which we operate, as well as updates to tax attributes. During the year ended December 31, 2021, we recognized a TRA remeasurement gain of $39.5 million.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Income Taxes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our income (loss) before income taxes for the fiscal years ended December 31, 2023, 2022, and 2021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3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6"/>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18"/>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r>
      <w:tr>
        <w:trPr>
          <w:trHeight w:val="225"/>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43"/>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Provision for (benefit from) income taxes</w:t>
      </w:r>
      <w:r>
        <w:rPr>
          <w:rFonts w:ascii="Times New Roman" w:cs="Times New Roman" w:eastAsia="Times New Roman" w:hAnsi="Times New Roman"/>
          <w:sz w:val="18"/>
          <w:szCs w:val="18"/>
          <w:color w:val="auto"/>
        </w:rPr>
        <w:t xml:space="preserve"> for the years ended December 31, 2023, 2022, and 2021 consisted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3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6"/>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18"/>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5"/>
        </w:trPr>
        <w:tc>
          <w:tcPr>
            <w:tcW w:w="63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Current: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5"/>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5"/>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5"/>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65"/>
        </w:trPr>
        <w:tc>
          <w:tcPr>
            <w:tcW w:w="6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5"/>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5"/>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65"/>
        </w:trPr>
        <w:tc>
          <w:tcPr>
            <w:tcW w:w="636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r>
      <w:tr>
        <w:trPr>
          <w:trHeight w:val="243"/>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Income Taxes (continued)</w:t>
      </w:r>
    </w:p>
    <w:p>
      <w:pPr>
        <w:spacing w:after="0" w:line="200" w:lineRule="exact"/>
        <w:rPr>
          <w:sz w:val="20"/>
          <w:szCs w:val="20"/>
          <w:color w:val="auto"/>
        </w:rPr>
      </w:pPr>
    </w:p>
    <w:p>
      <w:pPr>
        <w:spacing w:after="0" w:line="29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difference between the U.S. federal statutory tax rate and our effective tax rate, expressed as a percentage of income (loss) before income taxes, for the years ended December 31, 2023, 2022, and 2021, were as follows:</w:t>
      </w:r>
    </w:p>
    <w:p>
      <w:pPr>
        <w:spacing w:after="0" w:line="148"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08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760" w:type="dxa"/>
            <w:vAlign w:val="bottom"/>
            <w:tcBorders>
              <w:top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8"/>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expense computed at U.S. federal statutory rate</w:t>
            </w:r>
          </w:p>
        </w:tc>
        <w:tc>
          <w:tcPr>
            <w:tcW w:w="10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5"/>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5"/>
        </w:trPr>
        <w:tc>
          <w:tcPr>
            <w:tcW w:w="71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 taxes, net of federal tax benefit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25"/>
        </w:trPr>
        <w:tc>
          <w:tcPr>
            <w:tcW w:w="7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Effects of changes in state tax law and apportionment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35.6 %</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5"/>
        </w:trPr>
        <w:tc>
          <w:tcPr>
            <w:tcW w:w="71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Effects of non-U.S. operations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25"/>
        </w:trPr>
        <w:tc>
          <w:tcPr>
            <w:tcW w:w="7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5"/>
        </w:trPr>
        <w:tc>
          <w:tcPr>
            <w:tcW w:w="71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Non-deductible stock-based compensation</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25"/>
        </w:trPr>
        <w:tc>
          <w:tcPr>
            <w:tcW w:w="7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Impact of GAAP basis shifts</w:t>
            </w:r>
          </w:p>
        </w:tc>
        <w:tc>
          <w:tcPr>
            <w:tcW w:w="1760" w:type="dxa"/>
            <w:vAlign w:val="bottom"/>
            <w:gridSpan w:val="3"/>
          </w:tcPr>
          <w:p>
            <w:pPr>
              <w:jc w:val="right"/>
              <w:ind w:right="118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86.7 %</w:t>
            </w:r>
          </w:p>
        </w:tc>
      </w:tr>
      <w:tr>
        <w:trPr>
          <w:trHeight w:val="225"/>
        </w:trPr>
        <w:tc>
          <w:tcPr>
            <w:tcW w:w="71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Dividends and liquidation of corporate subsidiary</w:t>
            </w:r>
          </w:p>
        </w:tc>
        <w:tc>
          <w:tcPr>
            <w:tcW w:w="1760" w:type="dxa"/>
            <w:vAlign w:val="bottom"/>
            <w:gridSpan w:val="3"/>
            <w:shd w:val="clear" w:color="auto" w:fill="CCEEFF"/>
          </w:tcPr>
          <w:p>
            <w:pPr>
              <w:jc w:val="right"/>
              <w:ind w:right="118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r>
      <w:tr>
        <w:trPr>
          <w:trHeight w:val="225"/>
        </w:trPr>
        <w:tc>
          <w:tcPr>
            <w:tcW w:w="7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Income allocable to non-controlling interest</w:t>
            </w:r>
          </w:p>
        </w:tc>
        <w:tc>
          <w:tcPr>
            <w:tcW w:w="1760" w:type="dxa"/>
            <w:vAlign w:val="bottom"/>
            <w:gridSpan w:val="3"/>
          </w:tcPr>
          <w:p>
            <w:pPr>
              <w:jc w:val="right"/>
              <w:ind w:right="118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5"/>
        </w:trPr>
        <w:tc>
          <w:tcPr>
            <w:tcW w:w="71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Valuation allowance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25"/>
        </w:trPr>
        <w:tc>
          <w:tcPr>
            <w:tcW w:w="6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72.4 %</w:t>
            </w: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67.5 %</w:t>
            </w: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For the years ended December 31, 2023 and 2022, our effective tax rate and resulting provision for income taxes principally varies from our statutory rate due to U.S. state taxes including the remeasurement of deferred tax assets for the effect of state law changes, foreign taxes, windfall and shortfalls of, and other non-deductible, share-based compensation; offset by research and development credits. Further, specific to the year ended December 31, 2023, the effects on non-U.S. operations also increased due to the net U.S. and Israel tax effects resulting from a tax ruling relating to research and developments activities conducted in Israel and valuation allowance over certain state attributes.</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effects of changes in state tax law and apportionment results in significant remeasurements of our state deferred tax assets. For the year ended December 31, 2023, the change mainly pertained to Massachusetts legislation enacted in the period which reduces the Company’s apportionment of income and loss to Massachusetts beginning in 2025. The change for the year ended December 31, 2022 principally pertained to movements in our geographical mix of sales, payroll and fixed assets among the states.</w:t>
      </w:r>
    </w:p>
    <w:p>
      <w:pPr>
        <w:spacing w:after="0" w:line="127"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For the year ended December 31, 2021, the Company made an election to treat its operating partnership, ZoomInfo Technologies LLC, as a corporation for U.S. federal and state income tax purposes. As a result of this election, the Company removed its deferred tax asset associated with the investment in ZoomInfo Holdings LLC and recorded deferreds for the book-tax differences in the underlying assets and liabilities held by ZoomInfo Technologies LLC. This adjustment to the deferred tax assets and liabilities resulted in the Company recording a $104.8 million tax benefit. This benefit primarily relates to a difference between ZoomInfo Technologies Inc.’s inside and outside tax basis in its investment in ZoomInfo Holdings LLC at the time of the election. Further, the Company had shifts in GAAP basis from a non-taxable entity to a taxable entity resulting in the recognition of $87.8 million of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Income Taxes (continued)</w:t>
      </w:r>
    </w:p>
    <w:p>
      <w:pPr>
        <w:spacing w:after="0" w:line="200" w:lineRule="exact"/>
        <w:rPr>
          <w:sz w:val="20"/>
          <w:szCs w:val="20"/>
          <w:color w:val="auto"/>
        </w:rPr>
      </w:pPr>
    </w:p>
    <w:p>
      <w:pPr>
        <w:spacing w:after="0" w:line="2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December 31, 2023 and 2022, the significant components of the Company’s deferred tax assets and liabilities were as follows:</w:t>
      </w:r>
    </w:p>
    <w:p>
      <w:pPr>
        <w:spacing w:after="0" w:line="202"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5"/>
        </w:trPr>
        <w:tc>
          <w:tcPr>
            <w:tcW w:w="80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5"/>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Capitalized research expenditures</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25"/>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25"/>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25"/>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3,750.8</w:t>
            </w:r>
          </w:p>
        </w:tc>
      </w:tr>
      <w:tr>
        <w:trPr>
          <w:trHeight w:val="225"/>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 carryforwards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25"/>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r>
      <w:tr>
        <w:trPr>
          <w:trHeight w:val="225"/>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Credit carryforwards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25"/>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8"/>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3,795.5</w:t>
            </w:r>
          </w:p>
        </w:tc>
        <w:tc>
          <w:tcPr>
            <w:tcW w:w="10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4,078.2</w:t>
            </w:r>
          </w:p>
        </w:tc>
      </w:tr>
      <w:tr>
        <w:trPr>
          <w:trHeight w:val="225"/>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Valuation allowance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8020" w:type="dxa"/>
            <w:vAlign w:val="bottom"/>
          </w:tcPr>
          <w:p>
            <w:pPr>
              <w:ind w:left="360"/>
              <w:spacing w:after="0" w:line="205" w:lineRule="exact"/>
              <w:rPr>
                <w:sz w:val="20"/>
                <w:szCs w:val="20"/>
                <w:color w:val="auto"/>
              </w:rPr>
            </w:pPr>
            <w:r>
              <w:rPr>
                <w:rFonts w:ascii="Times New Roman" w:cs="Times New Roman" w:eastAsia="Times New Roman" w:hAnsi="Times New Roman"/>
                <w:sz w:val="18"/>
                <w:szCs w:val="18"/>
                <w:color w:val="auto"/>
              </w:rPr>
              <w:t>Total deferred tax assets</w:t>
            </w:r>
          </w:p>
        </w:tc>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3,789.8</w:t>
            </w:r>
          </w:p>
        </w:tc>
        <w:tc>
          <w:tcPr>
            <w:tcW w:w="100" w:type="dxa"/>
            <w:vAlign w:val="bottom"/>
          </w:tcPr>
          <w:p>
            <w:pPr>
              <w:spacing w:after="0"/>
              <w:rPr>
                <w:sz w:val="17"/>
                <w:szCs w:val="17"/>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4,078.2</w:t>
            </w:r>
          </w:p>
        </w:tc>
      </w:tr>
      <w:tr>
        <w:trPr>
          <w:trHeight w:val="265"/>
        </w:trPr>
        <w:tc>
          <w:tcPr>
            <w:tcW w:w="80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25"/>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5"/>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commissions</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5"/>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25"/>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25"/>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flow hedge - Accumulated Other Comprehensive Income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25"/>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tax on foreign earnings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5"/>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9"/>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r>
      <w:tr>
        <w:trPr>
          <w:trHeight w:val="265"/>
        </w:trPr>
        <w:tc>
          <w:tcPr>
            <w:tcW w:w="80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w:t>
            </w: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3,976.9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recognize deferred tax assets to the extent we believe, based on available evidence, that it is more likely than not that they will be realized. In making such a determination, we consider all available positive and negative evidence, including future reversals of existing taxable temporary differences, projected future taxable income, tax planning strategies, and recent results of operations. In assessing the realizability of deferred tax assets, management determined that it is more likely than not that we will not fully realize certain available tax assets in domestic jurisdictions. Deferred tax assets are offset by a valuation allowance to the extent it is more likely than not that they are not expected to be realized. For the years ended December 31, 2023 and 2022 we recorded a valuation allowance of $5.7 million and zero, respectively. The $5.7 million valuation allowance for the year ended December 31, 2023 pertained to California and certain other state net operating losses due to state-specific limitations.</w:t>
      </w:r>
    </w:p>
    <w:p>
      <w:pPr>
        <w:spacing w:after="0" w:line="13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As of December 31, 2023, we had U.S. federal net operating losses of $1,119.7 million, excess interest carryforward under IRC Sec. 163(j) of $143.8 million, and tax credit carryforwards of approximately $15.8 million. As of December 31, 2022, we had U.S. federal net operating losses of $753.9 million, excess interest carryforward under IRC Sec. 163(j) of $96.6 million, and tax credit carryforwards of approximately $9.0 million. Federal net operating losses and excess interest carryforwards can be carried forward indefinitely, with the exception of $6.4 million of net operating losses which expire between 2034 and 2037. Our tax credits will begin to expire in 2035. Further, we have $1,147.7 million of state net operating losses and $2.4 million of state tax credits. With respect to our state net operating loss carryforward, $12.4 million expires between 2024 and 2029, $1,032.6 million expires between 2030 and 2043, and the remaining $102.7 million can be carried indefinitely. The state credits begin to expire in 2036.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Income Taxes (continued)</w:t>
      </w:r>
    </w:p>
    <w:p>
      <w:pPr>
        <w:spacing w:after="0" w:line="200" w:lineRule="exact"/>
        <w:rPr>
          <w:sz w:val="20"/>
          <w:szCs w:val="20"/>
          <w:color w:val="auto"/>
        </w:rPr>
      </w:pPr>
    </w:p>
    <w:p>
      <w:pPr>
        <w:spacing w:after="0" w:line="2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foreign earnings are available for repatriation for use in the United States, and we accrue a liability for any applicable tax. For the years ended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2023 and 2022, we had an accrual of $1.9 million and $1.0 million, respectively, for foreign withholding tax. No accrual was made with respect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tax on the repatriation of foreign profits, as this will generally be exempt from federal income tax.</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December 31, 2023 and 2022, reconciliation of the Company’s uncertain tax positions were as follows:</w:t>
      </w:r>
    </w:p>
    <w:p>
      <w:pPr>
        <w:spacing w:after="0" w:line="202"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Gross increases in unrecognized tax benefits – prior year tax positions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5"/>
        </w:trPr>
        <w:tc>
          <w:tcPr>
            <w:tcW w:w="8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decreases in unrecognized tax benefits – prior year tax positions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8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Gross increases in unrecognized tax benefits – current year tax positions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We regularly evaluate the positions taken, or expected to be taken on tax returns, to determine if they constitute uncertain tax positions. Gross unrecognized tax benefits related to uncertain tax positions as of December 31, 2023 and 2022 were $12.6 million and $5.1 million, respectively. Unrecognized tax benefits as of December 31, 2023 were reflected in our Consolidated Balance Sheets as a reduction of </w:t>
      </w:r>
      <w:r>
        <w:rPr>
          <w:rFonts w:ascii="Times New Roman" w:cs="Times New Roman" w:eastAsia="Times New Roman" w:hAnsi="Times New Roman"/>
          <w:sz w:val="18"/>
          <w:szCs w:val="18"/>
          <w:i w:val="1"/>
          <w:iCs w:val="1"/>
          <w:color w:val="auto"/>
        </w:rPr>
        <w:t>Deferred tax assets</w:t>
      </w:r>
      <w:r>
        <w:rPr>
          <w:rFonts w:ascii="Times New Roman" w:cs="Times New Roman" w:eastAsia="Times New Roman" w:hAnsi="Times New Roman"/>
          <w:sz w:val="18"/>
          <w:szCs w:val="18"/>
          <w:color w:val="auto"/>
        </w:rPr>
        <w:t>. If recognized, all unrecognized tax benefits at December 31, 2023 would affect the effective tax rate. It is not anticipated any of the unrecognized tax benefit will be recognized in the next twelve months.</w:t>
      </w:r>
    </w:p>
    <w:p>
      <w:pPr>
        <w:spacing w:after="0" w:line="130"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 xml:space="preserve">Our policy is to record interest and penalties related to uncertain tax positions within </w:t>
      </w:r>
      <w:r>
        <w:rPr>
          <w:rFonts w:ascii="Times New Roman" w:cs="Times New Roman" w:eastAsia="Times New Roman" w:hAnsi="Times New Roman"/>
          <w:sz w:val="18"/>
          <w:szCs w:val="18"/>
          <w:i w:val="1"/>
          <w:iCs w:val="1"/>
          <w:color w:val="auto"/>
        </w:rPr>
        <w:t>Provision (Benefit) for income taxes</w:t>
      </w:r>
      <w:r>
        <w:rPr>
          <w:rFonts w:ascii="Times New Roman" w:cs="Times New Roman" w:eastAsia="Times New Roman" w:hAnsi="Times New Roman"/>
          <w:sz w:val="18"/>
          <w:szCs w:val="18"/>
          <w:color w:val="auto"/>
        </w:rPr>
        <w:t xml:space="preserve"> on the Consolidated Statements of Operations. There were no interest and penalties accrued with respect to income taxes for the years ended December 31, 2023 and 2022.</w:t>
      </w:r>
    </w:p>
    <w:p>
      <w:pPr>
        <w:spacing w:after="0" w:line="10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and its subsidiaries file income tax returns in the United States and various foreign jurisdictions. We are subject to examination of our income tax returns by various domestic and foreign taxing authorities until the applicable statute of limitations expires. Tax years for federal tax purposes starting in 2020, and for Israel tax purposes starting in 2022, remain open to audit. The ability for the taxing authority to adjust tax attribute carryforwards, however, which start to originate in 2014 will continue until generally four years after our tax attributes are utilized. The Internal Revenue Service initiated an audit of the Company, including ZoomInfo Holdings LLC, with respect to its 2021 tax year in December 2023.</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Subsequent Events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Management has evaluated subsequent events from December 31, 2023 through the date the financial statement was available to be issued and has determined there are no material subsequent events that require disclosure other than those below.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Subsequent to December 31, 2023 and up through February 9, 2024, the Company repurchased and subsequently retired approximately 7,466,491 shares of the Company’s Common Stock in the open market at a cost of approximately $118.9 million, for an average price of $15.92 per share, under the Share Repurchase Program described further in Note 12 - Stockholders' Equity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7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As of the end of the period covered by this Annual Report, we carried out an evaluation, under the supervision and with the participation of our management, including our Chief Executive Officer (principal executive officer) and Chief Financial Officer (principal financial officer), of the effectiveness of the design and operation of our disclosure controls and procedures (as defined in Rules 13a-15(e) and 15d-15(e) under the Securities Exchange Act of 1934, as amended (the “Exchange Act”)) to determine whether such disclosure controls and procedures provide reasonable assurance that information to be disclosed by us in the reports that we file or submit under the Exchange Act is recorded, processed, summarized and reported within the time periods specified in the rules and forms of the SEC and such information is accumulated and communicated to management, including our principal executive and principal financial officers or persons performing similar functions, as appropriate to allow timely decisions regarding disclosure. Our disclosure controls and procedures were developed through a process in which our management applied its judgment in assessing the costs and benefits of such controls and procedures, which, by their nature, can provide only reasonable assurance regarding the control objectives. You should note that the design of any system of disclosure controls and procedures is based in part upon various assumptions about the likelihood of future events, and we cannot assure you that any design will succeed in achieving its stated goals under all potential future conditions, regardless of how remote.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and for the assessment of the effectiveness of internal control over financial reporting as defined in Rule 13a-15(f) and 15d-15(f) under the Exchange Act. Internal control over financial reporting is a process designed under the supervision and with the participation of our management, including our Chief Executive Officer and our Chief Financial Officer, to provide reasonable assurance regarding the reliability of financing reporting and the preparation of financial statements for external purposes in accordance with U.S generally accepted accounting principles.</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our Chief Executive Officer and our Chief Financial Officer and oversight of the board of directors, our management conducted an evaluation of the effectiveness of our internal control over financial reporting as of December 31, 2023, based on the criteria set forth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(2013 framework). Based on this evaluation, management concluded that our internal control over financial reporting was effective as of December 31, 2023.</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2023 has been audited by KPMG LLP, an independent registered public accounting firm, as stated in their report which is included in Part II, Item 8, "Financial Statements and Supplementary Data", of this Annual Report on Form 10-K.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have been no changes to our internal control over financial reporting that occurred during the quarter ended December 31, 2023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 and Procedures</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or our internal control over financial reporting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the inherent limitations in a cost-effective control system, misstatements due to error or fraud may occur and not be detected.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None of the Company’s directors or executive officers adopted or terminated a Rule 10b5-1 trading arrangement or a non-Rule 10b5-1 trading arrangement during the fourth quarter of 2023, as such terms are defined under Item 408(a) or Regulation S-K.</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of our officers, directors, and employees, including our principal executive officer, principal financial officer, principal accounting officer, and controller, or persons performing similar functions, which is posted on our website. Our Code of Business Conduct and Ethics is a “code of ethics,” as defined in Item 406(b) of Regulation S-K. We will make any legally required disclosures regarding amendments to, or waivers of, provisions of our Code of Business Conduct and Ethics on our website. The information contained on, or accessible from, our website is not part of this Annual Report on Form 10-K by reference or otherwise.</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remaining information required by this item will be included in our definitive Proxy Statement relating to our 2024 Annual Meeting of Stockholders, which will be filed with the SEC within 120 days of the end of our fiscal year ended December 31, 2023 (the “2024 Proxy Statement”), and is incorporated herein by reference.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2024 Proxy Statement and is incorporated herein by reference.</w:t>
      </w:r>
    </w:p>
    <w:p>
      <w:pPr>
        <w:spacing w:after="0" w:line="26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2024 Proxy Statement and is incorporated herein by reference.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2024 Proxy Statement and is incorporated herein by reference.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2024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166" w:lineRule="exact"/>
        <w:rPr>
          <w:sz w:val="20"/>
          <w:szCs w:val="20"/>
          <w:color w:val="auto"/>
        </w:rPr>
      </w:pPr>
    </w:p>
    <w:p>
      <w:pPr>
        <w:ind w:left="560" w:hanging="236"/>
        <w:spacing w:after="0"/>
        <w:tabs>
          <w:tab w:leader="none" w:pos="5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a part of this Annual Report on Form 10-K:</w:t>
      </w:r>
    </w:p>
    <w:p>
      <w:pPr>
        <w:spacing w:after="0" w:line="162" w:lineRule="exact"/>
        <w:rPr>
          <w:rFonts w:ascii="Times New Roman" w:cs="Times New Roman" w:eastAsia="Times New Roman" w:hAnsi="Times New Roman"/>
          <w:sz w:val="18"/>
          <w:szCs w:val="18"/>
          <w:color w:val="auto"/>
        </w:rPr>
      </w:pPr>
    </w:p>
    <w:p>
      <w:pPr>
        <w:ind w:left="640" w:firstLine="2"/>
        <w:spacing w:after="0" w:line="276" w:lineRule="auto"/>
        <w:tabs>
          <w:tab w:leader="none" w:pos="81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Our Financial Statements are listed in the “Index to Consolidated Financial Statements” under Part II, Item 8 of this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 on Form 10-K.</w:t>
      </w:r>
    </w:p>
    <w:p>
      <w:pPr>
        <w:spacing w:after="0" w:line="106" w:lineRule="exact"/>
        <w:rPr>
          <w:rFonts w:ascii="Times New Roman" w:cs="Times New Roman" w:eastAsia="Times New Roman" w:hAnsi="Times New Roman"/>
          <w:sz w:val="18"/>
          <w:szCs w:val="18"/>
          <w:color w:val="auto"/>
        </w:rPr>
      </w:pPr>
    </w:p>
    <w:p>
      <w:pPr>
        <w:jc w:val="both"/>
        <w:ind w:left="640" w:firstLine="2"/>
        <w:spacing w:after="0" w:line="261" w:lineRule="auto"/>
        <w:tabs>
          <w:tab w:leader="none" w:pos="81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 Schedules: </w:t>
      </w:r>
      <w:r>
        <w:rPr>
          <w:rFonts w:ascii="Times New Roman" w:cs="Times New Roman" w:eastAsia="Times New Roman" w:hAnsi="Times New Roman"/>
          <w:sz w:val="18"/>
          <w:szCs w:val="18"/>
          <w:color w:val="auto"/>
        </w:rPr>
        <w:t>All other schedules have been omitted as the required information is not applicable or is not present in amounts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sufficient to require submission of the schedule, or because the information required is included in the Consolidated Financial Statements and notes thereto.</w:t>
      </w:r>
    </w:p>
    <w:p>
      <w:pPr>
        <w:spacing w:after="0" w:line="119" w:lineRule="exact"/>
        <w:rPr>
          <w:rFonts w:ascii="Times New Roman" w:cs="Times New Roman" w:eastAsia="Times New Roman" w:hAnsi="Times New Roman"/>
          <w:sz w:val="18"/>
          <w:szCs w:val="18"/>
          <w:color w:val="auto"/>
        </w:rPr>
      </w:pPr>
    </w:p>
    <w:p>
      <w:pPr>
        <w:ind w:left="640" w:firstLine="2"/>
        <w:spacing w:after="0" w:line="276" w:lineRule="auto"/>
        <w:tabs>
          <w:tab w:leader="none" w:pos="81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Exhibits: </w:t>
      </w:r>
      <w:r>
        <w:rPr>
          <w:rFonts w:ascii="Times New Roman" w:cs="Times New Roman" w:eastAsia="Times New Roman" w:hAnsi="Times New Roman"/>
          <w:sz w:val="18"/>
          <w:szCs w:val="18"/>
          <w:color w:val="auto"/>
        </w:rPr>
        <w:t>Except as otherwise noted below, the exhibits listed below in the accompanying “Index to Exhibits” are filed or incorporated by reference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part of this Annual Report on Form 10-K.</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Exhibits filed or furnished herewith are designated by a cross (+); all exhibits not so designated are incorporated by reference to a prior filing as indicated. Agreements included as exhibits are included only to provide information to investors regarding their terms. Agreements listed below may contain representations, warranties and other provisions that were made, among other things, to provide the parties thereto with specified rights and obligations and to allocate risk among them, and no such agreement should be relied upon as constituting or providing any factual disclosures about ZoomInfo Technologies Inc., any other persons, any state of affairs or other matters.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tcPr>
          <w:p>
            <w:pPr>
              <w:jc w:val="center"/>
              <w:ind w:right="76"/>
              <w:spacing w:after="0"/>
              <w:rPr>
                <w:sz w:val="20"/>
                <w:szCs w:val="20"/>
                <w:color w:val="auto"/>
              </w:rPr>
            </w:pPr>
            <w:r>
              <w:rPr>
                <w:rFonts w:ascii="Times New Roman" w:cs="Times New Roman" w:eastAsia="Times New Roman" w:hAnsi="Times New Roman"/>
                <w:sz w:val="18"/>
                <w:szCs w:val="18"/>
                <w:b w:val="1"/>
                <w:bCs w:val="1"/>
                <w:color w:val="auto"/>
                <w:w w:val="97"/>
              </w:rPr>
              <w:t>Report or</w:t>
            </w:r>
          </w:p>
        </w:tc>
        <w:tc>
          <w:tcPr>
            <w:tcW w:w="1380" w:type="dxa"/>
            <w:vAlign w:val="bottom"/>
          </w:tcPr>
          <w:p>
            <w:pPr>
              <w:jc w:val="center"/>
              <w:ind w:right="16"/>
              <w:spacing w:after="0"/>
              <w:rPr>
                <w:sz w:val="20"/>
                <w:szCs w:val="20"/>
                <w:color w:val="auto"/>
              </w:rPr>
            </w:pPr>
            <w:r>
              <w:rPr>
                <w:rFonts w:ascii="Times New Roman" w:cs="Times New Roman" w:eastAsia="Times New Roman" w:hAnsi="Times New Roman"/>
                <w:sz w:val="18"/>
                <w:szCs w:val="18"/>
                <w:b w:val="1"/>
                <w:bCs w:val="1"/>
                <w:color w:val="auto"/>
                <w:w w:val="97"/>
              </w:rPr>
              <w:t>SEC File or</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180" w:type="dxa"/>
            <w:vAlign w:val="bottom"/>
          </w:tcPr>
          <w:p>
            <w:pPr>
              <w:spacing w:after="0"/>
              <w:rPr>
                <w:sz w:val="19"/>
                <w:szCs w:val="19"/>
                <w:color w:val="auto"/>
              </w:rPr>
            </w:pPr>
          </w:p>
        </w:tc>
        <w:tc>
          <w:tcPr>
            <w:tcW w:w="3620" w:type="dxa"/>
            <w:vAlign w:val="bottom"/>
            <w:gridSpan w:val="3"/>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820" w:type="dxa"/>
            <w:vAlign w:val="bottom"/>
          </w:tcPr>
          <w:p>
            <w:pPr>
              <w:jc w:val="center"/>
              <w:ind w:right="76"/>
              <w:spacing w:after="0"/>
              <w:rPr>
                <w:sz w:val="20"/>
                <w:szCs w:val="20"/>
                <w:color w:val="auto"/>
              </w:rPr>
            </w:pPr>
            <w:r>
              <w:rPr>
                <w:rFonts w:ascii="Times New Roman" w:cs="Times New Roman" w:eastAsia="Times New Roman" w:hAnsi="Times New Roman"/>
                <w:sz w:val="18"/>
                <w:szCs w:val="18"/>
                <w:b w:val="1"/>
                <w:bCs w:val="1"/>
                <w:color w:val="auto"/>
                <w:w w:val="98"/>
              </w:rPr>
              <w:t>Registration</w:t>
            </w:r>
          </w:p>
        </w:tc>
        <w:tc>
          <w:tcPr>
            <w:tcW w:w="1380" w:type="dxa"/>
            <w:vAlign w:val="bottom"/>
          </w:tcPr>
          <w:p>
            <w:pPr>
              <w:jc w:val="center"/>
              <w:ind w:right="16"/>
              <w:spacing w:after="0"/>
              <w:rPr>
                <w:sz w:val="20"/>
                <w:szCs w:val="20"/>
                <w:color w:val="auto"/>
              </w:rPr>
            </w:pPr>
            <w:r>
              <w:rPr>
                <w:rFonts w:ascii="Times New Roman" w:cs="Times New Roman" w:eastAsia="Times New Roman" w:hAnsi="Times New Roman"/>
                <w:sz w:val="18"/>
                <w:szCs w:val="18"/>
                <w:b w:val="1"/>
                <w:bCs w:val="1"/>
                <w:color w:val="auto"/>
                <w:w w:val="96"/>
              </w:rPr>
              <w:t>Registration</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0" w:type="dxa"/>
            <w:vAlign w:val="bottom"/>
          </w:tcPr>
          <w:p>
            <w:pPr>
              <w:spacing w:after="0"/>
              <w:rPr>
                <w:sz w:val="1"/>
                <w:szCs w:val="1"/>
                <w:color w:val="auto"/>
              </w:rPr>
            </w:pPr>
          </w:p>
        </w:tc>
      </w:tr>
      <w:tr>
        <w:trPr>
          <w:trHeight w:val="238"/>
        </w:trPr>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18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3"/>
            <w:vMerge w:val="continue"/>
          </w:tcPr>
          <w:p>
            <w:pPr>
              <w:spacing w:after="0"/>
              <w:rPr>
                <w:sz w:val="20"/>
                <w:szCs w:val="20"/>
                <w:color w:val="auto"/>
              </w:rPr>
            </w:pPr>
          </w:p>
        </w:tc>
        <w:tc>
          <w:tcPr>
            <w:tcW w:w="182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8"/>
                <w:szCs w:val="18"/>
                <w:b w:val="1"/>
                <w:bCs w:val="1"/>
                <w:color w:val="auto"/>
                <w:w w:val="99"/>
              </w:rPr>
              <w:t>Statement</w:t>
            </w:r>
          </w:p>
        </w:tc>
        <w:tc>
          <w:tcPr>
            <w:tcW w:w="138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Reference</w:t>
            </w:r>
          </w:p>
        </w:tc>
        <w:tc>
          <w:tcPr>
            <w:tcW w:w="0" w:type="dxa"/>
            <w:vAlign w:val="bottom"/>
          </w:tcPr>
          <w:p>
            <w:pPr>
              <w:spacing w:after="0"/>
              <w:rPr>
                <w:sz w:val="1"/>
                <w:szCs w:val="1"/>
                <w:color w:val="auto"/>
              </w:rPr>
            </w:pPr>
          </w:p>
        </w:tc>
      </w:tr>
      <w:tr>
        <w:trPr>
          <w:trHeight w:val="139"/>
        </w:trPr>
        <w:tc>
          <w:tcPr>
            <w:tcW w:w="100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2.1</w:t>
            </w:r>
          </w:p>
        </w:tc>
        <w:tc>
          <w:tcPr>
            <w:tcW w:w="5800" w:type="dxa"/>
            <w:vAlign w:val="bottom"/>
            <w:gridSpan w:val="4"/>
            <w:shd w:val="clear" w:color="auto" w:fill="CCEEFF"/>
          </w:tcPr>
          <w:p>
            <w:pPr>
              <w:spacing w:after="0" w:line="126" w:lineRule="exact"/>
              <w:rPr>
                <w:rFonts w:ascii="Times New Roman" w:cs="Times New Roman" w:eastAsia="Times New Roman" w:hAnsi="Times New Roman"/>
                <w:sz w:val="14"/>
                <w:szCs w:val="14"/>
                <w:color w:val="0000FF"/>
              </w:rPr>
            </w:pPr>
            <w:hyperlink r:id="rId164">
              <w:r>
                <w:rPr>
                  <w:rFonts w:ascii="Times New Roman" w:cs="Times New Roman" w:eastAsia="Times New Roman" w:hAnsi="Times New Roman"/>
                  <w:sz w:val="14"/>
                  <w:szCs w:val="14"/>
                  <w:color w:val="0000FF"/>
                </w:rPr>
                <w:t>Agreement and Plan of Merger, dated as of October 29, 2021, by and among ZoomInfo Technologies</w:t>
              </w:r>
            </w:hyperlink>
          </w:p>
        </w:tc>
        <w:tc>
          <w:tcPr>
            <w:tcW w:w="1820" w:type="dxa"/>
            <w:vAlign w:val="bottom"/>
            <w:shd w:val="clear" w:color="auto" w:fill="CCEEFF"/>
          </w:tcPr>
          <w:p>
            <w:pPr>
              <w:jc w:val="center"/>
              <w:ind w:right="76"/>
              <w:spacing w:after="0" w:line="126" w:lineRule="exact"/>
              <w:rPr>
                <w:sz w:val="20"/>
                <w:szCs w:val="20"/>
                <w:color w:val="auto"/>
              </w:rPr>
            </w:pPr>
            <w:r>
              <w:rPr>
                <w:rFonts w:ascii="Times New Roman" w:cs="Times New Roman" w:eastAsia="Times New Roman" w:hAnsi="Times New Roman"/>
                <w:sz w:val="14"/>
                <w:szCs w:val="14"/>
                <w:color w:val="auto"/>
              </w:rPr>
              <w:t>8-K filed November 1, 2021</w:t>
            </w:r>
          </w:p>
        </w:tc>
        <w:tc>
          <w:tcPr>
            <w:tcW w:w="1380" w:type="dxa"/>
            <w:vAlign w:val="bottom"/>
            <w:shd w:val="clear" w:color="auto" w:fill="CCEEFF"/>
          </w:tcPr>
          <w:p>
            <w:pPr>
              <w:jc w:val="center"/>
              <w:ind w:right="16"/>
              <w:spacing w:after="0" w:line="126" w:lineRule="exact"/>
              <w:rPr>
                <w:sz w:val="20"/>
                <w:szCs w:val="20"/>
                <w:color w:val="auto"/>
              </w:rPr>
            </w:pPr>
            <w:r>
              <w:rPr>
                <w:rFonts w:ascii="Times New Roman" w:cs="Times New Roman" w:eastAsia="Times New Roman" w:hAnsi="Times New Roman"/>
                <w:sz w:val="14"/>
                <w:szCs w:val="14"/>
                <w:color w:val="auto"/>
                <w:w w:val="98"/>
              </w:rPr>
              <w:t>001-39310</w:t>
            </w:r>
          </w:p>
        </w:tc>
        <w:tc>
          <w:tcPr>
            <w:tcW w:w="124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26"/>
        </w:trPr>
        <w:tc>
          <w:tcPr>
            <w:tcW w:w="1000" w:type="dxa"/>
            <w:vAlign w:val="bottom"/>
            <w:tcBorders>
              <w:top w:val="single" w:sz="8" w:color="CCEEFF"/>
              <w:bottom w:val="single" w:sz="8" w:color="CCEEFF"/>
            </w:tcBorders>
            <w:shd w:val="clear" w:color="auto" w:fill="CCEEFF"/>
          </w:tcPr>
          <w:p>
            <w:pPr>
              <w:spacing w:after="0"/>
              <w:rPr>
                <w:sz w:val="10"/>
                <w:szCs w:val="10"/>
                <w:color w:val="auto"/>
              </w:rPr>
            </w:pPr>
          </w:p>
        </w:tc>
        <w:tc>
          <w:tcPr>
            <w:tcW w:w="5720" w:type="dxa"/>
            <w:vAlign w:val="bottom"/>
            <w:tcBorders>
              <w:top w:val="single" w:sz="8" w:color="0000FF"/>
              <w:bottom w:val="single" w:sz="8" w:color="0000FF"/>
            </w:tcBorders>
            <w:gridSpan w:val="2"/>
            <w:shd w:val="clear" w:color="auto" w:fill="CCEEFF"/>
          </w:tcPr>
          <w:p>
            <w:pPr>
              <w:spacing w:after="0" w:line="126" w:lineRule="exact"/>
              <w:rPr>
                <w:rFonts w:ascii="Times New Roman" w:cs="Times New Roman" w:eastAsia="Times New Roman" w:hAnsi="Times New Roman"/>
                <w:sz w:val="14"/>
                <w:szCs w:val="14"/>
                <w:color w:val="0000FF"/>
                <w:w w:val="99"/>
              </w:rPr>
            </w:pPr>
            <w:hyperlink r:id="rId164">
              <w:r>
                <w:rPr>
                  <w:rFonts w:ascii="Times New Roman" w:cs="Times New Roman" w:eastAsia="Times New Roman" w:hAnsi="Times New Roman"/>
                  <w:sz w:val="14"/>
                  <w:szCs w:val="14"/>
                  <w:color w:val="0000FF"/>
                  <w:w w:val="99"/>
                </w:rPr>
                <w:t>Inc. (formerly ZoomInfo NewCo Inc.), ZoomInfo Intermediate Inc. (formerly ZoomInfo Technologies</w:t>
              </w:r>
            </w:hyperlink>
          </w:p>
        </w:tc>
        <w:tc>
          <w:tcPr>
            <w:tcW w:w="60" w:type="dxa"/>
            <w:vAlign w:val="bottom"/>
            <w:tcBorders>
              <w:top w:val="single" w:sz="8" w:color="CCEEFF"/>
              <w:bottom w:val="single" w:sz="8" w:color="0000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820" w:type="dxa"/>
            <w:vAlign w:val="bottom"/>
            <w:tcBorders>
              <w:top w:val="single" w:sz="8" w:color="CCEEFF"/>
              <w:bottom w:val="single" w:sz="8" w:color="CCEEFF"/>
            </w:tcBorders>
            <w:shd w:val="clear" w:color="auto" w:fill="CCEEFF"/>
          </w:tcPr>
          <w:p>
            <w:pPr>
              <w:spacing w:after="0"/>
              <w:rPr>
                <w:sz w:val="10"/>
                <w:szCs w:val="10"/>
                <w:color w:val="auto"/>
              </w:rPr>
            </w:pPr>
          </w:p>
        </w:tc>
        <w:tc>
          <w:tcPr>
            <w:tcW w:w="1380" w:type="dxa"/>
            <w:vAlign w:val="bottom"/>
            <w:tcBorders>
              <w:top w:val="single" w:sz="8" w:color="CCEEFF"/>
              <w:bottom w:val="single" w:sz="8" w:color="CCEEFF"/>
            </w:tcBorders>
            <w:shd w:val="clear" w:color="auto" w:fill="CCEEFF"/>
          </w:tcPr>
          <w:p>
            <w:pPr>
              <w:spacing w:after="0"/>
              <w:rPr>
                <w:sz w:val="10"/>
                <w:szCs w:val="10"/>
                <w:color w:val="auto"/>
              </w:rPr>
            </w:pPr>
          </w:p>
        </w:tc>
        <w:tc>
          <w:tcPr>
            <w:tcW w:w="1240" w:type="dxa"/>
            <w:vAlign w:val="bottom"/>
            <w:tcBorders>
              <w:top w:val="single" w:sz="8" w:color="CCEEFF"/>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000" w:type="dxa"/>
            <w:vAlign w:val="bottom"/>
            <w:shd w:val="clear" w:color="auto" w:fill="CCEEFF"/>
          </w:tcPr>
          <w:p>
            <w:pPr>
              <w:spacing w:after="0"/>
              <w:rPr>
                <w:sz w:val="9"/>
                <w:szCs w:val="9"/>
                <w:color w:val="auto"/>
              </w:rPr>
            </w:pPr>
          </w:p>
        </w:tc>
        <w:tc>
          <w:tcPr>
            <w:tcW w:w="5780" w:type="dxa"/>
            <w:vAlign w:val="bottom"/>
            <w:gridSpan w:val="3"/>
            <w:shd w:val="clear" w:color="auto" w:fill="CCEEFF"/>
          </w:tcPr>
          <w:p>
            <w:pPr>
              <w:spacing w:after="0" w:line="113" w:lineRule="exact"/>
              <w:rPr>
                <w:rFonts w:ascii="Times New Roman" w:cs="Times New Roman" w:eastAsia="Times New Roman" w:hAnsi="Times New Roman"/>
                <w:sz w:val="13"/>
                <w:szCs w:val="13"/>
                <w:color w:val="0000FF"/>
              </w:rPr>
            </w:pPr>
            <w:hyperlink r:id="rId164">
              <w:r>
                <w:rPr>
                  <w:rFonts w:ascii="Times New Roman" w:cs="Times New Roman" w:eastAsia="Times New Roman" w:hAnsi="Times New Roman"/>
                  <w:sz w:val="13"/>
                  <w:szCs w:val="13"/>
                  <w:color w:val="0000FF"/>
                </w:rPr>
                <w:t>Inc.) and ZoomInfo Merger Sub 1 Inc.</w:t>
              </w:r>
            </w:hyperlink>
          </w:p>
        </w:tc>
        <w:tc>
          <w:tcPr>
            <w:tcW w:w="20" w:type="dxa"/>
            <w:vAlign w:val="bottom"/>
            <w:shd w:val="clear" w:color="auto" w:fill="CCEEFF"/>
          </w:tcPr>
          <w:p>
            <w:pPr>
              <w:spacing w:after="0"/>
              <w:rPr>
                <w:sz w:val="9"/>
                <w:szCs w:val="9"/>
                <w:color w:val="auto"/>
              </w:rPr>
            </w:pPr>
          </w:p>
        </w:tc>
        <w:tc>
          <w:tcPr>
            <w:tcW w:w="182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1000" w:type="dxa"/>
            <w:vAlign w:val="bottom"/>
            <w:tcBorders>
              <w:top w:val="single" w:sz="8" w:color="CCEEFF"/>
            </w:tcBorders>
            <w:shd w:val="clear" w:color="auto" w:fill="CCEEFF"/>
          </w:tcPr>
          <w:p>
            <w:pPr>
              <w:spacing w:after="0"/>
              <w:rPr>
                <w:sz w:val="2"/>
                <w:szCs w:val="2"/>
                <w:color w:val="auto"/>
              </w:rPr>
            </w:pPr>
          </w:p>
        </w:tc>
        <w:tc>
          <w:tcPr>
            <w:tcW w:w="2180" w:type="dxa"/>
            <w:vAlign w:val="bottom"/>
            <w:tcBorders>
              <w:top w:val="single" w:sz="8" w:color="0000FF"/>
            </w:tcBorders>
            <w:shd w:val="clear" w:color="auto" w:fill="CCEEFF"/>
          </w:tcPr>
          <w:p>
            <w:pPr>
              <w:spacing w:after="0"/>
              <w:rPr>
                <w:sz w:val="2"/>
                <w:szCs w:val="2"/>
                <w:color w:val="auto"/>
              </w:rPr>
            </w:pPr>
          </w:p>
        </w:tc>
        <w:tc>
          <w:tcPr>
            <w:tcW w:w="35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8" w:right="339" w:bottom="1440" w:gutter="0" w:footer="0" w:header="0"/>
        </w:sectPr>
      </w:pPr>
    </w:p>
    <w:p>
      <w:pPr>
        <w:ind w:left="1000" w:hanging="595"/>
        <w:spacing w:after="0" w:line="238" w:lineRule="auto"/>
        <w:tabs>
          <w:tab w:leader="none" w:pos="9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2.2</w:t>
      </w:r>
      <w:r>
        <w:rPr>
          <w:sz w:val="20"/>
          <w:szCs w:val="20"/>
          <w:color w:val="auto"/>
        </w:rPr>
        <w:tab/>
      </w:r>
      <w:hyperlink r:id="rId165">
        <w:r>
          <w:rPr>
            <w:rFonts w:ascii="Times New Roman" w:cs="Times New Roman" w:eastAsia="Times New Roman" w:hAnsi="Times New Roman"/>
            <w:sz w:val="14"/>
            <w:szCs w:val="14"/>
            <w:u w:val="single" w:color="auto"/>
            <w:color w:val="0000FF"/>
          </w:rPr>
          <w:t>Agreement and Plan of Merger, dated as of October 29, 2021, by and among ZoomInfo Technologies</w:t>
        </w:r>
      </w:hyperlink>
      <w:r>
        <w:rPr>
          <w:rFonts w:ascii="Times New Roman" w:cs="Times New Roman" w:eastAsia="Times New Roman" w:hAnsi="Times New Roman"/>
          <w:sz w:val="14"/>
          <w:szCs w:val="14"/>
          <w:u w:val="single" w:color="auto"/>
          <w:color w:val="0000FF"/>
        </w:rPr>
        <w:t xml:space="preserve"> </w:t>
      </w:r>
      <w:hyperlink r:id="rId165">
        <w:r>
          <w:rPr>
            <w:rFonts w:ascii="Times New Roman" w:cs="Times New Roman" w:eastAsia="Times New Roman" w:hAnsi="Times New Roman"/>
            <w:sz w:val="14"/>
            <w:szCs w:val="14"/>
            <w:u w:val="single" w:color="auto"/>
            <w:color w:val="0000FF"/>
          </w:rPr>
          <w:t>Inc. (formerly ZoomInfo NewCo Inc.), ZoomInfo Holdings LLC and ZoomInfo Merger Sub 2 LLC</w:t>
        </w:r>
      </w:hyperlink>
    </w:p>
    <w:p>
      <w:pPr>
        <w:spacing w:after="0" w:line="3" w:lineRule="exact"/>
        <w:rPr>
          <w:sz w:val="20"/>
          <w:szCs w:val="20"/>
          <w:color w:val="auto"/>
        </w:rPr>
      </w:pPr>
    </w:p>
    <w:p>
      <w:pPr>
        <w:ind w:left="400"/>
        <w:spacing w:after="0"/>
        <w:tabs>
          <w:tab w:leader="none" w:pos="9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3.1</w:t>
      </w:r>
      <w:r>
        <w:rPr>
          <w:sz w:val="20"/>
          <w:szCs w:val="20"/>
          <w:color w:val="auto"/>
        </w:rPr>
        <w:tab/>
      </w:r>
      <w:hyperlink r:id="rId166">
        <w:r>
          <w:rPr>
            <w:rFonts w:ascii="Times New Roman" w:cs="Times New Roman" w:eastAsia="Times New Roman" w:hAnsi="Times New Roman"/>
            <w:sz w:val="14"/>
            <w:szCs w:val="14"/>
            <w:u w:val="single" w:color="auto"/>
            <w:color w:val="0000FF"/>
          </w:rPr>
          <w:t>Second Amended and Restated Certificate of Incorporation of ZoomInfo Technologies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-95885</wp:posOffset>
            </wp:positionV>
            <wp:extent cx="7134860" cy="1263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7134860" cy="126365"/>
                    </a:xfrm>
                    <a:prstGeom prst="rect">
                      <a:avLst/>
                    </a:prstGeom>
                    <a:noFill/>
                  </pic:spPr>
                </pic:pic>
              </a:graphicData>
            </a:graphic>
          </wp:anchor>
        </w:drawing>
      </w:r>
    </w:p>
    <w:p>
      <w:pPr>
        <w:spacing w:after="0" w:line="18" w:lineRule="exact"/>
        <w:rPr>
          <w:sz w:val="20"/>
          <w:szCs w:val="20"/>
          <w:color w:val="auto"/>
        </w:rPr>
      </w:pPr>
    </w:p>
    <w:p>
      <w:pPr>
        <w:ind w:left="400"/>
        <w:spacing w:after="0"/>
        <w:tabs>
          <w:tab w:leader="none" w:pos="9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3.2</w:t>
      </w:r>
      <w:r>
        <w:rPr>
          <w:sz w:val="20"/>
          <w:szCs w:val="20"/>
          <w:color w:val="auto"/>
        </w:rPr>
        <w:tab/>
      </w:r>
      <w:hyperlink r:id="rId168">
        <w:r>
          <w:rPr>
            <w:rFonts w:ascii="Times New Roman" w:cs="Times New Roman" w:eastAsia="Times New Roman" w:hAnsi="Times New Roman"/>
            <w:sz w:val="14"/>
            <w:szCs w:val="14"/>
            <w:u w:val="single" w:color="auto"/>
            <w:color w:val="0000FF"/>
          </w:rPr>
          <w:t>Amended and Restated Bylaws of ZoomInfo Technologies Inc. (formerly ZoomInfo NewCo Inc.)</w:t>
        </w:r>
      </w:hyperlink>
    </w:p>
    <w:p>
      <w:pPr>
        <w:spacing w:after="0" w:line="38" w:lineRule="exact"/>
        <w:rPr>
          <w:sz w:val="20"/>
          <w:szCs w:val="20"/>
          <w:color w:val="auto"/>
        </w:rPr>
      </w:pPr>
    </w:p>
    <w:p>
      <w:pPr>
        <w:ind w:left="400"/>
        <w:spacing w:after="0"/>
        <w:tabs>
          <w:tab w:leader="none" w:pos="9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4.1</w:t>
      </w:r>
      <w:r>
        <w:rPr>
          <w:sz w:val="20"/>
          <w:szCs w:val="20"/>
          <w:color w:val="auto"/>
        </w:rPr>
        <w:tab/>
      </w:r>
      <w:hyperlink r:id="rId169">
        <w:r>
          <w:rPr>
            <w:rFonts w:ascii="Times New Roman" w:cs="Times New Roman" w:eastAsia="Times New Roman" w:hAnsi="Times New Roman"/>
            <w:sz w:val="14"/>
            <w:szCs w:val="14"/>
            <w:u w:val="single" w:color="auto"/>
            <w:color w:val="0000FF"/>
          </w:rPr>
          <w:t>Description of Registrant’s Securities to be Registered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-95885</wp:posOffset>
            </wp:positionV>
            <wp:extent cx="7134860" cy="1263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0">
                      <a:extLst>
                        <a:ext uri="{28A0092B-C50C-407E-A947-70E740481C1C}"/>
                      </a:extLst>
                    </a:blip>
                    <a:srcRect/>
                    <a:stretch>
                      <a:fillRect/>
                    </a:stretch>
                  </pic:blipFill>
                  <pic:spPr bwMode="auto">
                    <a:xfrm>
                      <a:off x="0" y="0"/>
                      <a:ext cx="7134860" cy="126365"/>
                    </a:xfrm>
                    <a:prstGeom prst="rect">
                      <a:avLst/>
                    </a:prstGeom>
                    <a:noFill/>
                  </pic:spPr>
                </pic:pic>
              </a:graphicData>
            </a:graphic>
          </wp:anchor>
        </w:drawing>
      </w:r>
    </w:p>
    <w:p>
      <w:pPr>
        <w:spacing w:after="0" w:line="18" w:lineRule="exact"/>
        <w:rPr>
          <w:sz w:val="20"/>
          <w:szCs w:val="20"/>
          <w:color w:val="auto"/>
        </w:rPr>
      </w:pPr>
    </w:p>
    <w:p>
      <w:pPr>
        <w:ind w:left="1000" w:right="280" w:hanging="595"/>
        <w:spacing w:after="0" w:line="239" w:lineRule="auto"/>
        <w:tabs>
          <w:tab w:leader="none" w:pos="9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4.2</w:t>
      </w:r>
      <w:r>
        <w:rPr>
          <w:sz w:val="20"/>
          <w:szCs w:val="20"/>
          <w:color w:val="auto"/>
        </w:rPr>
        <w:tab/>
      </w:r>
      <w:hyperlink r:id="rId171">
        <w:r>
          <w:rPr>
            <w:rFonts w:ascii="Times New Roman" w:cs="Times New Roman" w:eastAsia="Times New Roman" w:hAnsi="Times New Roman"/>
            <w:sz w:val="14"/>
            <w:szCs w:val="14"/>
            <w:u w:val="single" w:color="auto"/>
            <w:color w:val="0000FF"/>
          </w:rPr>
          <w:t>Indenture, dated as of February 2, 2021, by and among ZoomInfo Technologies LLC, ZoomInfo</w:t>
        </w:r>
      </w:hyperlink>
      <w:r>
        <w:rPr>
          <w:rFonts w:ascii="Times New Roman" w:cs="Times New Roman" w:eastAsia="Times New Roman" w:hAnsi="Times New Roman"/>
          <w:sz w:val="14"/>
          <w:szCs w:val="14"/>
          <w:u w:val="single" w:color="auto"/>
          <w:color w:val="0000FF"/>
        </w:rPr>
        <w:t xml:space="preserve"> </w:t>
      </w:r>
      <w:hyperlink r:id="rId171">
        <w:r>
          <w:rPr>
            <w:rFonts w:ascii="Times New Roman" w:cs="Times New Roman" w:eastAsia="Times New Roman" w:hAnsi="Times New Roman"/>
            <w:sz w:val="14"/>
            <w:szCs w:val="14"/>
            <w:u w:val="single" w:color="auto"/>
            <w:color w:val="0000FF"/>
          </w:rPr>
          <w:t>Finance Corp., the guarantors named on the signature pages thereto and Wells Fargo, National</w:t>
        </w:r>
      </w:hyperlink>
    </w:p>
    <w:p>
      <w:pPr>
        <w:spacing w:after="0" w:line="13" w:lineRule="exact"/>
        <w:rPr>
          <w:sz w:val="20"/>
          <w:szCs w:val="20"/>
          <w:color w:val="auto"/>
        </w:rPr>
      </w:pPr>
    </w:p>
    <w:p>
      <w:pPr>
        <w:ind w:left="1000"/>
        <w:spacing w:after="0"/>
        <w:rPr>
          <w:rFonts w:ascii="Times New Roman" w:cs="Times New Roman" w:eastAsia="Times New Roman" w:hAnsi="Times New Roman"/>
          <w:sz w:val="14"/>
          <w:szCs w:val="14"/>
          <w:u w:val="single" w:color="auto"/>
          <w:color w:val="0000FF"/>
        </w:rPr>
      </w:pPr>
      <w:hyperlink r:id="rId171">
        <w:r>
          <w:rPr>
            <w:rFonts w:ascii="Times New Roman" w:cs="Times New Roman" w:eastAsia="Times New Roman" w:hAnsi="Times New Roman"/>
            <w:sz w:val="14"/>
            <w:szCs w:val="14"/>
            <w:u w:val="single" w:color="auto"/>
            <w:color w:val="0000FF"/>
          </w:rPr>
          <w:t>Association, as trustee</w:t>
        </w:r>
      </w:hyperlink>
    </w:p>
    <w:p>
      <w:pPr>
        <w:spacing w:after="0" w:line="9" w:lineRule="exact"/>
        <w:rPr>
          <w:sz w:val="20"/>
          <w:szCs w:val="20"/>
          <w:color w:val="auto"/>
        </w:rPr>
      </w:pPr>
    </w:p>
    <w:p>
      <w:pPr>
        <w:jc w:val="right"/>
        <w:ind w:left="400" w:right="280"/>
        <w:spacing w:after="0" w:line="248" w:lineRule="auto"/>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 xml:space="preserve">4.3      </w:t>
      </w:r>
      <w:hyperlink r:id="rId172">
        <w:r>
          <w:rPr>
            <w:rFonts w:ascii="Times New Roman" w:cs="Times New Roman" w:eastAsia="Times New Roman" w:hAnsi="Times New Roman"/>
            <w:sz w:val="14"/>
            <w:szCs w:val="14"/>
            <w:u w:val="single" w:color="auto"/>
            <w:color w:val="0000FF"/>
          </w:rPr>
          <w:t>Supplemental Indenture, dated as of July 15, 2021, by and among ZoomInfo Technologies LLC,</w:t>
        </w:r>
      </w:hyperlink>
      <w:r>
        <w:rPr>
          <w:rFonts w:ascii="Times New Roman" w:cs="Times New Roman" w:eastAsia="Times New Roman" w:hAnsi="Times New Roman"/>
          <w:sz w:val="14"/>
          <w:szCs w:val="14"/>
          <w:color w:val="auto"/>
        </w:rPr>
        <w:t xml:space="preserve"> </w:t>
      </w:r>
      <w:hyperlink r:id="rId172">
        <w:r>
          <w:rPr>
            <w:rFonts w:ascii="Times New Roman" w:cs="Times New Roman" w:eastAsia="Times New Roman" w:hAnsi="Times New Roman"/>
            <w:sz w:val="14"/>
            <w:szCs w:val="14"/>
            <w:u w:val="single" w:color="auto"/>
            <w:color w:val="0000FF"/>
          </w:rPr>
          <w:t>ZoomInfo Finance Corp., the guarantors named on the signature pages thereto, and Wells Fargo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-204470</wp:posOffset>
            </wp:positionV>
            <wp:extent cx="7134860" cy="3194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3">
                      <a:extLst>
                        <a:ext uri="{28A0092B-C50C-407E-A947-70E740481C1C}"/>
                      </a:extLst>
                    </a:blip>
                    <a:srcRect/>
                    <a:stretch>
                      <a:fillRect/>
                    </a:stretch>
                  </pic:blipFill>
                  <pic:spPr bwMode="auto">
                    <a:xfrm>
                      <a:off x="0" y="0"/>
                      <a:ext cx="7134860" cy="319405"/>
                    </a:xfrm>
                    <a:prstGeom prst="rect">
                      <a:avLst/>
                    </a:prstGeom>
                    <a:noFill/>
                  </pic:spPr>
                </pic:pic>
              </a:graphicData>
            </a:graphic>
          </wp:anchor>
        </w:drawing>
      </w:r>
    </w:p>
    <w:p>
      <w:pPr>
        <w:ind w:left="1000"/>
        <w:spacing w:after="0"/>
        <w:rPr>
          <w:rFonts w:ascii="Times New Roman" w:cs="Times New Roman" w:eastAsia="Times New Roman" w:hAnsi="Times New Roman"/>
          <w:sz w:val="14"/>
          <w:szCs w:val="14"/>
          <w:u w:val="single" w:color="auto"/>
          <w:color w:val="0000FF"/>
        </w:rPr>
      </w:pPr>
      <w:hyperlink r:id="rId172">
        <w:r>
          <w:rPr>
            <w:rFonts w:ascii="Times New Roman" w:cs="Times New Roman" w:eastAsia="Times New Roman" w:hAnsi="Times New Roman"/>
            <w:sz w:val="14"/>
            <w:szCs w:val="14"/>
            <w:u w:val="single" w:color="auto"/>
            <w:color w:val="0000FF"/>
          </w:rPr>
          <w:t>National Association, as trustee</w:t>
        </w:r>
      </w:hyperlink>
    </w:p>
    <w:p>
      <w:pPr>
        <w:spacing w:after="0" w:line="9" w:lineRule="exact"/>
        <w:rPr>
          <w:sz w:val="20"/>
          <w:szCs w:val="20"/>
          <w:color w:val="auto"/>
        </w:rPr>
      </w:pPr>
    </w:p>
    <w:p>
      <w:pPr>
        <w:ind w:left="400"/>
        <w:spacing w:after="0"/>
        <w:tabs>
          <w:tab w:leader="none" w:pos="9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4.4</w:t>
      </w:r>
      <w:r>
        <w:rPr>
          <w:sz w:val="20"/>
          <w:szCs w:val="20"/>
          <w:color w:val="auto"/>
        </w:rPr>
        <w:tab/>
      </w:r>
      <w:hyperlink r:id="rId171">
        <w:r>
          <w:rPr>
            <w:rFonts w:ascii="Times New Roman" w:cs="Times New Roman" w:eastAsia="Times New Roman" w:hAnsi="Times New Roman"/>
            <w:sz w:val="14"/>
            <w:szCs w:val="14"/>
            <w:u w:val="single" w:color="auto"/>
            <w:color w:val="0000FF"/>
          </w:rPr>
          <w:t>Form of 3.875% Senior Note due 2029 (included in Exhibit 4.2)</w:t>
        </w:r>
      </w:hyperlink>
    </w:p>
    <w:p>
      <w:pPr>
        <w:spacing w:after="0" w:line="38" w:lineRule="exact"/>
        <w:rPr>
          <w:sz w:val="20"/>
          <w:szCs w:val="20"/>
          <w:color w:val="auto"/>
        </w:rPr>
      </w:pPr>
    </w:p>
    <w:p>
      <w:pPr>
        <w:ind w:left="1000" w:right="180" w:hanging="630"/>
        <w:spacing w:after="0" w:line="246" w:lineRule="auto"/>
        <w:tabs>
          <w:tab w:leader="none" w:pos="9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w:t>
      </w:r>
      <w:r>
        <w:rPr>
          <w:sz w:val="20"/>
          <w:szCs w:val="20"/>
          <w:color w:val="auto"/>
        </w:rPr>
        <w:tab/>
      </w:r>
      <w:hyperlink r:id="rId174">
        <w:r>
          <w:rPr>
            <w:rFonts w:ascii="Times New Roman" w:cs="Times New Roman" w:eastAsia="Times New Roman" w:hAnsi="Times New Roman"/>
            <w:sz w:val="14"/>
            <w:szCs w:val="14"/>
            <w:u w:val="single" w:color="auto"/>
            <w:color w:val="0000FF"/>
          </w:rPr>
          <w:t>Sixth Amended and Restated Limited Liability Company Agreement of ZoomInfo Holdings LLC,</w:t>
        </w:r>
      </w:hyperlink>
      <w:r>
        <w:rPr>
          <w:rFonts w:ascii="Times New Roman" w:cs="Times New Roman" w:eastAsia="Times New Roman" w:hAnsi="Times New Roman"/>
          <w:sz w:val="14"/>
          <w:szCs w:val="14"/>
          <w:u w:val="single" w:color="auto"/>
          <w:color w:val="0000FF"/>
        </w:rPr>
        <w:t xml:space="preserve"> </w:t>
      </w:r>
      <w:hyperlink r:id="rId174">
        <w:r>
          <w:rPr>
            <w:rFonts w:ascii="Times New Roman" w:cs="Times New Roman" w:eastAsia="Times New Roman" w:hAnsi="Times New Roman"/>
            <w:sz w:val="14"/>
            <w:szCs w:val="14"/>
            <w:u w:val="single" w:color="auto"/>
            <w:color w:val="0000FF"/>
          </w:rPr>
          <w:t>dated as of October 29,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-203200</wp:posOffset>
            </wp:positionV>
            <wp:extent cx="7134860" cy="2101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5">
                      <a:extLst>
                        <a:ext uri="{28A0092B-C50C-407E-A947-70E740481C1C}"/>
                      </a:extLst>
                    </a:blip>
                    <a:srcRect/>
                    <a:stretch>
                      <a:fillRect/>
                    </a:stretch>
                  </pic:blipFill>
                  <pic:spPr bwMode="auto">
                    <a:xfrm>
                      <a:off x="0" y="0"/>
                      <a:ext cx="7134860" cy="210185"/>
                    </a:xfrm>
                    <a:prstGeom prst="rect">
                      <a:avLst/>
                    </a:prstGeom>
                    <a:noFill/>
                  </pic:spPr>
                </pic:pic>
              </a:graphicData>
            </a:graphic>
          </wp:anchor>
        </w:drawing>
      </w:r>
    </w:p>
    <w:p>
      <w:pPr>
        <w:jc w:val="center"/>
        <w:ind w:left="380" w:right="680"/>
        <w:spacing w:after="0" w:line="246" w:lineRule="auto"/>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 xml:space="preserve">10.2     </w:t>
      </w:r>
      <w:hyperlink r:id="rId176">
        <w:r>
          <w:rPr>
            <w:rFonts w:ascii="Times New Roman" w:cs="Times New Roman" w:eastAsia="Times New Roman" w:hAnsi="Times New Roman"/>
            <w:sz w:val="14"/>
            <w:szCs w:val="14"/>
            <w:u w:val="single" w:color="auto"/>
            <w:color w:val="0000FF"/>
          </w:rPr>
          <w:t>Exchange Tax Receivable Agreement, dated as of June 3, 2020, by and among ZoomInfo</w:t>
        </w:r>
      </w:hyperlink>
      <w:r>
        <w:rPr>
          <w:rFonts w:ascii="Times New Roman" w:cs="Times New Roman" w:eastAsia="Times New Roman" w:hAnsi="Times New Roman"/>
          <w:sz w:val="14"/>
          <w:szCs w:val="14"/>
          <w:color w:val="auto"/>
        </w:rPr>
        <w:t xml:space="preserve"> </w:t>
      </w:r>
      <w:hyperlink r:id="rId176">
        <w:r>
          <w:rPr>
            <w:rFonts w:ascii="Times New Roman" w:cs="Times New Roman" w:eastAsia="Times New Roman" w:hAnsi="Times New Roman"/>
            <w:sz w:val="14"/>
            <w:szCs w:val="14"/>
            <w:u w:val="single" w:color="auto"/>
            <w:color w:val="0000FF"/>
          </w:rPr>
          <w:t>Technologies Inc. and each of the other persons from time to time party thereto</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88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8-K filed November 1, 2021</w:t>
            </w:r>
          </w:p>
        </w:tc>
        <w:tc>
          <w:tcPr>
            <w:tcW w:w="13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001-39310</w:t>
            </w:r>
          </w:p>
        </w:tc>
        <w:tc>
          <w:tcPr>
            <w:tcW w:w="740" w:type="dxa"/>
            <w:vAlign w:val="bottom"/>
          </w:tcPr>
          <w:p>
            <w:pPr>
              <w:jc w:val="center"/>
              <w:ind w:left="409"/>
              <w:spacing w:after="0"/>
              <w:rPr>
                <w:sz w:val="20"/>
                <w:szCs w:val="20"/>
                <w:color w:val="auto"/>
              </w:rPr>
            </w:pPr>
            <w:r>
              <w:rPr>
                <w:rFonts w:ascii="Times New Roman" w:cs="Times New Roman" w:eastAsia="Times New Roman" w:hAnsi="Times New Roman"/>
                <w:sz w:val="14"/>
                <w:szCs w:val="14"/>
                <w:color w:val="auto"/>
              </w:rPr>
              <w:t>2.2</w:t>
            </w:r>
          </w:p>
        </w:tc>
      </w:tr>
      <w:tr>
        <w:trPr>
          <w:trHeight w:val="322"/>
        </w:trPr>
        <w:tc>
          <w:tcPr>
            <w:tcW w:w="188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8-K filed May 19, 2022</w:t>
            </w:r>
          </w:p>
        </w:tc>
        <w:tc>
          <w:tcPr>
            <w:tcW w:w="13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001-39310</w:t>
            </w:r>
          </w:p>
        </w:tc>
        <w:tc>
          <w:tcPr>
            <w:tcW w:w="740" w:type="dxa"/>
            <w:vAlign w:val="bottom"/>
          </w:tcPr>
          <w:p>
            <w:pPr>
              <w:jc w:val="center"/>
              <w:ind w:left="409"/>
              <w:spacing w:after="0"/>
              <w:rPr>
                <w:sz w:val="20"/>
                <w:szCs w:val="20"/>
                <w:color w:val="auto"/>
              </w:rPr>
            </w:pPr>
            <w:r>
              <w:rPr>
                <w:rFonts w:ascii="Times New Roman" w:cs="Times New Roman" w:eastAsia="Times New Roman" w:hAnsi="Times New Roman"/>
                <w:sz w:val="14"/>
                <w:szCs w:val="14"/>
                <w:color w:val="auto"/>
              </w:rPr>
              <w:t>3.1</w:t>
            </w:r>
          </w:p>
        </w:tc>
      </w:tr>
      <w:tr>
        <w:trPr>
          <w:trHeight w:val="199"/>
        </w:trPr>
        <w:tc>
          <w:tcPr>
            <w:tcW w:w="188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8-K filed November 1, 2021</w:t>
            </w:r>
          </w:p>
        </w:tc>
        <w:tc>
          <w:tcPr>
            <w:tcW w:w="13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001-39310</w:t>
            </w:r>
          </w:p>
        </w:tc>
        <w:tc>
          <w:tcPr>
            <w:tcW w:w="740" w:type="dxa"/>
            <w:vAlign w:val="bottom"/>
          </w:tcPr>
          <w:p>
            <w:pPr>
              <w:jc w:val="center"/>
              <w:ind w:left="409"/>
              <w:spacing w:after="0"/>
              <w:rPr>
                <w:sz w:val="20"/>
                <w:szCs w:val="20"/>
                <w:color w:val="auto"/>
              </w:rPr>
            </w:pPr>
            <w:r>
              <w:rPr>
                <w:rFonts w:ascii="Times New Roman" w:cs="Times New Roman" w:eastAsia="Times New Roman" w:hAnsi="Times New Roman"/>
                <w:sz w:val="14"/>
                <w:szCs w:val="14"/>
                <w:color w:val="auto"/>
              </w:rPr>
              <w:t>3.2</w:t>
            </w:r>
          </w:p>
        </w:tc>
      </w:tr>
      <w:tr>
        <w:trPr>
          <w:trHeight w:val="199"/>
        </w:trPr>
        <w:tc>
          <w:tcPr>
            <w:tcW w:w="188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8-A/A filed May 23, 2022</w:t>
            </w:r>
          </w:p>
        </w:tc>
        <w:tc>
          <w:tcPr>
            <w:tcW w:w="13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001-39310</w:t>
            </w:r>
          </w:p>
        </w:tc>
        <w:tc>
          <w:tcPr>
            <w:tcW w:w="740" w:type="dxa"/>
            <w:vAlign w:val="bottom"/>
          </w:tcPr>
          <w:p>
            <w:pPr>
              <w:jc w:val="center"/>
              <w:ind w:left="409"/>
              <w:spacing w:after="0"/>
              <w:rPr>
                <w:sz w:val="20"/>
                <w:szCs w:val="20"/>
                <w:color w:val="auto"/>
              </w:rPr>
            </w:pPr>
            <w:r>
              <w:rPr>
                <w:rFonts w:ascii="Times New Roman" w:cs="Times New Roman" w:eastAsia="Times New Roman" w:hAnsi="Times New Roman"/>
                <w:sz w:val="14"/>
                <w:szCs w:val="14"/>
                <w:color w:val="auto"/>
              </w:rPr>
              <w:t>4.1</w:t>
            </w:r>
          </w:p>
        </w:tc>
      </w:tr>
      <w:tr>
        <w:trPr>
          <w:trHeight w:val="199"/>
        </w:trPr>
        <w:tc>
          <w:tcPr>
            <w:tcW w:w="188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8-K filed February 2, 2021</w:t>
            </w:r>
          </w:p>
        </w:tc>
        <w:tc>
          <w:tcPr>
            <w:tcW w:w="13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001-39310</w:t>
            </w:r>
          </w:p>
        </w:tc>
        <w:tc>
          <w:tcPr>
            <w:tcW w:w="740" w:type="dxa"/>
            <w:vAlign w:val="bottom"/>
          </w:tcPr>
          <w:p>
            <w:pPr>
              <w:jc w:val="center"/>
              <w:ind w:left="409"/>
              <w:spacing w:after="0"/>
              <w:rPr>
                <w:sz w:val="20"/>
                <w:szCs w:val="20"/>
                <w:color w:val="auto"/>
              </w:rPr>
            </w:pPr>
            <w:r>
              <w:rPr>
                <w:rFonts w:ascii="Times New Roman" w:cs="Times New Roman" w:eastAsia="Times New Roman" w:hAnsi="Times New Roman"/>
                <w:sz w:val="14"/>
                <w:szCs w:val="14"/>
                <w:color w:val="auto"/>
              </w:rPr>
              <w:t>4.1</w:t>
            </w:r>
          </w:p>
        </w:tc>
      </w:tr>
      <w:tr>
        <w:trPr>
          <w:trHeight w:val="503"/>
        </w:trPr>
        <w:tc>
          <w:tcPr>
            <w:tcW w:w="188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w w:val="99"/>
              </w:rPr>
              <w:t>8-K filed July 15, 2021</w:t>
            </w:r>
          </w:p>
        </w:tc>
        <w:tc>
          <w:tcPr>
            <w:tcW w:w="13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001-39310</w:t>
            </w:r>
          </w:p>
        </w:tc>
        <w:tc>
          <w:tcPr>
            <w:tcW w:w="740" w:type="dxa"/>
            <w:vAlign w:val="bottom"/>
          </w:tcPr>
          <w:p>
            <w:pPr>
              <w:jc w:val="center"/>
              <w:ind w:left="409"/>
              <w:spacing w:after="0"/>
              <w:rPr>
                <w:sz w:val="20"/>
                <w:szCs w:val="20"/>
                <w:color w:val="auto"/>
              </w:rPr>
            </w:pPr>
            <w:r>
              <w:rPr>
                <w:rFonts w:ascii="Times New Roman" w:cs="Times New Roman" w:eastAsia="Times New Roman" w:hAnsi="Times New Roman"/>
                <w:sz w:val="14"/>
                <w:szCs w:val="14"/>
                <w:color w:val="auto"/>
              </w:rPr>
              <w:t>4.2</w:t>
            </w:r>
          </w:p>
        </w:tc>
      </w:tr>
      <w:tr>
        <w:trPr>
          <w:trHeight w:val="503"/>
        </w:trPr>
        <w:tc>
          <w:tcPr>
            <w:tcW w:w="188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8-K filed February 2, 2021</w:t>
            </w:r>
          </w:p>
        </w:tc>
        <w:tc>
          <w:tcPr>
            <w:tcW w:w="13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001-39310</w:t>
            </w:r>
          </w:p>
        </w:tc>
        <w:tc>
          <w:tcPr>
            <w:tcW w:w="740" w:type="dxa"/>
            <w:vAlign w:val="bottom"/>
          </w:tcPr>
          <w:p>
            <w:pPr>
              <w:jc w:val="center"/>
              <w:ind w:left="409"/>
              <w:spacing w:after="0"/>
              <w:rPr>
                <w:sz w:val="20"/>
                <w:szCs w:val="20"/>
                <w:color w:val="auto"/>
              </w:rPr>
            </w:pPr>
            <w:r>
              <w:rPr>
                <w:rFonts w:ascii="Times New Roman" w:cs="Times New Roman" w:eastAsia="Times New Roman" w:hAnsi="Times New Roman"/>
                <w:sz w:val="14"/>
                <w:szCs w:val="14"/>
                <w:color w:val="auto"/>
              </w:rPr>
              <w:t>4.1</w:t>
            </w:r>
          </w:p>
        </w:tc>
      </w:tr>
      <w:tr>
        <w:trPr>
          <w:trHeight w:val="161"/>
        </w:trPr>
        <w:tc>
          <w:tcPr>
            <w:tcW w:w="188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10-K filed February 24,</w:t>
            </w:r>
          </w:p>
        </w:tc>
        <w:tc>
          <w:tcPr>
            <w:tcW w:w="13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001-39310</w:t>
            </w:r>
          </w:p>
        </w:tc>
        <w:tc>
          <w:tcPr>
            <w:tcW w:w="740" w:type="dxa"/>
            <w:vAlign w:val="bottom"/>
          </w:tcPr>
          <w:p>
            <w:pPr>
              <w:jc w:val="center"/>
              <w:ind w:left="409"/>
              <w:spacing w:after="0"/>
              <w:rPr>
                <w:sz w:val="20"/>
                <w:szCs w:val="20"/>
                <w:color w:val="auto"/>
              </w:rPr>
            </w:pPr>
            <w:r>
              <w:rPr>
                <w:rFonts w:ascii="Times New Roman" w:cs="Times New Roman" w:eastAsia="Times New Roman" w:hAnsi="Times New Roman"/>
                <w:sz w:val="14"/>
                <w:szCs w:val="14"/>
                <w:color w:val="auto"/>
              </w:rPr>
              <w:t>10.1</w:t>
            </w:r>
          </w:p>
        </w:tc>
      </w:tr>
      <w:tr>
        <w:trPr>
          <w:trHeight w:val="184"/>
        </w:trPr>
        <w:tc>
          <w:tcPr>
            <w:tcW w:w="188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w w:val="99"/>
              </w:rPr>
              <w:t>2022</w:t>
            </w:r>
          </w:p>
        </w:tc>
        <w:tc>
          <w:tcPr>
            <w:tcW w:w="1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5"/>
        </w:trPr>
        <w:tc>
          <w:tcPr>
            <w:tcW w:w="188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8-K filed June 8, 2020</w:t>
            </w:r>
          </w:p>
        </w:tc>
        <w:tc>
          <w:tcPr>
            <w:tcW w:w="13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001-39310</w:t>
            </w:r>
          </w:p>
        </w:tc>
        <w:tc>
          <w:tcPr>
            <w:tcW w:w="740" w:type="dxa"/>
            <w:vAlign w:val="bottom"/>
          </w:tcPr>
          <w:p>
            <w:pPr>
              <w:jc w:val="center"/>
              <w:ind w:left="409"/>
              <w:spacing w:after="0"/>
              <w:rPr>
                <w:sz w:val="20"/>
                <w:szCs w:val="20"/>
                <w:color w:val="auto"/>
              </w:rPr>
            </w:pPr>
            <w:r>
              <w:rPr>
                <w:rFonts w:ascii="Times New Roman" w:cs="Times New Roman" w:eastAsia="Times New Roman" w:hAnsi="Times New Roman"/>
                <w:sz w:val="14"/>
                <w:szCs w:val="14"/>
                <w:color w:val="auto"/>
              </w:rPr>
              <w:t>10.3</w:t>
            </w:r>
          </w:p>
        </w:tc>
      </w:tr>
    </w:tbl>
    <w:p>
      <w:pPr>
        <w:spacing w:after="0" w:line="147" w:lineRule="exact"/>
        <w:rPr>
          <w:sz w:val="20"/>
          <w:szCs w:val="20"/>
          <w:color w:val="auto"/>
        </w:rPr>
      </w:pPr>
    </w:p>
    <w:p>
      <w:pPr>
        <w:sectPr>
          <w:pgSz w:w="11900" w:h="16838" w:orient="portrait"/>
          <w:cols w:equalWidth="0" w:num="2">
            <w:col w:w="6720" w:space="100"/>
            <w:col w:w="4420"/>
          </w:cols>
          <w:pgMar w:left="320" w:top="118" w:right="339" w:bottom="1440" w:gutter="0" w:footer="0" w:header="0"/>
          <w:type w:val="continuous"/>
        </w:sectPr>
      </w:pPr>
    </w:p>
    <w:tbl>
      <w:tblPr>
        <w:tblLayout w:type="fixed"/>
        <w:tblInd w:w="380" w:type="dxa"/>
        <w:tblCellMar>
          <w:top w:w="0" w:type="dxa"/>
          <w:left w:w="0" w:type="dxa"/>
          <w:bottom w:w="0" w:type="dxa"/>
          <w:right w:w="0" w:type="dxa"/>
        </w:tblCellMar>
      </w:tblPr>
      <w:tr>
        <w:trPr>
          <w:trHeight w:val="163"/>
        </w:trPr>
        <w:tc>
          <w:tcPr>
            <w:tcW w:w="620" w:type="dxa"/>
            <w:vAlign w:val="bottom"/>
          </w:tcPr>
          <w:p>
            <w:pPr>
              <w:jc w:val="right"/>
              <w:ind w:right="309"/>
              <w:spacing w:after="0" w:line="157" w:lineRule="exact"/>
              <w:rPr>
                <w:sz w:val="20"/>
                <w:szCs w:val="20"/>
                <w:color w:val="auto"/>
              </w:rPr>
            </w:pPr>
            <w:r>
              <w:rPr>
                <w:rFonts w:ascii="Times New Roman" w:cs="Times New Roman" w:eastAsia="Times New Roman" w:hAnsi="Times New Roman"/>
                <w:sz w:val="14"/>
                <w:szCs w:val="14"/>
                <w:color w:val="auto"/>
                <w:w w:val="89"/>
              </w:rPr>
              <w:t>10.3</w:t>
            </w:r>
          </w:p>
        </w:tc>
        <w:tc>
          <w:tcPr>
            <w:tcW w:w="5780" w:type="dxa"/>
            <w:vAlign w:val="bottom"/>
            <w:tcBorders>
              <w:bottom w:val="single" w:sz="8" w:color="0000FF"/>
            </w:tcBorders>
            <w:gridSpan w:val="2"/>
          </w:tcPr>
          <w:p>
            <w:pPr>
              <w:spacing w:after="0" w:line="157" w:lineRule="exact"/>
              <w:rPr>
                <w:rFonts w:ascii="Times New Roman" w:cs="Times New Roman" w:eastAsia="Times New Roman" w:hAnsi="Times New Roman"/>
                <w:sz w:val="14"/>
                <w:szCs w:val="14"/>
                <w:color w:val="0000FF"/>
              </w:rPr>
            </w:pPr>
            <w:hyperlink r:id="rId177">
              <w:r>
                <w:rPr>
                  <w:rFonts w:ascii="Times New Roman" w:cs="Times New Roman" w:eastAsia="Times New Roman" w:hAnsi="Times New Roman"/>
                  <w:sz w:val="14"/>
                  <w:szCs w:val="14"/>
                  <w:color w:val="0000FF"/>
                </w:rPr>
                <w:t>Amendment No. 1, dated as of August 20, 2021, to the Exchange Tax Receivable Agreement, dated as</w:t>
              </w:r>
            </w:hyperlink>
          </w:p>
        </w:tc>
        <w:tc>
          <w:tcPr>
            <w:tcW w:w="1860" w:type="dxa"/>
            <w:vAlign w:val="bottom"/>
          </w:tcPr>
          <w:p>
            <w:pPr>
              <w:jc w:val="center"/>
              <w:ind w:right="89"/>
              <w:spacing w:after="0" w:line="157" w:lineRule="exact"/>
              <w:rPr>
                <w:sz w:val="20"/>
                <w:szCs w:val="20"/>
                <w:color w:val="auto"/>
              </w:rPr>
            </w:pPr>
            <w:r>
              <w:rPr>
                <w:rFonts w:ascii="Times New Roman" w:cs="Times New Roman" w:eastAsia="Times New Roman" w:hAnsi="Times New Roman"/>
                <w:sz w:val="14"/>
                <w:szCs w:val="14"/>
                <w:color w:val="auto"/>
                <w:w w:val="99"/>
              </w:rPr>
              <w:t>10-Q filed November 1,</w:t>
            </w:r>
          </w:p>
        </w:tc>
        <w:tc>
          <w:tcPr>
            <w:tcW w:w="1400" w:type="dxa"/>
            <w:vAlign w:val="bottom"/>
          </w:tcPr>
          <w:p>
            <w:pPr>
              <w:jc w:val="right"/>
              <w:ind w:right="409"/>
              <w:spacing w:after="0" w:line="157" w:lineRule="exact"/>
              <w:rPr>
                <w:sz w:val="20"/>
                <w:szCs w:val="20"/>
                <w:color w:val="auto"/>
              </w:rPr>
            </w:pPr>
            <w:r>
              <w:rPr>
                <w:rFonts w:ascii="Times New Roman" w:cs="Times New Roman" w:eastAsia="Times New Roman" w:hAnsi="Times New Roman"/>
                <w:sz w:val="14"/>
                <w:szCs w:val="14"/>
                <w:color w:val="auto"/>
              </w:rPr>
              <w:t>001-39310</w:t>
            </w:r>
          </w:p>
        </w:tc>
        <w:tc>
          <w:tcPr>
            <w:tcW w:w="7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10.3</w:t>
            </w:r>
          </w:p>
        </w:tc>
      </w:tr>
      <w:tr>
        <w:trPr>
          <w:trHeight w:val="146"/>
        </w:trPr>
        <w:tc>
          <w:tcPr>
            <w:tcW w:w="620" w:type="dxa"/>
            <w:vAlign w:val="bottom"/>
          </w:tcPr>
          <w:p>
            <w:pPr>
              <w:spacing w:after="0"/>
              <w:rPr>
                <w:sz w:val="12"/>
                <w:szCs w:val="12"/>
                <w:color w:val="auto"/>
              </w:rPr>
            </w:pPr>
          </w:p>
        </w:tc>
        <w:tc>
          <w:tcPr>
            <w:tcW w:w="5780" w:type="dxa"/>
            <w:vAlign w:val="bottom"/>
            <w:gridSpan w:val="2"/>
          </w:tcPr>
          <w:p>
            <w:pPr>
              <w:spacing w:after="0" w:line="146" w:lineRule="exact"/>
              <w:rPr>
                <w:rFonts w:ascii="Times New Roman" w:cs="Times New Roman" w:eastAsia="Times New Roman" w:hAnsi="Times New Roman"/>
                <w:sz w:val="14"/>
                <w:szCs w:val="14"/>
                <w:color w:val="0000FF"/>
              </w:rPr>
            </w:pPr>
            <w:hyperlink r:id="rId177">
              <w:r>
                <w:rPr>
                  <w:rFonts w:ascii="Times New Roman" w:cs="Times New Roman" w:eastAsia="Times New Roman" w:hAnsi="Times New Roman"/>
                  <w:sz w:val="14"/>
                  <w:szCs w:val="14"/>
                  <w:color w:val="0000FF"/>
                </w:rPr>
                <w:t>of June 3, 2020, among ZoomInfo Technologies Inc. and each of the other persons from time to time</w:t>
              </w:r>
            </w:hyperlink>
          </w:p>
        </w:tc>
        <w:tc>
          <w:tcPr>
            <w:tcW w:w="1860" w:type="dxa"/>
            <w:vAlign w:val="bottom"/>
          </w:tcPr>
          <w:p>
            <w:pPr>
              <w:jc w:val="right"/>
              <w:ind w:right="789"/>
              <w:spacing w:after="0" w:line="146" w:lineRule="exact"/>
              <w:rPr>
                <w:sz w:val="20"/>
                <w:szCs w:val="20"/>
                <w:color w:val="auto"/>
              </w:rPr>
            </w:pPr>
            <w:r>
              <w:rPr>
                <w:rFonts w:ascii="Times New Roman" w:cs="Times New Roman" w:eastAsia="Times New Roman" w:hAnsi="Times New Roman"/>
                <w:sz w:val="14"/>
                <w:szCs w:val="14"/>
                <w:color w:val="auto"/>
              </w:rPr>
              <w:t>2021</w:t>
            </w:r>
          </w:p>
        </w:tc>
        <w:tc>
          <w:tcPr>
            <w:tcW w:w="14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20"/>
        </w:trPr>
        <w:tc>
          <w:tcPr>
            <w:tcW w:w="620" w:type="dxa"/>
            <w:vAlign w:val="bottom"/>
          </w:tcPr>
          <w:p>
            <w:pPr>
              <w:spacing w:after="0" w:line="20" w:lineRule="exact"/>
              <w:rPr>
                <w:sz w:val="1"/>
                <w:szCs w:val="1"/>
                <w:color w:val="auto"/>
              </w:rPr>
            </w:pPr>
          </w:p>
        </w:tc>
        <w:tc>
          <w:tcPr>
            <w:tcW w:w="56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-209550</wp:posOffset>
            </wp:positionV>
            <wp:extent cx="7134860" cy="3448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8">
                      <a:extLst>
                        <a:ext uri="{28A0092B-C50C-407E-A947-70E740481C1C}"/>
                      </a:extLst>
                    </a:blip>
                    <a:srcRect/>
                    <a:stretch>
                      <a:fillRect/>
                    </a:stretch>
                  </pic:blipFill>
                  <pic:spPr bwMode="auto">
                    <a:xfrm>
                      <a:off x="0" y="0"/>
                      <a:ext cx="7134860" cy="344805"/>
                    </a:xfrm>
                    <a:prstGeom prst="rect">
                      <a:avLst/>
                    </a:prstGeom>
                    <a:noFill/>
                  </pic:spPr>
                </pic:pic>
              </a:graphicData>
            </a:graphic>
          </wp:anchor>
        </w:drawing>
      </w:r>
    </w:p>
    <w:p>
      <w:pPr>
        <w:ind w:left="1000"/>
        <w:spacing w:after="0"/>
        <w:rPr>
          <w:rFonts w:ascii="Times New Roman" w:cs="Times New Roman" w:eastAsia="Times New Roman" w:hAnsi="Times New Roman"/>
          <w:sz w:val="14"/>
          <w:szCs w:val="14"/>
          <w:u w:val="single" w:color="auto"/>
          <w:color w:val="0000FF"/>
        </w:rPr>
      </w:pPr>
      <w:hyperlink r:id="rId177">
        <w:r>
          <w:rPr>
            <w:rFonts w:ascii="Times New Roman" w:cs="Times New Roman" w:eastAsia="Times New Roman" w:hAnsi="Times New Roman"/>
            <w:sz w:val="14"/>
            <w:szCs w:val="14"/>
            <w:u w:val="single" w:color="auto"/>
            <w:color w:val="0000FF"/>
          </w:rPr>
          <w:t>party thereto</w:t>
        </w:r>
      </w:hyperlink>
    </w:p>
    <w:p>
      <w:pPr>
        <w:sectPr>
          <w:pgSz w:w="11900" w:h="16838" w:orient="portrait"/>
          <w:cols w:equalWidth="0" w:num="1">
            <w:col w:w="11240"/>
          </w:cols>
          <w:pgMar w:left="320" w:top="118" w:right="339" w:bottom="1440" w:gutter="0" w:footer="0" w:header="0"/>
          <w:type w:val="continuous"/>
        </w:sectPr>
      </w:pPr>
    </w:p>
    <w:p>
      <w:pPr>
        <w:spacing w:after="0" w:line="38" w:lineRule="exact"/>
        <w:rPr>
          <w:sz w:val="20"/>
          <w:szCs w:val="20"/>
          <w:color w:val="auto"/>
        </w:rPr>
      </w:pPr>
    </w:p>
    <w:p>
      <w:pPr>
        <w:ind w:left="1000" w:hanging="630"/>
        <w:spacing w:after="0" w:line="239" w:lineRule="auto"/>
        <w:tabs>
          <w:tab w:leader="none" w:pos="9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10.4</w:t>
      </w:r>
      <w:r>
        <w:rPr>
          <w:sz w:val="20"/>
          <w:szCs w:val="20"/>
          <w:color w:val="auto"/>
        </w:rPr>
        <w:tab/>
      </w:r>
      <w:hyperlink r:id="rId179">
        <w:r>
          <w:rPr>
            <w:rFonts w:ascii="Times New Roman" w:cs="Times New Roman" w:eastAsia="Times New Roman" w:hAnsi="Times New Roman"/>
            <w:sz w:val="14"/>
            <w:szCs w:val="14"/>
            <w:u w:val="single" w:color="auto"/>
            <w:color w:val="0000FF"/>
          </w:rPr>
          <w:t>Amendment No. 2, dated as of October 29, 2021, to the Exchange Tax Receivable Agreement, dated</w:t>
        </w:r>
      </w:hyperlink>
      <w:r>
        <w:rPr>
          <w:rFonts w:ascii="Times New Roman" w:cs="Times New Roman" w:eastAsia="Times New Roman" w:hAnsi="Times New Roman"/>
          <w:sz w:val="14"/>
          <w:szCs w:val="14"/>
          <w:u w:val="single" w:color="auto"/>
          <w:color w:val="0000FF"/>
        </w:rPr>
        <w:t xml:space="preserve"> </w:t>
      </w:r>
      <w:hyperlink r:id="rId179">
        <w:r>
          <w:rPr>
            <w:rFonts w:ascii="Times New Roman" w:cs="Times New Roman" w:eastAsia="Times New Roman" w:hAnsi="Times New Roman"/>
            <w:sz w:val="14"/>
            <w:szCs w:val="14"/>
            <w:u w:val="single" w:color="auto"/>
            <w:color w:val="0000FF"/>
          </w:rPr>
          <w:t>as of June 3, 2020, among ZoomInfo Technologies Inc. and each of the other persons from time to</w:t>
        </w:r>
      </w:hyperlink>
    </w:p>
    <w:p>
      <w:pPr>
        <w:spacing w:after="0" w:line="13" w:lineRule="exact"/>
        <w:rPr>
          <w:sz w:val="20"/>
          <w:szCs w:val="20"/>
          <w:color w:val="auto"/>
        </w:rPr>
      </w:pPr>
    </w:p>
    <w:p>
      <w:pPr>
        <w:ind w:left="1000"/>
        <w:spacing w:after="0"/>
        <w:rPr>
          <w:rFonts w:ascii="Times New Roman" w:cs="Times New Roman" w:eastAsia="Times New Roman" w:hAnsi="Times New Roman"/>
          <w:sz w:val="14"/>
          <w:szCs w:val="14"/>
          <w:u w:val="single" w:color="auto"/>
          <w:color w:val="0000FF"/>
        </w:rPr>
      </w:pPr>
      <w:hyperlink r:id="rId179">
        <w:r>
          <w:rPr>
            <w:rFonts w:ascii="Times New Roman" w:cs="Times New Roman" w:eastAsia="Times New Roman" w:hAnsi="Times New Roman"/>
            <w:sz w:val="14"/>
            <w:szCs w:val="14"/>
            <w:u w:val="single" w:color="auto"/>
            <w:color w:val="0000FF"/>
          </w:rPr>
          <w:t>time party thereto</w:t>
        </w:r>
      </w:hyperlink>
    </w:p>
    <w:p>
      <w:pPr>
        <w:spacing w:after="0" w:line="9" w:lineRule="exact"/>
        <w:rPr>
          <w:sz w:val="20"/>
          <w:szCs w:val="20"/>
          <w:color w:val="auto"/>
        </w:rPr>
      </w:pPr>
    </w:p>
    <w:p>
      <w:pPr>
        <w:ind w:left="1000" w:right="340" w:hanging="630"/>
        <w:spacing w:after="0" w:line="246" w:lineRule="auto"/>
        <w:tabs>
          <w:tab w:leader="none" w:pos="9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10.5</w:t>
      </w:r>
      <w:r>
        <w:rPr>
          <w:sz w:val="20"/>
          <w:szCs w:val="20"/>
          <w:color w:val="auto"/>
        </w:rPr>
        <w:tab/>
      </w:r>
      <w:hyperlink r:id="rId180">
        <w:r>
          <w:rPr>
            <w:rFonts w:ascii="Times New Roman" w:cs="Times New Roman" w:eastAsia="Times New Roman" w:hAnsi="Times New Roman"/>
            <w:sz w:val="14"/>
            <w:szCs w:val="14"/>
            <w:u w:val="single" w:color="auto"/>
            <w:color w:val="0000FF"/>
          </w:rPr>
          <w:t>Reorganization Tax Receivable Agreement, dated as of June 3, 2020, by and among ZoomInfo</w:t>
        </w:r>
      </w:hyperlink>
      <w:r>
        <w:rPr>
          <w:rFonts w:ascii="Times New Roman" w:cs="Times New Roman" w:eastAsia="Times New Roman" w:hAnsi="Times New Roman"/>
          <w:sz w:val="14"/>
          <w:szCs w:val="14"/>
          <w:u w:val="single" w:color="auto"/>
          <w:color w:val="0000FF"/>
        </w:rPr>
        <w:t xml:space="preserve"> </w:t>
      </w:r>
      <w:hyperlink r:id="rId180">
        <w:r>
          <w:rPr>
            <w:rFonts w:ascii="Times New Roman" w:cs="Times New Roman" w:eastAsia="Times New Roman" w:hAnsi="Times New Roman"/>
            <w:sz w:val="14"/>
            <w:szCs w:val="14"/>
            <w:u w:val="single" w:color="auto"/>
            <w:color w:val="0000FF"/>
          </w:rPr>
          <w:t>Technologies Inc. and each of the other persons from time to time a party thereto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-203200</wp:posOffset>
            </wp:positionV>
            <wp:extent cx="7134860" cy="2101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1">
                      <a:extLst>
                        <a:ext uri="{28A0092B-C50C-407E-A947-70E740481C1C}"/>
                      </a:extLst>
                    </a:blip>
                    <a:srcRect/>
                    <a:stretch>
                      <a:fillRect/>
                    </a:stretch>
                  </pic:blipFill>
                  <pic:spPr bwMode="auto">
                    <a:xfrm>
                      <a:off x="0" y="0"/>
                      <a:ext cx="7134860" cy="2101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88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8-K filed November 1, 2021</w:t>
            </w:r>
          </w:p>
        </w:tc>
        <w:tc>
          <w:tcPr>
            <w:tcW w:w="13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001-39310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r>
      <w:tr>
        <w:trPr>
          <w:trHeight w:val="503"/>
        </w:trPr>
        <w:tc>
          <w:tcPr>
            <w:tcW w:w="188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8-K filed June 8, 2020</w:t>
            </w:r>
          </w:p>
        </w:tc>
        <w:tc>
          <w:tcPr>
            <w:tcW w:w="13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001-39310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r>
    </w:tbl>
    <w:p>
      <w:pPr>
        <w:spacing w:after="0" w:line="147" w:lineRule="exact"/>
        <w:rPr>
          <w:sz w:val="20"/>
          <w:szCs w:val="20"/>
          <w:color w:val="auto"/>
        </w:rPr>
      </w:pPr>
    </w:p>
    <w:p>
      <w:pPr>
        <w:sectPr>
          <w:pgSz w:w="11900" w:h="16838" w:orient="portrait"/>
          <w:cols w:equalWidth="0" w:num="2">
            <w:col w:w="6680" w:space="140"/>
            <w:col w:w="4420"/>
          </w:cols>
          <w:pgMar w:left="320" w:top="118" w:right="339" w:bottom="1440" w:gutter="0" w:footer="0" w:header="0"/>
          <w:type w:val="continuous"/>
        </w:sectPr>
      </w:pPr>
    </w:p>
    <w:p>
      <w:pPr>
        <w:ind w:left="1000" w:hanging="630"/>
        <w:spacing w:after="0" w:line="263" w:lineRule="auto"/>
        <w:tabs>
          <w:tab w:leader="none" w:pos="9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10.6</w:t>
      </w:r>
      <w:r>
        <w:rPr>
          <w:sz w:val="20"/>
          <w:szCs w:val="20"/>
          <w:color w:val="auto"/>
        </w:rPr>
        <w:tab/>
      </w:r>
      <w:hyperlink r:id="rId182">
        <w:r>
          <w:rPr>
            <w:rFonts w:ascii="Times New Roman" w:cs="Times New Roman" w:eastAsia="Times New Roman" w:hAnsi="Times New Roman"/>
            <w:sz w:val="14"/>
            <w:szCs w:val="14"/>
            <w:u w:val="single" w:color="auto"/>
            <w:color w:val="0000FF"/>
          </w:rPr>
          <w:t>Amendment No. 1, dated as of August 20, 2021, to the Reorganization Tax Receivable Agreement,</w:t>
        </w:r>
      </w:hyperlink>
      <w:r>
        <w:rPr>
          <w:rFonts w:ascii="Times New Roman" w:cs="Times New Roman" w:eastAsia="Times New Roman" w:hAnsi="Times New Roman"/>
          <w:sz w:val="14"/>
          <w:szCs w:val="14"/>
          <w:u w:val="single" w:color="auto"/>
          <w:color w:val="0000FF"/>
        </w:rPr>
        <w:t xml:space="preserve"> </w:t>
      </w:r>
      <w:hyperlink r:id="rId182">
        <w:r>
          <w:rPr>
            <w:rFonts w:ascii="Times New Roman" w:cs="Times New Roman" w:eastAsia="Times New Roman" w:hAnsi="Times New Roman"/>
            <w:sz w:val="14"/>
            <w:szCs w:val="14"/>
            <w:u w:val="single" w:color="auto"/>
            <w:color w:val="0000FF"/>
          </w:rPr>
          <w:t>dated as of June 3, 2020, among ZoomInfo Technologies Inc. and each of the other persons from time</w:t>
        </w:r>
      </w:hyperlink>
      <w:r>
        <w:rPr>
          <w:rFonts w:ascii="Times New Roman" w:cs="Times New Roman" w:eastAsia="Times New Roman" w:hAnsi="Times New Roman"/>
          <w:sz w:val="14"/>
          <w:szCs w:val="14"/>
          <w:u w:val="single" w:color="auto"/>
          <w:color w:val="0000FF"/>
        </w:rPr>
        <w:t xml:space="preserve"> </w:t>
      </w:r>
      <w:hyperlink r:id="rId182">
        <w:r>
          <w:rPr>
            <w:rFonts w:ascii="Times New Roman" w:cs="Times New Roman" w:eastAsia="Times New Roman" w:hAnsi="Times New Roman"/>
            <w:sz w:val="14"/>
            <w:szCs w:val="14"/>
            <w:u w:val="single" w:color="auto"/>
            <w:color w:val="0000FF"/>
          </w:rPr>
          <w:t>to time party thereto</w:t>
        </w:r>
      </w:hyperlink>
    </w:p>
    <w:p>
      <w:pPr>
        <w:spacing w:after="0" w:line="14" w:lineRule="exact"/>
        <w:rPr>
          <w:rFonts w:ascii="Times New Roman" w:cs="Times New Roman" w:eastAsia="Times New Roman" w:hAnsi="Times New Roman"/>
          <w:sz w:val="14"/>
          <w:szCs w:val="14"/>
          <w:u w:val="single" w:color="auto"/>
          <w:color w:val="0000FF"/>
        </w:rPr>
      </w:pPr>
    </w:p>
    <w:p>
      <w:pPr>
        <w:ind w:left="380"/>
        <w:spacing w:after="0"/>
        <w:tabs>
          <w:tab w:leader="none" w:pos="9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10.7</w:t>
      </w:r>
      <w:r>
        <w:rPr>
          <w:sz w:val="20"/>
          <w:szCs w:val="20"/>
          <w:color w:val="auto"/>
        </w:rPr>
        <w:tab/>
      </w:r>
      <w:hyperlink r:id="rId183">
        <w:r>
          <w:rPr>
            <w:rFonts w:ascii="Times New Roman" w:cs="Times New Roman" w:eastAsia="Times New Roman" w:hAnsi="Times New Roman"/>
            <w:sz w:val="14"/>
            <w:szCs w:val="14"/>
            <w:u w:val="single" w:color="auto"/>
            <w:color w:val="0000FF"/>
          </w:rPr>
          <w:t>Amendment No. 2, dated as of October 29, 2021, to the Reorganization Tax Receivable Agreement,</w:t>
        </w:r>
      </w:hyperlink>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3810</wp:posOffset>
            </wp:positionH>
            <wp:positionV relativeFrom="paragraph">
              <wp:posOffset>-95885</wp:posOffset>
            </wp:positionV>
            <wp:extent cx="7134860" cy="3028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4">
                      <a:extLst>
                        <a:ext uri="{28A0092B-C50C-407E-A947-70E740481C1C}"/>
                      </a:extLst>
                    </a:blip>
                    <a:srcRect/>
                    <a:stretch>
                      <a:fillRect/>
                    </a:stretch>
                  </pic:blipFill>
                  <pic:spPr bwMode="auto">
                    <a:xfrm>
                      <a:off x="0" y="0"/>
                      <a:ext cx="7134860" cy="302895"/>
                    </a:xfrm>
                    <a:prstGeom prst="rect">
                      <a:avLst/>
                    </a:prstGeom>
                    <a:noFill/>
                  </pic:spPr>
                </pic:pic>
              </a:graphicData>
            </a:graphic>
          </wp:anchor>
        </w:drawing>
      </w:r>
    </w:p>
    <w:p>
      <w:pPr>
        <w:ind w:left="1000"/>
        <w:spacing w:after="0" w:line="223" w:lineRule="auto"/>
        <w:rPr>
          <w:rFonts w:ascii="Times New Roman" w:cs="Times New Roman" w:eastAsia="Times New Roman" w:hAnsi="Times New Roman"/>
          <w:sz w:val="14"/>
          <w:szCs w:val="14"/>
          <w:u w:val="single" w:color="auto"/>
          <w:color w:val="0000FF"/>
        </w:rPr>
      </w:pPr>
      <w:hyperlink r:id="rId183">
        <w:r>
          <w:rPr>
            <w:rFonts w:ascii="Times New Roman" w:cs="Times New Roman" w:eastAsia="Times New Roman" w:hAnsi="Times New Roman"/>
            <w:sz w:val="14"/>
            <w:szCs w:val="14"/>
            <w:u w:val="single" w:color="auto"/>
            <w:color w:val="0000FF"/>
          </w:rPr>
          <w:t>dated as of June 3, 2020, among ZoomInfo Technologies Inc. and each of the other persons from time</w:t>
        </w:r>
      </w:hyperlink>
      <w:r>
        <w:rPr>
          <w:rFonts w:ascii="Times New Roman" w:cs="Times New Roman" w:eastAsia="Times New Roman" w:hAnsi="Times New Roman"/>
          <w:sz w:val="14"/>
          <w:szCs w:val="14"/>
          <w:u w:val="single" w:color="auto"/>
          <w:color w:val="0000FF"/>
        </w:rPr>
        <w:t xml:space="preserve"> </w:t>
      </w:r>
      <w:hyperlink r:id="rId183">
        <w:r>
          <w:rPr>
            <w:rFonts w:ascii="Times New Roman" w:cs="Times New Roman" w:eastAsia="Times New Roman" w:hAnsi="Times New Roman"/>
            <w:sz w:val="14"/>
            <w:szCs w:val="14"/>
            <w:u w:val="single" w:color="auto"/>
            <w:color w:val="0000FF"/>
          </w:rPr>
          <w:t>to time party thereto</w:t>
        </w:r>
      </w:hyperlink>
    </w:p>
    <w:p>
      <w:pPr>
        <w:spacing w:after="0" w:line="16" w:lineRule="exact"/>
        <w:rPr>
          <w:sz w:val="20"/>
          <w:szCs w:val="20"/>
          <w:color w:val="auto"/>
        </w:rPr>
      </w:pPr>
    </w:p>
    <w:p>
      <w:pPr>
        <w:ind w:left="1000" w:right="40" w:hanging="630"/>
        <w:spacing w:after="0" w:line="251" w:lineRule="auto"/>
        <w:tabs>
          <w:tab w:leader="none" w:pos="9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10.8</w:t>
      </w:r>
      <w:r>
        <w:rPr>
          <w:sz w:val="20"/>
          <w:szCs w:val="20"/>
          <w:color w:val="auto"/>
        </w:rPr>
        <w:tab/>
      </w:r>
      <w:hyperlink r:id="rId185">
        <w:r>
          <w:rPr>
            <w:rFonts w:ascii="Times New Roman" w:cs="Times New Roman" w:eastAsia="Times New Roman" w:hAnsi="Times New Roman"/>
            <w:sz w:val="14"/>
            <w:szCs w:val="14"/>
            <w:u w:val="single" w:color="auto"/>
            <w:color w:val="0000FF"/>
          </w:rPr>
          <w:t>Registration Rights Agreement, dated as of June 8, 2020, by and among ZoomInfo Technologies Inc.</w:t>
        </w:r>
      </w:hyperlink>
      <w:r>
        <w:rPr>
          <w:rFonts w:ascii="Times New Roman" w:cs="Times New Roman" w:eastAsia="Times New Roman" w:hAnsi="Times New Roman"/>
          <w:sz w:val="14"/>
          <w:szCs w:val="14"/>
          <w:u w:val="single" w:color="auto"/>
          <w:color w:val="0000FF"/>
        </w:rPr>
        <w:t xml:space="preserve"> </w:t>
      </w:r>
      <w:hyperlink r:id="rId185">
        <w:r>
          <w:rPr>
            <w:rFonts w:ascii="Times New Roman" w:cs="Times New Roman" w:eastAsia="Times New Roman" w:hAnsi="Times New Roman"/>
            <w:sz w:val="14"/>
            <w:szCs w:val="14"/>
            <w:u w:val="single" w:color="auto"/>
            <w:color w:val="0000FF"/>
          </w:rPr>
          <w:t>and each of the other persons from time to time a party thereto</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7"/>
        </w:trPr>
        <w:tc>
          <w:tcPr>
            <w:tcW w:w="1880" w:type="dxa"/>
            <w:vAlign w:val="bottom"/>
          </w:tcPr>
          <w:p>
            <w:pPr>
              <w:jc w:val="center"/>
              <w:ind w:right="189"/>
              <w:spacing w:after="0" w:line="147" w:lineRule="exact"/>
              <w:rPr>
                <w:sz w:val="20"/>
                <w:szCs w:val="20"/>
                <w:color w:val="auto"/>
              </w:rPr>
            </w:pPr>
            <w:r>
              <w:rPr>
                <w:rFonts w:ascii="Times New Roman" w:cs="Times New Roman" w:eastAsia="Times New Roman" w:hAnsi="Times New Roman"/>
                <w:sz w:val="14"/>
                <w:szCs w:val="14"/>
                <w:color w:val="auto"/>
                <w:w w:val="99"/>
              </w:rPr>
              <w:t>10-Q filed November 1,</w:t>
            </w:r>
          </w:p>
        </w:tc>
        <w:tc>
          <w:tcPr>
            <w:tcW w:w="1340" w:type="dxa"/>
            <w:vAlign w:val="bottom"/>
          </w:tcPr>
          <w:p>
            <w:pPr>
              <w:jc w:val="right"/>
              <w:ind w:right="409"/>
              <w:spacing w:after="0" w:line="147" w:lineRule="exact"/>
              <w:rPr>
                <w:sz w:val="20"/>
                <w:szCs w:val="20"/>
                <w:color w:val="auto"/>
              </w:rPr>
            </w:pPr>
            <w:r>
              <w:rPr>
                <w:rFonts w:ascii="Times New Roman" w:cs="Times New Roman" w:eastAsia="Times New Roman" w:hAnsi="Times New Roman"/>
                <w:sz w:val="14"/>
                <w:szCs w:val="14"/>
                <w:color w:val="auto"/>
              </w:rPr>
              <w:t>001-39310</w:t>
            </w:r>
          </w:p>
        </w:tc>
        <w:tc>
          <w:tcPr>
            <w:tcW w:w="7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10.2</w:t>
            </w:r>
          </w:p>
        </w:tc>
      </w:tr>
      <w:tr>
        <w:trPr>
          <w:trHeight w:val="184"/>
        </w:trPr>
        <w:tc>
          <w:tcPr>
            <w:tcW w:w="188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w w:val="99"/>
              </w:rPr>
              <w:t>2021</w:t>
            </w:r>
          </w:p>
        </w:tc>
        <w:tc>
          <w:tcPr>
            <w:tcW w:w="1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98"/>
        </w:trPr>
        <w:tc>
          <w:tcPr>
            <w:tcW w:w="188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8-K filed November 1, 2021</w:t>
            </w:r>
          </w:p>
        </w:tc>
        <w:tc>
          <w:tcPr>
            <w:tcW w:w="13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001-39310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r>
      <w:tr>
        <w:trPr>
          <w:trHeight w:val="477"/>
        </w:trPr>
        <w:tc>
          <w:tcPr>
            <w:tcW w:w="188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8-K filed June 8, 2020</w:t>
            </w:r>
          </w:p>
        </w:tc>
        <w:tc>
          <w:tcPr>
            <w:tcW w:w="13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001-39310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r>
    </w:tbl>
    <w:p>
      <w:pPr>
        <w:spacing w:after="0" w:line="153" w:lineRule="exact"/>
        <w:rPr>
          <w:sz w:val="20"/>
          <w:szCs w:val="20"/>
          <w:color w:val="auto"/>
        </w:rPr>
      </w:pPr>
    </w:p>
    <w:p>
      <w:pPr>
        <w:sectPr>
          <w:pgSz w:w="11900" w:h="16838" w:orient="portrait"/>
          <w:cols w:equalWidth="0" w:num="2">
            <w:col w:w="6760" w:space="60"/>
            <w:col w:w="442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150"/>
        </w:trPr>
        <w:tc>
          <w:tcPr>
            <w:tcW w:w="1000" w:type="dxa"/>
            <w:vAlign w:val="bottom"/>
            <w:shd w:val="clear" w:color="auto" w:fill="CCEEFF"/>
          </w:tcPr>
          <w:p>
            <w:pPr>
              <w:jc w:val="center"/>
              <w:spacing w:after="0" w:line="150" w:lineRule="exact"/>
              <w:rPr>
                <w:sz w:val="20"/>
                <w:szCs w:val="20"/>
                <w:color w:val="auto"/>
              </w:rPr>
            </w:pPr>
            <w:r>
              <w:rPr>
                <w:rFonts w:ascii="Times New Roman" w:cs="Times New Roman" w:eastAsia="Times New Roman" w:hAnsi="Times New Roman"/>
                <w:sz w:val="14"/>
                <w:szCs w:val="14"/>
                <w:color w:val="auto"/>
                <w:w w:val="97"/>
              </w:rPr>
              <w:t>10.9</w:t>
            </w:r>
          </w:p>
        </w:tc>
        <w:tc>
          <w:tcPr>
            <w:tcW w:w="5800" w:type="dxa"/>
            <w:vAlign w:val="bottom"/>
            <w:gridSpan w:val="6"/>
            <w:shd w:val="clear" w:color="auto" w:fill="CCEEFF"/>
          </w:tcPr>
          <w:p>
            <w:pPr>
              <w:spacing w:after="0" w:line="150" w:lineRule="exact"/>
              <w:rPr>
                <w:rFonts w:ascii="Times New Roman" w:cs="Times New Roman" w:eastAsia="Times New Roman" w:hAnsi="Times New Roman"/>
                <w:sz w:val="14"/>
                <w:szCs w:val="14"/>
                <w:color w:val="0000FF"/>
              </w:rPr>
            </w:pPr>
            <w:hyperlink r:id="rId186">
              <w:r>
                <w:rPr>
                  <w:rFonts w:ascii="Times New Roman" w:cs="Times New Roman" w:eastAsia="Times New Roman" w:hAnsi="Times New Roman"/>
                  <w:sz w:val="14"/>
                  <w:szCs w:val="14"/>
                  <w:color w:val="0000FF"/>
                </w:rPr>
                <w:t>Stockholders Agreement, dated as of June 3, 2020, by and among ZoomInfo Technologies Inc. and</w:t>
              </w:r>
            </w:hyperlink>
          </w:p>
        </w:tc>
        <w:tc>
          <w:tcPr>
            <w:tcW w:w="1820" w:type="dxa"/>
            <w:vAlign w:val="bottom"/>
            <w:shd w:val="clear" w:color="auto" w:fill="CCEEFF"/>
          </w:tcPr>
          <w:p>
            <w:pPr>
              <w:ind w:left="200"/>
              <w:spacing w:after="0" w:line="150" w:lineRule="exact"/>
              <w:rPr>
                <w:sz w:val="20"/>
                <w:szCs w:val="20"/>
                <w:color w:val="auto"/>
              </w:rPr>
            </w:pPr>
            <w:r>
              <w:rPr>
                <w:rFonts w:ascii="Times New Roman" w:cs="Times New Roman" w:eastAsia="Times New Roman" w:hAnsi="Times New Roman"/>
                <w:sz w:val="14"/>
                <w:szCs w:val="14"/>
                <w:color w:val="auto"/>
              </w:rPr>
              <w:t>8-K filed June 8, 2020</w:t>
            </w:r>
          </w:p>
        </w:tc>
        <w:tc>
          <w:tcPr>
            <w:tcW w:w="1420" w:type="dxa"/>
            <w:vAlign w:val="bottom"/>
            <w:shd w:val="clear" w:color="auto" w:fill="CCEEFF"/>
          </w:tcPr>
          <w:p>
            <w:pPr>
              <w:jc w:val="right"/>
              <w:ind w:right="409"/>
              <w:spacing w:after="0" w:line="150" w:lineRule="exact"/>
              <w:rPr>
                <w:sz w:val="20"/>
                <w:szCs w:val="20"/>
                <w:color w:val="auto"/>
              </w:rPr>
            </w:pPr>
            <w:r>
              <w:rPr>
                <w:rFonts w:ascii="Times New Roman" w:cs="Times New Roman" w:eastAsia="Times New Roman" w:hAnsi="Times New Roman"/>
                <w:sz w:val="14"/>
                <w:szCs w:val="14"/>
                <w:color w:val="auto"/>
              </w:rPr>
              <w:t>001-39310</w:t>
            </w:r>
          </w:p>
        </w:tc>
        <w:tc>
          <w:tcPr>
            <w:tcW w:w="1200" w:type="dxa"/>
            <w:vAlign w:val="bottom"/>
            <w:shd w:val="clear" w:color="auto" w:fill="CCEEFF"/>
          </w:tcPr>
          <w:p>
            <w:pPr>
              <w:jc w:val="right"/>
              <w:ind w:right="389"/>
              <w:spacing w:after="0" w:line="150" w:lineRule="exact"/>
              <w:rPr>
                <w:sz w:val="20"/>
                <w:szCs w:val="20"/>
                <w:color w:val="auto"/>
              </w:rPr>
            </w:pPr>
            <w:r>
              <w:rPr>
                <w:rFonts w:ascii="Times New Roman" w:cs="Times New Roman" w:eastAsia="Times New Roman" w:hAnsi="Times New Roman"/>
                <w:sz w:val="14"/>
                <w:szCs w:val="14"/>
                <w:color w:val="auto"/>
              </w:rPr>
              <w:t>10.6</w:t>
            </w:r>
          </w:p>
        </w:tc>
      </w:tr>
      <w:tr>
        <w:trPr>
          <w:trHeight w:val="145"/>
        </w:trPr>
        <w:tc>
          <w:tcPr>
            <w:tcW w:w="1000" w:type="dxa"/>
            <w:vAlign w:val="bottom"/>
            <w:tcBorders>
              <w:top w:val="single" w:sz="8" w:color="CCEEFF"/>
              <w:bottom w:val="single" w:sz="8" w:color="CCEEFF"/>
            </w:tcBorders>
            <w:shd w:val="clear" w:color="auto" w:fill="CCEEFF"/>
          </w:tcPr>
          <w:p>
            <w:pPr>
              <w:spacing w:after="0"/>
              <w:rPr>
                <w:sz w:val="12"/>
                <w:szCs w:val="12"/>
                <w:color w:val="auto"/>
              </w:rPr>
            </w:pPr>
          </w:p>
        </w:tc>
        <w:tc>
          <w:tcPr>
            <w:tcW w:w="3200" w:type="dxa"/>
            <w:vAlign w:val="bottom"/>
            <w:tcBorders>
              <w:top w:val="single" w:sz="8" w:color="0000FF"/>
              <w:bottom w:val="single" w:sz="8" w:color="0000FF"/>
            </w:tcBorders>
            <w:gridSpan w:val="2"/>
            <w:shd w:val="clear" w:color="auto" w:fill="CCEEFF"/>
          </w:tcPr>
          <w:p>
            <w:pPr>
              <w:spacing w:after="0" w:line="126" w:lineRule="exact"/>
              <w:rPr>
                <w:rFonts w:ascii="Times New Roman" w:cs="Times New Roman" w:eastAsia="Times New Roman" w:hAnsi="Times New Roman"/>
                <w:sz w:val="14"/>
                <w:szCs w:val="14"/>
                <w:color w:val="0000FF"/>
              </w:rPr>
            </w:pPr>
            <w:hyperlink r:id="rId186">
              <w:r>
                <w:rPr>
                  <w:rFonts w:ascii="Times New Roman" w:cs="Times New Roman" w:eastAsia="Times New Roman" w:hAnsi="Times New Roman"/>
                  <w:sz w:val="14"/>
                  <w:szCs w:val="14"/>
                  <w:color w:val="0000FF"/>
                </w:rPr>
                <w:t>each of the other persons from time to time party thereto</w:t>
              </w:r>
            </w:hyperlink>
          </w:p>
        </w:tc>
        <w:tc>
          <w:tcPr>
            <w:tcW w:w="2400" w:type="dxa"/>
            <w:vAlign w:val="bottom"/>
            <w:tcBorders>
              <w:top w:val="single" w:sz="8" w:color="0000FF"/>
              <w:bottom w:val="single" w:sz="8" w:color="CCEEFF"/>
            </w:tcBorders>
            <w:gridSpan w:val="3"/>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820" w:type="dxa"/>
            <w:vAlign w:val="bottom"/>
            <w:tcBorders>
              <w:top w:val="single" w:sz="8" w:color="CCEEFF"/>
              <w:bottom w:val="single" w:sz="8" w:color="CCEEFF"/>
            </w:tcBorders>
            <w:shd w:val="clear" w:color="auto" w:fill="CCEEFF"/>
          </w:tcPr>
          <w:p>
            <w:pPr>
              <w:spacing w:after="0"/>
              <w:rPr>
                <w:sz w:val="12"/>
                <w:szCs w:val="12"/>
                <w:color w:val="auto"/>
              </w:rPr>
            </w:pPr>
          </w:p>
        </w:tc>
        <w:tc>
          <w:tcPr>
            <w:tcW w:w="1420" w:type="dxa"/>
            <w:vAlign w:val="bottom"/>
            <w:tcBorders>
              <w:top w:val="single" w:sz="8" w:color="CCEEFF"/>
              <w:bottom w:val="single" w:sz="8" w:color="CCEEFF"/>
            </w:tcBorders>
            <w:shd w:val="clear" w:color="auto" w:fill="CCEEFF"/>
          </w:tcPr>
          <w:p>
            <w:pPr>
              <w:spacing w:after="0"/>
              <w:rPr>
                <w:sz w:val="12"/>
                <w:szCs w:val="12"/>
                <w:color w:val="auto"/>
              </w:rPr>
            </w:pPr>
          </w:p>
        </w:tc>
        <w:tc>
          <w:tcPr>
            <w:tcW w:w="120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46"/>
        </w:trPr>
        <w:tc>
          <w:tcPr>
            <w:tcW w:w="10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10.10†</w:t>
            </w:r>
          </w:p>
        </w:tc>
        <w:tc>
          <w:tcPr>
            <w:tcW w:w="1940" w:type="dxa"/>
            <w:vAlign w:val="bottom"/>
          </w:tcPr>
          <w:p>
            <w:pPr>
              <w:spacing w:after="0" w:line="146" w:lineRule="exact"/>
              <w:rPr>
                <w:rFonts w:ascii="Times New Roman" w:cs="Times New Roman" w:eastAsia="Times New Roman" w:hAnsi="Times New Roman"/>
                <w:sz w:val="14"/>
                <w:szCs w:val="14"/>
                <w:color w:val="0000FF"/>
                <w:w w:val="99"/>
              </w:rPr>
            </w:pPr>
            <w:hyperlink r:id="rId187">
              <w:r>
                <w:rPr>
                  <w:rFonts w:ascii="Times New Roman" w:cs="Times New Roman" w:eastAsia="Times New Roman" w:hAnsi="Times New Roman"/>
                  <w:sz w:val="14"/>
                  <w:szCs w:val="14"/>
                  <w:color w:val="0000FF"/>
                  <w:w w:val="99"/>
                </w:rPr>
                <w:t>ZoomInfo Technologies Inc. 2020</w:t>
              </w:r>
            </w:hyperlink>
          </w:p>
        </w:tc>
        <w:tc>
          <w:tcPr>
            <w:tcW w:w="3860" w:type="dxa"/>
            <w:vAlign w:val="bottom"/>
            <w:gridSpan w:val="5"/>
          </w:tcPr>
          <w:p>
            <w:pPr>
              <w:ind w:left="20"/>
              <w:spacing w:after="0" w:line="146" w:lineRule="exact"/>
              <w:rPr>
                <w:rFonts w:ascii="Times New Roman" w:cs="Times New Roman" w:eastAsia="Times New Roman" w:hAnsi="Times New Roman"/>
                <w:sz w:val="14"/>
                <w:szCs w:val="14"/>
                <w:color w:val="0000FF"/>
              </w:rPr>
            </w:pPr>
            <w:hyperlink r:id="rId187">
              <w:r>
                <w:rPr>
                  <w:rFonts w:ascii="Times New Roman" w:cs="Times New Roman" w:eastAsia="Times New Roman" w:hAnsi="Times New Roman"/>
                  <w:sz w:val="14"/>
                  <w:szCs w:val="14"/>
                  <w:color w:val="0000FF"/>
                </w:rPr>
                <w:t>Omnibus Incentive Plan</w:t>
              </w:r>
            </w:hyperlink>
          </w:p>
        </w:tc>
        <w:tc>
          <w:tcPr>
            <w:tcW w:w="1820" w:type="dxa"/>
            <w:vAlign w:val="bottom"/>
          </w:tcPr>
          <w:p>
            <w:pPr>
              <w:ind w:left="200"/>
              <w:spacing w:after="0" w:line="146" w:lineRule="exact"/>
              <w:rPr>
                <w:sz w:val="20"/>
                <w:szCs w:val="20"/>
                <w:color w:val="auto"/>
              </w:rPr>
            </w:pPr>
            <w:r>
              <w:rPr>
                <w:rFonts w:ascii="Times New Roman" w:cs="Times New Roman" w:eastAsia="Times New Roman" w:hAnsi="Times New Roman"/>
                <w:sz w:val="14"/>
                <w:szCs w:val="14"/>
                <w:color w:val="auto"/>
              </w:rPr>
              <w:t>8-K filed June 8, 2020</w:t>
            </w:r>
          </w:p>
        </w:tc>
        <w:tc>
          <w:tcPr>
            <w:tcW w:w="1420" w:type="dxa"/>
            <w:vAlign w:val="bottom"/>
          </w:tcPr>
          <w:p>
            <w:pPr>
              <w:jc w:val="right"/>
              <w:ind w:right="409"/>
              <w:spacing w:after="0" w:line="146" w:lineRule="exact"/>
              <w:rPr>
                <w:sz w:val="20"/>
                <w:szCs w:val="20"/>
                <w:color w:val="auto"/>
              </w:rPr>
            </w:pPr>
            <w:r>
              <w:rPr>
                <w:rFonts w:ascii="Times New Roman" w:cs="Times New Roman" w:eastAsia="Times New Roman" w:hAnsi="Times New Roman"/>
                <w:sz w:val="14"/>
                <w:szCs w:val="14"/>
                <w:color w:val="auto"/>
              </w:rPr>
              <w:t>001-39310</w:t>
            </w:r>
          </w:p>
        </w:tc>
        <w:tc>
          <w:tcPr>
            <w:tcW w:w="1200" w:type="dxa"/>
            <w:vAlign w:val="bottom"/>
          </w:tcPr>
          <w:p>
            <w:pPr>
              <w:jc w:val="right"/>
              <w:ind w:right="389"/>
              <w:spacing w:after="0" w:line="146" w:lineRule="exact"/>
              <w:rPr>
                <w:sz w:val="20"/>
                <w:szCs w:val="20"/>
                <w:color w:val="auto"/>
              </w:rPr>
            </w:pPr>
            <w:r>
              <w:rPr>
                <w:rFonts w:ascii="Times New Roman" w:cs="Times New Roman" w:eastAsia="Times New Roman" w:hAnsi="Times New Roman"/>
                <w:sz w:val="14"/>
                <w:szCs w:val="14"/>
                <w:color w:val="auto"/>
              </w:rPr>
              <w:t>10.7</w:t>
            </w:r>
          </w:p>
        </w:tc>
      </w:tr>
      <w:tr>
        <w:trPr>
          <w:trHeight w:val="33"/>
        </w:trPr>
        <w:tc>
          <w:tcPr>
            <w:tcW w:w="1000" w:type="dxa"/>
            <w:vAlign w:val="bottom"/>
          </w:tcPr>
          <w:p>
            <w:pPr>
              <w:spacing w:after="0"/>
              <w:rPr>
                <w:sz w:val="2"/>
                <w:szCs w:val="2"/>
                <w:color w:val="auto"/>
              </w:rPr>
            </w:pPr>
          </w:p>
        </w:tc>
        <w:tc>
          <w:tcPr>
            <w:tcW w:w="1940" w:type="dxa"/>
            <w:vAlign w:val="bottom"/>
            <w:tcBorders>
              <w:top w:val="single" w:sz="8" w:color="0000FF"/>
            </w:tcBorders>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46"/>
        </w:trPr>
        <w:tc>
          <w:tcPr>
            <w:tcW w:w="100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w w:val="98"/>
              </w:rPr>
              <w:t>10.11†</w:t>
            </w:r>
          </w:p>
        </w:tc>
        <w:tc>
          <w:tcPr>
            <w:tcW w:w="1940" w:type="dxa"/>
            <w:vAlign w:val="bottom"/>
            <w:shd w:val="clear" w:color="auto" w:fill="CCEEFF"/>
          </w:tcPr>
          <w:p>
            <w:pPr>
              <w:spacing w:after="0" w:line="146" w:lineRule="exact"/>
              <w:rPr>
                <w:rFonts w:ascii="Times New Roman" w:cs="Times New Roman" w:eastAsia="Times New Roman" w:hAnsi="Times New Roman"/>
                <w:sz w:val="14"/>
                <w:szCs w:val="14"/>
                <w:color w:val="0000FF"/>
                <w:w w:val="99"/>
              </w:rPr>
            </w:pPr>
            <w:hyperlink r:id="rId188">
              <w:r>
                <w:rPr>
                  <w:rFonts w:ascii="Times New Roman" w:cs="Times New Roman" w:eastAsia="Times New Roman" w:hAnsi="Times New Roman"/>
                  <w:sz w:val="14"/>
                  <w:szCs w:val="14"/>
                  <w:color w:val="0000FF"/>
                  <w:w w:val="99"/>
                </w:rPr>
                <w:t>ZoomInfo Technologies Inc. 2020</w:t>
              </w:r>
            </w:hyperlink>
          </w:p>
        </w:tc>
        <w:tc>
          <w:tcPr>
            <w:tcW w:w="3860" w:type="dxa"/>
            <w:vAlign w:val="bottom"/>
            <w:gridSpan w:val="5"/>
            <w:shd w:val="clear" w:color="auto" w:fill="CCEEFF"/>
          </w:tcPr>
          <w:p>
            <w:pPr>
              <w:ind w:left="20"/>
              <w:spacing w:after="0" w:line="146" w:lineRule="exact"/>
              <w:rPr>
                <w:rFonts w:ascii="Times New Roman" w:cs="Times New Roman" w:eastAsia="Times New Roman" w:hAnsi="Times New Roman"/>
                <w:sz w:val="14"/>
                <w:szCs w:val="14"/>
                <w:color w:val="0000FF"/>
              </w:rPr>
            </w:pPr>
            <w:hyperlink r:id="rId188">
              <w:r>
                <w:rPr>
                  <w:rFonts w:ascii="Times New Roman" w:cs="Times New Roman" w:eastAsia="Times New Roman" w:hAnsi="Times New Roman"/>
                  <w:sz w:val="14"/>
                  <w:szCs w:val="14"/>
                  <w:color w:val="0000FF"/>
                </w:rPr>
                <w:t>Employee Stock Purchase Plan</w:t>
              </w:r>
            </w:hyperlink>
          </w:p>
        </w:tc>
        <w:tc>
          <w:tcPr>
            <w:tcW w:w="1820" w:type="dxa"/>
            <w:vAlign w:val="bottom"/>
            <w:shd w:val="clear" w:color="auto" w:fill="CCEEFF"/>
          </w:tcPr>
          <w:p>
            <w:pPr>
              <w:ind w:left="200"/>
              <w:spacing w:after="0" w:line="146" w:lineRule="exact"/>
              <w:rPr>
                <w:sz w:val="20"/>
                <w:szCs w:val="20"/>
                <w:color w:val="auto"/>
              </w:rPr>
            </w:pPr>
            <w:r>
              <w:rPr>
                <w:rFonts w:ascii="Times New Roman" w:cs="Times New Roman" w:eastAsia="Times New Roman" w:hAnsi="Times New Roman"/>
                <w:sz w:val="14"/>
                <w:szCs w:val="14"/>
                <w:color w:val="auto"/>
              </w:rPr>
              <w:t>8-K filed June 8, 2020</w:t>
            </w:r>
          </w:p>
        </w:tc>
        <w:tc>
          <w:tcPr>
            <w:tcW w:w="1420" w:type="dxa"/>
            <w:vAlign w:val="bottom"/>
            <w:shd w:val="clear" w:color="auto" w:fill="CCEEFF"/>
          </w:tcPr>
          <w:p>
            <w:pPr>
              <w:jc w:val="right"/>
              <w:ind w:right="409"/>
              <w:spacing w:after="0" w:line="146" w:lineRule="exact"/>
              <w:rPr>
                <w:sz w:val="20"/>
                <w:szCs w:val="20"/>
                <w:color w:val="auto"/>
              </w:rPr>
            </w:pPr>
            <w:r>
              <w:rPr>
                <w:rFonts w:ascii="Times New Roman" w:cs="Times New Roman" w:eastAsia="Times New Roman" w:hAnsi="Times New Roman"/>
                <w:sz w:val="14"/>
                <w:szCs w:val="14"/>
                <w:color w:val="auto"/>
              </w:rPr>
              <w:t>001-39310</w:t>
            </w:r>
          </w:p>
        </w:tc>
        <w:tc>
          <w:tcPr>
            <w:tcW w:w="1200" w:type="dxa"/>
            <w:vAlign w:val="bottom"/>
            <w:shd w:val="clear" w:color="auto" w:fill="CCEEFF"/>
          </w:tcPr>
          <w:p>
            <w:pPr>
              <w:jc w:val="right"/>
              <w:ind w:right="389"/>
              <w:spacing w:after="0" w:line="146" w:lineRule="exact"/>
              <w:rPr>
                <w:sz w:val="20"/>
                <w:szCs w:val="20"/>
                <w:color w:val="auto"/>
              </w:rPr>
            </w:pPr>
            <w:r>
              <w:rPr>
                <w:rFonts w:ascii="Times New Roman" w:cs="Times New Roman" w:eastAsia="Times New Roman" w:hAnsi="Times New Roman"/>
                <w:sz w:val="14"/>
                <w:szCs w:val="14"/>
                <w:color w:val="auto"/>
              </w:rPr>
              <w:t>10.8</w:t>
            </w:r>
          </w:p>
        </w:tc>
      </w:tr>
      <w:tr>
        <w:trPr>
          <w:trHeight w:val="33"/>
        </w:trPr>
        <w:tc>
          <w:tcPr>
            <w:tcW w:w="1000" w:type="dxa"/>
            <w:vAlign w:val="bottom"/>
            <w:tcBorders>
              <w:top w:val="single" w:sz="8" w:color="CCEEFF"/>
            </w:tcBorders>
            <w:shd w:val="clear" w:color="auto" w:fill="CCEEFF"/>
          </w:tcPr>
          <w:p>
            <w:pPr>
              <w:spacing w:after="0"/>
              <w:rPr>
                <w:sz w:val="2"/>
                <w:szCs w:val="2"/>
                <w:color w:val="auto"/>
              </w:rPr>
            </w:pPr>
          </w:p>
        </w:tc>
        <w:tc>
          <w:tcPr>
            <w:tcW w:w="1940" w:type="dxa"/>
            <w:vAlign w:val="bottom"/>
            <w:tcBorders>
              <w:top w:val="single" w:sz="8" w:color="0000FF"/>
            </w:tcBorders>
            <w:shd w:val="clear" w:color="auto" w:fill="CCEEFF"/>
          </w:tcPr>
          <w:p>
            <w:pPr>
              <w:spacing w:after="0"/>
              <w:rPr>
                <w:sz w:val="2"/>
                <w:szCs w:val="2"/>
                <w:color w:val="auto"/>
              </w:rPr>
            </w:pPr>
          </w:p>
        </w:tc>
        <w:tc>
          <w:tcPr>
            <w:tcW w:w="12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18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37" w:name="page138"/>
    <w:bookmarkEnd w:id="1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10.12†</w:t>
            </w:r>
          </w:p>
        </w:tc>
        <w:tc>
          <w:tcPr>
            <w:tcW w:w="5860" w:type="dxa"/>
            <w:vAlign w:val="bottom"/>
            <w:gridSpan w:val="44"/>
            <w:shd w:val="clear" w:color="auto" w:fill="CCEEFF"/>
          </w:tcPr>
          <w:p>
            <w:pPr>
              <w:spacing w:after="0"/>
              <w:rPr>
                <w:rFonts w:ascii="Times New Roman" w:cs="Times New Roman" w:eastAsia="Times New Roman" w:hAnsi="Times New Roman"/>
                <w:sz w:val="14"/>
                <w:szCs w:val="14"/>
                <w:color w:val="0000FF"/>
              </w:rPr>
            </w:pPr>
            <w:hyperlink r:id="rId190">
              <w:r>
                <w:rPr>
                  <w:rFonts w:ascii="Times New Roman" w:cs="Times New Roman" w:eastAsia="Times New Roman" w:hAnsi="Times New Roman"/>
                  <w:sz w:val="14"/>
                  <w:szCs w:val="14"/>
                  <w:color w:val="0000FF"/>
                </w:rPr>
                <w:t>Amendment No. 1 to the ZoomInfo Technologies Inc. 2020 Employee Stock Purchase Plan</w:t>
              </w:r>
            </w:hyperlink>
          </w:p>
        </w:tc>
        <w:tc>
          <w:tcPr>
            <w:tcW w:w="1800" w:type="dxa"/>
            <w:vAlign w:val="bottom"/>
            <w:shd w:val="clear" w:color="auto" w:fill="CCEEFF"/>
          </w:tcPr>
          <w:p>
            <w:pPr>
              <w:jc w:val="center"/>
              <w:ind w:right="189"/>
              <w:spacing w:after="0"/>
              <w:rPr>
                <w:sz w:val="20"/>
                <w:szCs w:val="20"/>
                <w:color w:val="auto"/>
              </w:rPr>
            </w:pPr>
            <w:r>
              <w:rPr>
                <w:rFonts w:ascii="Times New Roman" w:cs="Times New Roman" w:eastAsia="Times New Roman" w:hAnsi="Times New Roman"/>
                <w:sz w:val="14"/>
                <w:szCs w:val="14"/>
                <w:color w:val="auto"/>
              </w:rPr>
              <w:t>10-K filed February 26,</w:t>
            </w:r>
          </w:p>
        </w:tc>
        <w:tc>
          <w:tcPr>
            <w:tcW w:w="1380" w:type="dxa"/>
            <w:vAlign w:val="bottom"/>
            <w:shd w:val="clear" w:color="auto" w:fill="CCEEFF"/>
          </w:tcPr>
          <w:p>
            <w:pPr>
              <w:jc w:val="center"/>
              <w:ind w:right="109"/>
              <w:spacing w:after="0"/>
              <w:rPr>
                <w:sz w:val="20"/>
                <w:szCs w:val="20"/>
                <w:color w:val="auto"/>
              </w:rPr>
            </w:pPr>
            <w:r>
              <w:rPr>
                <w:rFonts w:ascii="Times New Roman" w:cs="Times New Roman" w:eastAsia="Times New Roman" w:hAnsi="Times New Roman"/>
                <w:sz w:val="14"/>
                <w:szCs w:val="14"/>
                <w:color w:val="auto"/>
                <w:w w:val="98"/>
              </w:rPr>
              <w:t>001-39310</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10.12</w:t>
            </w:r>
          </w:p>
        </w:tc>
        <w:tc>
          <w:tcPr>
            <w:tcW w:w="0" w:type="dxa"/>
            <w:vAlign w:val="bottom"/>
          </w:tcPr>
          <w:p>
            <w:pPr>
              <w:spacing w:after="0"/>
              <w:rPr>
                <w:sz w:val="1"/>
                <w:szCs w:val="1"/>
                <w:color w:val="auto"/>
              </w:rPr>
            </w:pPr>
          </w:p>
        </w:tc>
      </w:tr>
      <w:tr>
        <w:trPr>
          <w:trHeight w:val="166"/>
        </w:trPr>
        <w:tc>
          <w:tcPr>
            <w:tcW w:w="10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0000FF"/>
            </w:tcBorders>
            <w:shd w:val="clear" w:color="auto" w:fill="CCEEFF"/>
          </w:tcPr>
          <w:p>
            <w:pPr>
              <w:spacing w:after="0"/>
              <w:rPr>
                <w:sz w:val="14"/>
                <w:szCs w:val="14"/>
                <w:color w:val="auto"/>
              </w:rPr>
            </w:pPr>
          </w:p>
        </w:tc>
        <w:tc>
          <w:tcPr>
            <w:tcW w:w="100" w:type="dxa"/>
            <w:vAlign w:val="bottom"/>
            <w:tcBorders>
              <w:top w:val="single" w:sz="8" w:color="0000FF"/>
            </w:tcBorders>
            <w:shd w:val="clear" w:color="auto" w:fill="CCEEFF"/>
          </w:tcPr>
          <w:p>
            <w:pPr>
              <w:spacing w:after="0"/>
              <w:rPr>
                <w:sz w:val="14"/>
                <w:szCs w:val="14"/>
                <w:color w:val="auto"/>
              </w:rPr>
            </w:pPr>
          </w:p>
        </w:tc>
        <w:tc>
          <w:tcPr>
            <w:tcW w:w="620" w:type="dxa"/>
            <w:vAlign w:val="bottom"/>
            <w:tcBorders>
              <w:top w:val="single" w:sz="8" w:color="0000FF"/>
            </w:tcBorders>
            <w:shd w:val="clear" w:color="auto" w:fill="CCEEFF"/>
          </w:tcPr>
          <w:p>
            <w:pPr>
              <w:spacing w:after="0"/>
              <w:rPr>
                <w:sz w:val="14"/>
                <w:szCs w:val="14"/>
                <w:color w:val="auto"/>
              </w:rPr>
            </w:pPr>
          </w:p>
        </w:tc>
        <w:tc>
          <w:tcPr>
            <w:tcW w:w="200" w:type="dxa"/>
            <w:vAlign w:val="bottom"/>
            <w:tcBorders>
              <w:top w:val="single" w:sz="8" w:color="0000FF"/>
            </w:tcBorders>
            <w:shd w:val="clear" w:color="auto" w:fill="CCEEFF"/>
          </w:tcPr>
          <w:p>
            <w:pPr>
              <w:spacing w:after="0"/>
              <w:rPr>
                <w:sz w:val="14"/>
                <w:szCs w:val="14"/>
                <w:color w:val="auto"/>
              </w:rPr>
            </w:pPr>
          </w:p>
        </w:tc>
        <w:tc>
          <w:tcPr>
            <w:tcW w:w="200" w:type="dxa"/>
            <w:vAlign w:val="bottom"/>
            <w:tcBorders>
              <w:top w:val="single" w:sz="8" w:color="0000FF"/>
            </w:tcBorders>
            <w:shd w:val="clear" w:color="auto" w:fill="CCEEFF"/>
          </w:tcPr>
          <w:p>
            <w:pPr>
              <w:spacing w:after="0"/>
              <w:rPr>
                <w:sz w:val="14"/>
                <w:szCs w:val="14"/>
                <w:color w:val="auto"/>
              </w:rPr>
            </w:pPr>
          </w:p>
        </w:tc>
        <w:tc>
          <w:tcPr>
            <w:tcW w:w="300" w:type="dxa"/>
            <w:vAlign w:val="bottom"/>
            <w:tcBorders>
              <w:top w:val="single" w:sz="8" w:color="0000FF"/>
            </w:tcBorders>
            <w:shd w:val="clear" w:color="auto" w:fill="CCEEFF"/>
          </w:tcPr>
          <w:p>
            <w:pPr>
              <w:spacing w:after="0"/>
              <w:rPr>
                <w:sz w:val="14"/>
                <w:szCs w:val="14"/>
                <w:color w:val="auto"/>
              </w:rPr>
            </w:pPr>
          </w:p>
        </w:tc>
        <w:tc>
          <w:tcPr>
            <w:tcW w:w="340" w:type="dxa"/>
            <w:vAlign w:val="bottom"/>
            <w:tcBorders>
              <w:top w:val="single" w:sz="8" w:color="0000FF"/>
            </w:tcBorders>
            <w:shd w:val="clear" w:color="auto" w:fill="CCEEFF"/>
          </w:tcPr>
          <w:p>
            <w:pPr>
              <w:spacing w:after="0"/>
              <w:rPr>
                <w:sz w:val="14"/>
                <w:szCs w:val="14"/>
                <w:color w:val="auto"/>
              </w:rPr>
            </w:pPr>
          </w:p>
        </w:tc>
        <w:tc>
          <w:tcPr>
            <w:tcW w:w="360" w:type="dxa"/>
            <w:vAlign w:val="bottom"/>
            <w:tcBorders>
              <w:top w:val="single" w:sz="8" w:color="0000FF"/>
            </w:tcBorders>
            <w:shd w:val="clear" w:color="auto" w:fill="CCEEFF"/>
          </w:tcPr>
          <w:p>
            <w:pPr>
              <w:spacing w:after="0"/>
              <w:rPr>
                <w:sz w:val="14"/>
                <w:szCs w:val="14"/>
                <w:color w:val="auto"/>
              </w:rPr>
            </w:pPr>
          </w:p>
        </w:tc>
        <w:tc>
          <w:tcPr>
            <w:tcW w:w="52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480" w:type="dxa"/>
            <w:vAlign w:val="bottom"/>
            <w:tcBorders>
              <w:top w:val="single" w:sz="8" w:color="0000FF"/>
            </w:tcBorders>
            <w:shd w:val="clear" w:color="auto" w:fill="CCEEFF"/>
          </w:tcPr>
          <w:p>
            <w:pPr>
              <w:spacing w:after="0"/>
              <w:rPr>
                <w:sz w:val="14"/>
                <w:szCs w:val="14"/>
                <w:color w:val="auto"/>
              </w:rPr>
            </w:pPr>
          </w:p>
        </w:tc>
        <w:tc>
          <w:tcPr>
            <w:tcW w:w="44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380" w:type="dxa"/>
            <w:vAlign w:val="bottom"/>
            <w:tcBorders>
              <w:top w:val="single" w:sz="8" w:color="0000FF"/>
            </w:tcBorders>
            <w:shd w:val="clear" w:color="auto" w:fill="CCEEFF"/>
          </w:tcPr>
          <w:p>
            <w:pPr>
              <w:spacing w:after="0"/>
              <w:rPr>
                <w:sz w:val="14"/>
                <w:szCs w:val="14"/>
                <w:color w:val="auto"/>
              </w:rPr>
            </w:pPr>
          </w:p>
        </w:tc>
        <w:tc>
          <w:tcPr>
            <w:tcW w:w="680" w:type="dxa"/>
            <w:vAlign w:val="bottom"/>
            <w:tcBorders>
              <w:top w:val="single" w:sz="8" w:color="0000FF"/>
            </w:tcBorders>
            <w:shd w:val="clear" w:color="auto" w:fill="CCEEFF"/>
          </w:tcPr>
          <w:p>
            <w:pPr>
              <w:spacing w:after="0"/>
              <w:rPr>
                <w:sz w:val="14"/>
                <w:szCs w:val="14"/>
                <w:color w:val="auto"/>
              </w:rPr>
            </w:pPr>
          </w:p>
        </w:tc>
        <w:tc>
          <w:tcPr>
            <w:tcW w:w="100" w:type="dxa"/>
            <w:vAlign w:val="bottom"/>
            <w:tcBorders>
              <w:top w:val="single" w:sz="8" w:color="0000FF"/>
              <w:right w:val="single" w:sz="8" w:color="CCEE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294967277"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800" w:type="dxa"/>
            <w:vAlign w:val="bottom"/>
            <w:tcBorders>
              <w:top w:val="single" w:sz="8" w:color="CCEEFF"/>
            </w:tcBorders>
            <w:shd w:val="clear" w:color="auto" w:fill="CCEEFF"/>
          </w:tcPr>
          <w:p>
            <w:pPr>
              <w:jc w:val="center"/>
              <w:ind w:right="169"/>
              <w:spacing w:after="0"/>
              <w:rPr>
                <w:sz w:val="20"/>
                <w:szCs w:val="20"/>
                <w:color w:val="auto"/>
              </w:rPr>
            </w:pPr>
            <w:r>
              <w:rPr>
                <w:rFonts w:ascii="Times New Roman" w:cs="Times New Roman" w:eastAsia="Times New Roman" w:hAnsi="Times New Roman"/>
                <w:sz w:val="14"/>
                <w:szCs w:val="14"/>
                <w:color w:val="auto"/>
                <w:w w:val="99"/>
              </w:rPr>
              <w:t>2023</w:t>
            </w:r>
          </w:p>
        </w:tc>
        <w:tc>
          <w:tcPr>
            <w:tcW w:w="138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0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10.13†</w:t>
            </w:r>
          </w:p>
        </w:tc>
        <w:tc>
          <w:tcPr>
            <w:tcW w:w="5860" w:type="dxa"/>
            <w:vAlign w:val="bottom"/>
            <w:gridSpan w:val="44"/>
          </w:tcPr>
          <w:p>
            <w:pPr>
              <w:spacing w:after="0" w:line="146" w:lineRule="exact"/>
              <w:rPr>
                <w:rFonts w:ascii="Times New Roman" w:cs="Times New Roman" w:eastAsia="Times New Roman" w:hAnsi="Times New Roman"/>
                <w:sz w:val="14"/>
                <w:szCs w:val="14"/>
                <w:color w:val="0000FF"/>
              </w:rPr>
            </w:pPr>
            <w:hyperlink r:id="rId191">
              <w:r>
                <w:rPr>
                  <w:rFonts w:ascii="Times New Roman" w:cs="Times New Roman" w:eastAsia="Times New Roman" w:hAnsi="Times New Roman"/>
                  <w:sz w:val="14"/>
                  <w:szCs w:val="14"/>
                  <w:color w:val="0000FF"/>
                </w:rPr>
                <w:t>Form of Indemnification Agreement</w:t>
              </w:r>
            </w:hyperlink>
          </w:p>
        </w:tc>
        <w:tc>
          <w:tcPr>
            <w:tcW w:w="1800" w:type="dxa"/>
            <w:vAlign w:val="bottom"/>
          </w:tcPr>
          <w:p>
            <w:pPr>
              <w:jc w:val="center"/>
              <w:ind w:right="189"/>
              <w:spacing w:after="0" w:line="146" w:lineRule="exact"/>
              <w:rPr>
                <w:sz w:val="20"/>
                <w:szCs w:val="20"/>
                <w:color w:val="auto"/>
              </w:rPr>
            </w:pPr>
            <w:r>
              <w:rPr>
                <w:rFonts w:ascii="Times New Roman" w:cs="Times New Roman" w:eastAsia="Times New Roman" w:hAnsi="Times New Roman"/>
                <w:sz w:val="14"/>
                <w:szCs w:val="14"/>
                <w:color w:val="auto"/>
              </w:rPr>
              <w:t>S-1/A filed May 27, 2020</w:t>
            </w:r>
          </w:p>
        </w:tc>
        <w:tc>
          <w:tcPr>
            <w:tcW w:w="1380" w:type="dxa"/>
            <w:vAlign w:val="bottom"/>
          </w:tcPr>
          <w:p>
            <w:pPr>
              <w:jc w:val="center"/>
              <w:ind w:right="109"/>
              <w:spacing w:after="0" w:line="146" w:lineRule="exact"/>
              <w:rPr>
                <w:sz w:val="20"/>
                <w:szCs w:val="20"/>
                <w:color w:val="auto"/>
              </w:rPr>
            </w:pPr>
            <w:r>
              <w:rPr>
                <w:rFonts w:ascii="Times New Roman" w:cs="Times New Roman" w:eastAsia="Times New Roman" w:hAnsi="Times New Roman"/>
                <w:sz w:val="14"/>
                <w:szCs w:val="14"/>
                <w:color w:val="auto"/>
              </w:rPr>
              <w:t>333-236674</w:t>
            </w:r>
          </w:p>
        </w:tc>
        <w:tc>
          <w:tcPr>
            <w:tcW w:w="12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33"/>
        </w:trPr>
        <w:tc>
          <w:tcPr>
            <w:tcW w:w="1000" w:type="dxa"/>
            <w:vAlign w:val="bottom"/>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77"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1000" w:type="dxa"/>
            <w:vAlign w:val="bottom"/>
            <w:tcBorders>
              <w:bottom w:val="single" w:sz="8" w:color="CCEEFF"/>
            </w:tcBorders>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rPr>
              <w:t>10.14</w:t>
            </w:r>
          </w:p>
        </w:tc>
        <w:tc>
          <w:tcPr>
            <w:tcW w:w="5700" w:type="dxa"/>
            <w:vAlign w:val="bottom"/>
            <w:tcBorders>
              <w:bottom w:val="single" w:sz="8" w:color="0000FF"/>
            </w:tcBorders>
            <w:gridSpan w:val="36"/>
            <w:shd w:val="clear" w:color="auto" w:fill="CCEEFF"/>
          </w:tcPr>
          <w:p>
            <w:pPr>
              <w:spacing w:after="0" w:line="146" w:lineRule="exact"/>
              <w:rPr>
                <w:rFonts w:ascii="Times New Roman" w:cs="Times New Roman" w:eastAsia="Times New Roman" w:hAnsi="Times New Roman"/>
                <w:sz w:val="14"/>
                <w:szCs w:val="14"/>
                <w:color w:val="0000FF"/>
              </w:rPr>
            </w:pPr>
            <w:hyperlink r:id="rId192">
              <w:r>
                <w:rPr>
                  <w:rFonts w:ascii="Times New Roman" w:cs="Times New Roman" w:eastAsia="Times New Roman" w:hAnsi="Times New Roman"/>
                  <w:sz w:val="14"/>
                  <w:szCs w:val="14"/>
                  <w:color w:val="0000FF"/>
                </w:rPr>
                <w:t>First Lien Credit Agreement, dated as of February 1, 2019, among DiscoverOrg, LLC, DiscoverOrg</w:t>
              </w:r>
            </w:hyperlink>
          </w:p>
        </w:tc>
        <w:tc>
          <w:tcPr>
            <w:tcW w:w="160" w:type="dxa"/>
            <w:vAlign w:val="bottom"/>
            <w:tcBorders>
              <w:bottom w:val="single" w:sz="8" w:color="CCEEFF"/>
            </w:tcBorders>
            <w:gridSpan w:val="8"/>
            <w:shd w:val="clear" w:color="auto" w:fill="CCEEFF"/>
          </w:tcPr>
          <w:p>
            <w:pPr>
              <w:spacing w:after="0"/>
              <w:rPr>
                <w:sz w:val="12"/>
                <w:szCs w:val="12"/>
                <w:color w:val="auto"/>
              </w:rPr>
            </w:pPr>
          </w:p>
        </w:tc>
        <w:tc>
          <w:tcPr>
            <w:tcW w:w="1800" w:type="dxa"/>
            <w:vAlign w:val="bottom"/>
            <w:tcBorders>
              <w:bottom w:val="single" w:sz="8" w:color="CCEEFF"/>
            </w:tcBorders>
            <w:shd w:val="clear" w:color="auto" w:fill="CCEEFF"/>
          </w:tcPr>
          <w:p>
            <w:pPr>
              <w:jc w:val="center"/>
              <w:ind w:right="169"/>
              <w:spacing w:after="0" w:line="146" w:lineRule="exact"/>
              <w:rPr>
                <w:sz w:val="20"/>
                <w:szCs w:val="20"/>
                <w:color w:val="auto"/>
              </w:rPr>
            </w:pPr>
            <w:r>
              <w:rPr>
                <w:rFonts w:ascii="Times New Roman" w:cs="Times New Roman" w:eastAsia="Times New Roman" w:hAnsi="Times New Roman"/>
                <w:sz w:val="14"/>
                <w:szCs w:val="14"/>
                <w:color w:val="auto"/>
              </w:rPr>
              <w:t>S-1 filed February 27, 2020</w:t>
            </w:r>
          </w:p>
        </w:tc>
        <w:tc>
          <w:tcPr>
            <w:tcW w:w="1380" w:type="dxa"/>
            <w:vAlign w:val="bottom"/>
            <w:tcBorders>
              <w:bottom w:val="single" w:sz="8" w:color="CCEEFF"/>
            </w:tcBorders>
            <w:shd w:val="clear" w:color="auto" w:fill="CCEEFF"/>
          </w:tcPr>
          <w:p>
            <w:pPr>
              <w:jc w:val="center"/>
              <w:ind w:right="109"/>
              <w:spacing w:after="0" w:line="146" w:lineRule="exact"/>
              <w:rPr>
                <w:sz w:val="20"/>
                <w:szCs w:val="20"/>
                <w:color w:val="auto"/>
              </w:rPr>
            </w:pPr>
            <w:r>
              <w:rPr>
                <w:rFonts w:ascii="Times New Roman" w:cs="Times New Roman" w:eastAsia="Times New Roman" w:hAnsi="Times New Roman"/>
                <w:sz w:val="14"/>
                <w:szCs w:val="14"/>
                <w:color w:val="auto"/>
              </w:rPr>
              <w:t>333-236674</w:t>
            </w:r>
          </w:p>
        </w:tc>
        <w:tc>
          <w:tcPr>
            <w:tcW w:w="1200" w:type="dxa"/>
            <w:vAlign w:val="bottom"/>
            <w:tcBorders>
              <w:bottom w:val="single" w:sz="8" w:color="CCEEFF"/>
            </w:tcBorders>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rPr>
              <w:t>10.10</w:t>
            </w:r>
          </w:p>
        </w:tc>
        <w:tc>
          <w:tcPr>
            <w:tcW w:w="0" w:type="dxa"/>
            <w:vAlign w:val="bottom"/>
          </w:tcPr>
          <w:p>
            <w:pPr>
              <w:spacing w:after="0"/>
              <w:rPr>
                <w:sz w:val="1"/>
                <w:szCs w:val="1"/>
                <w:color w:val="auto"/>
              </w:rPr>
            </w:pPr>
          </w:p>
        </w:tc>
      </w:tr>
      <w:tr>
        <w:trPr>
          <w:trHeight w:val="126"/>
        </w:trPr>
        <w:tc>
          <w:tcPr>
            <w:tcW w:w="1000" w:type="dxa"/>
            <w:vAlign w:val="bottom"/>
            <w:shd w:val="clear" w:color="auto" w:fill="CCEEFF"/>
          </w:tcPr>
          <w:p>
            <w:pPr>
              <w:spacing w:after="0"/>
              <w:rPr>
                <w:sz w:val="10"/>
                <w:szCs w:val="10"/>
                <w:color w:val="auto"/>
              </w:rPr>
            </w:pPr>
          </w:p>
        </w:tc>
        <w:tc>
          <w:tcPr>
            <w:tcW w:w="5860" w:type="dxa"/>
            <w:vAlign w:val="bottom"/>
            <w:gridSpan w:val="44"/>
            <w:shd w:val="clear" w:color="auto" w:fill="CCEEFF"/>
          </w:tcPr>
          <w:p>
            <w:pPr>
              <w:spacing w:after="0" w:line="126" w:lineRule="exact"/>
              <w:rPr>
                <w:rFonts w:ascii="Times New Roman" w:cs="Times New Roman" w:eastAsia="Times New Roman" w:hAnsi="Times New Roman"/>
                <w:sz w:val="14"/>
                <w:szCs w:val="14"/>
                <w:color w:val="0000FF"/>
              </w:rPr>
            </w:pPr>
            <w:hyperlink r:id="rId192">
              <w:r>
                <w:rPr>
                  <w:rFonts w:ascii="Times New Roman" w:cs="Times New Roman" w:eastAsia="Times New Roman" w:hAnsi="Times New Roman"/>
                  <w:sz w:val="14"/>
                  <w:szCs w:val="14"/>
                  <w:color w:val="0000FF"/>
                </w:rPr>
                <w:t>Midco, LLC, the guarantors party thereto from time to time, Morgan Stanley Senior Funding, Inc., as</w:t>
              </w:r>
            </w:hyperlink>
          </w:p>
        </w:tc>
        <w:tc>
          <w:tcPr>
            <w:tcW w:w="180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000" w:type="dxa"/>
            <w:vAlign w:val="bottom"/>
            <w:tcBorders>
              <w:top w:val="single" w:sz="8" w:color="CCEEFF"/>
            </w:tcBorders>
            <w:shd w:val="clear" w:color="auto" w:fill="CCEEFF"/>
          </w:tcPr>
          <w:p>
            <w:pPr>
              <w:spacing w:after="0"/>
              <w:rPr>
                <w:sz w:val="9"/>
                <w:szCs w:val="9"/>
                <w:color w:val="auto"/>
              </w:rPr>
            </w:pPr>
          </w:p>
        </w:tc>
        <w:tc>
          <w:tcPr>
            <w:tcW w:w="5760" w:type="dxa"/>
            <w:vAlign w:val="bottom"/>
            <w:tcBorders>
              <w:top w:val="single" w:sz="8" w:color="0000FF"/>
            </w:tcBorders>
            <w:gridSpan w:val="39"/>
            <w:shd w:val="clear" w:color="auto" w:fill="CCEEFF"/>
          </w:tcPr>
          <w:p>
            <w:pPr>
              <w:spacing w:after="0" w:line="113" w:lineRule="exact"/>
              <w:rPr>
                <w:rFonts w:ascii="Times New Roman" w:cs="Times New Roman" w:eastAsia="Times New Roman" w:hAnsi="Times New Roman"/>
                <w:sz w:val="13"/>
                <w:szCs w:val="13"/>
                <w:color w:val="0000FF"/>
              </w:rPr>
            </w:pPr>
            <w:hyperlink r:id="rId192">
              <w:r>
                <w:rPr>
                  <w:rFonts w:ascii="Times New Roman" w:cs="Times New Roman" w:eastAsia="Times New Roman" w:hAnsi="Times New Roman"/>
                  <w:sz w:val="13"/>
                  <w:szCs w:val="13"/>
                  <w:color w:val="0000FF"/>
                </w:rPr>
                <w:t>administrative agent, collateral agent and L/C issuer, and the other lenders and L/C issuers party</w:t>
              </w:r>
            </w:hyperlink>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800" w:type="dxa"/>
            <w:vAlign w:val="bottom"/>
            <w:tcBorders>
              <w:top w:val="single" w:sz="8" w:color="CCEEFF"/>
            </w:tcBorders>
            <w:shd w:val="clear" w:color="auto" w:fill="CCEEFF"/>
          </w:tcPr>
          <w:p>
            <w:pPr>
              <w:spacing w:after="0"/>
              <w:rPr>
                <w:sz w:val="9"/>
                <w:szCs w:val="9"/>
                <w:color w:val="auto"/>
              </w:rPr>
            </w:pPr>
          </w:p>
        </w:tc>
        <w:tc>
          <w:tcPr>
            <w:tcW w:w="1380" w:type="dxa"/>
            <w:vAlign w:val="bottom"/>
            <w:tcBorders>
              <w:top w:val="single" w:sz="8" w:color="CCEEFF"/>
            </w:tcBorders>
            <w:shd w:val="clear" w:color="auto" w:fill="CCEEFF"/>
          </w:tcPr>
          <w:p>
            <w:pPr>
              <w:spacing w:after="0"/>
              <w:rPr>
                <w:sz w:val="9"/>
                <w:szCs w:val="9"/>
                <w:color w:val="auto"/>
              </w:rPr>
            </w:pPr>
          </w:p>
        </w:tc>
        <w:tc>
          <w:tcPr>
            <w:tcW w:w="12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1000" w:type="dxa"/>
            <w:vAlign w:val="bottom"/>
            <w:tcBorders>
              <w:top w:val="single" w:sz="8" w:color="CCEEFF"/>
              <w:bottom w:val="single" w:sz="8" w:color="CCEEFF"/>
            </w:tcBorders>
            <w:shd w:val="clear" w:color="auto" w:fill="CCEEFF"/>
          </w:tcPr>
          <w:p>
            <w:pPr>
              <w:spacing w:after="0"/>
              <w:rPr>
                <w:sz w:val="13"/>
                <w:szCs w:val="13"/>
                <w:color w:val="auto"/>
              </w:rPr>
            </w:pPr>
          </w:p>
        </w:tc>
        <w:tc>
          <w:tcPr>
            <w:tcW w:w="400" w:type="dxa"/>
            <w:vAlign w:val="bottom"/>
            <w:tcBorders>
              <w:top w:val="single" w:sz="8" w:color="0000FF"/>
              <w:bottom w:val="single" w:sz="8" w:color="0000FF"/>
            </w:tcBorders>
            <w:gridSpan w:val="2"/>
            <w:shd w:val="clear" w:color="auto" w:fill="CCEEFF"/>
          </w:tcPr>
          <w:p>
            <w:pPr>
              <w:spacing w:after="0" w:line="126" w:lineRule="exact"/>
              <w:rPr>
                <w:rFonts w:ascii="Times New Roman" w:cs="Times New Roman" w:eastAsia="Times New Roman" w:hAnsi="Times New Roman"/>
                <w:sz w:val="14"/>
                <w:szCs w:val="14"/>
                <w:color w:val="0000FF"/>
                <w:w w:val="97"/>
              </w:rPr>
            </w:pPr>
            <w:hyperlink r:id="rId192">
              <w:r>
                <w:rPr>
                  <w:rFonts w:ascii="Times New Roman" w:cs="Times New Roman" w:eastAsia="Times New Roman" w:hAnsi="Times New Roman"/>
                  <w:sz w:val="14"/>
                  <w:szCs w:val="14"/>
                  <w:color w:val="0000FF"/>
                  <w:w w:val="97"/>
                </w:rPr>
                <w:t>thereto</w:t>
              </w:r>
            </w:hyperlink>
          </w:p>
        </w:tc>
        <w:tc>
          <w:tcPr>
            <w:tcW w:w="5040" w:type="dxa"/>
            <w:vAlign w:val="bottom"/>
            <w:tcBorders>
              <w:top w:val="single" w:sz="8" w:color="0000FF"/>
              <w:bottom w:val="single" w:sz="8" w:color="CCEEFF"/>
            </w:tcBorders>
            <w:gridSpan w:val="19"/>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294967277"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800" w:type="dxa"/>
            <w:vAlign w:val="bottom"/>
            <w:tcBorders>
              <w:top w:val="single" w:sz="8" w:color="CCEEFF"/>
              <w:bottom w:val="single" w:sz="8" w:color="CCEEFF"/>
            </w:tcBorders>
            <w:shd w:val="clear" w:color="auto" w:fill="CCEEFF"/>
          </w:tcPr>
          <w:p>
            <w:pPr>
              <w:spacing w:after="0"/>
              <w:rPr>
                <w:sz w:val="13"/>
                <w:szCs w:val="13"/>
                <w:color w:val="auto"/>
              </w:rPr>
            </w:pPr>
          </w:p>
        </w:tc>
        <w:tc>
          <w:tcPr>
            <w:tcW w:w="1380" w:type="dxa"/>
            <w:vAlign w:val="bottom"/>
            <w:tcBorders>
              <w:top w:val="single" w:sz="8" w:color="CCEEFF"/>
              <w:bottom w:val="single" w:sz="8" w:color="CCEEFF"/>
            </w:tcBorders>
            <w:shd w:val="clear" w:color="auto" w:fill="CCEEFF"/>
          </w:tcPr>
          <w:p>
            <w:pPr>
              <w:spacing w:after="0"/>
              <w:rPr>
                <w:sz w:val="13"/>
                <w:szCs w:val="13"/>
                <w:color w:val="auto"/>
              </w:rPr>
            </w:pPr>
          </w:p>
        </w:tc>
        <w:tc>
          <w:tcPr>
            <w:tcW w:w="12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0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10.15</w:t>
            </w:r>
          </w:p>
        </w:tc>
        <w:tc>
          <w:tcPr>
            <w:tcW w:w="5860" w:type="dxa"/>
            <w:vAlign w:val="bottom"/>
            <w:gridSpan w:val="44"/>
          </w:tcPr>
          <w:p>
            <w:pPr>
              <w:spacing w:after="0" w:line="146" w:lineRule="exact"/>
              <w:rPr>
                <w:rFonts w:ascii="Times New Roman" w:cs="Times New Roman" w:eastAsia="Times New Roman" w:hAnsi="Times New Roman"/>
                <w:sz w:val="14"/>
                <w:szCs w:val="14"/>
                <w:color w:val="0000FF"/>
              </w:rPr>
            </w:pPr>
            <w:hyperlink r:id="rId193">
              <w:r>
                <w:rPr>
                  <w:rFonts w:ascii="Times New Roman" w:cs="Times New Roman" w:eastAsia="Times New Roman" w:hAnsi="Times New Roman"/>
                  <w:sz w:val="14"/>
                  <w:szCs w:val="14"/>
                  <w:color w:val="0000FF"/>
                </w:rPr>
                <w:t>Amendment No. 1 to the First Lien Credit Agreement, dated February 19, 2020, by and among</w:t>
              </w:r>
            </w:hyperlink>
          </w:p>
        </w:tc>
        <w:tc>
          <w:tcPr>
            <w:tcW w:w="1800" w:type="dxa"/>
            <w:vAlign w:val="bottom"/>
          </w:tcPr>
          <w:p>
            <w:pPr>
              <w:jc w:val="center"/>
              <w:ind w:right="169"/>
              <w:spacing w:after="0" w:line="146" w:lineRule="exact"/>
              <w:rPr>
                <w:sz w:val="20"/>
                <w:szCs w:val="20"/>
                <w:color w:val="auto"/>
              </w:rPr>
            </w:pPr>
            <w:r>
              <w:rPr>
                <w:rFonts w:ascii="Times New Roman" w:cs="Times New Roman" w:eastAsia="Times New Roman" w:hAnsi="Times New Roman"/>
                <w:sz w:val="14"/>
                <w:szCs w:val="14"/>
                <w:color w:val="auto"/>
              </w:rPr>
              <w:t>S-1 filed February 27, 2020</w:t>
            </w:r>
          </w:p>
        </w:tc>
        <w:tc>
          <w:tcPr>
            <w:tcW w:w="1380" w:type="dxa"/>
            <w:vAlign w:val="bottom"/>
          </w:tcPr>
          <w:p>
            <w:pPr>
              <w:jc w:val="center"/>
              <w:ind w:right="109"/>
              <w:spacing w:after="0" w:line="146" w:lineRule="exact"/>
              <w:rPr>
                <w:sz w:val="20"/>
                <w:szCs w:val="20"/>
                <w:color w:val="auto"/>
              </w:rPr>
            </w:pPr>
            <w:r>
              <w:rPr>
                <w:rFonts w:ascii="Times New Roman" w:cs="Times New Roman" w:eastAsia="Times New Roman" w:hAnsi="Times New Roman"/>
                <w:sz w:val="14"/>
                <w:szCs w:val="14"/>
                <w:color w:val="auto"/>
              </w:rPr>
              <w:t>333-236674</w:t>
            </w:r>
          </w:p>
        </w:tc>
        <w:tc>
          <w:tcPr>
            <w:tcW w:w="12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w w:val="95"/>
              </w:rPr>
              <w:t>10.11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1000" w:type="dxa"/>
            <w:vAlign w:val="bottom"/>
          </w:tcPr>
          <w:p>
            <w:pPr>
              <w:spacing w:after="0"/>
              <w:rPr>
                <w:sz w:val="10"/>
                <w:szCs w:val="10"/>
                <w:color w:val="auto"/>
              </w:rPr>
            </w:pPr>
          </w:p>
        </w:tc>
        <w:tc>
          <w:tcPr>
            <w:tcW w:w="5860" w:type="dxa"/>
            <w:vAlign w:val="bottom"/>
            <w:gridSpan w:val="44"/>
          </w:tcPr>
          <w:p>
            <w:pPr>
              <w:spacing w:after="0" w:line="126" w:lineRule="exact"/>
              <w:rPr>
                <w:rFonts w:ascii="Times New Roman" w:cs="Times New Roman" w:eastAsia="Times New Roman" w:hAnsi="Times New Roman"/>
                <w:sz w:val="14"/>
                <w:szCs w:val="14"/>
                <w:color w:val="0000FF"/>
              </w:rPr>
            </w:pPr>
            <w:hyperlink r:id="rId193">
              <w:r>
                <w:rPr>
                  <w:rFonts w:ascii="Times New Roman" w:cs="Times New Roman" w:eastAsia="Times New Roman" w:hAnsi="Times New Roman"/>
                  <w:sz w:val="14"/>
                  <w:szCs w:val="14"/>
                  <w:color w:val="0000FF"/>
                </w:rPr>
                <w:t>DiscoverOrg, LLC, DiscoverOrg Midco, LLC, Morgan Stanley Bank, N.A., as the new term loan</w:t>
              </w:r>
            </w:hyperlink>
          </w:p>
        </w:tc>
        <w:tc>
          <w:tcPr>
            <w:tcW w:w="18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000" w:type="dxa"/>
            <w:vAlign w:val="bottom"/>
          </w:tcPr>
          <w:p>
            <w:pPr>
              <w:spacing w:after="0"/>
              <w:rPr>
                <w:sz w:val="9"/>
                <w:szCs w:val="9"/>
                <w:color w:val="auto"/>
              </w:rPr>
            </w:pPr>
          </w:p>
        </w:tc>
        <w:tc>
          <w:tcPr>
            <w:tcW w:w="5520" w:type="dxa"/>
            <w:vAlign w:val="bottom"/>
            <w:tcBorders>
              <w:top w:val="single" w:sz="8" w:color="0000FF"/>
            </w:tcBorders>
            <w:gridSpan w:val="24"/>
          </w:tcPr>
          <w:p>
            <w:pPr>
              <w:spacing w:after="0" w:line="113" w:lineRule="exact"/>
              <w:rPr>
                <w:rFonts w:ascii="Times New Roman" w:cs="Times New Roman" w:eastAsia="Times New Roman" w:hAnsi="Times New Roman"/>
                <w:sz w:val="13"/>
                <w:szCs w:val="13"/>
                <w:color w:val="0000FF"/>
              </w:rPr>
            </w:pPr>
            <w:hyperlink r:id="rId193">
              <w:r>
                <w:rPr>
                  <w:rFonts w:ascii="Times New Roman" w:cs="Times New Roman" w:eastAsia="Times New Roman" w:hAnsi="Times New Roman"/>
                  <w:sz w:val="13"/>
                  <w:szCs w:val="13"/>
                  <w:color w:val="0000FF"/>
                </w:rPr>
                <w:t>lender, the revolving credit lenders party thereto, Morgan Stanley Senior Funding, Inc., as</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94967277"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00" w:type="dxa"/>
            <w:vAlign w:val="bottom"/>
          </w:tcPr>
          <w:p>
            <w:pPr>
              <w:spacing w:after="0"/>
              <w:rPr>
                <w:sz w:val="10"/>
                <w:szCs w:val="10"/>
                <w:color w:val="auto"/>
              </w:rPr>
            </w:pPr>
          </w:p>
        </w:tc>
        <w:tc>
          <w:tcPr>
            <w:tcW w:w="5120" w:type="dxa"/>
            <w:vAlign w:val="bottom"/>
            <w:tcBorders>
              <w:top w:val="single" w:sz="8" w:color="0000FF"/>
            </w:tcBorders>
            <w:gridSpan w:val="16"/>
          </w:tcPr>
          <w:p>
            <w:pPr>
              <w:spacing w:after="0" w:line="126" w:lineRule="exact"/>
              <w:rPr>
                <w:rFonts w:ascii="Times New Roman" w:cs="Times New Roman" w:eastAsia="Times New Roman" w:hAnsi="Times New Roman"/>
                <w:sz w:val="14"/>
                <w:szCs w:val="14"/>
                <w:color w:val="0000FF"/>
              </w:rPr>
            </w:pPr>
            <w:hyperlink r:id="rId193">
              <w:r>
                <w:rPr>
                  <w:rFonts w:ascii="Times New Roman" w:cs="Times New Roman" w:eastAsia="Times New Roman" w:hAnsi="Times New Roman"/>
                  <w:sz w:val="14"/>
                  <w:szCs w:val="14"/>
                  <w:color w:val="0000FF"/>
                </w:rPr>
                <w:t>administrative agent, collateral agent and L/C issuer</w:t>
              </w:r>
            </w:hyperlink>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7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1000" w:type="dxa"/>
            <w:vAlign w:val="bottom"/>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77"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100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rPr>
              <w:t>10.16</w:t>
            </w:r>
          </w:p>
        </w:tc>
        <w:tc>
          <w:tcPr>
            <w:tcW w:w="5860" w:type="dxa"/>
            <w:vAlign w:val="bottom"/>
            <w:gridSpan w:val="44"/>
            <w:shd w:val="clear" w:color="auto" w:fill="CCEEFF"/>
          </w:tcPr>
          <w:p>
            <w:pPr>
              <w:spacing w:after="0" w:line="146" w:lineRule="exact"/>
              <w:rPr>
                <w:rFonts w:ascii="Times New Roman" w:cs="Times New Roman" w:eastAsia="Times New Roman" w:hAnsi="Times New Roman"/>
                <w:sz w:val="14"/>
                <w:szCs w:val="14"/>
                <w:color w:val="0000FF"/>
              </w:rPr>
            </w:pPr>
            <w:hyperlink r:id="rId194">
              <w:r>
                <w:rPr>
                  <w:rFonts w:ascii="Times New Roman" w:cs="Times New Roman" w:eastAsia="Times New Roman" w:hAnsi="Times New Roman"/>
                  <w:sz w:val="14"/>
                  <w:szCs w:val="14"/>
                  <w:color w:val="0000FF"/>
                </w:rPr>
                <w:t>Amendment No. 2 to First Lien Credit Agreement, dated February 2, 2021, by and among ZoomInfo,</w:t>
              </w:r>
            </w:hyperlink>
          </w:p>
        </w:tc>
        <w:tc>
          <w:tcPr>
            <w:tcW w:w="1800" w:type="dxa"/>
            <w:vAlign w:val="bottom"/>
            <w:shd w:val="clear" w:color="auto" w:fill="CCEEFF"/>
          </w:tcPr>
          <w:p>
            <w:pPr>
              <w:jc w:val="center"/>
              <w:ind w:right="169"/>
              <w:spacing w:after="0" w:line="146" w:lineRule="exact"/>
              <w:rPr>
                <w:sz w:val="20"/>
                <w:szCs w:val="20"/>
                <w:color w:val="auto"/>
              </w:rPr>
            </w:pPr>
            <w:r>
              <w:rPr>
                <w:rFonts w:ascii="Times New Roman" w:cs="Times New Roman" w:eastAsia="Times New Roman" w:hAnsi="Times New Roman"/>
                <w:sz w:val="14"/>
                <w:szCs w:val="14"/>
                <w:color w:val="auto"/>
              </w:rPr>
              <w:t>8-K filed February 2, 2021</w:t>
            </w:r>
          </w:p>
        </w:tc>
        <w:tc>
          <w:tcPr>
            <w:tcW w:w="1380" w:type="dxa"/>
            <w:vAlign w:val="bottom"/>
            <w:shd w:val="clear" w:color="auto" w:fill="CCEEFF"/>
          </w:tcPr>
          <w:p>
            <w:pPr>
              <w:jc w:val="center"/>
              <w:ind w:right="109"/>
              <w:spacing w:after="0" w:line="146" w:lineRule="exact"/>
              <w:rPr>
                <w:sz w:val="20"/>
                <w:szCs w:val="20"/>
                <w:color w:val="auto"/>
              </w:rPr>
            </w:pPr>
            <w:r>
              <w:rPr>
                <w:rFonts w:ascii="Times New Roman" w:cs="Times New Roman" w:eastAsia="Times New Roman" w:hAnsi="Times New Roman"/>
                <w:sz w:val="14"/>
                <w:szCs w:val="14"/>
                <w:color w:val="auto"/>
                <w:w w:val="98"/>
              </w:rPr>
              <w:t>001-39310</w:t>
            </w:r>
          </w:p>
        </w:tc>
        <w:tc>
          <w:tcPr>
            <w:tcW w:w="120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119"/>
        </w:trPr>
        <w:tc>
          <w:tcPr>
            <w:tcW w:w="1000" w:type="dxa"/>
            <w:vAlign w:val="bottom"/>
            <w:tcBorders>
              <w:top w:val="single" w:sz="8" w:color="CCEEFF"/>
            </w:tcBorders>
            <w:shd w:val="clear" w:color="auto" w:fill="CCEEFF"/>
          </w:tcPr>
          <w:p>
            <w:pPr>
              <w:spacing w:after="0"/>
              <w:rPr>
                <w:sz w:val="10"/>
                <w:szCs w:val="10"/>
                <w:color w:val="auto"/>
              </w:rPr>
            </w:pPr>
          </w:p>
        </w:tc>
        <w:tc>
          <w:tcPr>
            <w:tcW w:w="5780" w:type="dxa"/>
            <w:vAlign w:val="bottom"/>
            <w:tcBorders>
              <w:top w:val="single" w:sz="8" w:color="0000FF"/>
            </w:tcBorders>
            <w:gridSpan w:val="40"/>
            <w:shd w:val="clear" w:color="auto" w:fill="CCEEFF"/>
          </w:tcPr>
          <w:p>
            <w:pPr>
              <w:spacing w:after="0" w:line="113" w:lineRule="exact"/>
              <w:rPr>
                <w:rFonts w:ascii="Times New Roman" w:cs="Times New Roman" w:eastAsia="Times New Roman" w:hAnsi="Times New Roman"/>
                <w:sz w:val="13"/>
                <w:szCs w:val="13"/>
                <w:color w:val="0000FF"/>
              </w:rPr>
            </w:pPr>
            <w:hyperlink r:id="rId194">
              <w:r>
                <w:rPr>
                  <w:rFonts w:ascii="Times New Roman" w:cs="Times New Roman" w:eastAsia="Times New Roman" w:hAnsi="Times New Roman"/>
                  <w:sz w:val="13"/>
                  <w:szCs w:val="13"/>
                  <w:color w:val="0000FF"/>
                </w:rPr>
                <w:t>LLC (f/k/a DiscoverOrg, LLC), ZoomInfo Technologies LLC, ZoomInfo Midco LLC (f/k/a</w:t>
              </w:r>
            </w:hyperlink>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800" w:type="dxa"/>
            <w:vAlign w:val="bottom"/>
            <w:tcBorders>
              <w:top w:val="single" w:sz="8" w:color="CCEEFF"/>
            </w:tcBorders>
            <w:shd w:val="clear" w:color="auto" w:fill="CCEEFF"/>
          </w:tcPr>
          <w:p>
            <w:pPr>
              <w:spacing w:after="0"/>
              <w:rPr>
                <w:sz w:val="10"/>
                <w:szCs w:val="10"/>
                <w:color w:val="auto"/>
              </w:rPr>
            </w:pPr>
          </w:p>
        </w:tc>
        <w:tc>
          <w:tcPr>
            <w:tcW w:w="1380" w:type="dxa"/>
            <w:vAlign w:val="bottom"/>
            <w:tcBorders>
              <w:top w:val="single" w:sz="8" w:color="CCEEFF"/>
            </w:tcBorders>
            <w:shd w:val="clear" w:color="auto" w:fill="CCEEFF"/>
          </w:tcPr>
          <w:p>
            <w:pPr>
              <w:spacing w:after="0"/>
              <w:rPr>
                <w:sz w:val="10"/>
                <w:szCs w:val="10"/>
                <w:color w:val="auto"/>
              </w:rPr>
            </w:pPr>
          </w:p>
        </w:tc>
        <w:tc>
          <w:tcPr>
            <w:tcW w:w="12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00" w:type="dxa"/>
            <w:vAlign w:val="bottom"/>
            <w:tcBorders>
              <w:top w:val="single" w:sz="8" w:color="CCEEFF"/>
            </w:tcBorders>
            <w:shd w:val="clear" w:color="auto" w:fill="CCEEFF"/>
          </w:tcPr>
          <w:p>
            <w:pPr>
              <w:spacing w:after="0"/>
              <w:rPr>
                <w:sz w:val="10"/>
                <w:szCs w:val="10"/>
                <w:color w:val="auto"/>
              </w:rPr>
            </w:pPr>
          </w:p>
        </w:tc>
        <w:tc>
          <w:tcPr>
            <w:tcW w:w="5180" w:type="dxa"/>
            <w:vAlign w:val="bottom"/>
            <w:tcBorders>
              <w:top w:val="single" w:sz="8" w:color="0000FF"/>
            </w:tcBorders>
            <w:gridSpan w:val="18"/>
            <w:shd w:val="clear" w:color="auto" w:fill="CCEEFF"/>
          </w:tcPr>
          <w:p>
            <w:pPr>
              <w:spacing w:after="0" w:line="119" w:lineRule="exact"/>
              <w:rPr>
                <w:rFonts w:ascii="Times New Roman" w:cs="Times New Roman" w:eastAsia="Times New Roman" w:hAnsi="Times New Roman"/>
                <w:sz w:val="13"/>
                <w:szCs w:val="13"/>
                <w:color w:val="0000FF"/>
              </w:rPr>
            </w:pPr>
            <w:hyperlink r:id="rId194">
              <w:r>
                <w:rPr>
                  <w:rFonts w:ascii="Times New Roman" w:cs="Times New Roman" w:eastAsia="Times New Roman" w:hAnsi="Times New Roman"/>
                  <w:sz w:val="13"/>
                  <w:szCs w:val="13"/>
                  <w:color w:val="0000FF"/>
                </w:rPr>
                <w:t>DiscoverOrg Midco, LLC), Morgan Stanley Bank, N.A., as the new term loan lender, the</w:t>
              </w:r>
            </w:hyperlink>
          </w:p>
        </w:tc>
        <w:tc>
          <w:tcPr>
            <w:tcW w:w="680" w:type="dxa"/>
            <w:vAlign w:val="bottom"/>
            <w:tcBorders>
              <w:top w:val="single" w:sz="8" w:color="CCEEFF"/>
            </w:tcBorders>
            <w:gridSpan w:val="26"/>
            <w:shd w:val="clear" w:color="auto" w:fill="CCEEFF"/>
          </w:tcPr>
          <w:p>
            <w:pPr>
              <w:spacing w:after="0" w:line="119" w:lineRule="exact"/>
              <w:rPr>
                <w:rFonts w:ascii="Times New Roman" w:cs="Times New Roman" w:eastAsia="Times New Roman" w:hAnsi="Times New Roman"/>
                <w:sz w:val="13"/>
                <w:szCs w:val="13"/>
                <w:color w:val="0000FF"/>
              </w:rPr>
            </w:pPr>
            <w:hyperlink r:id="rId194">
              <w:r>
                <w:rPr>
                  <w:rFonts w:ascii="Times New Roman" w:cs="Times New Roman" w:eastAsia="Times New Roman" w:hAnsi="Times New Roman"/>
                  <w:sz w:val="13"/>
                  <w:szCs w:val="13"/>
                  <w:color w:val="0000FF"/>
                </w:rPr>
                <w:t>revolving</w:t>
              </w:r>
            </w:hyperlink>
          </w:p>
        </w:tc>
        <w:tc>
          <w:tcPr>
            <w:tcW w:w="1800" w:type="dxa"/>
            <w:vAlign w:val="bottom"/>
            <w:tcBorders>
              <w:top w:val="single" w:sz="8" w:color="CCEEFF"/>
            </w:tcBorders>
            <w:shd w:val="clear" w:color="auto" w:fill="CCEEFF"/>
          </w:tcPr>
          <w:p>
            <w:pPr>
              <w:spacing w:after="0"/>
              <w:rPr>
                <w:sz w:val="10"/>
                <w:szCs w:val="10"/>
                <w:color w:val="auto"/>
              </w:rPr>
            </w:pPr>
          </w:p>
        </w:tc>
        <w:tc>
          <w:tcPr>
            <w:tcW w:w="1380" w:type="dxa"/>
            <w:vAlign w:val="bottom"/>
            <w:tcBorders>
              <w:top w:val="single" w:sz="8" w:color="CCEEFF"/>
            </w:tcBorders>
            <w:shd w:val="clear" w:color="auto" w:fill="CCEEFF"/>
          </w:tcPr>
          <w:p>
            <w:pPr>
              <w:spacing w:after="0"/>
              <w:rPr>
                <w:sz w:val="10"/>
                <w:szCs w:val="10"/>
                <w:color w:val="auto"/>
              </w:rPr>
            </w:pPr>
          </w:p>
        </w:tc>
        <w:tc>
          <w:tcPr>
            <w:tcW w:w="12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0" w:type="dxa"/>
            <w:vAlign w:val="bottom"/>
            <w:tcBorders>
              <w:top w:val="single" w:sz="8" w:color="CCEEFF"/>
            </w:tcBorders>
            <w:shd w:val="clear" w:color="auto" w:fill="CCEEFF"/>
          </w:tcPr>
          <w:p>
            <w:pPr>
              <w:spacing w:after="0"/>
              <w:rPr>
                <w:sz w:val="10"/>
                <w:szCs w:val="10"/>
                <w:color w:val="auto"/>
              </w:rPr>
            </w:pPr>
          </w:p>
        </w:tc>
        <w:tc>
          <w:tcPr>
            <w:tcW w:w="5620" w:type="dxa"/>
            <w:vAlign w:val="bottom"/>
            <w:tcBorders>
              <w:top w:val="single" w:sz="8" w:color="0000FF"/>
            </w:tcBorders>
            <w:gridSpan w:val="30"/>
            <w:shd w:val="clear" w:color="auto" w:fill="CCEEFF"/>
          </w:tcPr>
          <w:p>
            <w:pPr>
              <w:spacing w:after="0" w:line="126" w:lineRule="exact"/>
              <w:rPr>
                <w:rFonts w:ascii="Times New Roman" w:cs="Times New Roman" w:eastAsia="Times New Roman" w:hAnsi="Times New Roman"/>
                <w:sz w:val="14"/>
                <w:szCs w:val="14"/>
                <w:color w:val="0000FF"/>
              </w:rPr>
            </w:pPr>
            <w:hyperlink r:id="rId194">
              <w:r>
                <w:rPr>
                  <w:rFonts w:ascii="Times New Roman" w:cs="Times New Roman" w:eastAsia="Times New Roman" w:hAnsi="Times New Roman"/>
                  <w:sz w:val="14"/>
                  <w:szCs w:val="14"/>
                  <w:color w:val="0000FF"/>
                </w:rPr>
                <w:t>credit lenders party thereto, and Morgan Stanley Senior Funding, Inc., as administrative agent,</w:t>
              </w:r>
            </w:hyperlink>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294967277"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gridSpan w:val="3"/>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800" w:type="dxa"/>
            <w:vAlign w:val="bottom"/>
            <w:tcBorders>
              <w:top w:val="single" w:sz="8" w:color="CCEEFF"/>
            </w:tcBorders>
            <w:shd w:val="clear" w:color="auto" w:fill="CCEEFF"/>
          </w:tcPr>
          <w:p>
            <w:pPr>
              <w:spacing w:after="0"/>
              <w:rPr>
                <w:sz w:val="10"/>
                <w:szCs w:val="10"/>
                <w:color w:val="auto"/>
              </w:rPr>
            </w:pPr>
          </w:p>
        </w:tc>
        <w:tc>
          <w:tcPr>
            <w:tcW w:w="1380" w:type="dxa"/>
            <w:vAlign w:val="bottom"/>
            <w:tcBorders>
              <w:top w:val="single" w:sz="8" w:color="CCEEFF"/>
            </w:tcBorders>
            <w:shd w:val="clear" w:color="auto" w:fill="CCEEFF"/>
          </w:tcPr>
          <w:p>
            <w:pPr>
              <w:spacing w:after="0"/>
              <w:rPr>
                <w:sz w:val="10"/>
                <w:szCs w:val="10"/>
                <w:color w:val="auto"/>
              </w:rPr>
            </w:pPr>
          </w:p>
        </w:tc>
        <w:tc>
          <w:tcPr>
            <w:tcW w:w="12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0" w:type="dxa"/>
            <w:vAlign w:val="bottom"/>
            <w:tcBorders>
              <w:top w:val="single" w:sz="8" w:color="CCEEFF"/>
            </w:tcBorders>
            <w:shd w:val="clear" w:color="auto" w:fill="CCEEFF"/>
          </w:tcPr>
          <w:p>
            <w:pPr>
              <w:spacing w:after="0"/>
              <w:rPr>
                <w:sz w:val="10"/>
                <w:szCs w:val="10"/>
                <w:color w:val="auto"/>
              </w:rPr>
            </w:pPr>
          </w:p>
        </w:tc>
        <w:tc>
          <w:tcPr>
            <w:tcW w:w="5360" w:type="dxa"/>
            <w:vAlign w:val="bottom"/>
            <w:tcBorders>
              <w:top w:val="single" w:sz="8" w:color="0000FF"/>
              <w:right w:val="single" w:sz="8" w:color="CCEEFF"/>
            </w:tcBorders>
            <w:gridSpan w:val="20"/>
            <w:shd w:val="clear" w:color="auto" w:fill="CCEEFF"/>
          </w:tcPr>
          <w:p>
            <w:pPr>
              <w:spacing w:after="0" w:line="126" w:lineRule="exact"/>
              <w:rPr>
                <w:rFonts w:ascii="Times New Roman" w:cs="Times New Roman" w:eastAsia="Times New Roman" w:hAnsi="Times New Roman"/>
                <w:sz w:val="14"/>
                <w:szCs w:val="14"/>
                <w:color w:val="0000FF"/>
              </w:rPr>
            </w:pPr>
            <w:hyperlink r:id="rId194">
              <w:r>
                <w:rPr>
                  <w:rFonts w:ascii="Times New Roman" w:cs="Times New Roman" w:eastAsia="Times New Roman" w:hAnsi="Times New Roman"/>
                  <w:sz w:val="14"/>
                  <w:szCs w:val="14"/>
                  <w:color w:val="0000FF"/>
                </w:rPr>
                <w:t>collateral agent and L/C issuer</w:t>
              </w:r>
            </w:hyperlink>
          </w:p>
        </w:tc>
        <w:tc>
          <w:tcPr>
            <w:tcW w:w="100" w:type="dxa"/>
            <w:vAlign w:val="bottom"/>
            <w:tcBorders>
              <w:top w:val="single" w:sz="8" w:color="CCEEFF"/>
            </w:tcBorders>
            <w:gridSpan w:val="2"/>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294967277"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gridSpan w:val="3"/>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800" w:type="dxa"/>
            <w:vAlign w:val="bottom"/>
            <w:tcBorders>
              <w:top w:val="single" w:sz="8" w:color="CCEEFF"/>
            </w:tcBorders>
            <w:shd w:val="clear" w:color="auto" w:fill="CCEEFF"/>
          </w:tcPr>
          <w:p>
            <w:pPr>
              <w:spacing w:after="0"/>
              <w:rPr>
                <w:sz w:val="10"/>
                <w:szCs w:val="10"/>
                <w:color w:val="auto"/>
              </w:rPr>
            </w:pPr>
          </w:p>
        </w:tc>
        <w:tc>
          <w:tcPr>
            <w:tcW w:w="1380" w:type="dxa"/>
            <w:vAlign w:val="bottom"/>
            <w:tcBorders>
              <w:top w:val="single" w:sz="8" w:color="CCEEFF"/>
            </w:tcBorders>
            <w:shd w:val="clear" w:color="auto" w:fill="CCEEFF"/>
          </w:tcPr>
          <w:p>
            <w:pPr>
              <w:spacing w:after="0"/>
              <w:rPr>
                <w:sz w:val="10"/>
                <w:szCs w:val="10"/>
                <w:color w:val="auto"/>
              </w:rPr>
            </w:pPr>
          </w:p>
        </w:tc>
        <w:tc>
          <w:tcPr>
            <w:tcW w:w="12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1000" w:type="dxa"/>
            <w:vAlign w:val="bottom"/>
            <w:shd w:val="clear" w:color="auto" w:fill="CCEE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294967277"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6"/>
        </w:trPr>
        <w:tc>
          <w:tcPr>
            <w:tcW w:w="10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10.17</w:t>
            </w:r>
          </w:p>
        </w:tc>
        <w:tc>
          <w:tcPr>
            <w:tcW w:w="5860" w:type="dxa"/>
            <w:vAlign w:val="bottom"/>
            <w:gridSpan w:val="44"/>
          </w:tcPr>
          <w:p>
            <w:pPr>
              <w:spacing w:after="0" w:line="146" w:lineRule="exact"/>
              <w:rPr>
                <w:rFonts w:ascii="Times New Roman" w:cs="Times New Roman" w:eastAsia="Times New Roman" w:hAnsi="Times New Roman"/>
                <w:sz w:val="14"/>
                <w:szCs w:val="14"/>
                <w:color w:val="0000FF"/>
              </w:rPr>
            </w:pPr>
            <w:hyperlink r:id="rId195">
              <w:r>
                <w:rPr>
                  <w:rFonts w:ascii="Times New Roman" w:cs="Times New Roman" w:eastAsia="Times New Roman" w:hAnsi="Times New Roman"/>
                  <w:sz w:val="14"/>
                  <w:szCs w:val="14"/>
                  <w:color w:val="0000FF"/>
                </w:rPr>
                <w:t>Amendment No. 3 to First Lien Credit Agreement, dated July 20, 2021, by and among ZoomInfo</w:t>
              </w:r>
            </w:hyperlink>
          </w:p>
        </w:tc>
        <w:tc>
          <w:tcPr>
            <w:tcW w:w="1800" w:type="dxa"/>
            <w:vAlign w:val="bottom"/>
          </w:tcPr>
          <w:p>
            <w:pPr>
              <w:jc w:val="center"/>
              <w:ind w:right="189"/>
              <w:spacing w:after="0" w:line="146" w:lineRule="exact"/>
              <w:rPr>
                <w:sz w:val="20"/>
                <w:szCs w:val="20"/>
                <w:color w:val="auto"/>
              </w:rPr>
            </w:pPr>
            <w:r>
              <w:rPr>
                <w:rFonts w:ascii="Times New Roman" w:cs="Times New Roman" w:eastAsia="Times New Roman" w:hAnsi="Times New Roman"/>
                <w:sz w:val="14"/>
                <w:szCs w:val="14"/>
                <w:color w:val="auto"/>
                <w:w w:val="99"/>
              </w:rPr>
              <w:t>8-K filed July 20, 2021</w:t>
            </w:r>
          </w:p>
        </w:tc>
        <w:tc>
          <w:tcPr>
            <w:tcW w:w="1380" w:type="dxa"/>
            <w:vAlign w:val="bottom"/>
          </w:tcPr>
          <w:p>
            <w:pPr>
              <w:jc w:val="center"/>
              <w:ind w:right="109"/>
              <w:spacing w:after="0" w:line="146" w:lineRule="exact"/>
              <w:rPr>
                <w:sz w:val="20"/>
                <w:szCs w:val="20"/>
                <w:color w:val="auto"/>
              </w:rPr>
            </w:pPr>
            <w:r>
              <w:rPr>
                <w:rFonts w:ascii="Times New Roman" w:cs="Times New Roman" w:eastAsia="Times New Roman" w:hAnsi="Times New Roman"/>
                <w:sz w:val="14"/>
                <w:szCs w:val="14"/>
                <w:color w:val="auto"/>
                <w:w w:val="98"/>
              </w:rPr>
              <w:t>001-39310</w:t>
            </w:r>
          </w:p>
        </w:tc>
        <w:tc>
          <w:tcPr>
            <w:tcW w:w="12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126"/>
        </w:trPr>
        <w:tc>
          <w:tcPr>
            <w:tcW w:w="1000" w:type="dxa"/>
            <w:vAlign w:val="bottom"/>
          </w:tcPr>
          <w:p>
            <w:pPr>
              <w:spacing w:after="0"/>
              <w:rPr>
                <w:sz w:val="10"/>
                <w:szCs w:val="10"/>
                <w:color w:val="auto"/>
              </w:rPr>
            </w:pPr>
          </w:p>
        </w:tc>
        <w:tc>
          <w:tcPr>
            <w:tcW w:w="5500" w:type="dxa"/>
            <w:vAlign w:val="bottom"/>
            <w:tcBorders>
              <w:top w:val="single" w:sz="8" w:color="0000FF"/>
              <w:bottom w:val="single" w:sz="8" w:color="0000FF"/>
            </w:tcBorders>
            <w:gridSpan w:val="23"/>
          </w:tcPr>
          <w:p>
            <w:pPr>
              <w:spacing w:after="0" w:line="126" w:lineRule="exact"/>
              <w:rPr>
                <w:rFonts w:ascii="Times New Roman" w:cs="Times New Roman" w:eastAsia="Times New Roman" w:hAnsi="Times New Roman"/>
                <w:sz w:val="14"/>
                <w:szCs w:val="14"/>
                <w:color w:val="0000FF"/>
                <w:w w:val="99"/>
              </w:rPr>
            </w:pPr>
            <w:hyperlink r:id="rId195">
              <w:r>
                <w:rPr>
                  <w:rFonts w:ascii="Times New Roman" w:cs="Times New Roman" w:eastAsia="Times New Roman" w:hAnsi="Times New Roman"/>
                  <w:sz w:val="14"/>
                  <w:szCs w:val="14"/>
                  <w:color w:val="0000FF"/>
                  <w:w w:val="99"/>
                </w:rPr>
                <w:t>LLC (f/k/a DiscoverOrg, LLC), a Delaware limited liability company (the “Borrower”), ZoomInfo</w:t>
              </w:r>
            </w:hyperlink>
          </w:p>
        </w:tc>
        <w:tc>
          <w:tcPr>
            <w:tcW w:w="40" w:type="dxa"/>
            <w:vAlign w:val="bottom"/>
            <w:tcBorders>
              <w:bottom w:val="single" w:sz="8" w:color="0000FF"/>
            </w:tcBorders>
            <w:gridSpan w:val="2"/>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7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000" w:type="dxa"/>
            <w:vAlign w:val="bottom"/>
          </w:tcPr>
          <w:p>
            <w:pPr>
              <w:spacing w:after="0"/>
              <w:rPr>
                <w:sz w:val="9"/>
                <w:szCs w:val="9"/>
                <w:color w:val="auto"/>
              </w:rPr>
            </w:pPr>
          </w:p>
        </w:tc>
        <w:tc>
          <w:tcPr>
            <w:tcW w:w="5540" w:type="dxa"/>
            <w:vAlign w:val="bottom"/>
            <w:tcBorders>
              <w:bottom w:val="single" w:sz="8" w:color="0000FF"/>
            </w:tcBorders>
            <w:gridSpan w:val="25"/>
          </w:tcPr>
          <w:p>
            <w:pPr>
              <w:spacing w:after="0" w:line="113" w:lineRule="exact"/>
              <w:rPr>
                <w:rFonts w:ascii="Times New Roman" w:cs="Times New Roman" w:eastAsia="Times New Roman" w:hAnsi="Times New Roman"/>
                <w:sz w:val="13"/>
                <w:szCs w:val="13"/>
                <w:color w:val="0000FF"/>
              </w:rPr>
            </w:pPr>
            <w:hyperlink r:id="rId195">
              <w:r>
                <w:rPr>
                  <w:rFonts w:ascii="Times New Roman" w:cs="Times New Roman" w:eastAsia="Times New Roman" w:hAnsi="Times New Roman"/>
                  <w:sz w:val="13"/>
                  <w:szCs w:val="13"/>
                  <w:color w:val="0000FF"/>
                </w:rPr>
                <w:t>Technologies LLC, a Delaware limited liability company (the “Co-Borrower”), ZoomInfo Midco</w:t>
              </w:r>
            </w:hyperlink>
          </w:p>
        </w:tc>
        <w:tc>
          <w:tcPr>
            <w:tcW w:w="4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94967277"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00" w:type="dxa"/>
            <w:vAlign w:val="bottom"/>
          </w:tcPr>
          <w:p>
            <w:pPr>
              <w:spacing w:after="0"/>
              <w:rPr>
                <w:sz w:val="10"/>
                <w:szCs w:val="10"/>
                <w:color w:val="auto"/>
              </w:rPr>
            </w:pPr>
          </w:p>
        </w:tc>
        <w:tc>
          <w:tcPr>
            <w:tcW w:w="5860" w:type="dxa"/>
            <w:vAlign w:val="bottom"/>
            <w:gridSpan w:val="44"/>
          </w:tcPr>
          <w:p>
            <w:pPr>
              <w:spacing w:after="0" w:line="126" w:lineRule="exact"/>
              <w:rPr>
                <w:rFonts w:ascii="Times New Roman" w:cs="Times New Roman" w:eastAsia="Times New Roman" w:hAnsi="Times New Roman"/>
                <w:sz w:val="14"/>
                <w:szCs w:val="14"/>
                <w:color w:val="0000FF"/>
              </w:rPr>
            </w:pPr>
            <w:hyperlink r:id="rId195">
              <w:r>
                <w:rPr>
                  <w:rFonts w:ascii="Times New Roman" w:cs="Times New Roman" w:eastAsia="Times New Roman" w:hAnsi="Times New Roman"/>
                  <w:sz w:val="14"/>
                  <w:szCs w:val="14"/>
                  <w:color w:val="0000FF"/>
                </w:rPr>
                <w:t>LLC (f/k/a DiscoverOrg Midco, LLC), a Delaware limited liability company (“Holdings”), Morgan</w:t>
              </w:r>
            </w:hyperlink>
          </w:p>
        </w:tc>
        <w:tc>
          <w:tcPr>
            <w:tcW w:w="18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0" w:type="dxa"/>
            <w:vAlign w:val="bottom"/>
          </w:tcPr>
          <w:p>
            <w:pPr>
              <w:spacing w:after="0"/>
              <w:rPr>
                <w:sz w:val="10"/>
                <w:szCs w:val="10"/>
                <w:color w:val="auto"/>
              </w:rPr>
            </w:pPr>
          </w:p>
        </w:tc>
        <w:tc>
          <w:tcPr>
            <w:tcW w:w="5660" w:type="dxa"/>
            <w:vAlign w:val="bottom"/>
            <w:tcBorders>
              <w:top w:val="single" w:sz="8" w:color="0000FF"/>
              <w:bottom w:val="single" w:sz="8" w:color="0000FF"/>
            </w:tcBorders>
            <w:gridSpan w:val="32"/>
          </w:tcPr>
          <w:p>
            <w:pPr>
              <w:spacing w:after="0" w:line="126" w:lineRule="exact"/>
              <w:rPr>
                <w:rFonts w:ascii="Times New Roman" w:cs="Times New Roman" w:eastAsia="Times New Roman" w:hAnsi="Times New Roman"/>
                <w:sz w:val="14"/>
                <w:szCs w:val="14"/>
                <w:color w:val="0000FF"/>
                <w:w w:val="99"/>
              </w:rPr>
            </w:pPr>
            <w:hyperlink r:id="rId195">
              <w:r>
                <w:rPr>
                  <w:rFonts w:ascii="Times New Roman" w:cs="Times New Roman" w:eastAsia="Times New Roman" w:hAnsi="Times New Roman"/>
                  <w:sz w:val="14"/>
                  <w:szCs w:val="14"/>
                  <w:color w:val="0000FF"/>
                  <w:w w:val="99"/>
                </w:rPr>
                <w:t>Stanley Bank, N.A., as the 2021-1 incremental first lien term loan lender and Morgan Stanley Senior</w:t>
              </w:r>
            </w:hyperlink>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4294967277"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000" w:type="dxa"/>
            <w:vAlign w:val="bottom"/>
          </w:tcPr>
          <w:p>
            <w:pPr>
              <w:spacing w:after="0"/>
              <w:rPr>
                <w:sz w:val="9"/>
                <w:szCs w:val="9"/>
                <w:color w:val="auto"/>
              </w:rPr>
            </w:pPr>
          </w:p>
        </w:tc>
        <w:tc>
          <w:tcPr>
            <w:tcW w:w="5700" w:type="dxa"/>
            <w:vAlign w:val="bottom"/>
            <w:gridSpan w:val="36"/>
          </w:tcPr>
          <w:p>
            <w:pPr>
              <w:spacing w:after="0" w:line="113" w:lineRule="exact"/>
              <w:rPr>
                <w:rFonts w:ascii="Times New Roman" w:cs="Times New Roman" w:eastAsia="Times New Roman" w:hAnsi="Times New Roman"/>
                <w:sz w:val="13"/>
                <w:szCs w:val="13"/>
                <w:color w:val="0000FF"/>
              </w:rPr>
            </w:pPr>
            <w:hyperlink r:id="rId195">
              <w:r>
                <w:rPr>
                  <w:rFonts w:ascii="Times New Roman" w:cs="Times New Roman" w:eastAsia="Times New Roman" w:hAnsi="Times New Roman"/>
                  <w:sz w:val="13"/>
                  <w:szCs w:val="13"/>
                  <w:color w:val="0000FF"/>
                </w:rPr>
                <w:t>Funding, Inc., as administrative agent, collateral agent and L/C issuer</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1000" w:type="dxa"/>
            <w:vAlign w:val="bottom"/>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77"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100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rPr>
              <w:t>10.18</w:t>
            </w:r>
          </w:p>
        </w:tc>
        <w:tc>
          <w:tcPr>
            <w:tcW w:w="5860" w:type="dxa"/>
            <w:vAlign w:val="bottom"/>
            <w:gridSpan w:val="44"/>
            <w:shd w:val="clear" w:color="auto" w:fill="CCEEFF"/>
          </w:tcPr>
          <w:p>
            <w:pPr>
              <w:spacing w:after="0" w:line="146" w:lineRule="exact"/>
              <w:rPr>
                <w:rFonts w:ascii="Times New Roman" w:cs="Times New Roman" w:eastAsia="Times New Roman" w:hAnsi="Times New Roman"/>
                <w:sz w:val="14"/>
                <w:szCs w:val="14"/>
                <w:color w:val="0000FF"/>
              </w:rPr>
            </w:pPr>
            <w:hyperlink r:id="rId196">
              <w:r>
                <w:rPr>
                  <w:rFonts w:ascii="Times New Roman" w:cs="Times New Roman" w:eastAsia="Times New Roman" w:hAnsi="Times New Roman"/>
                  <w:sz w:val="14"/>
                  <w:szCs w:val="14"/>
                  <w:color w:val="0000FF"/>
                </w:rPr>
                <w:t>Amendment No. 4 to First Lien Credit Agreement, dated December 30, 2022, by and among</w:t>
              </w:r>
            </w:hyperlink>
          </w:p>
        </w:tc>
        <w:tc>
          <w:tcPr>
            <w:tcW w:w="1800" w:type="dxa"/>
            <w:vAlign w:val="bottom"/>
            <w:shd w:val="clear" w:color="auto" w:fill="CCEEFF"/>
          </w:tcPr>
          <w:p>
            <w:pPr>
              <w:jc w:val="center"/>
              <w:ind w:right="189"/>
              <w:spacing w:after="0" w:line="146" w:lineRule="exact"/>
              <w:rPr>
                <w:sz w:val="20"/>
                <w:szCs w:val="20"/>
                <w:color w:val="auto"/>
              </w:rPr>
            </w:pPr>
            <w:r>
              <w:rPr>
                <w:rFonts w:ascii="Times New Roman" w:cs="Times New Roman" w:eastAsia="Times New Roman" w:hAnsi="Times New Roman"/>
                <w:sz w:val="14"/>
                <w:szCs w:val="14"/>
                <w:color w:val="auto"/>
              </w:rPr>
              <w:t>10-K filed February 26,</w:t>
            </w:r>
          </w:p>
        </w:tc>
        <w:tc>
          <w:tcPr>
            <w:tcW w:w="1380" w:type="dxa"/>
            <w:vAlign w:val="bottom"/>
            <w:shd w:val="clear" w:color="auto" w:fill="CCEEFF"/>
          </w:tcPr>
          <w:p>
            <w:pPr>
              <w:jc w:val="center"/>
              <w:ind w:right="109"/>
              <w:spacing w:after="0" w:line="146" w:lineRule="exact"/>
              <w:rPr>
                <w:sz w:val="20"/>
                <w:szCs w:val="20"/>
                <w:color w:val="auto"/>
              </w:rPr>
            </w:pPr>
            <w:r>
              <w:rPr>
                <w:rFonts w:ascii="Times New Roman" w:cs="Times New Roman" w:eastAsia="Times New Roman" w:hAnsi="Times New Roman"/>
                <w:sz w:val="14"/>
                <w:szCs w:val="14"/>
                <w:color w:val="auto"/>
                <w:w w:val="98"/>
              </w:rPr>
              <w:t>001-39310</w:t>
            </w:r>
          </w:p>
        </w:tc>
        <w:tc>
          <w:tcPr>
            <w:tcW w:w="120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rPr>
              <w:t>10.18</w:t>
            </w:r>
          </w:p>
        </w:tc>
        <w:tc>
          <w:tcPr>
            <w:tcW w:w="0" w:type="dxa"/>
            <w:vAlign w:val="bottom"/>
          </w:tcPr>
          <w:p>
            <w:pPr>
              <w:spacing w:after="0"/>
              <w:rPr>
                <w:sz w:val="1"/>
                <w:szCs w:val="1"/>
                <w:color w:val="auto"/>
              </w:rPr>
            </w:pPr>
          </w:p>
        </w:tc>
      </w:tr>
      <w:tr>
        <w:trPr>
          <w:trHeight w:val="20"/>
        </w:trPr>
        <w:tc>
          <w:tcPr>
            <w:tcW w:w="1000" w:type="dxa"/>
            <w:vAlign w:val="bottom"/>
            <w:shd w:val="clear" w:color="auto" w:fill="CCEE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40" w:type="dxa"/>
            <w:vAlign w:val="bottom"/>
            <w:gridSpan w:val="3"/>
            <w:shd w:val="clear" w:color="auto" w:fill="CCEEFF"/>
          </w:tcPr>
          <w:p>
            <w:pPr>
              <w:spacing w:after="0" w:line="20" w:lineRule="exact"/>
              <w:rPr>
                <w:sz w:val="1"/>
                <w:szCs w:val="1"/>
                <w:color w:val="auto"/>
              </w:rPr>
            </w:pPr>
          </w:p>
        </w:tc>
        <w:tc>
          <w:tcPr>
            <w:tcW w:w="8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0" w:type="dxa"/>
            <w:vAlign w:val="bottom"/>
            <w:vMerge w:val="restart"/>
            <w:shd w:val="clear" w:color="auto" w:fill="CCEEFF"/>
          </w:tcPr>
          <w:p>
            <w:pPr>
              <w:jc w:val="center"/>
              <w:ind w:right="169"/>
              <w:spacing w:after="0" w:line="146" w:lineRule="exact"/>
              <w:rPr>
                <w:sz w:val="20"/>
                <w:szCs w:val="20"/>
                <w:color w:val="auto"/>
              </w:rPr>
            </w:pPr>
            <w:r>
              <w:rPr>
                <w:rFonts w:ascii="Times New Roman" w:cs="Times New Roman" w:eastAsia="Times New Roman" w:hAnsi="Times New Roman"/>
                <w:sz w:val="14"/>
                <w:szCs w:val="14"/>
                <w:color w:val="auto"/>
                <w:w w:val="99"/>
              </w:rPr>
              <w:t>2023</w:t>
            </w:r>
          </w:p>
        </w:tc>
        <w:tc>
          <w:tcPr>
            <w:tcW w:w="138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1000" w:type="dxa"/>
            <w:vAlign w:val="bottom"/>
            <w:shd w:val="clear" w:color="auto" w:fill="CCEEFF"/>
          </w:tcPr>
          <w:p>
            <w:pPr>
              <w:spacing w:after="0"/>
              <w:rPr>
                <w:sz w:val="10"/>
                <w:szCs w:val="10"/>
                <w:color w:val="auto"/>
              </w:rPr>
            </w:pPr>
          </w:p>
        </w:tc>
        <w:tc>
          <w:tcPr>
            <w:tcW w:w="5860" w:type="dxa"/>
            <w:vAlign w:val="bottom"/>
            <w:gridSpan w:val="44"/>
            <w:shd w:val="clear" w:color="auto" w:fill="CCEEFF"/>
          </w:tcPr>
          <w:p>
            <w:pPr>
              <w:spacing w:after="0" w:line="126" w:lineRule="exact"/>
              <w:rPr>
                <w:rFonts w:ascii="Times New Roman" w:cs="Times New Roman" w:eastAsia="Times New Roman" w:hAnsi="Times New Roman"/>
                <w:sz w:val="14"/>
                <w:szCs w:val="14"/>
                <w:color w:val="0000FF"/>
              </w:rPr>
            </w:pPr>
            <w:hyperlink r:id="rId196">
              <w:r>
                <w:rPr>
                  <w:rFonts w:ascii="Times New Roman" w:cs="Times New Roman" w:eastAsia="Times New Roman" w:hAnsi="Times New Roman"/>
                  <w:sz w:val="14"/>
                  <w:szCs w:val="14"/>
                  <w:color w:val="0000FF"/>
                </w:rPr>
                <w:t>ZoomInfo LLC (f/k/a DiscoverOrg, LLC), a Delaware limited liability company (the “Borrower”),</w:t>
              </w:r>
            </w:hyperlink>
          </w:p>
        </w:tc>
        <w:tc>
          <w:tcPr>
            <w:tcW w:w="1800" w:type="dxa"/>
            <w:vAlign w:val="bottom"/>
            <w:vMerge w:val="continue"/>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000" w:type="dxa"/>
            <w:vAlign w:val="bottom"/>
            <w:tcBorders>
              <w:top w:val="single" w:sz="8" w:color="CCEEFF"/>
              <w:bottom w:val="single" w:sz="8" w:color="CCEEFF"/>
            </w:tcBorders>
            <w:shd w:val="clear" w:color="auto" w:fill="CCEEFF"/>
          </w:tcPr>
          <w:p>
            <w:pPr>
              <w:spacing w:after="0"/>
              <w:rPr>
                <w:sz w:val="9"/>
                <w:szCs w:val="9"/>
                <w:color w:val="auto"/>
              </w:rPr>
            </w:pPr>
          </w:p>
        </w:tc>
        <w:tc>
          <w:tcPr>
            <w:tcW w:w="5600" w:type="dxa"/>
            <w:vAlign w:val="bottom"/>
            <w:tcBorders>
              <w:top w:val="single" w:sz="8" w:color="0000FF"/>
              <w:bottom w:val="single" w:sz="8" w:color="0000FF"/>
            </w:tcBorders>
            <w:gridSpan w:val="29"/>
            <w:shd w:val="clear" w:color="auto" w:fill="CCEEFF"/>
          </w:tcPr>
          <w:p>
            <w:pPr>
              <w:spacing w:after="0" w:line="113" w:lineRule="exact"/>
              <w:rPr>
                <w:rFonts w:ascii="Times New Roman" w:cs="Times New Roman" w:eastAsia="Times New Roman" w:hAnsi="Times New Roman"/>
                <w:sz w:val="13"/>
                <w:szCs w:val="13"/>
                <w:color w:val="0000FF"/>
              </w:rPr>
            </w:pPr>
            <w:hyperlink r:id="rId196">
              <w:r>
                <w:rPr>
                  <w:rFonts w:ascii="Times New Roman" w:cs="Times New Roman" w:eastAsia="Times New Roman" w:hAnsi="Times New Roman"/>
                  <w:sz w:val="13"/>
                  <w:szCs w:val="13"/>
                  <w:color w:val="0000FF"/>
                </w:rPr>
                <w:t>ZoomInfo Technologies LLC, a Delaware limited liability company (the “Co-Borrower”), ZoomInfo</w:t>
              </w:r>
            </w:hyperlink>
          </w:p>
        </w:tc>
        <w:tc>
          <w:tcPr>
            <w:tcW w:w="40" w:type="dxa"/>
            <w:vAlign w:val="bottom"/>
            <w:tcBorders>
              <w:top w:val="single" w:sz="8" w:color="CCEEFF"/>
              <w:bottom w:val="single" w:sz="8" w:color="0000FF"/>
            </w:tcBorders>
            <w:gridSpan w:val="2"/>
            <w:shd w:val="clear" w:color="auto" w:fill="CCEEFF"/>
          </w:tcPr>
          <w:p>
            <w:pPr>
              <w:spacing w:after="0"/>
              <w:rPr>
                <w:sz w:val="9"/>
                <w:szCs w:val="9"/>
                <w:color w:val="auto"/>
              </w:rPr>
            </w:pPr>
          </w:p>
        </w:tc>
        <w:tc>
          <w:tcPr>
            <w:tcW w:w="40" w:type="dxa"/>
            <w:vAlign w:val="bottom"/>
            <w:tcBorders>
              <w:top w:val="single" w:sz="8" w:color="CCEEFF"/>
              <w:bottom w:val="single" w:sz="8" w:color="0000FF"/>
            </w:tcBorders>
            <w:gridSpan w:val="2"/>
            <w:shd w:val="clear" w:color="auto" w:fill="CCEEFF"/>
          </w:tcPr>
          <w:p>
            <w:pPr>
              <w:spacing w:after="0"/>
              <w:rPr>
                <w:sz w:val="9"/>
                <w:szCs w:val="9"/>
                <w:color w:val="auto"/>
              </w:rPr>
            </w:pPr>
          </w:p>
        </w:tc>
        <w:tc>
          <w:tcPr>
            <w:tcW w:w="20" w:type="dxa"/>
            <w:vAlign w:val="bottom"/>
            <w:tcBorders>
              <w:top w:val="single" w:sz="8" w:color="CCEEFF"/>
              <w:bottom w:val="single" w:sz="8" w:color="0000FF"/>
            </w:tcBorders>
            <w:shd w:val="clear" w:color="auto" w:fill="CCEEFF"/>
          </w:tcPr>
          <w:p>
            <w:pPr>
              <w:spacing w:after="0"/>
              <w:rPr>
                <w:sz w:val="9"/>
                <w:szCs w:val="9"/>
                <w:color w:val="auto"/>
              </w:rPr>
            </w:pPr>
          </w:p>
        </w:tc>
        <w:tc>
          <w:tcPr>
            <w:tcW w:w="20" w:type="dxa"/>
            <w:vAlign w:val="bottom"/>
            <w:tcBorders>
              <w:top w:val="single" w:sz="8" w:color="CCEEFF"/>
              <w:bottom w:val="single" w:sz="8" w:color="0000FF"/>
            </w:tcBorders>
            <w:shd w:val="clear" w:color="auto" w:fill="CCEEFF"/>
          </w:tcPr>
          <w:p>
            <w:pPr>
              <w:spacing w:after="0"/>
              <w:rPr>
                <w:sz w:val="9"/>
                <w:szCs w:val="9"/>
                <w:color w:val="auto"/>
              </w:rPr>
            </w:pPr>
          </w:p>
        </w:tc>
        <w:tc>
          <w:tcPr>
            <w:tcW w:w="0" w:type="dxa"/>
            <w:vAlign w:val="bottom"/>
            <w:tcBorders>
              <w:top w:val="single" w:sz="8" w:color="CCEEFF"/>
              <w:bottom w:val="single" w:sz="8" w:color="0000FF"/>
            </w:tcBorders>
            <w:gridSpan w:val="2"/>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CCEEFF"/>
              <w:bottom w:val="single" w:sz="8" w:color="CCEEFF"/>
            </w:tcBorders>
            <w:gridSpan w:val="3"/>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1800" w:type="dxa"/>
            <w:vAlign w:val="bottom"/>
            <w:tcBorders>
              <w:top w:val="single" w:sz="8" w:color="CCEEFF"/>
              <w:bottom w:val="single" w:sz="8" w:color="CCEEFF"/>
            </w:tcBorders>
            <w:shd w:val="clear" w:color="auto" w:fill="CCEEFF"/>
          </w:tcPr>
          <w:p>
            <w:pPr>
              <w:spacing w:after="0"/>
              <w:rPr>
                <w:sz w:val="9"/>
                <w:szCs w:val="9"/>
                <w:color w:val="auto"/>
              </w:rPr>
            </w:pPr>
          </w:p>
        </w:tc>
        <w:tc>
          <w:tcPr>
            <w:tcW w:w="1380" w:type="dxa"/>
            <w:vAlign w:val="bottom"/>
            <w:tcBorders>
              <w:top w:val="single" w:sz="8" w:color="CCEEFF"/>
              <w:bottom w:val="single" w:sz="8" w:color="CCEEFF"/>
            </w:tcBorders>
            <w:shd w:val="clear" w:color="auto" w:fill="CCEEFF"/>
          </w:tcPr>
          <w:p>
            <w:pPr>
              <w:spacing w:after="0"/>
              <w:rPr>
                <w:sz w:val="9"/>
                <w:szCs w:val="9"/>
                <w:color w:val="auto"/>
              </w:rPr>
            </w:pPr>
          </w:p>
        </w:tc>
        <w:tc>
          <w:tcPr>
            <w:tcW w:w="1200" w:type="dxa"/>
            <w:vAlign w:val="bottom"/>
            <w:tcBorders>
              <w:top w:val="single" w:sz="8" w:color="CCEEFF"/>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00" w:type="dxa"/>
            <w:vAlign w:val="bottom"/>
            <w:tcBorders>
              <w:bottom w:val="single" w:sz="8" w:color="CCEEFF"/>
            </w:tcBorders>
            <w:shd w:val="clear" w:color="auto" w:fill="CCEEFF"/>
          </w:tcPr>
          <w:p>
            <w:pPr>
              <w:spacing w:after="0"/>
              <w:rPr>
                <w:sz w:val="10"/>
                <w:szCs w:val="10"/>
                <w:color w:val="auto"/>
              </w:rPr>
            </w:pPr>
          </w:p>
        </w:tc>
        <w:tc>
          <w:tcPr>
            <w:tcW w:w="5580" w:type="dxa"/>
            <w:vAlign w:val="bottom"/>
            <w:tcBorders>
              <w:bottom w:val="single" w:sz="8" w:color="0000FF"/>
            </w:tcBorders>
            <w:gridSpan w:val="28"/>
            <w:shd w:val="clear" w:color="auto" w:fill="CCEEFF"/>
          </w:tcPr>
          <w:p>
            <w:pPr>
              <w:spacing w:after="0" w:line="126" w:lineRule="exact"/>
              <w:rPr>
                <w:rFonts w:ascii="Times New Roman" w:cs="Times New Roman" w:eastAsia="Times New Roman" w:hAnsi="Times New Roman"/>
                <w:sz w:val="14"/>
                <w:szCs w:val="14"/>
                <w:color w:val="0000FF"/>
              </w:rPr>
            </w:pPr>
            <w:hyperlink r:id="rId196">
              <w:r>
                <w:rPr>
                  <w:rFonts w:ascii="Times New Roman" w:cs="Times New Roman" w:eastAsia="Times New Roman" w:hAnsi="Times New Roman"/>
                  <w:sz w:val="14"/>
                  <w:szCs w:val="14"/>
                  <w:color w:val="0000FF"/>
                </w:rPr>
                <w:t>Midco LLC (f/k/a DiscoverOrg Midco, LLC), a Delaware limited liability company (“Holdings”),</w:t>
              </w:r>
            </w:hyperlink>
          </w:p>
        </w:tc>
        <w:tc>
          <w:tcPr>
            <w:tcW w:w="140" w:type="dxa"/>
            <w:vAlign w:val="bottom"/>
            <w:tcBorders>
              <w:bottom w:val="single" w:sz="8" w:color="CCEEFF"/>
            </w:tcBorders>
            <w:gridSpan w:val="9"/>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gridSpan w:val="3"/>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1800" w:type="dxa"/>
            <w:vAlign w:val="bottom"/>
            <w:tcBorders>
              <w:bottom w:val="single" w:sz="8" w:color="CCEEFF"/>
            </w:tcBorders>
            <w:shd w:val="clear" w:color="auto" w:fill="CCEEFF"/>
          </w:tcPr>
          <w:p>
            <w:pPr>
              <w:spacing w:after="0"/>
              <w:rPr>
                <w:sz w:val="10"/>
                <w:szCs w:val="10"/>
                <w:color w:val="auto"/>
              </w:rPr>
            </w:pPr>
          </w:p>
        </w:tc>
        <w:tc>
          <w:tcPr>
            <w:tcW w:w="1380" w:type="dxa"/>
            <w:vAlign w:val="bottom"/>
            <w:tcBorders>
              <w:bottom w:val="single" w:sz="8" w:color="CCEEFF"/>
            </w:tcBorders>
            <w:shd w:val="clear" w:color="auto" w:fill="CCEEFF"/>
          </w:tcPr>
          <w:p>
            <w:pPr>
              <w:spacing w:after="0"/>
              <w:rPr>
                <w:sz w:val="10"/>
                <w:szCs w:val="10"/>
                <w:color w:val="auto"/>
              </w:rPr>
            </w:pPr>
          </w:p>
        </w:tc>
        <w:tc>
          <w:tcPr>
            <w:tcW w:w="120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0" w:type="dxa"/>
            <w:vAlign w:val="bottom"/>
            <w:tcBorders>
              <w:bottom w:val="single" w:sz="8" w:color="CCEEFF"/>
            </w:tcBorders>
            <w:shd w:val="clear" w:color="auto" w:fill="CCEEFF"/>
          </w:tcPr>
          <w:p>
            <w:pPr>
              <w:spacing w:after="0"/>
              <w:rPr>
                <w:sz w:val="10"/>
                <w:szCs w:val="10"/>
                <w:color w:val="auto"/>
              </w:rPr>
            </w:pPr>
          </w:p>
        </w:tc>
        <w:tc>
          <w:tcPr>
            <w:tcW w:w="5860" w:type="dxa"/>
            <w:vAlign w:val="bottom"/>
            <w:tcBorders>
              <w:bottom w:val="single" w:sz="8" w:color="0000FF"/>
            </w:tcBorders>
            <w:gridSpan w:val="44"/>
            <w:shd w:val="clear" w:color="auto" w:fill="CCEEFF"/>
          </w:tcPr>
          <w:p>
            <w:pPr>
              <w:spacing w:after="0" w:line="126" w:lineRule="exact"/>
              <w:rPr>
                <w:rFonts w:ascii="Times New Roman" w:cs="Times New Roman" w:eastAsia="Times New Roman" w:hAnsi="Times New Roman"/>
                <w:sz w:val="14"/>
                <w:szCs w:val="14"/>
                <w:color w:val="0000FF"/>
              </w:rPr>
            </w:pPr>
            <w:hyperlink r:id="rId196">
              <w:r>
                <w:rPr>
                  <w:rFonts w:ascii="Times New Roman" w:cs="Times New Roman" w:eastAsia="Times New Roman" w:hAnsi="Times New Roman"/>
                  <w:sz w:val="14"/>
                  <w:szCs w:val="14"/>
                  <w:color w:val="0000FF"/>
                </w:rPr>
                <w:t>Morgan Stanley Bank, N.A., as the 2021-1 incremental first lien term loan lender and Morgan Stanley</w:t>
              </w:r>
            </w:hyperlink>
          </w:p>
        </w:tc>
        <w:tc>
          <w:tcPr>
            <w:tcW w:w="1800" w:type="dxa"/>
            <w:vAlign w:val="bottom"/>
            <w:tcBorders>
              <w:bottom w:val="single" w:sz="8" w:color="CCEEFF"/>
            </w:tcBorders>
            <w:shd w:val="clear" w:color="auto" w:fill="CCEEFF"/>
          </w:tcPr>
          <w:p>
            <w:pPr>
              <w:spacing w:after="0"/>
              <w:rPr>
                <w:sz w:val="10"/>
                <w:szCs w:val="10"/>
                <w:color w:val="auto"/>
              </w:rPr>
            </w:pPr>
          </w:p>
        </w:tc>
        <w:tc>
          <w:tcPr>
            <w:tcW w:w="1380" w:type="dxa"/>
            <w:vAlign w:val="bottom"/>
            <w:tcBorders>
              <w:bottom w:val="single" w:sz="8" w:color="CCEEFF"/>
            </w:tcBorders>
            <w:shd w:val="clear" w:color="auto" w:fill="CCEEFF"/>
          </w:tcPr>
          <w:p>
            <w:pPr>
              <w:spacing w:after="0"/>
              <w:rPr>
                <w:sz w:val="10"/>
                <w:szCs w:val="10"/>
                <w:color w:val="auto"/>
              </w:rPr>
            </w:pPr>
          </w:p>
        </w:tc>
        <w:tc>
          <w:tcPr>
            <w:tcW w:w="120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000" w:type="dxa"/>
            <w:vAlign w:val="bottom"/>
            <w:tcBorders>
              <w:bottom w:val="single" w:sz="8" w:color="CCEEFF"/>
            </w:tcBorders>
            <w:shd w:val="clear" w:color="auto" w:fill="CCEEFF"/>
          </w:tcPr>
          <w:p>
            <w:pPr>
              <w:spacing w:after="0"/>
              <w:rPr>
                <w:sz w:val="12"/>
                <w:szCs w:val="12"/>
                <w:color w:val="auto"/>
              </w:rPr>
            </w:pPr>
          </w:p>
        </w:tc>
        <w:tc>
          <w:tcPr>
            <w:tcW w:w="4340" w:type="dxa"/>
            <w:vAlign w:val="bottom"/>
            <w:tcBorders>
              <w:bottom w:val="single" w:sz="8" w:color="0000FF"/>
            </w:tcBorders>
            <w:gridSpan w:val="14"/>
            <w:shd w:val="clear" w:color="auto" w:fill="CCEEFF"/>
          </w:tcPr>
          <w:p>
            <w:pPr>
              <w:spacing w:after="0" w:line="113" w:lineRule="exact"/>
              <w:rPr>
                <w:rFonts w:ascii="Times New Roman" w:cs="Times New Roman" w:eastAsia="Times New Roman" w:hAnsi="Times New Roman"/>
                <w:sz w:val="13"/>
                <w:szCs w:val="13"/>
                <w:color w:val="0000FF"/>
              </w:rPr>
            </w:pPr>
            <w:hyperlink r:id="rId196">
              <w:r>
                <w:rPr>
                  <w:rFonts w:ascii="Times New Roman" w:cs="Times New Roman" w:eastAsia="Times New Roman" w:hAnsi="Times New Roman"/>
                  <w:sz w:val="13"/>
                  <w:szCs w:val="13"/>
                  <w:color w:val="0000FF"/>
                </w:rPr>
                <w:t>Senior Funding, Inc., as administrative agent, collateral agent and L/C issuer</w:t>
              </w:r>
            </w:hyperlink>
          </w:p>
        </w:tc>
        <w:tc>
          <w:tcPr>
            <w:tcW w:w="1520" w:type="dxa"/>
            <w:vAlign w:val="bottom"/>
            <w:tcBorders>
              <w:bottom w:val="single" w:sz="8" w:color="CCEEFF"/>
            </w:tcBorders>
            <w:gridSpan w:val="30"/>
            <w:shd w:val="clear" w:color="auto" w:fill="CCEEFF"/>
          </w:tcPr>
          <w:p>
            <w:pPr>
              <w:spacing w:after="0"/>
              <w:rPr>
                <w:sz w:val="12"/>
                <w:szCs w:val="12"/>
                <w:color w:val="auto"/>
              </w:rPr>
            </w:pPr>
          </w:p>
        </w:tc>
        <w:tc>
          <w:tcPr>
            <w:tcW w:w="1800" w:type="dxa"/>
            <w:vAlign w:val="bottom"/>
            <w:tcBorders>
              <w:bottom w:val="single" w:sz="8" w:color="CCEEFF"/>
            </w:tcBorders>
            <w:shd w:val="clear" w:color="auto" w:fill="CCEEFF"/>
          </w:tcPr>
          <w:p>
            <w:pPr>
              <w:spacing w:after="0"/>
              <w:rPr>
                <w:sz w:val="12"/>
                <w:szCs w:val="12"/>
                <w:color w:val="auto"/>
              </w:rPr>
            </w:pPr>
          </w:p>
        </w:tc>
        <w:tc>
          <w:tcPr>
            <w:tcW w:w="138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10.19</w:t>
            </w:r>
          </w:p>
        </w:tc>
        <w:tc>
          <w:tcPr>
            <w:tcW w:w="5160" w:type="dxa"/>
            <w:vAlign w:val="bottom"/>
            <w:tcBorders>
              <w:bottom w:val="single" w:sz="8" w:color="0000FF"/>
            </w:tcBorders>
            <w:gridSpan w:val="17"/>
          </w:tcPr>
          <w:p>
            <w:pPr>
              <w:spacing w:after="0" w:line="146" w:lineRule="exact"/>
              <w:rPr>
                <w:rFonts w:ascii="Times New Roman" w:cs="Times New Roman" w:eastAsia="Times New Roman" w:hAnsi="Times New Roman"/>
                <w:sz w:val="14"/>
                <w:szCs w:val="14"/>
                <w:color w:val="0000FF"/>
              </w:rPr>
            </w:pPr>
            <w:hyperlink r:id="rId197">
              <w:r>
                <w:rPr>
                  <w:rFonts w:ascii="Times New Roman" w:cs="Times New Roman" w:eastAsia="Times New Roman" w:hAnsi="Times New Roman"/>
                  <w:sz w:val="14"/>
                  <w:szCs w:val="14"/>
                  <w:color w:val="0000FF"/>
                </w:rPr>
                <w:t>Amendment No. 5 to First Lien Credit Agreement, dated February 28, 2023, by and among</w:t>
              </w:r>
            </w:hyperlink>
          </w:p>
        </w:tc>
        <w:tc>
          <w:tcPr>
            <w:tcW w:w="700" w:type="dxa"/>
            <w:vAlign w:val="bottom"/>
            <w:gridSpan w:val="27"/>
          </w:tcPr>
          <w:p>
            <w:pPr>
              <w:spacing w:after="0"/>
              <w:rPr>
                <w:sz w:val="12"/>
                <w:szCs w:val="12"/>
                <w:color w:val="auto"/>
              </w:rPr>
            </w:pPr>
          </w:p>
        </w:tc>
        <w:tc>
          <w:tcPr>
            <w:tcW w:w="1800" w:type="dxa"/>
            <w:vAlign w:val="bottom"/>
          </w:tcPr>
          <w:p>
            <w:pPr>
              <w:jc w:val="center"/>
              <w:ind w:right="189"/>
              <w:spacing w:after="0" w:line="146" w:lineRule="exact"/>
              <w:rPr>
                <w:sz w:val="20"/>
                <w:szCs w:val="20"/>
                <w:color w:val="auto"/>
              </w:rPr>
            </w:pPr>
            <w:r>
              <w:rPr>
                <w:rFonts w:ascii="Times New Roman" w:cs="Times New Roman" w:eastAsia="Times New Roman" w:hAnsi="Times New Roman"/>
                <w:sz w:val="14"/>
                <w:szCs w:val="14"/>
                <w:color w:val="auto"/>
              </w:rPr>
              <w:t>8-K filed March 2, 2023</w:t>
            </w:r>
          </w:p>
        </w:tc>
        <w:tc>
          <w:tcPr>
            <w:tcW w:w="1380" w:type="dxa"/>
            <w:vAlign w:val="bottom"/>
          </w:tcPr>
          <w:p>
            <w:pPr>
              <w:jc w:val="center"/>
              <w:ind w:right="109"/>
              <w:spacing w:after="0" w:line="146" w:lineRule="exact"/>
              <w:rPr>
                <w:sz w:val="20"/>
                <w:szCs w:val="20"/>
                <w:color w:val="auto"/>
              </w:rPr>
            </w:pPr>
            <w:r>
              <w:rPr>
                <w:rFonts w:ascii="Times New Roman" w:cs="Times New Roman" w:eastAsia="Times New Roman" w:hAnsi="Times New Roman"/>
                <w:sz w:val="14"/>
                <w:szCs w:val="14"/>
                <w:color w:val="auto"/>
                <w:w w:val="98"/>
              </w:rPr>
              <w:t>001-39310</w:t>
            </w:r>
          </w:p>
        </w:tc>
        <w:tc>
          <w:tcPr>
            <w:tcW w:w="12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126"/>
        </w:trPr>
        <w:tc>
          <w:tcPr>
            <w:tcW w:w="1000" w:type="dxa"/>
            <w:vAlign w:val="bottom"/>
          </w:tcPr>
          <w:p>
            <w:pPr>
              <w:spacing w:after="0"/>
              <w:rPr>
                <w:sz w:val="10"/>
                <w:szCs w:val="10"/>
                <w:color w:val="auto"/>
              </w:rPr>
            </w:pPr>
          </w:p>
        </w:tc>
        <w:tc>
          <w:tcPr>
            <w:tcW w:w="5860" w:type="dxa"/>
            <w:vAlign w:val="bottom"/>
            <w:gridSpan w:val="44"/>
          </w:tcPr>
          <w:p>
            <w:pPr>
              <w:spacing w:after="0" w:line="126" w:lineRule="exact"/>
              <w:rPr>
                <w:rFonts w:ascii="Times New Roman" w:cs="Times New Roman" w:eastAsia="Times New Roman" w:hAnsi="Times New Roman"/>
                <w:sz w:val="14"/>
                <w:szCs w:val="14"/>
                <w:color w:val="0000FF"/>
              </w:rPr>
            </w:pPr>
            <w:hyperlink r:id="rId197">
              <w:r>
                <w:rPr>
                  <w:rFonts w:ascii="Times New Roman" w:cs="Times New Roman" w:eastAsia="Times New Roman" w:hAnsi="Times New Roman"/>
                  <w:sz w:val="14"/>
                  <w:szCs w:val="14"/>
                  <w:color w:val="0000FF"/>
                </w:rPr>
                <w:t>ZoomInfo, LLC (f/k/a DiscoverOrg, LLC), a Delaware limited liability company (the “Borrower”),</w:t>
              </w:r>
            </w:hyperlink>
          </w:p>
        </w:tc>
        <w:tc>
          <w:tcPr>
            <w:tcW w:w="18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000" w:type="dxa"/>
            <w:vAlign w:val="bottom"/>
          </w:tcPr>
          <w:p>
            <w:pPr>
              <w:spacing w:after="0"/>
              <w:rPr>
                <w:sz w:val="9"/>
                <w:szCs w:val="9"/>
                <w:color w:val="auto"/>
              </w:rPr>
            </w:pPr>
          </w:p>
        </w:tc>
        <w:tc>
          <w:tcPr>
            <w:tcW w:w="5640" w:type="dxa"/>
            <w:vAlign w:val="bottom"/>
            <w:tcBorders>
              <w:top w:val="single" w:sz="8" w:color="0000FF"/>
              <w:bottom w:val="single" w:sz="8" w:color="0000FF"/>
            </w:tcBorders>
            <w:gridSpan w:val="31"/>
          </w:tcPr>
          <w:p>
            <w:pPr>
              <w:spacing w:after="0" w:line="113" w:lineRule="exact"/>
              <w:rPr>
                <w:rFonts w:ascii="Times New Roman" w:cs="Times New Roman" w:eastAsia="Times New Roman" w:hAnsi="Times New Roman"/>
                <w:sz w:val="13"/>
                <w:szCs w:val="13"/>
                <w:color w:val="0000FF"/>
              </w:rPr>
            </w:pPr>
            <w:hyperlink r:id="rId197">
              <w:r>
                <w:rPr>
                  <w:rFonts w:ascii="Times New Roman" w:cs="Times New Roman" w:eastAsia="Times New Roman" w:hAnsi="Times New Roman"/>
                  <w:sz w:val="13"/>
                  <w:szCs w:val="13"/>
                  <w:color w:val="0000FF"/>
                </w:rPr>
                <w:t>ZoomInfo Technologies LLC, a Delaware limited liability company (the “Co-Borrower”), ZoomInfo</w:t>
              </w:r>
            </w:hyperlink>
          </w:p>
        </w:tc>
        <w:tc>
          <w:tcPr>
            <w:tcW w:w="40" w:type="dxa"/>
            <w:vAlign w:val="bottom"/>
            <w:tcBorders>
              <w:bottom w:val="single" w:sz="8" w:color="0000FF"/>
            </w:tcBorders>
            <w:gridSpan w:val="2"/>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0" w:type="dxa"/>
            <w:vAlign w:val="bottom"/>
            <w:tcBorders>
              <w:bottom w:val="single" w:sz="8" w:color="0000FF"/>
            </w:tcBorders>
            <w:gridSpan w:val="2"/>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00" w:type="dxa"/>
            <w:vAlign w:val="bottom"/>
          </w:tcPr>
          <w:p>
            <w:pPr>
              <w:spacing w:after="0"/>
              <w:rPr>
                <w:sz w:val="10"/>
                <w:szCs w:val="10"/>
                <w:color w:val="auto"/>
              </w:rPr>
            </w:pPr>
          </w:p>
        </w:tc>
        <w:tc>
          <w:tcPr>
            <w:tcW w:w="5860" w:type="dxa"/>
            <w:vAlign w:val="bottom"/>
            <w:gridSpan w:val="44"/>
          </w:tcPr>
          <w:p>
            <w:pPr>
              <w:spacing w:after="0" w:line="126" w:lineRule="exact"/>
              <w:rPr>
                <w:rFonts w:ascii="Times New Roman" w:cs="Times New Roman" w:eastAsia="Times New Roman" w:hAnsi="Times New Roman"/>
                <w:sz w:val="14"/>
                <w:szCs w:val="14"/>
                <w:color w:val="0000FF"/>
              </w:rPr>
            </w:pPr>
            <w:hyperlink r:id="rId197">
              <w:r>
                <w:rPr>
                  <w:rFonts w:ascii="Times New Roman" w:cs="Times New Roman" w:eastAsia="Times New Roman" w:hAnsi="Times New Roman"/>
                  <w:sz w:val="14"/>
                  <w:szCs w:val="14"/>
                  <w:color w:val="0000FF"/>
                </w:rPr>
                <w:t>Midco LLC (f/k/a DiscoverOrg Midco, LLC), a Delaware limited liability company (“Holdings”), the</w:t>
              </w:r>
            </w:hyperlink>
          </w:p>
        </w:tc>
        <w:tc>
          <w:tcPr>
            <w:tcW w:w="18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0" w:type="dxa"/>
            <w:vAlign w:val="bottom"/>
          </w:tcPr>
          <w:p>
            <w:pPr>
              <w:spacing w:after="0"/>
              <w:rPr>
                <w:sz w:val="10"/>
                <w:szCs w:val="10"/>
                <w:color w:val="auto"/>
              </w:rPr>
            </w:pPr>
          </w:p>
        </w:tc>
        <w:tc>
          <w:tcPr>
            <w:tcW w:w="5820" w:type="dxa"/>
            <w:vAlign w:val="bottom"/>
            <w:tcBorders>
              <w:top w:val="single" w:sz="8" w:color="0000FF"/>
            </w:tcBorders>
            <w:gridSpan w:val="42"/>
          </w:tcPr>
          <w:p>
            <w:pPr>
              <w:spacing w:after="0" w:line="126" w:lineRule="exact"/>
              <w:rPr>
                <w:rFonts w:ascii="Times New Roman" w:cs="Times New Roman" w:eastAsia="Times New Roman" w:hAnsi="Times New Roman"/>
                <w:sz w:val="14"/>
                <w:szCs w:val="14"/>
                <w:color w:val="0000FF"/>
              </w:rPr>
            </w:pPr>
            <w:hyperlink r:id="rId197">
              <w:r>
                <w:rPr>
                  <w:rFonts w:ascii="Times New Roman" w:cs="Times New Roman" w:eastAsia="Times New Roman" w:hAnsi="Times New Roman"/>
                  <w:sz w:val="14"/>
                  <w:szCs w:val="14"/>
                  <w:color w:val="0000FF"/>
                </w:rPr>
                <w:t>other guarantors party thereto, each lender and L/C issuer party thereto, and Morgan Stanley Senior</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000" w:type="dxa"/>
            <w:vAlign w:val="bottom"/>
          </w:tcPr>
          <w:p>
            <w:pPr>
              <w:spacing w:after="0"/>
              <w:rPr>
                <w:sz w:val="9"/>
                <w:szCs w:val="9"/>
                <w:color w:val="auto"/>
              </w:rPr>
            </w:pPr>
          </w:p>
        </w:tc>
        <w:tc>
          <w:tcPr>
            <w:tcW w:w="5680" w:type="dxa"/>
            <w:vAlign w:val="bottom"/>
            <w:tcBorders>
              <w:top w:val="single" w:sz="8" w:color="0000FF"/>
            </w:tcBorders>
            <w:gridSpan w:val="33"/>
          </w:tcPr>
          <w:p>
            <w:pPr>
              <w:spacing w:after="0" w:line="113" w:lineRule="exact"/>
              <w:rPr>
                <w:rFonts w:ascii="Times New Roman" w:cs="Times New Roman" w:eastAsia="Times New Roman" w:hAnsi="Times New Roman"/>
                <w:sz w:val="13"/>
                <w:szCs w:val="13"/>
                <w:color w:val="0000FF"/>
              </w:rPr>
            </w:pPr>
            <w:hyperlink r:id="rId197">
              <w:r>
                <w:rPr>
                  <w:rFonts w:ascii="Times New Roman" w:cs="Times New Roman" w:eastAsia="Times New Roman" w:hAnsi="Times New Roman"/>
                  <w:sz w:val="13"/>
                  <w:szCs w:val="13"/>
                  <w:color w:val="0000FF"/>
                </w:rPr>
                <w:t>Funding, Inc., as administrative agent, collateral agent and L/C issuer.</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gridSpan w:val="3"/>
          </w:tcPr>
          <w:p>
            <w:pPr>
              <w:spacing w:after="0"/>
              <w:rPr>
                <w:sz w:val="9"/>
                <w:szCs w:val="9"/>
                <w:color w:val="auto"/>
              </w:rPr>
            </w:pPr>
          </w:p>
        </w:tc>
        <w:tc>
          <w:tcPr>
            <w:tcW w:w="60" w:type="dxa"/>
            <w:vAlign w:val="bottom"/>
            <w:gridSpan w:val="3"/>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1000" w:type="dxa"/>
            <w:vAlign w:val="bottom"/>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77"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100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rPr>
              <w:t>10.20</w:t>
            </w:r>
          </w:p>
        </w:tc>
        <w:tc>
          <w:tcPr>
            <w:tcW w:w="5860" w:type="dxa"/>
            <w:vAlign w:val="bottom"/>
            <w:gridSpan w:val="44"/>
            <w:shd w:val="clear" w:color="auto" w:fill="CCEEFF"/>
          </w:tcPr>
          <w:p>
            <w:pPr>
              <w:spacing w:after="0" w:line="146" w:lineRule="exact"/>
              <w:rPr>
                <w:rFonts w:ascii="Times New Roman" w:cs="Times New Roman" w:eastAsia="Times New Roman" w:hAnsi="Times New Roman"/>
                <w:sz w:val="14"/>
                <w:szCs w:val="14"/>
                <w:color w:val="0000FF"/>
              </w:rPr>
            </w:pPr>
            <w:hyperlink r:id="rId198">
              <w:r>
                <w:rPr>
                  <w:rFonts w:ascii="Times New Roman" w:cs="Times New Roman" w:eastAsia="Times New Roman" w:hAnsi="Times New Roman"/>
                  <w:sz w:val="14"/>
                  <w:szCs w:val="14"/>
                  <w:color w:val="0000FF"/>
                </w:rPr>
                <w:t>Amendment No. 6 to First Lien Credit Agreement, dated as of December 8, 2023, by and among</w:t>
              </w:r>
            </w:hyperlink>
          </w:p>
        </w:tc>
        <w:tc>
          <w:tcPr>
            <w:tcW w:w="1800" w:type="dxa"/>
            <w:vAlign w:val="bottom"/>
            <w:shd w:val="clear" w:color="auto" w:fill="CCEEFF"/>
          </w:tcPr>
          <w:p>
            <w:pPr>
              <w:jc w:val="center"/>
              <w:ind w:right="189"/>
              <w:spacing w:after="0" w:line="146" w:lineRule="exact"/>
              <w:rPr>
                <w:sz w:val="20"/>
                <w:szCs w:val="20"/>
                <w:color w:val="auto"/>
              </w:rPr>
            </w:pPr>
            <w:r>
              <w:rPr>
                <w:rFonts w:ascii="Times New Roman" w:cs="Times New Roman" w:eastAsia="Times New Roman" w:hAnsi="Times New Roman"/>
                <w:sz w:val="14"/>
                <w:szCs w:val="14"/>
                <w:color w:val="auto"/>
              </w:rPr>
              <w:t>8-K filed December 11,</w:t>
            </w:r>
          </w:p>
        </w:tc>
        <w:tc>
          <w:tcPr>
            <w:tcW w:w="1380" w:type="dxa"/>
            <w:vAlign w:val="bottom"/>
            <w:shd w:val="clear" w:color="auto" w:fill="CCEEFF"/>
          </w:tcPr>
          <w:p>
            <w:pPr>
              <w:jc w:val="center"/>
              <w:ind w:right="109"/>
              <w:spacing w:after="0" w:line="146" w:lineRule="exact"/>
              <w:rPr>
                <w:sz w:val="20"/>
                <w:szCs w:val="20"/>
                <w:color w:val="auto"/>
              </w:rPr>
            </w:pPr>
            <w:r>
              <w:rPr>
                <w:rFonts w:ascii="Times New Roman" w:cs="Times New Roman" w:eastAsia="Times New Roman" w:hAnsi="Times New Roman"/>
                <w:sz w:val="14"/>
                <w:szCs w:val="14"/>
                <w:color w:val="auto"/>
                <w:w w:val="98"/>
              </w:rPr>
              <w:t>001-39310</w:t>
            </w:r>
          </w:p>
        </w:tc>
        <w:tc>
          <w:tcPr>
            <w:tcW w:w="120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126"/>
        </w:trPr>
        <w:tc>
          <w:tcPr>
            <w:tcW w:w="1000" w:type="dxa"/>
            <w:vAlign w:val="bottom"/>
            <w:tcBorders>
              <w:top w:val="single" w:sz="8" w:color="CCEEFF"/>
            </w:tcBorders>
            <w:shd w:val="clear" w:color="auto" w:fill="CCEEFF"/>
          </w:tcPr>
          <w:p>
            <w:pPr>
              <w:spacing w:after="0"/>
              <w:rPr>
                <w:sz w:val="10"/>
                <w:szCs w:val="10"/>
                <w:color w:val="auto"/>
              </w:rPr>
            </w:pPr>
          </w:p>
        </w:tc>
        <w:tc>
          <w:tcPr>
            <w:tcW w:w="5460" w:type="dxa"/>
            <w:vAlign w:val="bottom"/>
            <w:tcBorders>
              <w:top w:val="single" w:sz="8" w:color="0000FF"/>
            </w:tcBorders>
            <w:gridSpan w:val="22"/>
            <w:shd w:val="clear" w:color="auto" w:fill="CCEEFF"/>
          </w:tcPr>
          <w:p>
            <w:pPr>
              <w:spacing w:after="0" w:line="126" w:lineRule="exact"/>
              <w:rPr>
                <w:rFonts w:ascii="Times New Roman" w:cs="Times New Roman" w:eastAsia="Times New Roman" w:hAnsi="Times New Roman"/>
                <w:sz w:val="14"/>
                <w:szCs w:val="14"/>
                <w:color w:val="0000FF"/>
                <w:w w:val="98"/>
              </w:rPr>
            </w:pPr>
            <w:hyperlink r:id="rId198">
              <w:r>
                <w:rPr>
                  <w:rFonts w:ascii="Times New Roman" w:cs="Times New Roman" w:eastAsia="Times New Roman" w:hAnsi="Times New Roman"/>
                  <w:sz w:val="14"/>
                  <w:szCs w:val="14"/>
                  <w:color w:val="0000FF"/>
                  <w:w w:val="98"/>
                </w:rPr>
                <w:t>ZoomInfo LLC (f/k/a DiscoverOrg, LLC), a Delaware limited liability company (the “Borrower”),</w:t>
              </w:r>
            </w:hyperlink>
          </w:p>
        </w:tc>
        <w:tc>
          <w:tcPr>
            <w:tcW w:w="80" w:type="dxa"/>
            <w:vAlign w:val="bottom"/>
            <w:tcBorders>
              <w:top w:val="single" w:sz="8" w:color="CCEEFF"/>
            </w:tcBorders>
            <w:gridSpan w:val="3"/>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gridSpan w:val="7"/>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gridSpan w:val="3"/>
            <w:shd w:val="clear" w:color="auto" w:fill="CCEEFF"/>
          </w:tcPr>
          <w:p>
            <w:pPr>
              <w:spacing w:after="0"/>
              <w:rPr>
                <w:sz w:val="10"/>
                <w:szCs w:val="10"/>
                <w:color w:val="auto"/>
              </w:rPr>
            </w:pPr>
          </w:p>
        </w:tc>
        <w:tc>
          <w:tcPr>
            <w:tcW w:w="60" w:type="dxa"/>
            <w:vAlign w:val="bottom"/>
            <w:tcBorders>
              <w:top w:val="single" w:sz="8" w:color="CCEEFF"/>
            </w:tcBorders>
            <w:gridSpan w:val="3"/>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800" w:type="dxa"/>
            <w:vAlign w:val="bottom"/>
            <w:tcBorders>
              <w:top w:val="single" w:sz="8" w:color="CCEEFF"/>
            </w:tcBorders>
            <w:shd w:val="clear" w:color="auto" w:fill="CCEEFF"/>
          </w:tcPr>
          <w:p>
            <w:pPr>
              <w:jc w:val="center"/>
              <w:ind w:right="169"/>
              <w:spacing w:after="0" w:line="126" w:lineRule="exact"/>
              <w:rPr>
                <w:sz w:val="20"/>
                <w:szCs w:val="20"/>
                <w:color w:val="auto"/>
              </w:rPr>
            </w:pPr>
            <w:r>
              <w:rPr>
                <w:rFonts w:ascii="Times New Roman" w:cs="Times New Roman" w:eastAsia="Times New Roman" w:hAnsi="Times New Roman"/>
                <w:sz w:val="14"/>
                <w:szCs w:val="14"/>
                <w:color w:val="auto"/>
                <w:w w:val="99"/>
              </w:rPr>
              <w:t>2023</w:t>
            </w:r>
          </w:p>
        </w:tc>
        <w:tc>
          <w:tcPr>
            <w:tcW w:w="1380" w:type="dxa"/>
            <w:vAlign w:val="bottom"/>
            <w:tcBorders>
              <w:top w:val="single" w:sz="8" w:color="CCEEFF"/>
            </w:tcBorders>
            <w:shd w:val="clear" w:color="auto" w:fill="CCEEFF"/>
          </w:tcPr>
          <w:p>
            <w:pPr>
              <w:spacing w:after="0"/>
              <w:rPr>
                <w:sz w:val="10"/>
                <w:szCs w:val="10"/>
                <w:color w:val="auto"/>
              </w:rPr>
            </w:pPr>
          </w:p>
        </w:tc>
        <w:tc>
          <w:tcPr>
            <w:tcW w:w="12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000" w:type="dxa"/>
            <w:vAlign w:val="bottom"/>
            <w:tcBorders>
              <w:top w:val="single" w:sz="8" w:color="CCEEFF"/>
              <w:bottom w:val="single" w:sz="8" w:color="CCEEFF"/>
            </w:tcBorders>
            <w:shd w:val="clear" w:color="auto" w:fill="CCEEFF"/>
          </w:tcPr>
          <w:p>
            <w:pPr>
              <w:spacing w:after="0"/>
              <w:rPr>
                <w:sz w:val="9"/>
                <w:szCs w:val="9"/>
                <w:color w:val="auto"/>
              </w:rPr>
            </w:pPr>
          </w:p>
        </w:tc>
        <w:tc>
          <w:tcPr>
            <w:tcW w:w="5600" w:type="dxa"/>
            <w:vAlign w:val="bottom"/>
            <w:tcBorders>
              <w:top w:val="single" w:sz="8" w:color="0000FF"/>
              <w:bottom w:val="single" w:sz="8" w:color="0000FF"/>
            </w:tcBorders>
            <w:gridSpan w:val="29"/>
            <w:shd w:val="clear" w:color="auto" w:fill="CCEEFF"/>
          </w:tcPr>
          <w:p>
            <w:pPr>
              <w:spacing w:after="0" w:line="113" w:lineRule="exact"/>
              <w:rPr>
                <w:rFonts w:ascii="Times New Roman" w:cs="Times New Roman" w:eastAsia="Times New Roman" w:hAnsi="Times New Roman"/>
                <w:sz w:val="13"/>
                <w:szCs w:val="13"/>
                <w:color w:val="0000FF"/>
              </w:rPr>
            </w:pPr>
            <w:hyperlink r:id="rId198">
              <w:r>
                <w:rPr>
                  <w:rFonts w:ascii="Times New Roman" w:cs="Times New Roman" w:eastAsia="Times New Roman" w:hAnsi="Times New Roman"/>
                  <w:sz w:val="13"/>
                  <w:szCs w:val="13"/>
                  <w:color w:val="0000FF"/>
                </w:rPr>
                <w:t>ZoomInfo Technologies LLC, a Delaware limited liability company (the “Co-Borrower”), ZoomInfo</w:t>
              </w:r>
            </w:hyperlink>
          </w:p>
        </w:tc>
        <w:tc>
          <w:tcPr>
            <w:tcW w:w="100" w:type="dxa"/>
            <w:vAlign w:val="bottom"/>
            <w:tcBorders>
              <w:top w:val="single" w:sz="8" w:color="CCEEFF"/>
              <w:bottom w:val="single" w:sz="8" w:color="0000FF"/>
            </w:tcBorders>
            <w:gridSpan w:val="5"/>
            <w:shd w:val="clear" w:color="auto" w:fill="CCEEFF"/>
          </w:tcPr>
          <w:p>
            <w:pPr>
              <w:spacing w:after="0"/>
              <w:rPr>
                <w:sz w:val="9"/>
                <w:szCs w:val="9"/>
                <w:color w:val="auto"/>
              </w:rPr>
            </w:pPr>
          </w:p>
        </w:tc>
        <w:tc>
          <w:tcPr>
            <w:tcW w:w="20" w:type="dxa"/>
            <w:vAlign w:val="bottom"/>
            <w:tcBorders>
              <w:top w:val="single" w:sz="8" w:color="CCEEFF"/>
              <w:bottom w:val="single" w:sz="8" w:color="0000FF"/>
            </w:tcBorders>
            <w:shd w:val="clear" w:color="auto" w:fill="CCEEFF"/>
          </w:tcPr>
          <w:p>
            <w:pPr>
              <w:spacing w:after="0"/>
              <w:rPr>
                <w:sz w:val="9"/>
                <w:szCs w:val="9"/>
                <w:color w:val="auto"/>
              </w:rPr>
            </w:pPr>
          </w:p>
        </w:tc>
        <w:tc>
          <w:tcPr>
            <w:tcW w:w="20" w:type="dxa"/>
            <w:vAlign w:val="bottom"/>
            <w:tcBorders>
              <w:top w:val="single" w:sz="8" w:color="CCEEFF"/>
              <w:bottom w:val="single" w:sz="8" w:color="0000FF"/>
            </w:tcBorders>
            <w:gridSpan w:val="3"/>
            <w:shd w:val="clear" w:color="auto" w:fill="CCEEFF"/>
          </w:tcPr>
          <w:p>
            <w:pPr>
              <w:spacing w:after="0"/>
              <w:rPr>
                <w:sz w:val="9"/>
                <w:szCs w:val="9"/>
                <w:color w:val="auto"/>
              </w:rPr>
            </w:pPr>
          </w:p>
        </w:tc>
        <w:tc>
          <w:tcPr>
            <w:tcW w:w="60" w:type="dxa"/>
            <w:vAlign w:val="bottom"/>
            <w:tcBorders>
              <w:top w:val="single" w:sz="8" w:color="CCEEFF"/>
              <w:bottom w:val="single" w:sz="8" w:color="CCEEFF"/>
            </w:tcBorders>
            <w:gridSpan w:val="3"/>
            <w:shd w:val="clear" w:color="auto" w:fill="CCEEFF"/>
          </w:tcPr>
          <w:p>
            <w:pPr>
              <w:spacing w:after="0"/>
              <w:rPr>
                <w:sz w:val="9"/>
                <w:szCs w:val="9"/>
                <w:color w:val="auto"/>
              </w:rPr>
            </w:pPr>
          </w:p>
        </w:tc>
        <w:tc>
          <w:tcPr>
            <w:tcW w:w="40" w:type="dxa"/>
            <w:vAlign w:val="bottom"/>
            <w:tcBorders>
              <w:top w:val="single" w:sz="8" w:color="CCEEFF"/>
              <w:bottom w:val="single" w:sz="8" w:color="CCEEFF"/>
            </w:tcBorders>
            <w:gridSpan w:val="2"/>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1800" w:type="dxa"/>
            <w:vAlign w:val="bottom"/>
            <w:tcBorders>
              <w:top w:val="single" w:sz="8" w:color="CCEEFF"/>
              <w:bottom w:val="single" w:sz="8" w:color="CCEEFF"/>
            </w:tcBorders>
            <w:shd w:val="clear" w:color="auto" w:fill="CCEEFF"/>
          </w:tcPr>
          <w:p>
            <w:pPr>
              <w:spacing w:after="0"/>
              <w:rPr>
                <w:sz w:val="9"/>
                <w:szCs w:val="9"/>
                <w:color w:val="auto"/>
              </w:rPr>
            </w:pPr>
          </w:p>
        </w:tc>
        <w:tc>
          <w:tcPr>
            <w:tcW w:w="1380" w:type="dxa"/>
            <w:vAlign w:val="bottom"/>
            <w:tcBorders>
              <w:top w:val="single" w:sz="8" w:color="CCEEFF"/>
              <w:bottom w:val="single" w:sz="8" w:color="CCEEFF"/>
            </w:tcBorders>
            <w:shd w:val="clear" w:color="auto" w:fill="CCEEFF"/>
          </w:tcPr>
          <w:p>
            <w:pPr>
              <w:spacing w:after="0"/>
              <w:rPr>
                <w:sz w:val="9"/>
                <w:szCs w:val="9"/>
                <w:color w:val="auto"/>
              </w:rPr>
            </w:pPr>
          </w:p>
        </w:tc>
        <w:tc>
          <w:tcPr>
            <w:tcW w:w="1200" w:type="dxa"/>
            <w:vAlign w:val="bottom"/>
            <w:tcBorders>
              <w:top w:val="single" w:sz="8" w:color="CCEEFF"/>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00" w:type="dxa"/>
            <w:vAlign w:val="bottom"/>
            <w:shd w:val="clear" w:color="auto" w:fill="CCEEFF"/>
          </w:tcPr>
          <w:p>
            <w:pPr>
              <w:spacing w:after="0"/>
              <w:rPr>
                <w:sz w:val="10"/>
                <w:szCs w:val="10"/>
                <w:color w:val="auto"/>
              </w:rPr>
            </w:pPr>
          </w:p>
        </w:tc>
        <w:tc>
          <w:tcPr>
            <w:tcW w:w="5860" w:type="dxa"/>
            <w:vAlign w:val="bottom"/>
            <w:gridSpan w:val="44"/>
            <w:shd w:val="clear" w:color="auto" w:fill="CCEEFF"/>
          </w:tcPr>
          <w:p>
            <w:pPr>
              <w:spacing w:after="0" w:line="126" w:lineRule="exact"/>
              <w:rPr>
                <w:rFonts w:ascii="Times New Roman" w:cs="Times New Roman" w:eastAsia="Times New Roman" w:hAnsi="Times New Roman"/>
                <w:sz w:val="14"/>
                <w:szCs w:val="14"/>
                <w:color w:val="0000FF"/>
              </w:rPr>
            </w:pPr>
            <w:hyperlink r:id="rId198">
              <w:r>
                <w:rPr>
                  <w:rFonts w:ascii="Times New Roman" w:cs="Times New Roman" w:eastAsia="Times New Roman" w:hAnsi="Times New Roman"/>
                  <w:sz w:val="14"/>
                  <w:szCs w:val="14"/>
                  <w:color w:val="0000FF"/>
                </w:rPr>
                <w:t>Midco LLC (f/k/a DiscoverOrg Midco, LLC), a Delaware limited liability company (“Holdings”), the</w:t>
              </w:r>
            </w:hyperlink>
          </w:p>
        </w:tc>
        <w:tc>
          <w:tcPr>
            <w:tcW w:w="180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0" w:type="dxa"/>
            <w:vAlign w:val="bottom"/>
            <w:tcBorders>
              <w:top w:val="single" w:sz="8" w:color="CCEEFF"/>
            </w:tcBorders>
            <w:shd w:val="clear" w:color="auto" w:fill="CCEEFF"/>
          </w:tcPr>
          <w:p>
            <w:pPr>
              <w:spacing w:after="0"/>
              <w:rPr>
                <w:sz w:val="10"/>
                <w:szCs w:val="10"/>
                <w:color w:val="auto"/>
              </w:rPr>
            </w:pPr>
          </w:p>
        </w:tc>
        <w:tc>
          <w:tcPr>
            <w:tcW w:w="5820" w:type="dxa"/>
            <w:vAlign w:val="bottom"/>
            <w:tcBorders>
              <w:top w:val="single" w:sz="8" w:color="0000FF"/>
            </w:tcBorders>
            <w:gridSpan w:val="42"/>
            <w:shd w:val="clear" w:color="auto" w:fill="CCEEFF"/>
          </w:tcPr>
          <w:p>
            <w:pPr>
              <w:spacing w:after="0" w:line="126" w:lineRule="exact"/>
              <w:rPr>
                <w:rFonts w:ascii="Times New Roman" w:cs="Times New Roman" w:eastAsia="Times New Roman" w:hAnsi="Times New Roman"/>
                <w:sz w:val="14"/>
                <w:szCs w:val="14"/>
                <w:color w:val="0000FF"/>
              </w:rPr>
            </w:pPr>
            <w:hyperlink r:id="rId198">
              <w:r>
                <w:rPr>
                  <w:rFonts w:ascii="Times New Roman" w:cs="Times New Roman" w:eastAsia="Times New Roman" w:hAnsi="Times New Roman"/>
                  <w:sz w:val="14"/>
                  <w:szCs w:val="14"/>
                  <w:color w:val="0000FF"/>
                </w:rPr>
                <w:t>other guarantors party thereto, each lender and L/C issuer party thereto, and Morgan Stanley Senior</w:t>
              </w:r>
            </w:hyperlink>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800" w:type="dxa"/>
            <w:vAlign w:val="bottom"/>
            <w:tcBorders>
              <w:top w:val="single" w:sz="8" w:color="CCEEFF"/>
            </w:tcBorders>
            <w:shd w:val="clear" w:color="auto" w:fill="CCEEFF"/>
          </w:tcPr>
          <w:p>
            <w:pPr>
              <w:spacing w:after="0"/>
              <w:rPr>
                <w:sz w:val="10"/>
                <w:szCs w:val="10"/>
                <w:color w:val="auto"/>
              </w:rPr>
            </w:pPr>
          </w:p>
        </w:tc>
        <w:tc>
          <w:tcPr>
            <w:tcW w:w="1380" w:type="dxa"/>
            <w:vAlign w:val="bottom"/>
            <w:tcBorders>
              <w:top w:val="single" w:sz="8" w:color="CCEEFF"/>
            </w:tcBorders>
            <w:shd w:val="clear" w:color="auto" w:fill="CCEEFF"/>
          </w:tcPr>
          <w:p>
            <w:pPr>
              <w:spacing w:after="0"/>
              <w:rPr>
                <w:sz w:val="10"/>
                <w:szCs w:val="10"/>
                <w:color w:val="auto"/>
              </w:rPr>
            </w:pPr>
          </w:p>
        </w:tc>
        <w:tc>
          <w:tcPr>
            <w:tcW w:w="12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000" w:type="dxa"/>
            <w:vAlign w:val="bottom"/>
            <w:tcBorders>
              <w:top w:val="single" w:sz="8" w:color="CCEEFF"/>
            </w:tcBorders>
            <w:shd w:val="clear" w:color="auto" w:fill="CCEEFF"/>
          </w:tcPr>
          <w:p>
            <w:pPr>
              <w:spacing w:after="0"/>
              <w:rPr>
                <w:sz w:val="9"/>
                <w:szCs w:val="9"/>
                <w:color w:val="auto"/>
              </w:rPr>
            </w:pPr>
          </w:p>
        </w:tc>
        <w:tc>
          <w:tcPr>
            <w:tcW w:w="5680" w:type="dxa"/>
            <w:vAlign w:val="bottom"/>
            <w:tcBorders>
              <w:top w:val="single" w:sz="8" w:color="0000FF"/>
            </w:tcBorders>
            <w:gridSpan w:val="33"/>
            <w:shd w:val="clear" w:color="auto" w:fill="CCEEFF"/>
          </w:tcPr>
          <w:p>
            <w:pPr>
              <w:spacing w:after="0" w:line="113" w:lineRule="exact"/>
              <w:rPr>
                <w:rFonts w:ascii="Times New Roman" w:cs="Times New Roman" w:eastAsia="Times New Roman" w:hAnsi="Times New Roman"/>
                <w:sz w:val="13"/>
                <w:szCs w:val="13"/>
                <w:color w:val="0000FF"/>
              </w:rPr>
            </w:pPr>
            <w:hyperlink r:id="rId198">
              <w:r>
                <w:rPr>
                  <w:rFonts w:ascii="Times New Roman" w:cs="Times New Roman" w:eastAsia="Times New Roman" w:hAnsi="Times New Roman"/>
                  <w:sz w:val="13"/>
                  <w:szCs w:val="13"/>
                  <w:color w:val="0000FF"/>
                </w:rPr>
                <w:t>Funding, Inc., as administrative agent, collateral agent and L/C issuer</w:t>
              </w:r>
            </w:hyperlink>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gridSpan w:val="3"/>
            <w:shd w:val="clear" w:color="auto" w:fill="CCEEFF"/>
          </w:tcPr>
          <w:p>
            <w:pPr>
              <w:spacing w:after="0"/>
              <w:rPr>
                <w:sz w:val="9"/>
                <w:szCs w:val="9"/>
                <w:color w:val="auto"/>
              </w:rPr>
            </w:pPr>
          </w:p>
        </w:tc>
        <w:tc>
          <w:tcPr>
            <w:tcW w:w="60" w:type="dxa"/>
            <w:vAlign w:val="bottom"/>
            <w:tcBorders>
              <w:top w:val="single" w:sz="8" w:color="CCEEFF"/>
            </w:tcBorders>
            <w:gridSpan w:val="3"/>
            <w:shd w:val="clear" w:color="auto" w:fill="CCEEFF"/>
          </w:tcPr>
          <w:p>
            <w:pPr>
              <w:spacing w:after="0"/>
              <w:rPr>
                <w:sz w:val="9"/>
                <w:szCs w:val="9"/>
                <w:color w:val="auto"/>
              </w:rPr>
            </w:pPr>
          </w:p>
        </w:tc>
        <w:tc>
          <w:tcPr>
            <w:tcW w:w="40" w:type="dxa"/>
            <w:vAlign w:val="bottom"/>
            <w:tcBorders>
              <w:top w:val="single" w:sz="8" w:color="CCEEFF"/>
            </w:tcBorders>
            <w:gridSpan w:val="2"/>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800" w:type="dxa"/>
            <w:vAlign w:val="bottom"/>
            <w:tcBorders>
              <w:top w:val="single" w:sz="8" w:color="CCEEFF"/>
            </w:tcBorders>
            <w:shd w:val="clear" w:color="auto" w:fill="CCEEFF"/>
          </w:tcPr>
          <w:p>
            <w:pPr>
              <w:spacing w:after="0"/>
              <w:rPr>
                <w:sz w:val="9"/>
                <w:szCs w:val="9"/>
                <w:color w:val="auto"/>
              </w:rPr>
            </w:pPr>
          </w:p>
        </w:tc>
        <w:tc>
          <w:tcPr>
            <w:tcW w:w="1380" w:type="dxa"/>
            <w:vAlign w:val="bottom"/>
            <w:tcBorders>
              <w:top w:val="single" w:sz="8" w:color="CCEEFF"/>
            </w:tcBorders>
            <w:shd w:val="clear" w:color="auto" w:fill="CCEEFF"/>
          </w:tcPr>
          <w:p>
            <w:pPr>
              <w:spacing w:after="0"/>
              <w:rPr>
                <w:sz w:val="9"/>
                <w:szCs w:val="9"/>
                <w:color w:val="auto"/>
              </w:rPr>
            </w:pPr>
          </w:p>
        </w:tc>
        <w:tc>
          <w:tcPr>
            <w:tcW w:w="12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10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94967277"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10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10.21</w:t>
            </w:r>
          </w:p>
        </w:tc>
        <w:tc>
          <w:tcPr>
            <w:tcW w:w="5860" w:type="dxa"/>
            <w:vAlign w:val="bottom"/>
            <w:gridSpan w:val="44"/>
          </w:tcPr>
          <w:p>
            <w:pPr>
              <w:spacing w:after="0" w:line="146" w:lineRule="exact"/>
              <w:rPr>
                <w:rFonts w:ascii="Times New Roman" w:cs="Times New Roman" w:eastAsia="Times New Roman" w:hAnsi="Times New Roman"/>
                <w:sz w:val="14"/>
                <w:szCs w:val="14"/>
                <w:color w:val="0000FF"/>
              </w:rPr>
            </w:pPr>
            <w:hyperlink r:id="rId199">
              <w:r>
                <w:rPr>
                  <w:rFonts w:ascii="Times New Roman" w:cs="Times New Roman" w:eastAsia="Times New Roman" w:hAnsi="Times New Roman"/>
                  <w:sz w:val="14"/>
                  <w:szCs w:val="14"/>
                  <w:color w:val="0000FF"/>
                </w:rPr>
                <w:t>First Lien Security Agreement, dated as of February 1, 2019, among DiscoverOrg, LLC, DiscoverOrg</w:t>
              </w:r>
            </w:hyperlink>
          </w:p>
        </w:tc>
        <w:tc>
          <w:tcPr>
            <w:tcW w:w="1800" w:type="dxa"/>
            <w:vAlign w:val="bottom"/>
          </w:tcPr>
          <w:p>
            <w:pPr>
              <w:jc w:val="center"/>
              <w:ind w:right="169"/>
              <w:spacing w:after="0" w:line="146" w:lineRule="exact"/>
              <w:rPr>
                <w:sz w:val="20"/>
                <w:szCs w:val="20"/>
                <w:color w:val="auto"/>
              </w:rPr>
            </w:pPr>
            <w:r>
              <w:rPr>
                <w:rFonts w:ascii="Times New Roman" w:cs="Times New Roman" w:eastAsia="Times New Roman" w:hAnsi="Times New Roman"/>
                <w:sz w:val="14"/>
                <w:szCs w:val="14"/>
                <w:color w:val="auto"/>
              </w:rPr>
              <w:t>S-1 filed February 27, 2020</w:t>
            </w:r>
          </w:p>
        </w:tc>
        <w:tc>
          <w:tcPr>
            <w:tcW w:w="1380" w:type="dxa"/>
            <w:vAlign w:val="bottom"/>
          </w:tcPr>
          <w:p>
            <w:pPr>
              <w:jc w:val="center"/>
              <w:ind w:right="109"/>
              <w:spacing w:after="0" w:line="146" w:lineRule="exact"/>
              <w:rPr>
                <w:sz w:val="20"/>
                <w:szCs w:val="20"/>
                <w:color w:val="auto"/>
              </w:rPr>
            </w:pPr>
            <w:r>
              <w:rPr>
                <w:rFonts w:ascii="Times New Roman" w:cs="Times New Roman" w:eastAsia="Times New Roman" w:hAnsi="Times New Roman"/>
                <w:sz w:val="14"/>
                <w:szCs w:val="14"/>
                <w:color w:val="auto"/>
              </w:rPr>
              <w:t>333-236674</w:t>
            </w:r>
          </w:p>
        </w:tc>
        <w:tc>
          <w:tcPr>
            <w:tcW w:w="12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10.12</w:t>
            </w:r>
          </w:p>
        </w:tc>
        <w:tc>
          <w:tcPr>
            <w:tcW w:w="0" w:type="dxa"/>
            <w:vAlign w:val="bottom"/>
          </w:tcPr>
          <w:p>
            <w:pPr>
              <w:spacing w:after="0"/>
              <w:rPr>
                <w:sz w:val="1"/>
                <w:szCs w:val="1"/>
                <w:color w:val="auto"/>
              </w:rPr>
            </w:pPr>
          </w:p>
        </w:tc>
      </w:tr>
      <w:tr>
        <w:trPr>
          <w:trHeight w:val="126"/>
        </w:trPr>
        <w:tc>
          <w:tcPr>
            <w:tcW w:w="1000" w:type="dxa"/>
            <w:vAlign w:val="bottom"/>
          </w:tcPr>
          <w:p>
            <w:pPr>
              <w:spacing w:after="0"/>
              <w:rPr>
                <w:sz w:val="10"/>
                <w:szCs w:val="10"/>
                <w:color w:val="auto"/>
              </w:rPr>
            </w:pPr>
          </w:p>
        </w:tc>
        <w:tc>
          <w:tcPr>
            <w:tcW w:w="5840" w:type="dxa"/>
            <w:vAlign w:val="bottom"/>
            <w:tcBorders>
              <w:top w:val="single" w:sz="8" w:color="0000FF"/>
            </w:tcBorders>
            <w:gridSpan w:val="43"/>
          </w:tcPr>
          <w:p>
            <w:pPr>
              <w:spacing w:after="0" w:line="126" w:lineRule="exact"/>
              <w:rPr>
                <w:rFonts w:ascii="Times New Roman" w:cs="Times New Roman" w:eastAsia="Times New Roman" w:hAnsi="Times New Roman"/>
                <w:sz w:val="14"/>
                <w:szCs w:val="14"/>
                <w:color w:val="0000FF"/>
              </w:rPr>
            </w:pPr>
            <w:hyperlink r:id="rId199">
              <w:r>
                <w:rPr>
                  <w:rFonts w:ascii="Times New Roman" w:cs="Times New Roman" w:eastAsia="Times New Roman" w:hAnsi="Times New Roman"/>
                  <w:sz w:val="14"/>
                  <w:szCs w:val="14"/>
                  <w:color w:val="0000FF"/>
                </w:rPr>
                <w:t>Midco, LLC, the grantors party thereto from time to time and Morgan Stanley Senior Funding, Inc.,</w:t>
              </w:r>
            </w:hyperlink>
          </w:p>
        </w:tc>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000" w:type="dxa"/>
            <w:vAlign w:val="bottom"/>
          </w:tcPr>
          <w:p>
            <w:pPr>
              <w:spacing w:after="0"/>
              <w:rPr>
                <w:sz w:val="9"/>
                <w:szCs w:val="9"/>
                <w:color w:val="auto"/>
              </w:rPr>
            </w:pPr>
          </w:p>
        </w:tc>
        <w:tc>
          <w:tcPr>
            <w:tcW w:w="5720" w:type="dxa"/>
            <w:vAlign w:val="bottom"/>
            <w:tcBorders>
              <w:top w:val="single" w:sz="8" w:color="0000FF"/>
            </w:tcBorders>
            <w:gridSpan w:val="35"/>
          </w:tcPr>
          <w:p>
            <w:pPr>
              <w:spacing w:after="0" w:line="113" w:lineRule="exact"/>
              <w:rPr>
                <w:rFonts w:ascii="Times New Roman" w:cs="Times New Roman" w:eastAsia="Times New Roman" w:hAnsi="Times New Roman"/>
                <w:sz w:val="13"/>
                <w:szCs w:val="13"/>
                <w:color w:val="0000FF"/>
              </w:rPr>
            </w:pPr>
            <w:hyperlink r:id="rId199">
              <w:r>
                <w:rPr>
                  <w:rFonts w:ascii="Times New Roman" w:cs="Times New Roman" w:eastAsia="Times New Roman" w:hAnsi="Times New Roman"/>
                  <w:sz w:val="13"/>
                  <w:szCs w:val="13"/>
                  <w:color w:val="0000FF"/>
                </w:rPr>
                <w:t>as collateral agent</w:t>
              </w:r>
            </w:hyperlink>
          </w:p>
        </w:tc>
        <w:tc>
          <w:tcPr>
            <w:tcW w:w="20" w:type="dxa"/>
            <w:vAlign w:val="bottom"/>
            <w:gridSpan w:val="3"/>
          </w:tcPr>
          <w:p>
            <w:pPr>
              <w:spacing w:after="0"/>
              <w:rPr>
                <w:sz w:val="9"/>
                <w:szCs w:val="9"/>
                <w:color w:val="auto"/>
              </w:rPr>
            </w:pPr>
          </w:p>
        </w:tc>
        <w:tc>
          <w:tcPr>
            <w:tcW w:w="60" w:type="dxa"/>
            <w:vAlign w:val="bottom"/>
            <w:gridSpan w:val="3"/>
          </w:tcPr>
          <w:p>
            <w:pPr>
              <w:spacing w:after="0"/>
              <w:rPr>
                <w:sz w:val="9"/>
                <w:szCs w:val="9"/>
                <w:color w:val="auto"/>
              </w:rPr>
            </w:pPr>
          </w:p>
        </w:tc>
        <w:tc>
          <w:tcPr>
            <w:tcW w:w="60" w:type="dxa"/>
            <w:vAlign w:val="bottom"/>
            <w:gridSpan w:val="3"/>
          </w:tcPr>
          <w:p>
            <w:pPr>
              <w:spacing w:after="0"/>
              <w:rPr>
                <w:sz w:val="9"/>
                <w:szCs w:val="9"/>
                <w:color w:val="auto"/>
              </w:rPr>
            </w:pPr>
          </w:p>
        </w:tc>
        <w:tc>
          <w:tcPr>
            <w:tcW w:w="18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1000" w:type="dxa"/>
            <w:vAlign w:val="bottom"/>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77"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100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rPr>
              <w:t>10.22</w:t>
            </w:r>
          </w:p>
        </w:tc>
        <w:tc>
          <w:tcPr>
            <w:tcW w:w="5860" w:type="dxa"/>
            <w:vAlign w:val="bottom"/>
            <w:gridSpan w:val="44"/>
            <w:shd w:val="clear" w:color="auto" w:fill="CCEEFF"/>
          </w:tcPr>
          <w:p>
            <w:pPr>
              <w:spacing w:after="0" w:line="146" w:lineRule="exact"/>
              <w:rPr>
                <w:rFonts w:ascii="Times New Roman" w:cs="Times New Roman" w:eastAsia="Times New Roman" w:hAnsi="Times New Roman"/>
                <w:sz w:val="14"/>
                <w:szCs w:val="14"/>
                <w:color w:val="0000FF"/>
              </w:rPr>
            </w:pPr>
            <w:hyperlink r:id="rId200">
              <w:r>
                <w:rPr>
                  <w:rFonts w:ascii="Times New Roman" w:cs="Times New Roman" w:eastAsia="Times New Roman" w:hAnsi="Times New Roman"/>
                  <w:sz w:val="14"/>
                  <w:szCs w:val="14"/>
                  <w:color w:val="0000FF"/>
                </w:rPr>
                <w:t>First Lien Holdings Guaranty, dated as of February 1, 2019, among DiscoverOrg Midco, LLC and</w:t>
              </w:r>
            </w:hyperlink>
          </w:p>
        </w:tc>
        <w:tc>
          <w:tcPr>
            <w:tcW w:w="1800" w:type="dxa"/>
            <w:vAlign w:val="bottom"/>
            <w:shd w:val="clear" w:color="auto" w:fill="CCEEFF"/>
          </w:tcPr>
          <w:p>
            <w:pPr>
              <w:jc w:val="center"/>
              <w:ind w:right="169"/>
              <w:spacing w:after="0" w:line="146" w:lineRule="exact"/>
              <w:rPr>
                <w:sz w:val="20"/>
                <w:szCs w:val="20"/>
                <w:color w:val="auto"/>
              </w:rPr>
            </w:pPr>
            <w:r>
              <w:rPr>
                <w:rFonts w:ascii="Times New Roman" w:cs="Times New Roman" w:eastAsia="Times New Roman" w:hAnsi="Times New Roman"/>
                <w:sz w:val="14"/>
                <w:szCs w:val="14"/>
                <w:color w:val="auto"/>
              </w:rPr>
              <w:t>S-1 filed February 27, 2020</w:t>
            </w:r>
          </w:p>
        </w:tc>
        <w:tc>
          <w:tcPr>
            <w:tcW w:w="1380" w:type="dxa"/>
            <w:vAlign w:val="bottom"/>
            <w:shd w:val="clear" w:color="auto" w:fill="CCEEFF"/>
          </w:tcPr>
          <w:p>
            <w:pPr>
              <w:jc w:val="center"/>
              <w:ind w:right="109"/>
              <w:spacing w:after="0" w:line="146" w:lineRule="exact"/>
              <w:rPr>
                <w:sz w:val="20"/>
                <w:szCs w:val="20"/>
                <w:color w:val="auto"/>
              </w:rPr>
            </w:pPr>
            <w:r>
              <w:rPr>
                <w:rFonts w:ascii="Times New Roman" w:cs="Times New Roman" w:eastAsia="Times New Roman" w:hAnsi="Times New Roman"/>
                <w:sz w:val="14"/>
                <w:szCs w:val="14"/>
                <w:color w:val="auto"/>
              </w:rPr>
              <w:t>333-236674</w:t>
            </w:r>
          </w:p>
        </w:tc>
        <w:tc>
          <w:tcPr>
            <w:tcW w:w="120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rPr>
              <w:t>10.13</w:t>
            </w:r>
          </w:p>
        </w:tc>
        <w:tc>
          <w:tcPr>
            <w:tcW w:w="0" w:type="dxa"/>
            <w:vAlign w:val="bottom"/>
          </w:tcPr>
          <w:p>
            <w:pPr>
              <w:spacing w:after="0"/>
              <w:rPr>
                <w:sz w:val="1"/>
                <w:szCs w:val="1"/>
                <w:color w:val="auto"/>
              </w:rPr>
            </w:pPr>
          </w:p>
        </w:tc>
      </w:tr>
      <w:tr>
        <w:trPr>
          <w:trHeight w:val="145"/>
        </w:trPr>
        <w:tc>
          <w:tcPr>
            <w:tcW w:w="1000" w:type="dxa"/>
            <w:vAlign w:val="bottom"/>
            <w:tcBorders>
              <w:top w:val="single" w:sz="8" w:color="CCEEFF"/>
              <w:bottom w:val="single" w:sz="8" w:color="CCEEFF"/>
            </w:tcBorders>
            <w:shd w:val="clear" w:color="auto" w:fill="CCEEFF"/>
          </w:tcPr>
          <w:p>
            <w:pPr>
              <w:spacing w:after="0"/>
              <w:rPr>
                <w:sz w:val="12"/>
                <w:szCs w:val="12"/>
                <w:color w:val="auto"/>
              </w:rPr>
            </w:pPr>
          </w:p>
        </w:tc>
        <w:tc>
          <w:tcPr>
            <w:tcW w:w="3480" w:type="dxa"/>
            <w:vAlign w:val="bottom"/>
            <w:tcBorders>
              <w:top w:val="single" w:sz="8" w:color="0000FF"/>
              <w:bottom w:val="single" w:sz="8" w:color="0000FF"/>
            </w:tcBorders>
            <w:gridSpan w:val="11"/>
            <w:shd w:val="clear" w:color="auto" w:fill="CCEEFF"/>
          </w:tcPr>
          <w:p>
            <w:pPr>
              <w:spacing w:after="0" w:line="126" w:lineRule="exact"/>
              <w:rPr>
                <w:rFonts w:ascii="Times New Roman" w:cs="Times New Roman" w:eastAsia="Times New Roman" w:hAnsi="Times New Roman"/>
                <w:sz w:val="14"/>
                <w:szCs w:val="14"/>
                <w:color w:val="0000FF"/>
              </w:rPr>
            </w:pPr>
            <w:hyperlink r:id="rId200">
              <w:r>
                <w:rPr>
                  <w:rFonts w:ascii="Times New Roman" w:cs="Times New Roman" w:eastAsia="Times New Roman" w:hAnsi="Times New Roman"/>
                  <w:sz w:val="14"/>
                  <w:szCs w:val="14"/>
                  <w:color w:val="0000FF"/>
                </w:rPr>
                <w:t>Morgan Stanley Senior Funding, Inc., as administrative agent</w:t>
              </w:r>
            </w:hyperlink>
          </w:p>
        </w:tc>
        <w:tc>
          <w:tcPr>
            <w:tcW w:w="2100" w:type="dxa"/>
            <w:vAlign w:val="bottom"/>
            <w:tcBorders>
              <w:top w:val="single" w:sz="8" w:color="0000FF"/>
              <w:bottom w:val="single" w:sz="8" w:color="CCEEFF"/>
            </w:tcBorders>
            <w:gridSpan w:val="16"/>
            <w:shd w:val="clear" w:color="auto" w:fill="CCEEFF"/>
          </w:tcPr>
          <w:p>
            <w:pPr>
              <w:spacing w:after="0"/>
              <w:rPr>
                <w:sz w:val="12"/>
                <w:szCs w:val="12"/>
                <w:color w:val="auto"/>
              </w:rPr>
            </w:pPr>
          </w:p>
        </w:tc>
        <w:tc>
          <w:tcPr>
            <w:tcW w:w="120" w:type="dxa"/>
            <w:vAlign w:val="bottom"/>
            <w:tcBorders>
              <w:top w:val="single" w:sz="8" w:color="CCEEFF"/>
              <w:bottom w:val="single" w:sz="8" w:color="CCEEFF"/>
            </w:tcBorders>
            <w:gridSpan w:val="7"/>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4"/>
            <w:shd w:val="clear" w:color="auto" w:fill="CCEEFF"/>
          </w:tcPr>
          <w:p>
            <w:pPr>
              <w:spacing w:after="0"/>
              <w:rPr>
                <w:sz w:val="12"/>
                <w:szCs w:val="12"/>
                <w:color w:val="auto"/>
              </w:rPr>
            </w:pPr>
          </w:p>
        </w:tc>
        <w:tc>
          <w:tcPr>
            <w:tcW w:w="60" w:type="dxa"/>
            <w:vAlign w:val="bottom"/>
            <w:tcBorders>
              <w:top w:val="single" w:sz="8" w:color="CCEEFF"/>
              <w:bottom w:val="single" w:sz="8" w:color="CCEEFF"/>
            </w:tcBorders>
            <w:gridSpan w:val="3"/>
            <w:shd w:val="clear" w:color="auto" w:fill="CCEEFF"/>
          </w:tcPr>
          <w:p>
            <w:pPr>
              <w:spacing w:after="0"/>
              <w:rPr>
                <w:sz w:val="12"/>
                <w:szCs w:val="12"/>
                <w:color w:val="auto"/>
              </w:rPr>
            </w:pPr>
          </w:p>
        </w:tc>
        <w:tc>
          <w:tcPr>
            <w:tcW w:w="60" w:type="dxa"/>
            <w:vAlign w:val="bottom"/>
            <w:tcBorders>
              <w:top w:val="single" w:sz="8" w:color="CCEEFF"/>
              <w:bottom w:val="single" w:sz="8" w:color="CCEEFF"/>
            </w:tcBorders>
            <w:gridSpan w:val="3"/>
            <w:shd w:val="clear" w:color="auto" w:fill="CCEEFF"/>
          </w:tcPr>
          <w:p>
            <w:pPr>
              <w:spacing w:after="0"/>
              <w:rPr>
                <w:sz w:val="12"/>
                <w:szCs w:val="12"/>
                <w:color w:val="auto"/>
              </w:rPr>
            </w:pPr>
          </w:p>
        </w:tc>
        <w:tc>
          <w:tcPr>
            <w:tcW w:w="1800" w:type="dxa"/>
            <w:vAlign w:val="bottom"/>
            <w:tcBorders>
              <w:top w:val="single" w:sz="8" w:color="CCEEFF"/>
              <w:bottom w:val="single" w:sz="8" w:color="CCEEFF"/>
            </w:tcBorders>
            <w:shd w:val="clear" w:color="auto" w:fill="CCEEFF"/>
          </w:tcPr>
          <w:p>
            <w:pPr>
              <w:spacing w:after="0"/>
              <w:rPr>
                <w:sz w:val="12"/>
                <w:szCs w:val="12"/>
                <w:color w:val="auto"/>
              </w:rPr>
            </w:pPr>
          </w:p>
        </w:tc>
        <w:tc>
          <w:tcPr>
            <w:tcW w:w="1380" w:type="dxa"/>
            <w:vAlign w:val="bottom"/>
            <w:tcBorders>
              <w:top w:val="single" w:sz="8" w:color="CCEEFF"/>
              <w:bottom w:val="single" w:sz="8" w:color="CCEEFF"/>
            </w:tcBorders>
            <w:shd w:val="clear" w:color="auto" w:fill="CCEEFF"/>
          </w:tcPr>
          <w:p>
            <w:pPr>
              <w:spacing w:after="0"/>
              <w:rPr>
                <w:sz w:val="12"/>
                <w:szCs w:val="12"/>
                <w:color w:val="auto"/>
              </w:rPr>
            </w:pPr>
          </w:p>
        </w:tc>
        <w:tc>
          <w:tcPr>
            <w:tcW w:w="12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10.23</w:t>
            </w:r>
          </w:p>
        </w:tc>
        <w:tc>
          <w:tcPr>
            <w:tcW w:w="5860" w:type="dxa"/>
            <w:vAlign w:val="bottom"/>
            <w:gridSpan w:val="44"/>
          </w:tcPr>
          <w:p>
            <w:pPr>
              <w:spacing w:after="0" w:line="146" w:lineRule="exact"/>
              <w:rPr>
                <w:rFonts w:ascii="Times New Roman" w:cs="Times New Roman" w:eastAsia="Times New Roman" w:hAnsi="Times New Roman"/>
                <w:sz w:val="14"/>
                <w:szCs w:val="14"/>
                <w:color w:val="0000FF"/>
              </w:rPr>
            </w:pPr>
            <w:hyperlink r:id="rId201">
              <w:r>
                <w:rPr>
                  <w:rFonts w:ascii="Times New Roman" w:cs="Times New Roman" w:eastAsia="Times New Roman" w:hAnsi="Times New Roman"/>
                  <w:sz w:val="14"/>
                  <w:szCs w:val="14"/>
                  <w:color w:val="0000FF"/>
                </w:rPr>
                <w:t>First Lien Subsidiary Guaranty, dated as of February 1, 2019, among the guarantors party thereto and</w:t>
              </w:r>
            </w:hyperlink>
          </w:p>
        </w:tc>
        <w:tc>
          <w:tcPr>
            <w:tcW w:w="1800" w:type="dxa"/>
            <w:vAlign w:val="bottom"/>
          </w:tcPr>
          <w:p>
            <w:pPr>
              <w:jc w:val="center"/>
              <w:ind w:right="169"/>
              <w:spacing w:after="0" w:line="146" w:lineRule="exact"/>
              <w:rPr>
                <w:sz w:val="20"/>
                <w:szCs w:val="20"/>
                <w:color w:val="auto"/>
              </w:rPr>
            </w:pPr>
            <w:r>
              <w:rPr>
                <w:rFonts w:ascii="Times New Roman" w:cs="Times New Roman" w:eastAsia="Times New Roman" w:hAnsi="Times New Roman"/>
                <w:sz w:val="14"/>
                <w:szCs w:val="14"/>
                <w:color w:val="auto"/>
              </w:rPr>
              <w:t>S-1 filed February 27, 2020</w:t>
            </w:r>
          </w:p>
        </w:tc>
        <w:tc>
          <w:tcPr>
            <w:tcW w:w="1380" w:type="dxa"/>
            <w:vAlign w:val="bottom"/>
          </w:tcPr>
          <w:p>
            <w:pPr>
              <w:jc w:val="center"/>
              <w:ind w:right="109"/>
              <w:spacing w:after="0" w:line="146" w:lineRule="exact"/>
              <w:rPr>
                <w:sz w:val="20"/>
                <w:szCs w:val="20"/>
                <w:color w:val="auto"/>
              </w:rPr>
            </w:pPr>
            <w:r>
              <w:rPr>
                <w:rFonts w:ascii="Times New Roman" w:cs="Times New Roman" w:eastAsia="Times New Roman" w:hAnsi="Times New Roman"/>
                <w:sz w:val="14"/>
                <w:szCs w:val="14"/>
                <w:color w:val="auto"/>
              </w:rPr>
              <w:t>333-236674</w:t>
            </w:r>
          </w:p>
        </w:tc>
        <w:tc>
          <w:tcPr>
            <w:tcW w:w="12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10.14</w:t>
            </w:r>
          </w:p>
        </w:tc>
        <w:tc>
          <w:tcPr>
            <w:tcW w:w="0" w:type="dxa"/>
            <w:vAlign w:val="bottom"/>
          </w:tcPr>
          <w:p>
            <w:pPr>
              <w:spacing w:after="0"/>
              <w:rPr>
                <w:sz w:val="1"/>
                <w:szCs w:val="1"/>
                <w:color w:val="auto"/>
              </w:rPr>
            </w:pPr>
          </w:p>
        </w:tc>
      </w:tr>
      <w:tr>
        <w:trPr>
          <w:trHeight w:val="136"/>
        </w:trPr>
        <w:tc>
          <w:tcPr>
            <w:tcW w:w="1000" w:type="dxa"/>
            <w:vAlign w:val="bottom"/>
          </w:tcPr>
          <w:p>
            <w:pPr>
              <w:spacing w:after="0"/>
              <w:rPr>
                <w:sz w:val="11"/>
                <w:szCs w:val="11"/>
                <w:color w:val="auto"/>
              </w:rPr>
            </w:pPr>
          </w:p>
        </w:tc>
        <w:tc>
          <w:tcPr>
            <w:tcW w:w="3480" w:type="dxa"/>
            <w:vAlign w:val="bottom"/>
            <w:tcBorders>
              <w:top w:val="single" w:sz="8" w:color="0000FF"/>
              <w:bottom w:val="single" w:sz="8" w:color="0000FF"/>
            </w:tcBorders>
            <w:gridSpan w:val="11"/>
          </w:tcPr>
          <w:p>
            <w:pPr>
              <w:spacing w:after="0" w:line="126" w:lineRule="exact"/>
              <w:rPr>
                <w:rFonts w:ascii="Times New Roman" w:cs="Times New Roman" w:eastAsia="Times New Roman" w:hAnsi="Times New Roman"/>
                <w:sz w:val="14"/>
                <w:szCs w:val="14"/>
                <w:color w:val="0000FF"/>
              </w:rPr>
            </w:pPr>
            <w:hyperlink r:id="rId201">
              <w:r>
                <w:rPr>
                  <w:rFonts w:ascii="Times New Roman" w:cs="Times New Roman" w:eastAsia="Times New Roman" w:hAnsi="Times New Roman"/>
                  <w:sz w:val="14"/>
                  <w:szCs w:val="14"/>
                  <w:color w:val="0000FF"/>
                </w:rPr>
                <w:t>Morgan Stanley Senior Funding, Inc., as administrative agent</w:t>
              </w:r>
            </w:hyperlink>
          </w:p>
        </w:tc>
        <w:tc>
          <w:tcPr>
            <w:tcW w:w="2260" w:type="dxa"/>
            <w:vAlign w:val="bottom"/>
            <w:tcBorders>
              <w:top w:val="single" w:sz="8" w:color="0000FF"/>
            </w:tcBorders>
            <w:gridSpan w:val="27"/>
          </w:tcPr>
          <w:p>
            <w:pPr>
              <w:spacing w:after="0"/>
              <w:rPr>
                <w:sz w:val="11"/>
                <w:szCs w:val="11"/>
                <w:color w:val="auto"/>
              </w:rPr>
            </w:pPr>
          </w:p>
        </w:tc>
        <w:tc>
          <w:tcPr>
            <w:tcW w:w="60" w:type="dxa"/>
            <w:vAlign w:val="bottom"/>
            <w:gridSpan w:val="3"/>
          </w:tcPr>
          <w:p>
            <w:pPr>
              <w:spacing w:after="0"/>
              <w:rPr>
                <w:sz w:val="11"/>
                <w:szCs w:val="11"/>
                <w:color w:val="auto"/>
              </w:rPr>
            </w:pPr>
          </w:p>
        </w:tc>
        <w:tc>
          <w:tcPr>
            <w:tcW w:w="60" w:type="dxa"/>
            <w:vAlign w:val="bottom"/>
            <w:gridSpan w:val="3"/>
          </w:tcPr>
          <w:p>
            <w:pPr>
              <w:spacing w:after="0"/>
              <w:rPr>
                <w:sz w:val="11"/>
                <w:szCs w:val="11"/>
                <w:color w:val="auto"/>
              </w:rPr>
            </w:pPr>
          </w:p>
        </w:tc>
        <w:tc>
          <w:tcPr>
            <w:tcW w:w="18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000" w:type="dxa"/>
            <w:vAlign w:val="bottom"/>
            <w:tcBorders>
              <w:bottom w:val="single" w:sz="8" w:color="CCEEFF"/>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4"/>
                <w:szCs w:val="14"/>
                <w:color w:val="auto"/>
              </w:rPr>
              <w:t>10.24</w:t>
            </w:r>
          </w:p>
        </w:tc>
        <w:tc>
          <w:tcPr>
            <w:tcW w:w="5020" w:type="dxa"/>
            <w:vAlign w:val="bottom"/>
            <w:tcBorders>
              <w:bottom w:val="single" w:sz="8" w:color="0000FF"/>
            </w:tcBorders>
            <w:gridSpan w:val="15"/>
            <w:shd w:val="clear" w:color="auto" w:fill="CCEEFF"/>
          </w:tcPr>
          <w:p>
            <w:pPr>
              <w:spacing w:after="0" w:line="156" w:lineRule="exact"/>
              <w:rPr>
                <w:rFonts w:ascii="Times New Roman" w:cs="Times New Roman" w:eastAsia="Times New Roman" w:hAnsi="Times New Roman"/>
                <w:sz w:val="14"/>
                <w:szCs w:val="14"/>
                <w:color w:val="0000FF"/>
              </w:rPr>
            </w:pPr>
            <w:hyperlink r:id="rId202">
              <w:r>
                <w:rPr>
                  <w:rFonts w:ascii="Times New Roman" w:cs="Times New Roman" w:eastAsia="Times New Roman" w:hAnsi="Times New Roman"/>
                  <w:sz w:val="14"/>
                  <w:szCs w:val="14"/>
                  <w:color w:val="0000FF"/>
                </w:rPr>
                <w:t>First Lien Intercompany Subordination Agreement, dated as of February 1, 2019, among</w:t>
              </w:r>
            </w:hyperlink>
          </w:p>
        </w:tc>
        <w:tc>
          <w:tcPr>
            <w:tcW w:w="840" w:type="dxa"/>
            <w:vAlign w:val="bottom"/>
            <w:tcBorders>
              <w:bottom w:val="single" w:sz="8" w:color="CCEEFF"/>
            </w:tcBorders>
            <w:gridSpan w:val="29"/>
            <w:shd w:val="clear" w:color="auto" w:fill="CCEEFF"/>
          </w:tcPr>
          <w:p>
            <w:pPr>
              <w:spacing w:after="0"/>
              <w:rPr>
                <w:sz w:val="13"/>
                <w:szCs w:val="13"/>
                <w:color w:val="auto"/>
              </w:rPr>
            </w:pPr>
          </w:p>
        </w:tc>
        <w:tc>
          <w:tcPr>
            <w:tcW w:w="1800" w:type="dxa"/>
            <w:vAlign w:val="bottom"/>
            <w:tcBorders>
              <w:bottom w:val="single" w:sz="8" w:color="CCEEFF"/>
            </w:tcBorders>
            <w:shd w:val="clear" w:color="auto" w:fill="CCEEFF"/>
          </w:tcPr>
          <w:p>
            <w:pPr>
              <w:jc w:val="center"/>
              <w:ind w:right="169"/>
              <w:spacing w:after="0" w:line="156" w:lineRule="exact"/>
              <w:rPr>
                <w:sz w:val="20"/>
                <w:szCs w:val="20"/>
                <w:color w:val="auto"/>
              </w:rPr>
            </w:pPr>
            <w:r>
              <w:rPr>
                <w:rFonts w:ascii="Times New Roman" w:cs="Times New Roman" w:eastAsia="Times New Roman" w:hAnsi="Times New Roman"/>
                <w:sz w:val="14"/>
                <w:szCs w:val="14"/>
                <w:color w:val="auto"/>
              </w:rPr>
              <w:t>S-1 filed February 27, 2020</w:t>
            </w:r>
          </w:p>
        </w:tc>
        <w:tc>
          <w:tcPr>
            <w:tcW w:w="1380" w:type="dxa"/>
            <w:vAlign w:val="bottom"/>
            <w:tcBorders>
              <w:bottom w:val="single" w:sz="8" w:color="CCEEFF"/>
            </w:tcBorders>
            <w:shd w:val="clear" w:color="auto" w:fill="CCEEFF"/>
          </w:tcPr>
          <w:p>
            <w:pPr>
              <w:jc w:val="center"/>
              <w:ind w:right="109"/>
              <w:spacing w:after="0" w:line="156" w:lineRule="exact"/>
              <w:rPr>
                <w:sz w:val="20"/>
                <w:szCs w:val="20"/>
                <w:color w:val="auto"/>
              </w:rPr>
            </w:pPr>
            <w:r>
              <w:rPr>
                <w:rFonts w:ascii="Times New Roman" w:cs="Times New Roman" w:eastAsia="Times New Roman" w:hAnsi="Times New Roman"/>
                <w:sz w:val="14"/>
                <w:szCs w:val="14"/>
                <w:color w:val="auto"/>
              </w:rPr>
              <w:t>333-236674</w:t>
            </w:r>
          </w:p>
        </w:tc>
        <w:tc>
          <w:tcPr>
            <w:tcW w:w="1200" w:type="dxa"/>
            <w:vAlign w:val="bottom"/>
            <w:tcBorders>
              <w:bottom w:val="single" w:sz="8" w:color="CCEEFF"/>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4"/>
                <w:szCs w:val="14"/>
                <w:color w:val="auto"/>
              </w:rPr>
              <w:t>10.15</w:t>
            </w:r>
          </w:p>
        </w:tc>
        <w:tc>
          <w:tcPr>
            <w:tcW w:w="0" w:type="dxa"/>
            <w:vAlign w:val="bottom"/>
          </w:tcPr>
          <w:p>
            <w:pPr>
              <w:spacing w:after="0"/>
              <w:rPr>
                <w:sz w:val="1"/>
                <w:szCs w:val="1"/>
                <w:color w:val="auto"/>
              </w:rPr>
            </w:pPr>
          </w:p>
        </w:tc>
      </w:tr>
      <w:tr>
        <w:trPr>
          <w:trHeight w:val="126"/>
        </w:trPr>
        <w:tc>
          <w:tcPr>
            <w:tcW w:w="1000" w:type="dxa"/>
            <w:vAlign w:val="bottom"/>
            <w:shd w:val="clear" w:color="auto" w:fill="CCEEFF"/>
          </w:tcPr>
          <w:p>
            <w:pPr>
              <w:spacing w:after="0"/>
              <w:rPr>
                <w:sz w:val="10"/>
                <w:szCs w:val="10"/>
                <w:color w:val="auto"/>
              </w:rPr>
            </w:pPr>
          </w:p>
        </w:tc>
        <w:tc>
          <w:tcPr>
            <w:tcW w:w="5860" w:type="dxa"/>
            <w:vAlign w:val="bottom"/>
            <w:gridSpan w:val="44"/>
            <w:shd w:val="clear" w:color="auto" w:fill="CCEEFF"/>
          </w:tcPr>
          <w:p>
            <w:pPr>
              <w:spacing w:after="0" w:line="126" w:lineRule="exact"/>
              <w:rPr>
                <w:rFonts w:ascii="Times New Roman" w:cs="Times New Roman" w:eastAsia="Times New Roman" w:hAnsi="Times New Roman"/>
                <w:sz w:val="14"/>
                <w:szCs w:val="14"/>
                <w:color w:val="0000FF"/>
              </w:rPr>
            </w:pPr>
            <w:hyperlink r:id="rId202">
              <w:r>
                <w:rPr>
                  <w:rFonts w:ascii="Times New Roman" w:cs="Times New Roman" w:eastAsia="Times New Roman" w:hAnsi="Times New Roman"/>
                  <w:sz w:val="14"/>
                  <w:szCs w:val="14"/>
                  <w:color w:val="0000FF"/>
                </w:rPr>
                <w:t>DiscoverOrg, LLC, DiscoverOrg Midco, LLC, the subordinated creditors and obligors party thereto</w:t>
              </w:r>
            </w:hyperlink>
          </w:p>
        </w:tc>
        <w:tc>
          <w:tcPr>
            <w:tcW w:w="180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000" w:type="dxa"/>
            <w:vAlign w:val="bottom"/>
            <w:tcBorders>
              <w:top w:val="single" w:sz="8" w:color="CCEEFF"/>
            </w:tcBorders>
            <w:shd w:val="clear" w:color="auto" w:fill="CCEEFF"/>
          </w:tcPr>
          <w:p>
            <w:pPr>
              <w:spacing w:after="0"/>
              <w:rPr>
                <w:sz w:val="9"/>
                <w:szCs w:val="9"/>
                <w:color w:val="auto"/>
              </w:rPr>
            </w:pPr>
          </w:p>
        </w:tc>
        <w:tc>
          <w:tcPr>
            <w:tcW w:w="5700" w:type="dxa"/>
            <w:vAlign w:val="bottom"/>
            <w:tcBorders>
              <w:top w:val="single" w:sz="8" w:color="0000FF"/>
            </w:tcBorders>
            <w:gridSpan w:val="34"/>
            <w:shd w:val="clear" w:color="auto" w:fill="CCEEFF"/>
          </w:tcPr>
          <w:p>
            <w:pPr>
              <w:spacing w:after="0" w:line="113" w:lineRule="exact"/>
              <w:rPr>
                <w:rFonts w:ascii="Times New Roman" w:cs="Times New Roman" w:eastAsia="Times New Roman" w:hAnsi="Times New Roman"/>
                <w:sz w:val="13"/>
                <w:szCs w:val="13"/>
                <w:color w:val="0000FF"/>
              </w:rPr>
            </w:pPr>
            <w:hyperlink r:id="rId202">
              <w:r>
                <w:rPr>
                  <w:rFonts w:ascii="Times New Roman" w:cs="Times New Roman" w:eastAsia="Times New Roman" w:hAnsi="Times New Roman"/>
                  <w:sz w:val="13"/>
                  <w:szCs w:val="13"/>
                  <w:color w:val="0000FF"/>
                </w:rPr>
                <w:t>from time to time and Morgan Stanley Senior Funding, Inc., as administrative agent and collateral</w:t>
              </w:r>
            </w:hyperlink>
          </w:p>
        </w:tc>
        <w:tc>
          <w:tcPr>
            <w:tcW w:w="100" w:type="dxa"/>
            <w:vAlign w:val="bottom"/>
            <w:tcBorders>
              <w:top w:val="single" w:sz="8" w:color="CCEEFF"/>
            </w:tcBorders>
            <w:gridSpan w:val="7"/>
            <w:shd w:val="clear" w:color="auto" w:fill="CCEEFF"/>
          </w:tcPr>
          <w:p>
            <w:pPr>
              <w:spacing w:after="0"/>
              <w:rPr>
                <w:sz w:val="9"/>
                <w:szCs w:val="9"/>
                <w:color w:val="auto"/>
              </w:rPr>
            </w:pPr>
          </w:p>
        </w:tc>
        <w:tc>
          <w:tcPr>
            <w:tcW w:w="60" w:type="dxa"/>
            <w:vAlign w:val="bottom"/>
            <w:tcBorders>
              <w:top w:val="single" w:sz="8" w:color="CCEEFF"/>
            </w:tcBorders>
            <w:gridSpan w:val="3"/>
            <w:shd w:val="clear" w:color="auto" w:fill="CCEEFF"/>
          </w:tcPr>
          <w:p>
            <w:pPr>
              <w:spacing w:after="0"/>
              <w:rPr>
                <w:sz w:val="9"/>
                <w:szCs w:val="9"/>
                <w:color w:val="auto"/>
              </w:rPr>
            </w:pPr>
          </w:p>
        </w:tc>
        <w:tc>
          <w:tcPr>
            <w:tcW w:w="1800" w:type="dxa"/>
            <w:vAlign w:val="bottom"/>
            <w:tcBorders>
              <w:top w:val="single" w:sz="8" w:color="CCEEFF"/>
            </w:tcBorders>
            <w:shd w:val="clear" w:color="auto" w:fill="CCEEFF"/>
          </w:tcPr>
          <w:p>
            <w:pPr>
              <w:spacing w:after="0"/>
              <w:rPr>
                <w:sz w:val="9"/>
                <w:szCs w:val="9"/>
                <w:color w:val="auto"/>
              </w:rPr>
            </w:pPr>
          </w:p>
        </w:tc>
        <w:tc>
          <w:tcPr>
            <w:tcW w:w="1380" w:type="dxa"/>
            <w:vAlign w:val="bottom"/>
            <w:tcBorders>
              <w:top w:val="single" w:sz="8" w:color="CCEEFF"/>
            </w:tcBorders>
            <w:shd w:val="clear" w:color="auto" w:fill="CCEEFF"/>
          </w:tcPr>
          <w:p>
            <w:pPr>
              <w:spacing w:after="0"/>
              <w:rPr>
                <w:sz w:val="9"/>
                <w:szCs w:val="9"/>
                <w:color w:val="auto"/>
              </w:rPr>
            </w:pPr>
          </w:p>
        </w:tc>
        <w:tc>
          <w:tcPr>
            <w:tcW w:w="12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00" w:type="dxa"/>
            <w:vAlign w:val="bottom"/>
            <w:tcBorders>
              <w:top w:val="single" w:sz="8" w:color="CCEEFF"/>
            </w:tcBorders>
            <w:shd w:val="clear" w:color="auto" w:fill="CCEEFF"/>
          </w:tcPr>
          <w:p>
            <w:pPr>
              <w:spacing w:after="0"/>
              <w:rPr>
                <w:sz w:val="10"/>
                <w:szCs w:val="10"/>
                <w:color w:val="auto"/>
              </w:rPr>
            </w:pPr>
          </w:p>
        </w:tc>
        <w:tc>
          <w:tcPr>
            <w:tcW w:w="5560" w:type="dxa"/>
            <w:vAlign w:val="bottom"/>
            <w:tcBorders>
              <w:top w:val="single" w:sz="8" w:color="0000FF"/>
            </w:tcBorders>
            <w:gridSpan w:val="26"/>
            <w:shd w:val="clear" w:color="auto" w:fill="CCEEFF"/>
          </w:tcPr>
          <w:p>
            <w:pPr>
              <w:spacing w:after="0" w:line="126" w:lineRule="exact"/>
              <w:rPr>
                <w:rFonts w:ascii="Times New Roman" w:cs="Times New Roman" w:eastAsia="Times New Roman" w:hAnsi="Times New Roman"/>
                <w:sz w:val="14"/>
                <w:szCs w:val="14"/>
                <w:color w:val="0000FF"/>
              </w:rPr>
            </w:pPr>
            <w:hyperlink r:id="rId202">
              <w:r>
                <w:rPr>
                  <w:rFonts w:ascii="Times New Roman" w:cs="Times New Roman" w:eastAsia="Times New Roman" w:hAnsi="Times New Roman"/>
                  <w:sz w:val="14"/>
                  <w:szCs w:val="14"/>
                  <w:color w:val="0000FF"/>
                </w:rPr>
                <w:t>agent</w:t>
              </w:r>
            </w:hyperlink>
          </w:p>
        </w:tc>
        <w:tc>
          <w:tcPr>
            <w:tcW w:w="240" w:type="dxa"/>
            <w:vAlign w:val="bottom"/>
            <w:tcBorders>
              <w:top w:val="single" w:sz="8" w:color="CCEEFF"/>
            </w:tcBorders>
            <w:gridSpan w:val="15"/>
            <w:shd w:val="clear" w:color="auto" w:fill="CCEEFF"/>
          </w:tcPr>
          <w:p>
            <w:pPr>
              <w:spacing w:after="0"/>
              <w:rPr>
                <w:sz w:val="10"/>
                <w:szCs w:val="10"/>
                <w:color w:val="auto"/>
              </w:rPr>
            </w:pPr>
          </w:p>
        </w:tc>
        <w:tc>
          <w:tcPr>
            <w:tcW w:w="60" w:type="dxa"/>
            <w:vAlign w:val="bottom"/>
            <w:tcBorders>
              <w:top w:val="single" w:sz="8" w:color="CCEEFF"/>
            </w:tcBorders>
            <w:gridSpan w:val="3"/>
            <w:shd w:val="clear" w:color="auto" w:fill="CCEEFF"/>
          </w:tcPr>
          <w:p>
            <w:pPr>
              <w:spacing w:after="0"/>
              <w:rPr>
                <w:sz w:val="10"/>
                <w:szCs w:val="10"/>
                <w:color w:val="auto"/>
              </w:rPr>
            </w:pPr>
          </w:p>
        </w:tc>
        <w:tc>
          <w:tcPr>
            <w:tcW w:w="1800" w:type="dxa"/>
            <w:vAlign w:val="bottom"/>
            <w:tcBorders>
              <w:top w:val="single" w:sz="8" w:color="CCEEFF"/>
            </w:tcBorders>
            <w:shd w:val="clear" w:color="auto" w:fill="CCEEFF"/>
          </w:tcPr>
          <w:p>
            <w:pPr>
              <w:spacing w:after="0"/>
              <w:rPr>
                <w:sz w:val="10"/>
                <w:szCs w:val="10"/>
                <w:color w:val="auto"/>
              </w:rPr>
            </w:pPr>
          </w:p>
        </w:tc>
        <w:tc>
          <w:tcPr>
            <w:tcW w:w="1380" w:type="dxa"/>
            <w:vAlign w:val="bottom"/>
            <w:tcBorders>
              <w:top w:val="single" w:sz="8" w:color="CCEEFF"/>
            </w:tcBorders>
            <w:shd w:val="clear" w:color="auto" w:fill="CCEEFF"/>
          </w:tcPr>
          <w:p>
            <w:pPr>
              <w:spacing w:after="0"/>
              <w:rPr>
                <w:sz w:val="10"/>
                <w:szCs w:val="10"/>
                <w:color w:val="auto"/>
              </w:rPr>
            </w:pPr>
          </w:p>
        </w:tc>
        <w:tc>
          <w:tcPr>
            <w:tcW w:w="12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10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94967277"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10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10.25†</w:t>
            </w:r>
          </w:p>
        </w:tc>
        <w:tc>
          <w:tcPr>
            <w:tcW w:w="5860" w:type="dxa"/>
            <w:vAlign w:val="bottom"/>
            <w:gridSpan w:val="44"/>
          </w:tcPr>
          <w:p>
            <w:pPr>
              <w:spacing w:after="0" w:line="146" w:lineRule="exact"/>
              <w:rPr>
                <w:rFonts w:ascii="Times New Roman" w:cs="Times New Roman" w:eastAsia="Times New Roman" w:hAnsi="Times New Roman"/>
                <w:sz w:val="14"/>
                <w:szCs w:val="14"/>
                <w:color w:val="0000FF"/>
              </w:rPr>
            </w:pPr>
            <w:hyperlink r:id="rId203">
              <w:r>
                <w:rPr>
                  <w:rFonts w:ascii="Times New Roman" w:cs="Times New Roman" w:eastAsia="Times New Roman" w:hAnsi="Times New Roman"/>
                  <w:sz w:val="14"/>
                  <w:szCs w:val="14"/>
                  <w:color w:val="0000FF"/>
                </w:rPr>
                <w:t>Employment Agreement, dated as of May 27, 2020, between ZoomInfo Technologies Inc., ZoomInfo</w:t>
              </w:r>
            </w:hyperlink>
          </w:p>
        </w:tc>
        <w:tc>
          <w:tcPr>
            <w:tcW w:w="1800" w:type="dxa"/>
            <w:vAlign w:val="bottom"/>
          </w:tcPr>
          <w:p>
            <w:pPr>
              <w:jc w:val="center"/>
              <w:ind w:right="189"/>
              <w:spacing w:after="0" w:line="146" w:lineRule="exact"/>
              <w:rPr>
                <w:sz w:val="20"/>
                <w:szCs w:val="20"/>
                <w:color w:val="auto"/>
              </w:rPr>
            </w:pPr>
            <w:r>
              <w:rPr>
                <w:rFonts w:ascii="Times New Roman" w:cs="Times New Roman" w:eastAsia="Times New Roman" w:hAnsi="Times New Roman"/>
                <w:sz w:val="14"/>
                <w:szCs w:val="14"/>
                <w:color w:val="auto"/>
              </w:rPr>
              <w:t>8-K filed June 8, 2020</w:t>
            </w:r>
          </w:p>
        </w:tc>
        <w:tc>
          <w:tcPr>
            <w:tcW w:w="1380" w:type="dxa"/>
            <w:vAlign w:val="bottom"/>
          </w:tcPr>
          <w:p>
            <w:pPr>
              <w:jc w:val="center"/>
              <w:ind w:right="109"/>
              <w:spacing w:after="0" w:line="146" w:lineRule="exact"/>
              <w:rPr>
                <w:sz w:val="20"/>
                <w:szCs w:val="20"/>
                <w:color w:val="auto"/>
              </w:rPr>
            </w:pPr>
            <w:r>
              <w:rPr>
                <w:rFonts w:ascii="Times New Roman" w:cs="Times New Roman" w:eastAsia="Times New Roman" w:hAnsi="Times New Roman"/>
                <w:sz w:val="14"/>
                <w:szCs w:val="14"/>
                <w:color w:val="auto"/>
                <w:w w:val="98"/>
              </w:rPr>
              <w:t>001-39310</w:t>
            </w:r>
          </w:p>
        </w:tc>
        <w:tc>
          <w:tcPr>
            <w:tcW w:w="12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136"/>
        </w:trPr>
        <w:tc>
          <w:tcPr>
            <w:tcW w:w="1000" w:type="dxa"/>
            <w:vAlign w:val="bottom"/>
          </w:tcPr>
          <w:p>
            <w:pPr>
              <w:spacing w:after="0"/>
              <w:rPr>
                <w:sz w:val="11"/>
                <w:szCs w:val="11"/>
                <w:color w:val="auto"/>
              </w:rPr>
            </w:pPr>
          </w:p>
        </w:tc>
        <w:tc>
          <w:tcPr>
            <w:tcW w:w="1420" w:type="dxa"/>
            <w:vAlign w:val="bottom"/>
            <w:tcBorders>
              <w:top w:val="single" w:sz="8" w:color="0000FF"/>
              <w:bottom w:val="single" w:sz="8" w:color="0000FF"/>
            </w:tcBorders>
            <w:gridSpan w:val="5"/>
          </w:tcPr>
          <w:p>
            <w:pPr>
              <w:spacing w:after="0" w:line="126" w:lineRule="exact"/>
              <w:rPr>
                <w:rFonts w:ascii="Times New Roman" w:cs="Times New Roman" w:eastAsia="Times New Roman" w:hAnsi="Times New Roman"/>
                <w:sz w:val="14"/>
                <w:szCs w:val="14"/>
                <w:color w:val="0000FF"/>
                <w:w w:val="99"/>
              </w:rPr>
            </w:pPr>
            <w:hyperlink r:id="rId203">
              <w:r>
                <w:rPr>
                  <w:rFonts w:ascii="Times New Roman" w:cs="Times New Roman" w:eastAsia="Times New Roman" w:hAnsi="Times New Roman"/>
                  <w:sz w:val="14"/>
                  <w:szCs w:val="14"/>
                  <w:color w:val="0000FF"/>
                  <w:w w:val="99"/>
                </w:rPr>
                <w:t>OpCo and Henry Schuck</w:t>
              </w:r>
            </w:hyperlink>
          </w:p>
        </w:tc>
        <w:tc>
          <w:tcPr>
            <w:tcW w:w="4380" w:type="dxa"/>
            <w:vAlign w:val="bottom"/>
            <w:tcBorders>
              <w:top w:val="single" w:sz="8" w:color="0000FF"/>
            </w:tcBorders>
            <w:gridSpan w:val="36"/>
          </w:tcPr>
          <w:p>
            <w:pPr>
              <w:spacing w:after="0"/>
              <w:rPr>
                <w:sz w:val="11"/>
                <w:szCs w:val="11"/>
                <w:color w:val="auto"/>
              </w:rPr>
            </w:pPr>
          </w:p>
        </w:tc>
        <w:tc>
          <w:tcPr>
            <w:tcW w:w="60" w:type="dxa"/>
            <w:vAlign w:val="bottom"/>
            <w:gridSpan w:val="3"/>
          </w:tcPr>
          <w:p>
            <w:pPr>
              <w:spacing w:after="0"/>
              <w:rPr>
                <w:sz w:val="11"/>
                <w:szCs w:val="11"/>
                <w:color w:val="auto"/>
              </w:rPr>
            </w:pPr>
          </w:p>
        </w:tc>
        <w:tc>
          <w:tcPr>
            <w:tcW w:w="18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000" w:type="dxa"/>
            <w:vAlign w:val="bottom"/>
            <w:shd w:val="clear" w:color="auto" w:fill="CCEEFF"/>
          </w:tcPr>
          <w:p>
            <w:pPr>
              <w:jc w:val="center"/>
              <w:spacing w:after="0" w:line="156" w:lineRule="exact"/>
              <w:rPr>
                <w:sz w:val="20"/>
                <w:szCs w:val="20"/>
                <w:color w:val="auto"/>
              </w:rPr>
            </w:pPr>
            <w:r>
              <w:rPr>
                <w:rFonts w:ascii="Times New Roman" w:cs="Times New Roman" w:eastAsia="Times New Roman" w:hAnsi="Times New Roman"/>
                <w:sz w:val="14"/>
                <w:szCs w:val="14"/>
                <w:color w:val="auto"/>
              </w:rPr>
              <w:t>10.26†</w:t>
            </w:r>
          </w:p>
        </w:tc>
        <w:tc>
          <w:tcPr>
            <w:tcW w:w="5860" w:type="dxa"/>
            <w:vAlign w:val="bottom"/>
            <w:gridSpan w:val="44"/>
            <w:shd w:val="clear" w:color="auto" w:fill="CCEEFF"/>
          </w:tcPr>
          <w:p>
            <w:pPr>
              <w:spacing w:after="0" w:line="156" w:lineRule="exact"/>
              <w:rPr>
                <w:rFonts w:ascii="Times New Roman" w:cs="Times New Roman" w:eastAsia="Times New Roman" w:hAnsi="Times New Roman"/>
                <w:sz w:val="14"/>
                <w:szCs w:val="14"/>
                <w:color w:val="0000FF"/>
              </w:rPr>
            </w:pPr>
            <w:hyperlink r:id="rId204">
              <w:r>
                <w:rPr>
                  <w:rFonts w:ascii="Times New Roman" w:cs="Times New Roman" w:eastAsia="Times New Roman" w:hAnsi="Times New Roman"/>
                  <w:sz w:val="14"/>
                  <w:szCs w:val="14"/>
                  <w:color w:val="0000FF"/>
                </w:rPr>
                <w:t>Employment Agreement, dated December 21, 2018, by and between DiscoverOrg Data, LLC and</w:t>
              </w:r>
            </w:hyperlink>
          </w:p>
        </w:tc>
        <w:tc>
          <w:tcPr>
            <w:tcW w:w="1800" w:type="dxa"/>
            <w:vAlign w:val="bottom"/>
            <w:shd w:val="clear" w:color="auto" w:fill="CCEEFF"/>
          </w:tcPr>
          <w:p>
            <w:pPr>
              <w:jc w:val="center"/>
              <w:ind w:right="169"/>
              <w:spacing w:after="0" w:line="156" w:lineRule="exact"/>
              <w:rPr>
                <w:sz w:val="20"/>
                <w:szCs w:val="20"/>
                <w:color w:val="auto"/>
              </w:rPr>
            </w:pPr>
            <w:r>
              <w:rPr>
                <w:rFonts w:ascii="Times New Roman" w:cs="Times New Roman" w:eastAsia="Times New Roman" w:hAnsi="Times New Roman"/>
                <w:sz w:val="14"/>
                <w:szCs w:val="14"/>
                <w:color w:val="auto"/>
              </w:rPr>
              <w:t>S-1 filed February 27, 2020</w:t>
            </w:r>
          </w:p>
        </w:tc>
        <w:tc>
          <w:tcPr>
            <w:tcW w:w="1380" w:type="dxa"/>
            <w:vAlign w:val="bottom"/>
            <w:shd w:val="clear" w:color="auto" w:fill="CCEEFF"/>
          </w:tcPr>
          <w:p>
            <w:pPr>
              <w:jc w:val="center"/>
              <w:ind w:right="109"/>
              <w:spacing w:after="0" w:line="156" w:lineRule="exact"/>
              <w:rPr>
                <w:sz w:val="20"/>
                <w:szCs w:val="20"/>
                <w:color w:val="auto"/>
              </w:rPr>
            </w:pPr>
            <w:r>
              <w:rPr>
                <w:rFonts w:ascii="Times New Roman" w:cs="Times New Roman" w:eastAsia="Times New Roman" w:hAnsi="Times New Roman"/>
                <w:sz w:val="14"/>
                <w:szCs w:val="14"/>
                <w:color w:val="auto"/>
              </w:rPr>
              <w:t>333-236674</w:t>
            </w:r>
          </w:p>
        </w:tc>
        <w:tc>
          <w:tcPr>
            <w:tcW w:w="1200" w:type="dxa"/>
            <w:vAlign w:val="bottom"/>
            <w:shd w:val="clear" w:color="auto" w:fill="CCEEFF"/>
          </w:tcPr>
          <w:p>
            <w:pPr>
              <w:jc w:val="center"/>
              <w:spacing w:after="0" w:line="156" w:lineRule="exact"/>
              <w:rPr>
                <w:sz w:val="20"/>
                <w:szCs w:val="20"/>
                <w:color w:val="auto"/>
              </w:rPr>
            </w:pPr>
            <w:r>
              <w:rPr>
                <w:rFonts w:ascii="Times New Roman" w:cs="Times New Roman" w:eastAsia="Times New Roman" w:hAnsi="Times New Roman"/>
                <w:sz w:val="14"/>
                <w:szCs w:val="14"/>
                <w:color w:val="auto"/>
              </w:rPr>
              <w:t>10.25</w:t>
            </w:r>
          </w:p>
        </w:tc>
        <w:tc>
          <w:tcPr>
            <w:tcW w:w="0" w:type="dxa"/>
            <w:vAlign w:val="bottom"/>
          </w:tcPr>
          <w:p>
            <w:pPr>
              <w:spacing w:after="0"/>
              <w:rPr>
                <w:sz w:val="1"/>
                <w:szCs w:val="1"/>
                <w:color w:val="auto"/>
              </w:rPr>
            </w:pPr>
          </w:p>
        </w:tc>
      </w:tr>
      <w:tr>
        <w:trPr>
          <w:trHeight w:val="126"/>
        </w:trPr>
        <w:tc>
          <w:tcPr>
            <w:tcW w:w="1000" w:type="dxa"/>
            <w:vAlign w:val="bottom"/>
            <w:tcBorders>
              <w:top w:val="single" w:sz="8" w:color="CCEEFF"/>
            </w:tcBorders>
            <w:shd w:val="clear" w:color="auto" w:fill="CCEEFF"/>
          </w:tcPr>
          <w:p>
            <w:pPr>
              <w:spacing w:after="0"/>
              <w:rPr>
                <w:sz w:val="10"/>
                <w:szCs w:val="10"/>
                <w:color w:val="auto"/>
              </w:rPr>
            </w:pPr>
          </w:p>
        </w:tc>
        <w:tc>
          <w:tcPr>
            <w:tcW w:w="5540" w:type="dxa"/>
            <w:vAlign w:val="bottom"/>
            <w:tcBorders>
              <w:top w:val="single" w:sz="8" w:color="0000FF"/>
            </w:tcBorders>
            <w:gridSpan w:val="25"/>
            <w:shd w:val="clear" w:color="auto" w:fill="CCEEFF"/>
          </w:tcPr>
          <w:p>
            <w:pPr>
              <w:spacing w:after="0" w:line="126" w:lineRule="exact"/>
              <w:rPr>
                <w:rFonts w:ascii="Times New Roman" w:cs="Times New Roman" w:eastAsia="Times New Roman" w:hAnsi="Times New Roman"/>
                <w:sz w:val="14"/>
                <w:szCs w:val="14"/>
                <w:color w:val="0000FF"/>
              </w:rPr>
            </w:pPr>
            <w:hyperlink r:id="rId204">
              <w:r>
                <w:rPr>
                  <w:rFonts w:ascii="Times New Roman" w:cs="Times New Roman" w:eastAsia="Times New Roman" w:hAnsi="Times New Roman"/>
                  <w:sz w:val="14"/>
                  <w:szCs w:val="14"/>
                  <w:color w:val="0000FF"/>
                </w:rPr>
                <w:t>Peter Cameron Hyzer</w:t>
              </w:r>
            </w:hyperlink>
          </w:p>
        </w:tc>
        <w:tc>
          <w:tcPr>
            <w:tcW w:w="320" w:type="dxa"/>
            <w:vAlign w:val="bottom"/>
            <w:tcBorders>
              <w:top w:val="single" w:sz="8" w:color="CCEEFF"/>
            </w:tcBorders>
            <w:gridSpan w:val="19"/>
            <w:shd w:val="clear" w:color="auto" w:fill="CCEEFF"/>
          </w:tcPr>
          <w:p>
            <w:pPr>
              <w:spacing w:after="0"/>
              <w:rPr>
                <w:sz w:val="10"/>
                <w:szCs w:val="10"/>
                <w:color w:val="auto"/>
              </w:rPr>
            </w:pPr>
          </w:p>
        </w:tc>
        <w:tc>
          <w:tcPr>
            <w:tcW w:w="1800" w:type="dxa"/>
            <w:vAlign w:val="bottom"/>
            <w:tcBorders>
              <w:top w:val="single" w:sz="8" w:color="CCEEFF"/>
            </w:tcBorders>
            <w:shd w:val="clear" w:color="auto" w:fill="CCEEFF"/>
          </w:tcPr>
          <w:p>
            <w:pPr>
              <w:spacing w:after="0"/>
              <w:rPr>
                <w:sz w:val="10"/>
                <w:szCs w:val="10"/>
                <w:color w:val="auto"/>
              </w:rPr>
            </w:pPr>
          </w:p>
        </w:tc>
        <w:tc>
          <w:tcPr>
            <w:tcW w:w="1380" w:type="dxa"/>
            <w:vAlign w:val="bottom"/>
            <w:tcBorders>
              <w:top w:val="single" w:sz="8" w:color="CCEEFF"/>
            </w:tcBorders>
            <w:shd w:val="clear" w:color="auto" w:fill="CCEEFF"/>
          </w:tcPr>
          <w:p>
            <w:pPr>
              <w:spacing w:after="0"/>
              <w:rPr>
                <w:sz w:val="10"/>
                <w:szCs w:val="10"/>
                <w:color w:val="auto"/>
              </w:rPr>
            </w:pPr>
          </w:p>
        </w:tc>
        <w:tc>
          <w:tcPr>
            <w:tcW w:w="12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1000" w:type="dxa"/>
            <w:vAlign w:val="bottom"/>
            <w:shd w:val="clear" w:color="auto" w:fill="CCEE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294967277"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6"/>
        </w:trPr>
        <w:tc>
          <w:tcPr>
            <w:tcW w:w="10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10.27†</w:t>
            </w:r>
          </w:p>
        </w:tc>
        <w:tc>
          <w:tcPr>
            <w:tcW w:w="5860" w:type="dxa"/>
            <w:vAlign w:val="bottom"/>
            <w:gridSpan w:val="44"/>
          </w:tcPr>
          <w:p>
            <w:pPr>
              <w:spacing w:after="0" w:line="146" w:lineRule="exact"/>
              <w:rPr>
                <w:rFonts w:ascii="Times New Roman" w:cs="Times New Roman" w:eastAsia="Times New Roman" w:hAnsi="Times New Roman"/>
                <w:sz w:val="14"/>
                <w:szCs w:val="14"/>
                <w:color w:val="0000FF"/>
              </w:rPr>
            </w:pPr>
            <w:hyperlink r:id="rId205">
              <w:r>
                <w:rPr>
                  <w:rFonts w:ascii="Times New Roman" w:cs="Times New Roman" w:eastAsia="Times New Roman" w:hAnsi="Times New Roman"/>
                  <w:sz w:val="14"/>
                  <w:szCs w:val="14"/>
                  <w:color w:val="0000FF"/>
                </w:rPr>
                <w:t>Form of HSKB Funds, LLC Subscription Agreement</w:t>
              </w:r>
            </w:hyperlink>
          </w:p>
        </w:tc>
        <w:tc>
          <w:tcPr>
            <w:tcW w:w="1800" w:type="dxa"/>
            <w:vAlign w:val="bottom"/>
          </w:tcPr>
          <w:p>
            <w:pPr>
              <w:jc w:val="center"/>
              <w:ind w:right="169"/>
              <w:spacing w:after="0" w:line="146" w:lineRule="exact"/>
              <w:rPr>
                <w:sz w:val="20"/>
                <w:szCs w:val="20"/>
                <w:color w:val="auto"/>
              </w:rPr>
            </w:pPr>
            <w:r>
              <w:rPr>
                <w:rFonts w:ascii="Times New Roman" w:cs="Times New Roman" w:eastAsia="Times New Roman" w:hAnsi="Times New Roman"/>
                <w:sz w:val="14"/>
                <w:szCs w:val="14"/>
                <w:color w:val="auto"/>
              </w:rPr>
              <w:t>S-1 filed February 27, 2020</w:t>
            </w:r>
          </w:p>
        </w:tc>
        <w:tc>
          <w:tcPr>
            <w:tcW w:w="1380" w:type="dxa"/>
            <w:vAlign w:val="bottom"/>
          </w:tcPr>
          <w:p>
            <w:pPr>
              <w:jc w:val="center"/>
              <w:ind w:right="109"/>
              <w:spacing w:after="0" w:line="146" w:lineRule="exact"/>
              <w:rPr>
                <w:sz w:val="20"/>
                <w:szCs w:val="20"/>
                <w:color w:val="auto"/>
              </w:rPr>
            </w:pPr>
            <w:r>
              <w:rPr>
                <w:rFonts w:ascii="Times New Roman" w:cs="Times New Roman" w:eastAsia="Times New Roman" w:hAnsi="Times New Roman"/>
                <w:sz w:val="14"/>
                <w:szCs w:val="14"/>
                <w:color w:val="auto"/>
              </w:rPr>
              <w:t>333-236674</w:t>
            </w:r>
          </w:p>
        </w:tc>
        <w:tc>
          <w:tcPr>
            <w:tcW w:w="12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10.26</w:t>
            </w:r>
          </w:p>
        </w:tc>
        <w:tc>
          <w:tcPr>
            <w:tcW w:w="0" w:type="dxa"/>
            <w:vAlign w:val="bottom"/>
          </w:tcPr>
          <w:p>
            <w:pPr>
              <w:spacing w:after="0"/>
              <w:rPr>
                <w:sz w:val="1"/>
                <w:szCs w:val="1"/>
                <w:color w:val="auto"/>
              </w:rPr>
            </w:pPr>
          </w:p>
        </w:tc>
      </w:tr>
      <w:tr>
        <w:trPr>
          <w:trHeight w:val="33"/>
        </w:trPr>
        <w:tc>
          <w:tcPr>
            <w:tcW w:w="1000" w:type="dxa"/>
            <w:vAlign w:val="bottom"/>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77"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100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rPr>
              <w:t>10.28†</w:t>
            </w:r>
          </w:p>
        </w:tc>
        <w:tc>
          <w:tcPr>
            <w:tcW w:w="5860" w:type="dxa"/>
            <w:vAlign w:val="bottom"/>
            <w:gridSpan w:val="44"/>
            <w:shd w:val="clear" w:color="auto" w:fill="CCEEFF"/>
          </w:tcPr>
          <w:p>
            <w:pPr>
              <w:spacing w:after="0" w:line="146" w:lineRule="exact"/>
              <w:rPr>
                <w:rFonts w:ascii="Times New Roman" w:cs="Times New Roman" w:eastAsia="Times New Roman" w:hAnsi="Times New Roman"/>
                <w:sz w:val="14"/>
                <w:szCs w:val="14"/>
                <w:color w:val="0000FF"/>
              </w:rPr>
            </w:pPr>
            <w:hyperlink r:id="rId206">
              <w:r>
                <w:rPr>
                  <w:rFonts w:ascii="Times New Roman" w:cs="Times New Roman" w:eastAsia="Times New Roman" w:hAnsi="Times New Roman"/>
                  <w:sz w:val="14"/>
                  <w:szCs w:val="14"/>
                  <w:color w:val="0000FF"/>
                </w:rPr>
                <w:t>Form of Class P Incentive Unit Agreement</w:t>
              </w:r>
            </w:hyperlink>
          </w:p>
        </w:tc>
        <w:tc>
          <w:tcPr>
            <w:tcW w:w="1800" w:type="dxa"/>
            <w:vAlign w:val="bottom"/>
            <w:shd w:val="clear" w:color="auto" w:fill="CCEEFF"/>
          </w:tcPr>
          <w:p>
            <w:pPr>
              <w:jc w:val="center"/>
              <w:ind w:right="169"/>
              <w:spacing w:after="0" w:line="146" w:lineRule="exact"/>
              <w:rPr>
                <w:sz w:val="20"/>
                <w:szCs w:val="20"/>
                <w:color w:val="auto"/>
              </w:rPr>
            </w:pPr>
            <w:r>
              <w:rPr>
                <w:rFonts w:ascii="Times New Roman" w:cs="Times New Roman" w:eastAsia="Times New Roman" w:hAnsi="Times New Roman"/>
                <w:sz w:val="14"/>
                <w:szCs w:val="14"/>
                <w:color w:val="auto"/>
              </w:rPr>
              <w:t>S-1 filed February 27, 2020</w:t>
            </w:r>
          </w:p>
        </w:tc>
        <w:tc>
          <w:tcPr>
            <w:tcW w:w="1380" w:type="dxa"/>
            <w:vAlign w:val="bottom"/>
            <w:shd w:val="clear" w:color="auto" w:fill="CCEEFF"/>
          </w:tcPr>
          <w:p>
            <w:pPr>
              <w:jc w:val="center"/>
              <w:ind w:right="109"/>
              <w:spacing w:after="0" w:line="146" w:lineRule="exact"/>
              <w:rPr>
                <w:sz w:val="20"/>
                <w:szCs w:val="20"/>
                <w:color w:val="auto"/>
              </w:rPr>
            </w:pPr>
            <w:r>
              <w:rPr>
                <w:rFonts w:ascii="Times New Roman" w:cs="Times New Roman" w:eastAsia="Times New Roman" w:hAnsi="Times New Roman"/>
                <w:sz w:val="14"/>
                <w:szCs w:val="14"/>
                <w:color w:val="auto"/>
              </w:rPr>
              <w:t>333-236674</w:t>
            </w:r>
          </w:p>
        </w:tc>
        <w:tc>
          <w:tcPr>
            <w:tcW w:w="120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rPr>
              <w:t>10.27</w:t>
            </w:r>
          </w:p>
        </w:tc>
        <w:tc>
          <w:tcPr>
            <w:tcW w:w="0" w:type="dxa"/>
            <w:vAlign w:val="bottom"/>
          </w:tcPr>
          <w:p>
            <w:pPr>
              <w:spacing w:after="0"/>
              <w:rPr>
                <w:sz w:val="1"/>
                <w:szCs w:val="1"/>
                <w:color w:val="auto"/>
              </w:rPr>
            </w:pPr>
          </w:p>
        </w:tc>
      </w:tr>
      <w:tr>
        <w:trPr>
          <w:trHeight w:val="33"/>
        </w:trPr>
        <w:tc>
          <w:tcPr>
            <w:tcW w:w="10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94967277"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10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10.29†</w:t>
            </w:r>
          </w:p>
        </w:tc>
        <w:tc>
          <w:tcPr>
            <w:tcW w:w="5860" w:type="dxa"/>
            <w:vAlign w:val="bottom"/>
            <w:gridSpan w:val="44"/>
          </w:tcPr>
          <w:p>
            <w:pPr>
              <w:spacing w:after="0" w:line="146" w:lineRule="exact"/>
              <w:rPr>
                <w:rFonts w:ascii="Times New Roman" w:cs="Times New Roman" w:eastAsia="Times New Roman" w:hAnsi="Times New Roman"/>
                <w:sz w:val="14"/>
                <w:szCs w:val="14"/>
                <w:color w:val="0000FF"/>
              </w:rPr>
            </w:pPr>
            <w:hyperlink r:id="rId207">
              <w:r>
                <w:rPr>
                  <w:rFonts w:ascii="Times New Roman" w:cs="Times New Roman" w:eastAsia="Times New Roman" w:hAnsi="Times New Roman"/>
                  <w:sz w:val="14"/>
                  <w:szCs w:val="14"/>
                  <w:color w:val="0000FF"/>
                </w:rPr>
                <w:t>Form of Standard Employee Stock Option Agreement under 2020 Omnibus Incentive Plan</w:t>
              </w:r>
            </w:hyperlink>
          </w:p>
        </w:tc>
        <w:tc>
          <w:tcPr>
            <w:tcW w:w="1800" w:type="dxa"/>
            <w:vAlign w:val="bottom"/>
          </w:tcPr>
          <w:p>
            <w:pPr>
              <w:jc w:val="center"/>
              <w:ind w:right="189"/>
              <w:spacing w:after="0" w:line="146" w:lineRule="exact"/>
              <w:rPr>
                <w:sz w:val="20"/>
                <w:szCs w:val="20"/>
                <w:color w:val="auto"/>
              </w:rPr>
            </w:pPr>
            <w:r>
              <w:rPr>
                <w:rFonts w:ascii="Times New Roman" w:cs="Times New Roman" w:eastAsia="Times New Roman" w:hAnsi="Times New Roman"/>
                <w:sz w:val="14"/>
                <w:szCs w:val="14"/>
                <w:color w:val="auto"/>
              </w:rPr>
              <w:t>S-1/A filed May 22, 2020</w:t>
            </w:r>
          </w:p>
        </w:tc>
        <w:tc>
          <w:tcPr>
            <w:tcW w:w="1380" w:type="dxa"/>
            <w:vAlign w:val="bottom"/>
          </w:tcPr>
          <w:p>
            <w:pPr>
              <w:jc w:val="center"/>
              <w:ind w:right="109"/>
              <w:spacing w:after="0" w:line="146" w:lineRule="exact"/>
              <w:rPr>
                <w:sz w:val="20"/>
                <w:szCs w:val="20"/>
                <w:color w:val="auto"/>
              </w:rPr>
            </w:pPr>
            <w:r>
              <w:rPr>
                <w:rFonts w:ascii="Times New Roman" w:cs="Times New Roman" w:eastAsia="Times New Roman" w:hAnsi="Times New Roman"/>
                <w:sz w:val="14"/>
                <w:szCs w:val="14"/>
                <w:color w:val="auto"/>
              </w:rPr>
              <w:t>333-236674</w:t>
            </w:r>
          </w:p>
        </w:tc>
        <w:tc>
          <w:tcPr>
            <w:tcW w:w="12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10.28</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ectPr>
          <w:pgSz w:w="11900" w:h="16838" w:orient="portrait"/>
          <w:cols w:equalWidth="0" w:num="1">
            <w:col w:w="11240"/>
          </w:cols>
          <w:pgMar w:left="320" w:top="118" w:right="339" w:bottom="1440" w:gutter="0" w:footer="0" w:header="0"/>
        </w:sectPr>
      </w:pPr>
    </w:p>
    <w:p>
      <w:pPr>
        <w:spacing w:after="0" w:line="36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80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10.30†</w:t>
            </w:r>
          </w:p>
        </w:tc>
        <w:tc>
          <w:tcPr>
            <w:tcW w:w="5760" w:type="dxa"/>
            <w:vAlign w:val="bottom"/>
            <w:gridSpan w:val="24"/>
          </w:tcPr>
          <w:p>
            <w:pPr>
              <w:spacing w:after="0"/>
              <w:rPr>
                <w:rFonts w:ascii="Times New Roman" w:cs="Times New Roman" w:eastAsia="Times New Roman" w:hAnsi="Times New Roman"/>
                <w:sz w:val="14"/>
                <w:szCs w:val="14"/>
                <w:color w:val="0000FF"/>
              </w:rPr>
            </w:pPr>
            <w:hyperlink r:id="rId209">
              <w:r>
                <w:rPr>
                  <w:rFonts w:ascii="Times New Roman" w:cs="Times New Roman" w:eastAsia="Times New Roman" w:hAnsi="Times New Roman"/>
                  <w:sz w:val="14"/>
                  <w:szCs w:val="14"/>
                  <w:color w:val="0000FF"/>
                </w:rPr>
                <w:t>Form of Class P Unit Agreement for Henry Schuck under 2020 Omnibus Incentive Plan</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0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10.31†</w:t>
            </w:r>
          </w:p>
        </w:tc>
        <w:tc>
          <w:tcPr>
            <w:tcW w:w="5240" w:type="dxa"/>
            <w:vAlign w:val="bottom"/>
            <w:tcBorders>
              <w:bottom w:val="single" w:sz="8" w:color="0000FF"/>
            </w:tcBorders>
            <w:gridSpan w:val="13"/>
          </w:tcPr>
          <w:p>
            <w:pPr>
              <w:spacing w:after="0"/>
              <w:rPr>
                <w:rFonts w:ascii="Times New Roman" w:cs="Times New Roman" w:eastAsia="Times New Roman" w:hAnsi="Times New Roman"/>
                <w:sz w:val="14"/>
                <w:szCs w:val="14"/>
                <w:color w:val="0000FF"/>
              </w:rPr>
            </w:pPr>
            <w:hyperlink r:id="rId210">
              <w:r>
                <w:rPr>
                  <w:rFonts w:ascii="Times New Roman" w:cs="Times New Roman" w:eastAsia="Times New Roman" w:hAnsi="Times New Roman"/>
                  <w:sz w:val="14"/>
                  <w:szCs w:val="14"/>
                  <w:color w:val="0000FF"/>
                </w:rPr>
                <w:t>Form of Leverage Restoration Stock Option Agreement under 2020 Omnibus Incentive Plan</w:t>
              </w:r>
            </w:hyperlink>
          </w:p>
        </w:tc>
        <w:tc>
          <w:tcPr>
            <w:tcW w:w="52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0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10.32†</w:t>
            </w:r>
          </w:p>
        </w:tc>
        <w:tc>
          <w:tcPr>
            <w:tcW w:w="5600" w:type="dxa"/>
            <w:vAlign w:val="bottom"/>
            <w:tcBorders>
              <w:bottom w:val="single" w:sz="8" w:color="0000FF"/>
            </w:tcBorders>
            <w:gridSpan w:val="21"/>
          </w:tcPr>
          <w:p>
            <w:pPr>
              <w:spacing w:after="0"/>
              <w:rPr>
                <w:rFonts w:ascii="Times New Roman" w:cs="Times New Roman" w:eastAsia="Times New Roman" w:hAnsi="Times New Roman"/>
                <w:sz w:val="14"/>
                <w:szCs w:val="14"/>
                <w:color w:val="0000FF"/>
              </w:rPr>
            </w:pPr>
            <w:hyperlink r:id="rId211">
              <w:r>
                <w:rPr>
                  <w:rFonts w:ascii="Times New Roman" w:cs="Times New Roman" w:eastAsia="Times New Roman" w:hAnsi="Times New Roman"/>
                  <w:sz w:val="14"/>
                  <w:szCs w:val="14"/>
                  <w:color w:val="0000FF"/>
                </w:rPr>
                <w:t>Form of Standard Employee Restricted Stock Unit Agreement under 2020 Omnibus Incentive Plan</w:t>
              </w:r>
            </w:hyperlink>
          </w:p>
        </w:tc>
        <w:tc>
          <w:tcPr>
            <w:tcW w:w="1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80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10.33†</w:t>
            </w:r>
          </w:p>
        </w:tc>
        <w:tc>
          <w:tcPr>
            <w:tcW w:w="5760" w:type="dxa"/>
            <w:vAlign w:val="bottom"/>
            <w:gridSpan w:val="24"/>
          </w:tcPr>
          <w:p>
            <w:pPr>
              <w:spacing w:after="0"/>
              <w:rPr>
                <w:rFonts w:ascii="Times New Roman" w:cs="Times New Roman" w:eastAsia="Times New Roman" w:hAnsi="Times New Roman"/>
                <w:sz w:val="14"/>
                <w:szCs w:val="14"/>
                <w:color w:val="0000FF"/>
              </w:rPr>
            </w:pPr>
            <w:hyperlink r:id="rId212">
              <w:r>
                <w:rPr>
                  <w:rFonts w:ascii="Times New Roman" w:cs="Times New Roman" w:eastAsia="Times New Roman" w:hAnsi="Times New Roman"/>
                  <w:sz w:val="14"/>
                  <w:szCs w:val="14"/>
                  <w:color w:val="0000FF"/>
                </w:rPr>
                <w:t>Form of Non-Employee Director Annual Restricted Stock Unit Agreement under 2020 Omnibus</w:t>
              </w:r>
            </w:hyperlink>
          </w:p>
        </w:tc>
        <w:tc>
          <w:tcPr>
            <w:tcW w:w="0" w:type="dxa"/>
            <w:vAlign w:val="bottom"/>
          </w:tcPr>
          <w:p>
            <w:pPr>
              <w:spacing w:after="0"/>
              <w:rPr>
                <w:sz w:val="1"/>
                <w:szCs w:val="1"/>
                <w:color w:val="auto"/>
              </w:rPr>
            </w:pPr>
          </w:p>
        </w:tc>
      </w:tr>
      <w:tr>
        <w:trPr>
          <w:trHeight w:val="126"/>
        </w:trPr>
        <w:tc>
          <w:tcPr>
            <w:tcW w:w="800" w:type="dxa"/>
            <w:vAlign w:val="bottom"/>
          </w:tcPr>
          <w:p>
            <w:pPr>
              <w:spacing w:after="0"/>
              <w:rPr>
                <w:sz w:val="10"/>
                <w:szCs w:val="10"/>
                <w:color w:val="auto"/>
              </w:rPr>
            </w:pPr>
          </w:p>
        </w:tc>
        <w:tc>
          <w:tcPr>
            <w:tcW w:w="840" w:type="dxa"/>
            <w:vAlign w:val="bottom"/>
            <w:tcBorders>
              <w:top w:val="single" w:sz="8" w:color="0000FF"/>
              <w:bottom w:val="single" w:sz="8" w:color="0000FF"/>
            </w:tcBorders>
            <w:gridSpan w:val="3"/>
          </w:tcPr>
          <w:p>
            <w:pPr>
              <w:spacing w:after="0" w:line="126" w:lineRule="exact"/>
              <w:rPr>
                <w:rFonts w:ascii="Times New Roman" w:cs="Times New Roman" w:eastAsia="Times New Roman" w:hAnsi="Times New Roman"/>
                <w:sz w:val="14"/>
                <w:szCs w:val="14"/>
                <w:color w:val="0000FF"/>
              </w:rPr>
            </w:pPr>
            <w:hyperlink r:id="rId212">
              <w:r>
                <w:rPr>
                  <w:rFonts w:ascii="Times New Roman" w:cs="Times New Roman" w:eastAsia="Times New Roman" w:hAnsi="Times New Roman"/>
                  <w:sz w:val="14"/>
                  <w:szCs w:val="14"/>
                  <w:color w:val="0000FF"/>
                </w:rPr>
                <w:t>Incentive Plan</w:t>
              </w:r>
            </w:hyperlink>
          </w:p>
        </w:tc>
        <w:tc>
          <w:tcPr>
            <w:tcW w:w="4620" w:type="dxa"/>
            <w:vAlign w:val="bottom"/>
            <w:tcBorders>
              <w:top w:val="single" w:sz="8" w:color="0000FF"/>
            </w:tcBorders>
            <w:gridSpan w:val="14"/>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80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10.34†</w:t>
            </w:r>
          </w:p>
        </w:tc>
        <w:tc>
          <w:tcPr>
            <w:tcW w:w="5760" w:type="dxa"/>
            <w:vAlign w:val="bottom"/>
            <w:gridSpan w:val="24"/>
          </w:tcPr>
          <w:p>
            <w:pPr>
              <w:spacing w:after="0"/>
              <w:rPr>
                <w:rFonts w:ascii="Times New Roman" w:cs="Times New Roman" w:eastAsia="Times New Roman" w:hAnsi="Times New Roman"/>
                <w:sz w:val="14"/>
                <w:szCs w:val="14"/>
                <w:color w:val="0000FF"/>
              </w:rPr>
            </w:pPr>
            <w:hyperlink r:id="rId213">
              <w:r>
                <w:rPr>
                  <w:rFonts w:ascii="Times New Roman" w:cs="Times New Roman" w:eastAsia="Times New Roman" w:hAnsi="Times New Roman"/>
                  <w:sz w:val="14"/>
                  <w:szCs w:val="14"/>
                  <w:color w:val="0000FF"/>
                </w:rPr>
                <w:t>Form of Non-Employee Director Sign-On Restricted Stock Unit Agreement under 2020 Omnibus</w:t>
              </w:r>
            </w:hyperlink>
          </w:p>
        </w:tc>
        <w:tc>
          <w:tcPr>
            <w:tcW w:w="0" w:type="dxa"/>
            <w:vAlign w:val="bottom"/>
          </w:tcPr>
          <w:p>
            <w:pPr>
              <w:spacing w:after="0"/>
              <w:rPr>
                <w:sz w:val="1"/>
                <w:szCs w:val="1"/>
                <w:color w:val="auto"/>
              </w:rPr>
            </w:pPr>
          </w:p>
        </w:tc>
      </w:tr>
      <w:tr>
        <w:trPr>
          <w:trHeight w:val="126"/>
        </w:trPr>
        <w:tc>
          <w:tcPr>
            <w:tcW w:w="800" w:type="dxa"/>
            <w:vAlign w:val="bottom"/>
          </w:tcPr>
          <w:p>
            <w:pPr>
              <w:spacing w:after="0"/>
              <w:rPr>
                <w:sz w:val="10"/>
                <w:szCs w:val="10"/>
                <w:color w:val="auto"/>
              </w:rPr>
            </w:pPr>
          </w:p>
        </w:tc>
        <w:tc>
          <w:tcPr>
            <w:tcW w:w="820" w:type="dxa"/>
            <w:vAlign w:val="bottom"/>
            <w:tcBorders>
              <w:top w:val="single" w:sz="8" w:color="0000FF"/>
              <w:bottom w:val="single" w:sz="8" w:color="0000FF"/>
            </w:tcBorders>
            <w:gridSpan w:val="2"/>
          </w:tcPr>
          <w:p>
            <w:pPr>
              <w:spacing w:after="0" w:line="126" w:lineRule="exact"/>
              <w:rPr>
                <w:rFonts w:ascii="Times New Roman" w:cs="Times New Roman" w:eastAsia="Times New Roman" w:hAnsi="Times New Roman"/>
                <w:sz w:val="14"/>
                <w:szCs w:val="14"/>
                <w:color w:val="0000FF"/>
                <w:w w:val="99"/>
              </w:rPr>
            </w:pPr>
            <w:hyperlink r:id="rId213">
              <w:r>
                <w:rPr>
                  <w:rFonts w:ascii="Times New Roman" w:cs="Times New Roman" w:eastAsia="Times New Roman" w:hAnsi="Times New Roman"/>
                  <w:sz w:val="14"/>
                  <w:szCs w:val="14"/>
                  <w:color w:val="0000FF"/>
                  <w:w w:val="99"/>
                </w:rPr>
                <w:t>Incentive Plan</w:t>
              </w:r>
            </w:hyperlink>
          </w:p>
        </w:tc>
        <w:tc>
          <w:tcPr>
            <w:tcW w:w="4700" w:type="dxa"/>
            <w:vAlign w:val="bottom"/>
            <w:tcBorders>
              <w:top w:val="single" w:sz="8" w:color="0000FF"/>
            </w:tcBorders>
            <w:gridSpan w:val="16"/>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80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10.35†</w:t>
            </w:r>
          </w:p>
        </w:tc>
        <w:tc>
          <w:tcPr>
            <w:tcW w:w="5760" w:type="dxa"/>
            <w:vAlign w:val="bottom"/>
            <w:gridSpan w:val="24"/>
          </w:tcPr>
          <w:p>
            <w:pPr>
              <w:spacing w:after="0"/>
              <w:rPr>
                <w:rFonts w:ascii="Times New Roman" w:cs="Times New Roman" w:eastAsia="Times New Roman" w:hAnsi="Times New Roman"/>
                <w:sz w:val="14"/>
                <w:szCs w:val="14"/>
                <w:color w:val="0000FF"/>
              </w:rPr>
            </w:pPr>
            <w:hyperlink r:id="rId214">
              <w:r>
                <w:rPr>
                  <w:rFonts w:ascii="Times New Roman" w:cs="Times New Roman" w:eastAsia="Times New Roman" w:hAnsi="Times New Roman"/>
                  <w:sz w:val="14"/>
                  <w:szCs w:val="14"/>
                  <w:color w:val="0000FF"/>
                </w:rPr>
                <w:t>Form of Class P Unit Award Agreement under 2020 Omnibus Incentive Plan</w:t>
              </w:r>
            </w:hyperlink>
          </w:p>
        </w:tc>
        <w:tc>
          <w:tcPr>
            <w:tcW w:w="0" w:type="dxa"/>
            <w:vAlign w:val="bottom"/>
          </w:tcPr>
          <w:p>
            <w:pPr>
              <w:spacing w:after="0"/>
              <w:rPr>
                <w:sz w:val="1"/>
                <w:szCs w:val="1"/>
                <w:color w:val="auto"/>
              </w:rPr>
            </w:pPr>
          </w:p>
        </w:tc>
      </w:tr>
      <w:tr>
        <w:trPr>
          <w:trHeight w:val="179"/>
        </w:trPr>
        <w:tc>
          <w:tcPr>
            <w:tcW w:w="80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10.36†</w:t>
            </w:r>
          </w:p>
        </w:tc>
        <w:tc>
          <w:tcPr>
            <w:tcW w:w="4220" w:type="dxa"/>
            <w:vAlign w:val="bottom"/>
            <w:tcBorders>
              <w:top w:val="single" w:sz="8" w:color="0000FF"/>
              <w:bottom w:val="single" w:sz="8" w:color="0000FF"/>
            </w:tcBorders>
            <w:gridSpan w:val="9"/>
          </w:tcPr>
          <w:p>
            <w:pPr>
              <w:spacing w:after="0"/>
              <w:rPr>
                <w:rFonts w:ascii="Times New Roman" w:cs="Times New Roman" w:eastAsia="Times New Roman" w:hAnsi="Times New Roman"/>
                <w:sz w:val="14"/>
                <w:szCs w:val="14"/>
                <w:color w:val="0000FF"/>
              </w:rPr>
            </w:pPr>
            <w:hyperlink r:id="rId215">
              <w:r>
                <w:rPr>
                  <w:rFonts w:ascii="Times New Roman" w:cs="Times New Roman" w:eastAsia="Times New Roman" w:hAnsi="Times New Roman"/>
                  <w:sz w:val="14"/>
                  <w:szCs w:val="14"/>
                  <w:color w:val="0000FF"/>
                </w:rPr>
                <w:t>Form of LTIP Unit Award Agreement under 2020 Omnibus Incentive Plan</w:t>
              </w:r>
            </w:hyperlink>
          </w:p>
        </w:tc>
        <w:tc>
          <w:tcPr>
            <w:tcW w:w="120" w:type="dxa"/>
            <w:vAlign w:val="bottom"/>
            <w:tcBorders>
              <w:top w:val="single" w:sz="8" w:color="0000FF"/>
            </w:tcBorders>
          </w:tcPr>
          <w:p>
            <w:pPr>
              <w:spacing w:after="0"/>
              <w:rPr>
                <w:sz w:val="15"/>
                <w:szCs w:val="15"/>
                <w:color w:val="auto"/>
              </w:rPr>
            </w:pPr>
          </w:p>
        </w:tc>
        <w:tc>
          <w:tcPr>
            <w:tcW w:w="1420" w:type="dxa"/>
            <w:vAlign w:val="bottom"/>
            <w:gridSpan w:val="14"/>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0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10.37†</w:t>
            </w:r>
          </w:p>
        </w:tc>
        <w:tc>
          <w:tcPr>
            <w:tcW w:w="5760" w:type="dxa"/>
            <w:vAlign w:val="bottom"/>
            <w:gridSpan w:val="24"/>
          </w:tcPr>
          <w:p>
            <w:pPr>
              <w:spacing w:after="0"/>
              <w:rPr>
                <w:rFonts w:ascii="Times New Roman" w:cs="Times New Roman" w:eastAsia="Times New Roman" w:hAnsi="Times New Roman"/>
                <w:sz w:val="14"/>
                <w:szCs w:val="14"/>
                <w:color w:val="0000FF"/>
              </w:rPr>
            </w:pPr>
            <w:hyperlink r:id="rId216">
              <w:r>
                <w:rPr>
                  <w:rFonts w:ascii="Times New Roman" w:cs="Times New Roman" w:eastAsia="Times New Roman" w:hAnsi="Times New Roman"/>
                  <w:sz w:val="14"/>
                  <w:szCs w:val="14"/>
                  <w:color w:val="0000FF"/>
                </w:rPr>
                <w:t>Form of Restrictive Covenant Agreement Exhibit to Employee Equity Awards under 2020 Omnibus</w:t>
              </w:r>
            </w:hyperlink>
          </w:p>
        </w:tc>
        <w:tc>
          <w:tcPr>
            <w:tcW w:w="0" w:type="dxa"/>
            <w:vAlign w:val="bottom"/>
          </w:tcPr>
          <w:p>
            <w:pPr>
              <w:spacing w:after="0"/>
              <w:rPr>
                <w:sz w:val="1"/>
                <w:szCs w:val="1"/>
                <w:color w:val="auto"/>
              </w:rPr>
            </w:pPr>
          </w:p>
        </w:tc>
      </w:tr>
      <w:tr>
        <w:trPr>
          <w:trHeight w:val="126"/>
        </w:trPr>
        <w:tc>
          <w:tcPr>
            <w:tcW w:w="800" w:type="dxa"/>
            <w:vAlign w:val="bottom"/>
          </w:tcPr>
          <w:p>
            <w:pPr>
              <w:spacing w:after="0"/>
              <w:rPr>
                <w:sz w:val="10"/>
                <w:szCs w:val="10"/>
                <w:color w:val="auto"/>
              </w:rPr>
            </w:pPr>
          </w:p>
        </w:tc>
        <w:tc>
          <w:tcPr>
            <w:tcW w:w="840" w:type="dxa"/>
            <w:vAlign w:val="bottom"/>
            <w:tcBorders>
              <w:top w:val="single" w:sz="8" w:color="0000FF"/>
              <w:bottom w:val="single" w:sz="8" w:color="0000FF"/>
            </w:tcBorders>
            <w:gridSpan w:val="3"/>
          </w:tcPr>
          <w:p>
            <w:pPr>
              <w:spacing w:after="0" w:line="126" w:lineRule="exact"/>
              <w:rPr>
                <w:rFonts w:ascii="Times New Roman" w:cs="Times New Roman" w:eastAsia="Times New Roman" w:hAnsi="Times New Roman"/>
                <w:sz w:val="14"/>
                <w:szCs w:val="14"/>
                <w:color w:val="0000FF"/>
              </w:rPr>
            </w:pPr>
            <w:hyperlink r:id="rId216">
              <w:r>
                <w:rPr>
                  <w:rFonts w:ascii="Times New Roman" w:cs="Times New Roman" w:eastAsia="Times New Roman" w:hAnsi="Times New Roman"/>
                  <w:sz w:val="14"/>
                  <w:szCs w:val="14"/>
                  <w:color w:val="0000FF"/>
                </w:rPr>
                <w:t>Incentive Plan</w:t>
              </w:r>
            </w:hyperlink>
          </w:p>
        </w:tc>
        <w:tc>
          <w:tcPr>
            <w:tcW w:w="4820" w:type="dxa"/>
            <w:vAlign w:val="bottom"/>
            <w:tcBorders>
              <w:top w:val="single" w:sz="8" w:color="0000FF"/>
            </w:tcBorders>
            <w:gridSpan w:val="19"/>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80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10.38†</w:t>
            </w:r>
          </w:p>
        </w:tc>
        <w:tc>
          <w:tcPr>
            <w:tcW w:w="5760" w:type="dxa"/>
            <w:vAlign w:val="bottom"/>
            <w:gridSpan w:val="24"/>
          </w:tcPr>
          <w:p>
            <w:pPr>
              <w:spacing w:after="0"/>
              <w:rPr>
                <w:rFonts w:ascii="Times New Roman" w:cs="Times New Roman" w:eastAsia="Times New Roman" w:hAnsi="Times New Roman"/>
                <w:sz w:val="14"/>
                <w:szCs w:val="14"/>
                <w:color w:val="0000FF"/>
              </w:rPr>
            </w:pPr>
            <w:hyperlink r:id="rId217">
              <w:r>
                <w:rPr>
                  <w:rFonts w:ascii="Times New Roman" w:cs="Times New Roman" w:eastAsia="Times New Roman" w:hAnsi="Times New Roman"/>
                  <w:sz w:val="14"/>
                  <w:szCs w:val="14"/>
                  <w:color w:val="0000FF"/>
                </w:rPr>
                <w:t>Employment Agreement, dated as of August 10, 2020, between ZoomInfo Technologies Inc.,</w:t>
              </w:r>
            </w:hyperlink>
          </w:p>
        </w:tc>
        <w:tc>
          <w:tcPr>
            <w:tcW w:w="0" w:type="dxa"/>
            <w:vAlign w:val="bottom"/>
          </w:tcPr>
          <w:p>
            <w:pPr>
              <w:spacing w:after="0"/>
              <w:rPr>
                <w:sz w:val="1"/>
                <w:szCs w:val="1"/>
                <w:color w:val="auto"/>
              </w:rPr>
            </w:pPr>
          </w:p>
        </w:tc>
      </w:tr>
      <w:tr>
        <w:trPr>
          <w:trHeight w:val="126"/>
        </w:trPr>
        <w:tc>
          <w:tcPr>
            <w:tcW w:w="800" w:type="dxa"/>
            <w:vAlign w:val="bottom"/>
          </w:tcPr>
          <w:p>
            <w:pPr>
              <w:spacing w:after="0"/>
              <w:rPr>
                <w:sz w:val="10"/>
                <w:szCs w:val="10"/>
                <w:color w:val="auto"/>
              </w:rPr>
            </w:pPr>
          </w:p>
        </w:tc>
        <w:tc>
          <w:tcPr>
            <w:tcW w:w="3360" w:type="dxa"/>
            <w:vAlign w:val="bottom"/>
            <w:tcBorders>
              <w:top w:val="single" w:sz="8" w:color="0000FF"/>
              <w:bottom w:val="single" w:sz="8" w:color="0000FF"/>
            </w:tcBorders>
            <w:gridSpan w:val="7"/>
          </w:tcPr>
          <w:p>
            <w:pPr>
              <w:spacing w:after="0" w:line="126" w:lineRule="exact"/>
              <w:rPr>
                <w:rFonts w:ascii="Times New Roman" w:cs="Times New Roman" w:eastAsia="Times New Roman" w:hAnsi="Times New Roman"/>
                <w:sz w:val="14"/>
                <w:szCs w:val="14"/>
                <w:color w:val="0000FF"/>
              </w:rPr>
            </w:pPr>
            <w:hyperlink r:id="rId217">
              <w:r>
                <w:rPr>
                  <w:rFonts w:ascii="Times New Roman" w:cs="Times New Roman" w:eastAsia="Times New Roman" w:hAnsi="Times New Roman"/>
                  <w:sz w:val="14"/>
                  <w:szCs w:val="14"/>
                  <w:color w:val="0000FF"/>
                </w:rPr>
                <w:t>ZoomInfo Technologies LLC and Joseph Christopher Hays</w:t>
              </w:r>
            </w:hyperlink>
          </w:p>
        </w:tc>
        <w:tc>
          <w:tcPr>
            <w:tcW w:w="1920" w:type="dxa"/>
            <w:vAlign w:val="bottom"/>
            <w:tcBorders>
              <w:top w:val="single" w:sz="8" w:color="0000FF"/>
            </w:tcBorders>
            <w:gridSpan w:val="8"/>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3"/>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80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10.39†</w:t>
            </w:r>
          </w:p>
        </w:tc>
        <w:tc>
          <w:tcPr>
            <w:tcW w:w="5760" w:type="dxa"/>
            <w:vAlign w:val="bottom"/>
            <w:gridSpan w:val="24"/>
          </w:tcPr>
          <w:p>
            <w:pPr>
              <w:spacing w:after="0"/>
              <w:rPr>
                <w:rFonts w:ascii="Times New Roman" w:cs="Times New Roman" w:eastAsia="Times New Roman" w:hAnsi="Times New Roman"/>
                <w:sz w:val="14"/>
                <w:szCs w:val="14"/>
                <w:color w:val="0000FF"/>
              </w:rPr>
            </w:pPr>
            <w:hyperlink r:id="rId218">
              <w:r>
                <w:rPr>
                  <w:rFonts w:ascii="Times New Roman" w:cs="Times New Roman" w:eastAsia="Times New Roman" w:hAnsi="Times New Roman"/>
                  <w:sz w:val="14"/>
                  <w:szCs w:val="14"/>
                  <w:color w:val="0000FF"/>
                </w:rPr>
                <w:t>Offer Letter Agreement, dated as of February 1, 2019, between DiscoverOrg Data, LLC and Nir</w:t>
              </w:r>
            </w:hyperlink>
          </w:p>
        </w:tc>
        <w:tc>
          <w:tcPr>
            <w:tcW w:w="0" w:type="dxa"/>
            <w:vAlign w:val="bottom"/>
          </w:tcPr>
          <w:p>
            <w:pPr>
              <w:spacing w:after="0"/>
              <w:rPr>
                <w:sz w:val="1"/>
                <w:szCs w:val="1"/>
                <w:color w:val="auto"/>
              </w:rPr>
            </w:pPr>
          </w:p>
        </w:tc>
      </w:tr>
      <w:tr>
        <w:trPr>
          <w:trHeight w:val="126"/>
        </w:trPr>
        <w:tc>
          <w:tcPr>
            <w:tcW w:w="800" w:type="dxa"/>
            <w:vAlign w:val="bottom"/>
          </w:tcPr>
          <w:p>
            <w:pPr>
              <w:spacing w:after="0"/>
              <w:rPr>
                <w:sz w:val="10"/>
                <w:szCs w:val="10"/>
                <w:color w:val="auto"/>
              </w:rPr>
            </w:pPr>
          </w:p>
        </w:tc>
        <w:tc>
          <w:tcPr>
            <w:tcW w:w="5440" w:type="dxa"/>
            <w:vAlign w:val="bottom"/>
            <w:tcBorders>
              <w:top w:val="single" w:sz="8" w:color="0000FF"/>
            </w:tcBorders>
            <w:gridSpan w:val="16"/>
          </w:tcPr>
          <w:p>
            <w:pPr>
              <w:spacing w:after="0" w:line="126" w:lineRule="exact"/>
              <w:rPr>
                <w:rFonts w:ascii="Times New Roman" w:cs="Times New Roman" w:eastAsia="Times New Roman" w:hAnsi="Times New Roman"/>
                <w:sz w:val="14"/>
                <w:szCs w:val="14"/>
                <w:color w:val="0000FF"/>
              </w:rPr>
            </w:pPr>
            <w:hyperlink r:id="rId218">
              <w:r>
                <w:rPr>
                  <w:rFonts w:ascii="Times New Roman" w:cs="Times New Roman" w:eastAsia="Times New Roman" w:hAnsi="Times New Roman"/>
                  <w:sz w:val="14"/>
                  <w:szCs w:val="14"/>
                  <w:color w:val="0000FF"/>
                </w:rPr>
                <w:t>Keren</w:t>
              </w:r>
            </w:hyperlink>
          </w:p>
        </w:tc>
        <w:tc>
          <w:tcPr>
            <w:tcW w:w="12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3"/>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ind w:right="129"/>
              <w:spacing w:after="0"/>
              <w:rPr>
                <w:sz w:val="20"/>
                <w:szCs w:val="20"/>
                <w:color w:val="auto"/>
              </w:rPr>
            </w:pPr>
            <w:r>
              <w:rPr>
                <w:rFonts w:ascii="Times New Roman" w:cs="Times New Roman" w:eastAsia="Times New Roman" w:hAnsi="Times New Roman"/>
                <w:sz w:val="14"/>
                <w:szCs w:val="14"/>
                <w:color w:val="auto"/>
                <w:w w:val="98"/>
              </w:rPr>
              <w:t>+21.1</w:t>
            </w:r>
          </w:p>
        </w:tc>
        <w:tc>
          <w:tcPr>
            <w:tcW w:w="340" w:type="dxa"/>
            <w:vAlign w:val="bottom"/>
            <w:shd w:val="clear" w:color="auto" w:fill="0000FF"/>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00" w:type="dxa"/>
            <w:vAlign w:val="bottom"/>
            <w:vMerge w:val="continue"/>
          </w:tcPr>
          <w:p>
            <w:pPr>
              <w:spacing w:after="0"/>
              <w:rPr>
                <w:sz w:val="16"/>
                <w:szCs w:val="16"/>
                <w:color w:val="auto"/>
              </w:rPr>
            </w:pPr>
          </w:p>
        </w:tc>
        <w:tc>
          <w:tcPr>
            <w:tcW w:w="25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Subsidiaries of ZoomInfo Technologies Inc.</w:t>
            </w:r>
          </w:p>
        </w:tc>
        <w:tc>
          <w:tcPr>
            <w:tcW w:w="3260" w:type="dxa"/>
            <w:vAlign w:val="bottom"/>
            <w:gridSpan w:val="20"/>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80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w w:val="98"/>
              </w:rPr>
              <w:t>+23.1</w:t>
            </w:r>
          </w:p>
        </w:tc>
        <w:tc>
          <w:tcPr>
            <w:tcW w:w="52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4"/>
                <w:szCs w:val="14"/>
                <w:color w:val="0000FF"/>
              </w:rPr>
              <w:t>Consent of KPMG LLP, Independent Registered Public Accounting Firm, with respect to the</w:t>
            </w:r>
          </w:p>
        </w:tc>
        <w:tc>
          <w:tcPr>
            <w:tcW w:w="50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800" w:type="dxa"/>
            <w:vAlign w:val="bottom"/>
          </w:tcPr>
          <w:p>
            <w:pPr>
              <w:spacing w:after="0"/>
              <w:rPr>
                <w:sz w:val="10"/>
                <w:szCs w:val="10"/>
                <w:color w:val="auto"/>
              </w:rPr>
            </w:pPr>
          </w:p>
        </w:tc>
        <w:tc>
          <w:tcPr>
            <w:tcW w:w="5760" w:type="dxa"/>
            <w:vAlign w:val="bottom"/>
            <w:gridSpan w:val="24"/>
          </w:tcPr>
          <w:p>
            <w:pPr>
              <w:spacing w:after="0" w:line="126" w:lineRule="exact"/>
              <w:rPr>
                <w:sz w:val="20"/>
                <w:szCs w:val="20"/>
                <w:color w:val="auto"/>
              </w:rPr>
            </w:pPr>
            <w:r>
              <w:rPr>
                <w:rFonts w:ascii="Times New Roman" w:cs="Times New Roman" w:eastAsia="Times New Roman" w:hAnsi="Times New Roman"/>
                <w:sz w:val="14"/>
                <w:szCs w:val="14"/>
                <w:color w:val="0000FF"/>
              </w:rPr>
              <w:t>incorporation by reference of KPMG LLP’s audit report into Registration Statements of ZoomInfo</w:t>
            </w:r>
          </w:p>
        </w:tc>
        <w:tc>
          <w:tcPr>
            <w:tcW w:w="0" w:type="dxa"/>
            <w:vAlign w:val="bottom"/>
          </w:tcPr>
          <w:p>
            <w:pPr>
              <w:spacing w:after="0"/>
              <w:rPr>
                <w:sz w:val="1"/>
                <w:szCs w:val="1"/>
                <w:color w:val="auto"/>
              </w:rPr>
            </w:pPr>
          </w:p>
        </w:tc>
      </w:tr>
      <w:tr>
        <w:trPr>
          <w:trHeight w:val="139"/>
        </w:trPr>
        <w:tc>
          <w:tcPr>
            <w:tcW w:w="800" w:type="dxa"/>
            <w:vAlign w:val="bottom"/>
          </w:tcPr>
          <w:p>
            <w:pPr>
              <w:spacing w:after="0"/>
              <w:rPr>
                <w:sz w:val="12"/>
                <w:szCs w:val="12"/>
                <w:color w:val="auto"/>
              </w:rPr>
            </w:pPr>
          </w:p>
        </w:tc>
        <w:tc>
          <w:tcPr>
            <w:tcW w:w="5580" w:type="dxa"/>
            <w:vAlign w:val="bottom"/>
            <w:tcBorders>
              <w:top w:val="single" w:sz="8" w:color="0000FF"/>
            </w:tcBorders>
            <w:gridSpan w:val="20"/>
          </w:tcPr>
          <w:p>
            <w:pPr>
              <w:spacing w:after="0" w:line="139" w:lineRule="exact"/>
              <w:rPr>
                <w:sz w:val="20"/>
                <w:szCs w:val="20"/>
                <w:color w:val="auto"/>
              </w:rPr>
            </w:pPr>
            <w:r>
              <w:rPr>
                <w:rFonts w:ascii="Times New Roman" w:cs="Times New Roman" w:eastAsia="Times New Roman" w:hAnsi="Times New Roman"/>
                <w:sz w:val="14"/>
                <w:szCs w:val="14"/>
                <w:color w:val="0000FF"/>
              </w:rPr>
              <w:t>Technologies Inc. on Form S-8 and Form S-3</w:t>
            </w:r>
          </w:p>
        </w:tc>
        <w:tc>
          <w:tcPr>
            <w:tcW w:w="14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ind w:right="129"/>
              <w:spacing w:after="0"/>
              <w:rPr>
                <w:sz w:val="20"/>
                <w:szCs w:val="20"/>
                <w:color w:val="auto"/>
              </w:rPr>
            </w:pPr>
            <w:r>
              <w:rPr>
                <w:rFonts w:ascii="Times New Roman" w:cs="Times New Roman" w:eastAsia="Times New Roman" w:hAnsi="Times New Roman"/>
                <w:sz w:val="14"/>
                <w:szCs w:val="14"/>
                <w:color w:val="auto"/>
                <w:w w:val="98"/>
              </w:rPr>
              <w:t>+31.1</w:t>
            </w:r>
          </w:p>
        </w:tc>
        <w:tc>
          <w:tcPr>
            <w:tcW w:w="256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720" w:type="dxa"/>
            <w:vAlign w:val="bottom"/>
            <w:gridSpan w:val="8"/>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00" w:type="dxa"/>
            <w:vAlign w:val="bottom"/>
            <w:vMerge w:val="continue"/>
          </w:tcPr>
          <w:p>
            <w:pPr>
              <w:spacing w:after="0"/>
              <w:rPr>
                <w:sz w:val="15"/>
                <w:szCs w:val="15"/>
                <w:color w:val="auto"/>
              </w:rPr>
            </w:pPr>
          </w:p>
        </w:tc>
        <w:tc>
          <w:tcPr>
            <w:tcW w:w="576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Exchange Act Rules 13a-14(a) and 15d-14(a),</w:t>
            </w:r>
          </w:p>
        </w:tc>
        <w:tc>
          <w:tcPr>
            <w:tcW w:w="0" w:type="dxa"/>
            <w:vAlign w:val="bottom"/>
          </w:tcPr>
          <w:p>
            <w:pPr>
              <w:spacing w:after="0"/>
              <w:rPr>
                <w:sz w:val="1"/>
                <w:szCs w:val="1"/>
                <w:color w:val="auto"/>
              </w:rPr>
            </w:pPr>
          </w:p>
        </w:tc>
      </w:tr>
      <w:tr>
        <w:trPr>
          <w:trHeight w:val="126"/>
        </w:trPr>
        <w:tc>
          <w:tcPr>
            <w:tcW w:w="800" w:type="dxa"/>
            <w:vAlign w:val="bottom"/>
          </w:tcPr>
          <w:p>
            <w:pPr>
              <w:spacing w:after="0"/>
              <w:rPr>
                <w:sz w:val="10"/>
                <w:szCs w:val="10"/>
                <w:color w:val="auto"/>
              </w:rPr>
            </w:pPr>
          </w:p>
        </w:tc>
        <w:tc>
          <w:tcPr>
            <w:tcW w:w="4020" w:type="dxa"/>
            <w:vAlign w:val="bottom"/>
            <w:tcBorders>
              <w:bottom w:val="single" w:sz="8" w:color="0000FF"/>
            </w:tcBorders>
            <w:gridSpan w:val="8"/>
          </w:tcPr>
          <w:p>
            <w:pPr>
              <w:spacing w:after="0" w:line="126" w:lineRule="exact"/>
              <w:rPr>
                <w:sz w:val="20"/>
                <w:szCs w:val="20"/>
                <w:color w:val="auto"/>
              </w:rPr>
            </w:pPr>
            <w:r>
              <w:rPr>
                <w:rFonts w:ascii="Times New Roman" w:cs="Times New Roman" w:eastAsia="Times New Roman" w:hAnsi="Times New Roman"/>
                <w:sz w:val="14"/>
                <w:szCs w:val="14"/>
                <w:color w:val="0000FF"/>
              </w:rPr>
              <w:t>as adopted pursuant to Section 302 of the Sarbanes-Oxley Act of 2002.</w:t>
            </w:r>
          </w:p>
        </w:tc>
        <w:tc>
          <w:tcPr>
            <w:tcW w:w="1740" w:type="dxa"/>
            <w:vAlign w:val="bottom"/>
            <w:gridSpan w:val="16"/>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80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w w:val="98"/>
              </w:rPr>
              <w:t>+31.2</w:t>
            </w:r>
          </w:p>
        </w:tc>
        <w:tc>
          <w:tcPr>
            <w:tcW w:w="576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Exchange Act Rules 13a-14(a) and 15d-14(a),</w:t>
            </w:r>
          </w:p>
        </w:tc>
        <w:tc>
          <w:tcPr>
            <w:tcW w:w="0" w:type="dxa"/>
            <w:vAlign w:val="bottom"/>
          </w:tcPr>
          <w:p>
            <w:pPr>
              <w:spacing w:after="0"/>
              <w:rPr>
                <w:sz w:val="1"/>
                <w:szCs w:val="1"/>
                <w:color w:val="auto"/>
              </w:rPr>
            </w:pPr>
          </w:p>
        </w:tc>
      </w:tr>
      <w:tr>
        <w:trPr>
          <w:trHeight w:val="126"/>
        </w:trPr>
        <w:tc>
          <w:tcPr>
            <w:tcW w:w="800" w:type="dxa"/>
            <w:vAlign w:val="bottom"/>
          </w:tcPr>
          <w:p>
            <w:pPr>
              <w:spacing w:after="0"/>
              <w:rPr>
                <w:sz w:val="10"/>
                <w:szCs w:val="10"/>
                <w:color w:val="auto"/>
              </w:rPr>
            </w:pPr>
          </w:p>
        </w:tc>
        <w:tc>
          <w:tcPr>
            <w:tcW w:w="4020" w:type="dxa"/>
            <w:vAlign w:val="bottom"/>
            <w:tcBorders>
              <w:top w:val="single" w:sz="8" w:color="0000FF"/>
              <w:bottom w:val="single" w:sz="8" w:color="0000FF"/>
            </w:tcBorders>
            <w:gridSpan w:val="8"/>
          </w:tcPr>
          <w:p>
            <w:pPr>
              <w:spacing w:after="0" w:line="126" w:lineRule="exact"/>
              <w:rPr>
                <w:sz w:val="20"/>
                <w:szCs w:val="20"/>
                <w:color w:val="auto"/>
              </w:rPr>
            </w:pPr>
            <w:r>
              <w:rPr>
                <w:rFonts w:ascii="Times New Roman" w:cs="Times New Roman" w:eastAsia="Times New Roman" w:hAnsi="Times New Roman"/>
                <w:sz w:val="14"/>
                <w:szCs w:val="14"/>
                <w:color w:val="0000FF"/>
              </w:rPr>
              <w:t>as adopted pursuant to Section 302 of the Sarbanes-Oxley Act of 2002.</w:t>
            </w:r>
          </w:p>
        </w:tc>
        <w:tc>
          <w:tcPr>
            <w:tcW w:w="1700" w:type="dxa"/>
            <w:vAlign w:val="bottom"/>
            <w:tcBorders>
              <w:top w:val="single" w:sz="8" w:color="0000FF"/>
            </w:tcBorders>
            <w:gridSpan w:val="15"/>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80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+32.1*</w:t>
            </w:r>
          </w:p>
        </w:tc>
        <w:tc>
          <w:tcPr>
            <w:tcW w:w="576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Certifications of Principal Executive Officer and Principal Financial Officer pursuant to 18 U.S.C.</w:t>
            </w:r>
          </w:p>
        </w:tc>
        <w:tc>
          <w:tcPr>
            <w:tcW w:w="0" w:type="dxa"/>
            <w:vAlign w:val="bottom"/>
          </w:tcPr>
          <w:p>
            <w:pPr>
              <w:spacing w:after="0"/>
              <w:rPr>
                <w:sz w:val="1"/>
                <w:szCs w:val="1"/>
                <w:color w:val="auto"/>
              </w:rPr>
            </w:pPr>
          </w:p>
        </w:tc>
      </w:tr>
      <w:tr>
        <w:trPr>
          <w:trHeight w:val="126"/>
        </w:trPr>
        <w:tc>
          <w:tcPr>
            <w:tcW w:w="800" w:type="dxa"/>
            <w:vAlign w:val="bottom"/>
          </w:tcPr>
          <w:p>
            <w:pPr>
              <w:spacing w:after="0"/>
              <w:rPr>
                <w:sz w:val="10"/>
                <w:szCs w:val="10"/>
                <w:color w:val="auto"/>
              </w:rPr>
            </w:pPr>
          </w:p>
        </w:tc>
        <w:tc>
          <w:tcPr>
            <w:tcW w:w="4840" w:type="dxa"/>
            <w:vAlign w:val="bottom"/>
            <w:tcBorders>
              <w:top w:val="single" w:sz="8" w:color="0000FF"/>
              <w:bottom w:val="single" w:sz="8" w:color="0000FF"/>
            </w:tcBorders>
            <w:gridSpan w:val="11"/>
          </w:tcPr>
          <w:p>
            <w:pPr>
              <w:spacing w:after="0" w:line="126" w:lineRule="exact"/>
              <w:rPr>
                <w:sz w:val="20"/>
                <w:szCs w:val="20"/>
                <w:color w:val="auto"/>
              </w:rPr>
            </w:pPr>
            <w:r>
              <w:rPr>
                <w:rFonts w:ascii="Times New Roman" w:cs="Times New Roman" w:eastAsia="Times New Roman" w:hAnsi="Times New Roman"/>
                <w:sz w:val="14"/>
                <w:szCs w:val="14"/>
                <w:color w:val="0000FF"/>
              </w:rPr>
              <w:t>Section 1350, as adopted pursuant to Section 906 of the Sarbanes-Oxley Act of 2002.</w:t>
            </w:r>
          </w:p>
        </w:tc>
        <w:tc>
          <w:tcPr>
            <w:tcW w:w="720" w:type="dxa"/>
            <w:vAlign w:val="bottom"/>
            <w:tcBorders>
              <w:top w:val="single" w:sz="8" w:color="0000FF"/>
            </w:tcBorders>
            <w:gridSpan w:val="8"/>
          </w:tcPr>
          <w:p>
            <w:pPr>
              <w:spacing w:after="0"/>
              <w:rPr>
                <w:sz w:val="10"/>
                <w:szCs w:val="10"/>
                <w:color w:val="auto"/>
              </w:rPr>
            </w:pPr>
          </w:p>
        </w:tc>
        <w:tc>
          <w:tcPr>
            <w:tcW w:w="20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80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w w:val="98"/>
              </w:rPr>
              <w:t>+97.1</w:t>
            </w:r>
          </w:p>
        </w:tc>
        <w:tc>
          <w:tcPr>
            <w:tcW w:w="576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ZoomInfo Technologies Inc. Clawback Policy</w:t>
            </w:r>
          </w:p>
        </w:tc>
        <w:tc>
          <w:tcPr>
            <w:tcW w:w="0" w:type="dxa"/>
            <w:vAlign w:val="bottom"/>
          </w:tcPr>
          <w:p>
            <w:pPr>
              <w:spacing w:after="0"/>
              <w:rPr>
                <w:sz w:val="1"/>
                <w:szCs w:val="1"/>
                <w:color w:val="auto"/>
              </w:rPr>
            </w:pPr>
          </w:p>
        </w:tc>
      </w:tr>
      <w:tr>
        <w:trPr>
          <w:trHeight w:val="207"/>
        </w:trPr>
        <w:tc>
          <w:tcPr>
            <w:tcW w:w="80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+101.INS</w:t>
            </w:r>
          </w:p>
        </w:tc>
        <w:tc>
          <w:tcPr>
            <w:tcW w:w="26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auto"/>
              </w:rPr>
              <w:t>XBRL Instance Document</w:t>
            </w:r>
          </w:p>
        </w:tc>
        <w:tc>
          <w:tcPr>
            <w:tcW w:w="3160" w:type="dxa"/>
            <w:vAlign w:val="bottom"/>
            <w:gridSpan w:val="18"/>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80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+101.SCH</w:t>
            </w:r>
          </w:p>
        </w:tc>
        <w:tc>
          <w:tcPr>
            <w:tcW w:w="5760" w:type="dxa"/>
            <w:vAlign w:val="bottom"/>
            <w:gridSpan w:val="24"/>
          </w:tcPr>
          <w:p>
            <w:pPr>
              <w:spacing w:after="0"/>
              <w:rPr>
                <w:sz w:val="20"/>
                <w:szCs w:val="20"/>
                <w:color w:val="auto"/>
              </w:rPr>
            </w:pPr>
            <w:r>
              <w:rPr>
                <w:rFonts w:ascii="Times New Roman" w:cs="Times New Roman" w:eastAsia="Times New Roman" w:hAnsi="Times New Roman"/>
                <w:sz w:val="14"/>
                <w:szCs w:val="14"/>
                <w:color w:val="auto"/>
              </w:rPr>
              <w:t>XBRL Taxonomy Extension Schema Document</w:t>
            </w:r>
          </w:p>
        </w:tc>
        <w:tc>
          <w:tcPr>
            <w:tcW w:w="0" w:type="dxa"/>
            <w:vAlign w:val="bottom"/>
          </w:tcPr>
          <w:p>
            <w:pPr>
              <w:spacing w:after="0"/>
              <w:rPr>
                <w:sz w:val="1"/>
                <w:szCs w:val="1"/>
                <w:color w:val="auto"/>
              </w:rPr>
            </w:pPr>
          </w:p>
        </w:tc>
      </w:tr>
      <w:tr>
        <w:trPr>
          <w:trHeight w:val="199"/>
        </w:trPr>
        <w:tc>
          <w:tcPr>
            <w:tcW w:w="80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w w:val="99"/>
              </w:rPr>
              <w:t>+101.CAL</w:t>
            </w:r>
          </w:p>
        </w:tc>
        <w:tc>
          <w:tcPr>
            <w:tcW w:w="5760" w:type="dxa"/>
            <w:vAlign w:val="bottom"/>
            <w:gridSpan w:val="24"/>
          </w:tcPr>
          <w:p>
            <w:pPr>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c>
          <w:tcPr>
            <w:tcW w:w="0" w:type="dxa"/>
            <w:vAlign w:val="bottom"/>
          </w:tcPr>
          <w:p>
            <w:pPr>
              <w:spacing w:after="0"/>
              <w:rPr>
                <w:sz w:val="1"/>
                <w:szCs w:val="1"/>
                <w:color w:val="auto"/>
              </w:rPr>
            </w:pPr>
          </w:p>
        </w:tc>
      </w:tr>
      <w:tr>
        <w:trPr>
          <w:trHeight w:val="199"/>
        </w:trPr>
        <w:tc>
          <w:tcPr>
            <w:tcW w:w="80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+101.DEF</w:t>
            </w:r>
          </w:p>
        </w:tc>
        <w:tc>
          <w:tcPr>
            <w:tcW w:w="5760" w:type="dxa"/>
            <w:vAlign w:val="bottom"/>
            <w:gridSpan w:val="24"/>
          </w:tcPr>
          <w:p>
            <w:pPr>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c>
          <w:tcPr>
            <w:tcW w:w="0" w:type="dxa"/>
            <w:vAlign w:val="bottom"/>
          </w:tcPr>
          <w:p>
            <w:pPr>
              <w:spacing w:after="0"/>
              <w:rPr>
                <w:sz w:val="1"/>
                <w:szCs w:val="1"/>
                <w:color w:val="auto"/>
              </w:rPr>
            </w:pPr>
          </w:p>
        </w:tc>
      </w:tr>
      <w:tr>
        <w:trPr>
          <w:trHeight w:val="199"/>
        </w:trPr>
        <w:tc>
          <w:tcPr>
            <w:tcW w:w="80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w w:val="99"/>
              </w:rPr>
              <w:t>+101.LAB</w:t>
            </w:r>
          </w:p>
        </w:tc>
        <w:tc>
          <w:tcPr>
            <w:tcW w:w="5760" w:type="dxa"/>
            <w:vAlign w:val="bottom"/>
            <w:gridSpan w:val="24"/>
          </w:tcPr>
          <w:p>
            <w:pPr>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c>
          <w:tcPr>
            <w:tcW w:w="0" w:type="dxa"/>
            <w:vAlign w:val="bottom"/>
          </w:tcPr>
          <w:p>
            <w:pPr>
              <w:spacing w:after="0"/>
              <w:rPr>
                <w:sz w:val="1"/>
                <w:szCs w:val="1"/>
                <w:color w:val="auto"/>
              </w:rPr>
            </w:pPr>
          </w:p>
        </w:tc>
      </w:tr>
      <w:tr>
        <w:trPr>
          <w:trHeight w:val="199"/>
        </w:trPr>
        <w:tc>
          <w:tcPr>
            <w:tcW w:w="80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w w:val="99"/>
              </w:rPr>
              <w:t>+101.PRE</w:t>
            </w:r>
          </w:p>
        </w:tc>
        <w:tc>
          <w:tcPr>
            <w:tcW w:w="5760" w:type="dxa"/>
            <w:vAlign w:val="bottom"/>
            <w:gridSpan w:val="24"/>
          </w:tcPr>
          <w:p>
            <w:pPr>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-3778250</wp:posOffset>
            </wp:positionV>
            <wp:extent cx="7134860" cy="1263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9">
                      <a:extLst>
                        <a:ext uri="{28A0092B-C50C-407E-A947-70E740481C1C}"/>
                      </a:extLst>
                    </a:blip>
                    <a:srcRect/>
                    <a:stretch>
                      <a:fillRect/>
                    </a:stretch>
                  </pic:blipFill>
                  <pic:spPr bwMode="auto">
                    <a:xfrm>
                      <a:off x="0" y="0"/>
                      <a:ext cx="7134860" cy="12636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-3526155</wp:posOffset>
            </wp:positionV>
            <wp:extent cx="7134860" cy="2101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0">
                      <a:extLst>
                        <a:ext uri="{28A0092B-C50C-407E-A947-70E740481C1C}"/>
                      </a:extLst>
                    </a:blip>
                    <a:srcRect/>
                    <a:stretch>
                      <a:fillRect/>
                    </a:stretch>
                  </pic:blipFill>
                  <pic:spPr bwMode="auto">
                    <a:xfrm>
                      <a:off x="0" y="0"/>
                      <a:ext cx="7134860" cy="2101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-3105150</wp:posOffset>
            </wp:positionV>
            <wp:extent cx="7134860" cy="2101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1">
                      <a:extLst>
                        <a:ext uri="{28A0092B-C50C-407E-A947-70E740481C1C}"/>
                      </a:extLst>
                    </a:blip>
                    <a:srcRect/>
                    <a:stretch>
                      <a:fillRect/>
                    </a:stretch>
                  </pic:blipFill>
                  <pic:spPr bwMode="auto">
                    <a:xfrm>
                      <a:off x="0" y="0"/>
                      <a:ext cx="7134860" cy="2101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-2768600</wp:posOffset>
            </wp:positionV>
            <wp:extent cx="7134860" cy="1263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2">
                      <a:extLst>
                        <a:ext uri="{28A0092B-C50C-407E-A947-70E740481C1C}"/>
                      </a:extLst>
                    </a:blip>
                    <a:srcRect/>
                    <a:stretch>
                      <a:fillRect/>
                    </a:stretch>
                  </pic:blipFill>
                  <pic:spPr bwMode="auto">
                    <a:xfrm>
                      <a:off x="0" y="0"/>
                      <a:ext cx="7134860" cy="12636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-2432050</wp:posOffset>
            </wp:positionV>
            <wp:extent cx="7134860" cy="2101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3">
                      <a:extLst>
                        <a:ext uri="{28A0092B-C50C-407E-A947-70E740481C1C}"/>
                      </a:extLst>
                    </a:blip>
                    <a:srcRect/>
                    <a:stretch>
                      <a:fillRect/>
                    </a:stretch>
                  </pic:blipFill>
                  <pic:spPr bwMode="auto">
                    <a:xfrm>
                      <a:off x="0" y="0"/>
                      <a:ext cx="7134860" cy="2101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-1994535</wp:posOffset>
            </wp:positionV>
            <wp:extent cx="7134860" cy="1263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4">
                      <a:extLst>
                        <a:ext uri="{28A0092B-C50C-407E-A947-70E740481C1C}"/>
                      </a:extLst>
                    </a:blip>
                    <a:srcRect/>
                    <a:stretch>
                      <a:fillRect/>
                    </a:stretch>
                  </pic:blipFill>
                  <pic:spPr bwMode="auto">
                    <a:xfrm>
                      <a:off x="0" y="0"/>
                      <a:ext cx="7134860" cy="12636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-1548765</wp:posOffset>
            </wp:positionV>
            <wp:extent cx="7134860" cy="2273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5">
                      <a:extLst>
                        <a:ext uri="{28A0092B-C50C-407E-A947-70E740481C1C}"/>
                      </a:extLst>
                    </a:blip>
                    <a:srcRect/>
                    <a:stretch>
                      <a:fillRect/>
                    </a:stretch>
                  </pic:blipFill>
                  <pic:spPr bwMode="auto">
                    <a:xfrm>
                      <a:off x="0" y="0"/>
                      <a:ext cx="7134860" cy="2273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-1094740</wp:posOffset>
            </wp:positionV>
            <wp:extent cx="7134860" cy="2273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6">
                      <a:extLst>
                        <a:ext uri="{28A0092B-C50C-407E-A947-70E740481C1C}"/>
                      </a:extLst>
                    </a:blip>
                    <a:srcRect/>
                    <a:stretch>
                      <a:fillRect/>
                    </a:stretch>
                  </pic:blipFill>
                  <pic:spPr bwMode="auto">
                    <a:xfrm>
                      <a:off x="0" y="0"/>
                      <a:ext cx="7134860" cy="2273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-741045</wp:posOffset>
            </wp:positionV>
            <wp:extent cx="7134860" cy="1263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7">
                      <a:extLst>
                        <a:ext uri="{28A0092B-C50C-407E-A947-70E740481C1C}"/>
                      </a:extLst>
                    </a:blip>
                    <a:srcRect/>
                    <a:stretch>
                      <a:fillRect/>
                    </a:stretch>
                  </pic:blipFill>
                  <pic:spPr bwMode="auto">
                    <a:xfrm>
                      <a:off x="0" y="0"/>
                      <a:ext cx="7134860" cy="12636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-488950</wp:posOffset>
            </wp:positionV>
            <wp:extent cx="7134860" cy="1263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8">
                      <a:extLst>
                        <a:ext uri="{28A0092B-C50C-407E-A947-70E740481C1C}"/>
                      </a:extLst>
                    </a:blip>
                    <a:srcRect/>
                    <a:stretch>
                      <a:fillRect/>
                    </a:stretch>
                  </pic:blipFill>
                  <pic:spPr bwMode="auto">
                    <a:xfrm>
                      <a:off x="0" y="0"/>
                      <a:ext cx="7134860" cy="12636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-236220</wp:posOffset>
            </wp:positionV>
            <wp:extent cx="7134860" cy="1263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9">
                      <a:extLst>
                        <a:ext uri="{28A0092B-C50C-407E-A947-70E740481C1C}"/>
                      </a:extLst>
                    </a:blip>
                    <a:srcRect/>
                    <a:stretch>
                      <a:fillRect/>
                    </a:stretch>
                  </pic:blipFill>
                  <pic:spPr bwMode="auto">
                    <a:xfrm>
                      <a:off x="0" y="0"/>
                      <a:ext cx="7134860" cy="12636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Management contract or compensatory plan or arrangement.</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80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S-1/A filed May 27, 2020</w:t>
            </w:r>
          </w:p>
        </w:tc>
        <w:tc>
          <w:tcPr>
            <w:tcW w:w="138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333-236674</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10.29</w:t>
            </w:r>
          </w:p>
        </w:tc>
      </w:tr>
      <w:tr>
        <w:trPr>
          <w:trHeight w:val="199"/>
        </w:trPr>
        <w:tc>
          <w:tcPr>
            <w:tcW w:w="180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S-1/A filed May 22, 2020</w:t>
            </w:r>
          </w:p>
        </w:tc>
        <w:tc>
          <w:tcPr>
            <w:tcW w:w="138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333-236674</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w:t>
            </w:r>
          </w:p>
        </w:tc>
      </w:tr>
      <w:tr>
        <w:trPr>
          <w:trHeight w:val="161"/>
        </w:trPr>
        <w:tc>
          <w:tcPr>
            <w:tcW w:w="180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10-K filed February 26,</w:t>
            </w:r>
          </w:p>
        </w:tc>
        <w:tc>
          <w:tcPr>
            <w:tcW w:w="138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w w:val="98"/>
              </w:rPr>
              <w:t>001-39310</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w:t>
            </w:r>
          </w:p>
        </w:tc>
      </w:tr>
      <w:tr>
        <w:trPr>
          <w:trHeight w:val="184"/>
        </w:trPr>
        <w:tc>
          <w:tcPr>
            <w:tcW w:w="180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w w:val="99"/>
              </w:rPr>
              <w:t>2023</w:t>
            </w:r>
          </w:p>
        </w:tc>
        <w:tc>
          <w:tcPr>
            <w:tcW w:w="13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5"/>
        </w:trPr>
        <w:tc>
          <w:tcPr>
            <w:tcW w:w="180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S-1/A filed May 22, 2020</w:t>
            </w:r>
          </w:p>
        </w:tc>
        <w:tc>
          <w:tcPr>
            <w:tcW w:w="138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333-236674</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w:t>
            </w:r>
          </w:p>
        </w:tc>
      </w:tr>
      <w:tr>
        <w:trPr>
          <w:trHeight w:val="331"/>
        </w:trPr>
        <w:tc>
          <w:tcPr>
            <w:tcW w:w="180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S-1/A filed May 22, 2020</w:t>
            </w:r>
          </w:p>
        </w:tc>
        <w:tc>
          <w:tcPr>
            <w:tcW w:w="138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333-236674</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w:t>
            </w:r>
          </w:p>
        </w:tc>
      </w:tr>
      <w:tr>
        <w:trPr>
          <w:trHeight w:val="331"/>
        </w:trPr>
        <w:tc>
          <w:tcPr>
            <w:tcW w:w="180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S-1/A filed May 22, 2020</w:t>
            </w:r>
          </w:p>
        </w:tc>
        <w:tc>
          <w:tcPr>
            <w:tcW w:w="138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333-236674</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w:t>
            </w:r>
          </w:p>
        </w:tc>
      </w:tr>
      <w:tr>
        <w:trPr>
          <w:trHeight w:val="199"/>
        </w:trPr>
        <w:tc>
          <w:tcPr>
            <w:tcW w:w="180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S-1/A filed May 22, 2020</w:t>
            </w:r>
          </w:p>
        </w:tc>
        <w:tc>
          <w:tcPr>
            <w:tcW w:w="138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333-236674</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w:t>
            </w:r>
          </w:p>
        </w:tc>
      </w:tr>
      <w:tr>
        <w:trPr>
          <w:trHeight w:val="199"/>
        </w:trPr>
        <w:tc>
          <w:tcPr>
            <w:tcW w:w="180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S-1/A filed May 22, 2020</w:t>
            </w:r>
          </w:p>
        </w:tc>
        <w:tc>
          <w:tcPr>
            <w:tcW w:w="138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333-236674</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w:t>
            </w:r>
          </w:p>
        </w:tc>
      </w:tr>
      <w:tr>
        <w:trPr>
          <w:trHeight w:val="331"/>
        </w:trPr>
        <w:tc>
          <w:tcPr>
            <w:tcW w:w="180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w w:val="99"/>
              </w:rPr>
              <w:t>10-Q filed August 11, 2020</w:t>
            </w:r>
          </w:p>
        </w:tc>
        <w:tc>
          <w:tcPr>
            <w:tcW w:w="138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w w:val="98"/>
              </w:rPr>
              <w:t>001-39310</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w:t>
            </w:r>
          </w:p>
        </w:tc>
      </w:tr>
      <w:tr>
        <w:trPr>
          <w:trHeight w:val="293"/>
        </w:trPr>
        <w:tc>
          <w:tcPr>
            <w:tcW w:w="180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10-K filed February 26,</w:t>
            </w:r>
          </w:p>
        </w:tc>
        <w:tc>
          <w:tcPr>
            <w:tcW w:w="138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w w:val="98"/>
              </w:rPr>
              <w:t>001-39310</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w:t>
            </w:r>
          </w:p>
        </w:tc>
      </w:tr>
      <w:tr>
        <w:trPr>
          <w:trHeight w:val="184"/>
        </w:trPr>
        <w:tc>
          <w:tcPr>
            <w:tcW w:w="180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w w:val="99"/>
              </w:rPr>
              <w:t>2021</w:t>
            </w:r>
          </w:p>
        </w:tc>
        <w:tc>
          <w:tcPr>
            <w:tcW w:w="1380" w:type="dxa"/>
            <w:vAlign w:val="bottom"/>
          </w:tcPr>
          <w:p>
            <w:pPr>
              <w:spacing w:after="0"/>
              <w:rPr>
                <w:sz w:val="15"/>
                <w:szCs w:val="15"/>
                <w:color w:val="auto"/>
              </w:rPr>
            </w:pPr>
          </w:p>
        </w:tc>
        <w:tc>
          <w:tcPr>
            <w:tcW w:w="780" w:type="dxa"/>
            <w:vAlign w:val="bottom"/>
          </w:tcPr>
          <w:p>
            <w:pPr>
              <w:spacing w:after="0"/>
              <w:rPr>
                <w:sz w:val="15"/>
                <w:szCs w:val="15"/>
                <w:color w:val="auto"/>
              </w:rPr>
            </w:pPr>
          </w:p>
        </w:tc>
      </w:tr>
    </w:tbl>
    <w:p>
      <w:pPr>
        <w:spacing w:after="0" w:line="3592" w:lineRule="exact"/>
        <w:rPr>
          <w:sz w:val="20"/>
          <w:szCs w:val="20"/>
          <w:color w:val="auto"/>
        </w:rPr>
      </w:pPr>
    </w:p>
    <w:p>
      <w:pPr>
        <w:sectPr>
          <w:pgSz w:w="11900" w:h="16838" w:orient="portrait"/>
          <w:cols w:equalWidth="0" w:num="2">
            <w:col w:w="6760" w:space="100"/>
            <w:col w:w="4380"/>
          </w:cols>
          <w:pgMar w:left="320" w:top="118" w:right="339" w:bottom="1440" w:gutter="0" w:footer="0" w:header="0"/>
          <w:type w:val="continuous"/>
        </w:sectPr>
      </w:pPr>
    </w:p>
    <w:p>
      <w:pPr>
        <w:jc w:val="both"/>
        <w:ind w:firstLine="6"/>
        <w:spacing w:after="0" w:line="273" w:lineRule="auto"/>
        <w:tabs>
          <w:tab w:leader="none" w:pos="109"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 32.1 that accompany this Annual Report on Form 10-K are not deemed filed with the Securities and Exchange Commission and are not to be incorporated by reference into any filing of ZoomInfo Technologies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the 15th day of February, 2024.</w:t>
      </w:r>
    </w:p>
    <w:p>
      <w:pPr>
        <w:spacing w:after="0" w:line="150"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ZOOMINFO TECHNOLOGIES INC.</w:t>
      </w:r>
    </w:p>
    <w:p>
      <w:pPr>
        <w:spacing w:after="0" w:line="230" w:lineRule="exact"/>
        <w:rPr>
          <w:sz w:val="20"/>
          <w:szCs w:val="20"/>
          <w:color w:val="auto"/>
        </w:rPr>
      </w:pPr>
    </w:p>
    <w:p>
      <w:pPr>
        <w:ind w:left="6920"/>
        <w:spacing w:after="0"/>
        <w:tabs>
          <w:tab w:leader="none" w:pos="7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Henry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4707255</wp:posOffset>
            </wp:positionH>
            <wp:positionV relativeFrom="paragraph">
              <wp:posOffset>14605</wp:posOffset>
            </wp:positionV>
            <wp:extent cx="243141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2">
                      <a:extLst>
                        <a:ext uri="{28A0092B-C50C-407E-A947-70E740481C1C}"/>
                      </a:extLst>
                    </a:blip>
                    <a:srcRect/>
                    <a:stretch>
                      <a:fillRect/>
                    </a:stretch>
                  </pic:blipFill>
                  <pic:spPr bwMode="auto">
                    <a:xfrm>
                      <a:off x="0" y="0"/>
                      <a:ext cx="2431415" cy="8255"/>
                    </a:xfrm>
                    <a:prstGeom prst="rect">
                      <a:avLst/>
                    </a:prstGeom>
                    <a:noFill/>
                  </pic:spPr>
                </pic:pic>
              </a:graphicData>
            </a:graphic>
          </wp:anchor>
        </w:drawing>
      </w:r>
    </w:p>
    <w:p>
      <w:pPr>
        <w:ind w:left="7440"/>
        <w:spacing w:after="0"/>
        <w:rPr>
          <w:sz w:val="20"/>
          <w:szCs w:val="20"/>
          <w:color w:val="auto"/>
        </w:rPr>
      </w:pPr>
      <w:r>
        <w:rPr>
          <w:rFonts w:ascii="Times New Roman" w:cs="Times New Roman" w:eastAsia="Times New Roman" w:hAnsi="Times New Roman"/>
          <w:sz w:val="18"/>
          <w:szCs w:val="18"/>
          <w:color w:val="auto"/>
        </w:rPr>
        <w:t>Name: Henry Schuck</w:t>
      </w:r>
    </w:p>
    <w:p>
      <w:pPr>
        <w:ind w:left="74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ectPr>
          <w:pgSz w:w="11900" w:h="16838" w:orient="portrait"/>
          <w:cols w:equalWidth="0" w:num="1">
            <w:col w:w="11240"/>
          </w:cols>
          <w:pgMar w:left="320" w:top="118" w:right="339" w:bottom="1440" w:gutter="0" w:footer="0" w:header="0"/>
        </w:sectPr>
      </w:pPr>
    </w:p>
    <w:p>
      <w:pPr>
        <w:spacing w:after="0" w:line="14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24904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3">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spacing w:after="0" w:line="7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Henry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4904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4">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spacing w:after="0" w:line="1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Henry Schuck</w:t>
      </w:r>
    </w:p>
    <w:p>
      <w:pPr>
        <w:spacing w:after="0" w:line="71"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Todd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4904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5">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spacing w:after="0" w:line="1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Todd Crockett</w:t>
      </w:r>
    </w:p>
    <w:p>
      <w:pPr>
        <w:spacing w:after="0" w:line="71"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Mitesh Dhruv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4904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6">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spacing w:after="0" w:line="1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Mitesh Dhruv</w:t>
      </w:r>
    </w:p>
    <w:p>
      <w:pPr>
        <w:spacing w:after="0" w:line="71"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Keith Enright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4904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7">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spacing w:after="0" w:line="1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Keith Enright</w:t>
      </w:r>
    </w:p>
    <w:p>
      <w:pPr>
        <w:spacing w:after="0" w:line="71"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Ashley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4904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8">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spacing w:after="0" w:line="1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Ashley Evans</w:t>
      </w:r>
    </w:p>
    <w:p>
      <w:pPr>
        <w:spacing w:after="0" w:line="71"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Alison Gleeson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4904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9">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spacing w:after="0" w:line="1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Alison Gleeson</w:t>
      </w:r>
    </w:p>
    <w:p>
      <w:pPr>
        <w:spacing w:after="0" w:line="7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 Mark Mader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4904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0">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spacing w:after="0" w:line="1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Mark Mader</w:t>
      </w:r>
    </w:p>
    <w:p>
      <w:pPr>
        <w:spacing w:after="0" w:line="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 Patrick McCarter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4904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1">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spacing w:after="0" w:line="1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Patrick McCarter</w:t>
      </w:r>
    </w:p>
    <w:p>
      <w:pPr>
        <w:spacing w:after="0" w:line="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 D. Randall Winn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4904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2">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spacing w:after="0" w:line="1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D. Randall Winn</w:t>
      </w:r>
    </w:p>
    <w:p>
      <w:pPr>
        <w:spacing w:after="0" w:line="7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/s/ P. Cameron Hyzer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4904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3">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spacing w:after="0" w:line="1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P. Cameron Hyzer</w:t>
      </w:r>
    </w:p>
    <w:p>
      <w:pPr>
        <w:spacing w:after="0" w:line="7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/s/ Sriprasadh Cadambi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24904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4">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spacing w:after="0" w:line="23"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Sriprasadh Cadambi</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31115</wp:posOffset>
            </wp:positionV>
            <wp:extent cx="32645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5">
                      <a:extLst>
                        <a:ext uri="{28A0092B-C50C-407E-A947-70E740481C1C}"/>
                      </a:extLst>
                    </a:blip>
                    <a:srcRect/>
                    <a:stretch>
                      <a:fillRect/>
                    </a:stretch>
                  </pic:blipFill>
                  <pic:spPr bwMode="auto">
                    <a:xfrm>
                      <a:off x="0" y="0"/>
                      <a:ext cx="3264535" cy="8255"/>
                    </a:xfrm>
                    <a:prstGeom prst="rect">
                      <a:avLst/>
                    </a:prstGeom>
                    <a:noFill/>
                  </pic:spPr>
                </pic:pic>
              </a:graphicData>
            </a:graphic>
          </wp:anchor>
        </w:drawing>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Executive Officer and Chairman of the Board of Directors</w:t>
      </w:r>
    </w:p>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10"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Director</w:t>
      </w:r>
    </w:p>
    <w:p>
      <w:pPr>
        <w:spacing w:after="0" w:line="310"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Director</w:t>
      </w:r>
    </w:p>
    <w:p>
      <w:pPr>
        <w:spacing w:after="0" w:line="310"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Director</w:t>
      </w:r>
    </w:p>
    <w:p>
      <w:pPr>
        <w:spacing w:after="0" w:line="310"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Director</w:t>
      </w:r>
    </w:p>
    <w:p>
      <w:pPr>
        <w:spacing w:after="0" w:line="310"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Director</w:t>
      </w:r>
    </w:p>
    <w:p>
      <w:pPr>
        <w:spacing w:after="0" w:line="310"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Director</w:t>
      </w:r>
    </w:p>
    <w:p>
      <w:pPr>
        <w:spacing w:after="0" w:line="310"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Director</w:t>
      </w:r>
    </w:p>
    <w:p>
      <w:pPr>
        <w:spacing w:after="0" w:line="310"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Director</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Chief Accounting Officer and Senior Vice President, Finance (principal</w:t>
      </w:r>
    </w:p>
    <w:p>
      <w:pPr>
        <w:jc w:val="center"/>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31115</wp:posOffset>
            </wp:positionV>
            <wp:extent cx="126174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6">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22225</wp:posOffset>
            </wp:positionV>
            <wp:extent cx="126174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7">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22225</wp:posOffset>
            </wp:positionV>
            <wp:extent cx="126174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8">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22225</wp:posOffset>
            </wp:positionV>
            <wp:extent cx="126174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9">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22225</wp:posOffset>
            </wp:positionV>
            <wp:extent cx="126174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0">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22225</wp:posOffset>
            </wp:positionV>
            <wp:extent cx="126174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1">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22225</wp:posOffset>
            </wp:positionV>
            <wp:extent cx="126174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2">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22225</wp:posOffset>
            </wp:positionV>
            <wp:extent cx="126174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3">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22225</wp:posOffset>
            </wp:positionV>
            <wp:extent cx="126174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4">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22225</wp:posOffset>
            </wp:positionV>
            <wp:extent cx="126174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5">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22225</wp:posOffset>
            </wp:positionV>
            <wp:extent cx="126174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6">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22225</wp:posOffset>
            </wp:positionV>
            <wp:extent cx="126174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7">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450" w:lineRule="exact"/>
        <w:rPr>
          <w:sz w:val="20"/>
          <w:szCs w:val="20"/>
          <w:color w:val="auto"/>
        </w:rPr>
      </w:pPr>
    </w:p>
    <w:p>
      <w:pPr>
        <w:sectPr>
          <w:pgSz w:w="11900" w:h="16838" w:orient="portrait"/>
          <w:cols w:equalWidth="0" w:num="3">
            <w:col w:w="3340" w:space="720"/>
            <w:col w:w="5060" w:space="480"/>
            <w:col w:w="1640"/>
          </w:cols>
          <w:pgMar w:left="32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133</w:t>
      </w:r>
    </w:p>
    <w:p>
      <w:pPr>
        <w:sectPr>
          <w:pgSz w:w="11900" w:h="16838" w:orient="portrait"/>
          <w:cols w:equalWidth="0" w:num="1">
            <w:col w:w="11240"/>
          </w:cols>
          <w:pgMar w:left="320" w:top="118" w:right="339" w:bottom="1440" w:gutter="0" w:footer="0" w:header="0"/>
          <w:type w:val="continuous"/>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1180" w:type="dxa"/>
            <w:vAlign w:val="bottom"/>
            <w:gridSpan w:val="2"/>
          </w:tcPr>
          <w:p>
            <w:pPr>
              <w:ind w:left="3660"/>
              <w:spacing w:after="0"/>
              <w:rPr>
                <w:sz w:val="20"/>
                <w:szCs w:val="20"/>
                <w:color w:val="auto"/>
              </w:rPr>
            </w:pPr>
            <w:r>
              <w:rPr>
                <w:rFonts w:ascii="Times New Roman" w:cs="Times New Roman" w:eastAsia="Times New Roman" w:hAnsi="Times New Roman"/>
                <w:sz w:val="21"/>
                <w:szCs w:val="21"/>
                <w:b w:val="1"/>
                <w:bCs w:val="1"/>
                <w:color w:val="auto"/>
              </w:rPr>
              <w:t>Subsidiaries of ZoomInfo Technologies Inc.</w:t>
            </w:r>
          </w:p>
        </w:tc>
      </w:tr>
      <w:tr>
        <w:trPr>
          <w:trHeight w:val="715"/>
        </w:trPr>
        <w:tc>
          <w:tcPr>
            <w:tcW w:w="5880" w:type="dxa"/>
            <w:vAlign w:val="bottom"/>
          </w:tcPr>
          <w:p>
            <w:pPr>
              <w:ind w:left="20"/>
              <w:spacing w:after="0"/>
              <w:rPr>
                <w:sz w:val="20"/>
                <w:szCs w:val="20"/>
                <w:color w:val="auto"/>
              </w:rPr>
            </w:pPr>
            <w:r>
              <w:rPr>
                <w:rFonts w:ascii="Times New Roman" w:cs="Times New Roman" w:eastAsia="Times New Roman" w:hAnsi="Times New Roman"/>
                <w:sz w:val="21"/>
                <w:szCs w:val="21"/>
                <w:b w:val="1"/>
                <w:bCs w:val="1"/>
                <w:color w:val="auto"/>
              </w:rPr>
              <w:t>Name of Subsidiary</w:t>
            </w:r>
          </w:p>
        </w:tc>
        <w:tc>
          <w:tcPr>
            <w:tcW w:w="5300" w:type="dxa"/>
            <w:vAlign w:val="bottom"/>
          </w:tcPr>
          <w:p>
            <w:pPr>
              <w:ind w:left="160"/>
              <w:spacing w:after="0"/>
              <w:rPr>
                <w:sz w:val="20"/>
                <w:szCs w:val="20"/>
                <w:color w:val="auto"/>
              </w:rPr>
            </w:pPr>
            <w:r>
              <w:rPr>
                <w:rFonts w:ascii="Times New Roman" w:cs="Times New Roman" w:eastAsia="Times New Roman" w:hAnsi="Times New Roman"/>
                <w:sz w:val="21"/>
                <w:szCs w:val="21"/>
                <w:b w:val="1"/>
                <w:bCs w:val="1"/>
                <w:color w:val="auto"/>
              </w:rPr>
              <w:t>Jurisdiction of Incorporation or Organization</w:t>
            </w:r>
          </w:p>
        </w:tc>
      </w:tr>
      <w:tr>
        <w:trPr>
          <w:trHeight w:val="29"/>
        </w:trPr>
        <w:tc>
          <w:tcPr>
            <w:tcW w:w="5880" w:type="dxa"/>
            <w:vAlign w:val="bottom"/>
            <w:tcBorders>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r>
      <w:tr>
        <w:trPr>
          <w:trHeight w:val="283"/>
        </w:trPr>
        <w:tc>
          <w:tcPr>
            <w:tcW w:w="58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ZoomInfo Intermediate Inc.</w:t>
            </w:r>
          </w:p>
        </w:tc>
        <w:tc>
          <w:tcPr>
            <w:tcW w:w="53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Delaware</w:t>
            </w:r>
          </w:p>
        </w:tc>
      </w:tr>
      <w:tr>
        <w:trPr>
          <w:trHeight w:val="318"/>
        </w:trPr>
        <w:tc>
          <w:tcPr>
            <w:tcW w:w="58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ZoomInfo Holdings LLC</w:t>
            </w:r>
          </w:p>
        </w:tc>
        <w:tc>
          <w:tcPr>
            <w:tcW w:w="53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Delaware</w:t>
            </w:r>
          </w:p>
        </w:tc>
      </w:tr>
      <w:tr>
        <w:trPr>
          <w:trHeight w:val="318"/>
        </w:trPr>
        <w:tc>
          <w:tcPr>
            <w:tcW w:w="58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ZoomInfo Midco LLC</w:t>
            </w:r>
          </w:p>
        </w:tc>
        <w:tc>
          <w:tcPr>
            <w:tcW w:w="53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Delaware</w:t>
            </w:r>
          </w:p>
        </w:tc>
      </w:tr>
      <w:tr>
        <w:trPr>
          <w:trHeight w:val="318"/>
        </w:trPr>
        <w:tc>
          <w:tcPr>
            <w:tcW w:w="58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ZoomInfo LLC</w:t>
            </w:r>
          </w:p>
        </w:tc>
        <w:tc>
          <w:tcPr>
            <w:tcW w:w="53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Delaware</w:t>
            </w:r>
          </w:p>
        </w:tc>
      </w:tr>
      <w:tr>
        <w:trPr>
          <w:trHeight w:val="318"/>
        </w:trPr>
        <w:tc>
          <w:tcPr>
            <w:tcW w:w="58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Clickagy LLC</w:t>
            </w:r>
          </w:p>
        </w:tc>
        <w:tc>
          <w:tcPr>
            <w:tcW w:w="53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Delaware</w:t>
            </w:r>
          </w:p>
        </w:tc>
      </w:tr>
      <w:tr>
        <w:trPr>
          <w:trHeight w:val="318"/>
        </w:trPr>
        <w:tc>
          <w:tcPr>
            <w:tcW w:w="58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ZoomInfo Technologies LLC</w:t>
            </w:r>
          </w:p>
        </w:tc>
        <w:tc>
          <w:tcPr>
            <w:tcW w:w="53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Delaware</w:t>
            </w:r>
          </w:p>
        </w:tc>
      </w:tr>
      <w:tr>
        <w:trPr>
          <w:trHeight w:val="318"/>
        </w:trPr>
        <w:tc>
          <w:tcPr>
            <w:tcW w:w="58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ZoomInfo Finance Corp.</w:t>
            </w:r>
          </w:p>
        </w:tc>
        <w:tc>
          <w:tcPr>
            <w:tcW w:w="53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Delaware</w:t>
            </w:r>
          </w:p>
        </w:tc>
      </w:tr>
      <w:tr>
        <w:trPr>
          <w:trHeight w:val="318"/>
        </w:trPr>
        <w:tc>
          <w:tcPr>
            <w:tcW w:w="58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Neverbounce, LLC</w:t>
            </w:r>
          </w:p>
        </w:tc>
        <w:tc>
          <w:tcPr>
            <w:tcW w:w="53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Delaware</w:t>
            </w:r>
          </w:p>
        </w:tc>
      </w:tr>
      <w:tr>
        <w:trPr>
          <w:trHeight w:val="318"/>
        </w:trPr>
        <w:tc>
          <w:tcPr>
            <w:tcW w:w="58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ZoomInfo Ruby LLC</w:t>
            </w:r>
          </w:p>
        </w:tc>
        <w:tc>
          <w:tcPr>
            <w:tcW w:w="53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Delaware</w:t>
            </w:r>
          </w:p>
        </w:tc>
      </w:tr>
      <w:tr>
        <w:trPr>
          <w:trHeight w:val="318"/>
        </w:trPr>
        <w:tc>
          <w:tcPr>
            <w:tcW w:w="58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ZoomInfo International, LLC</w:t>
            </w:r>
          </w:p>
        </w:tc>
        <w:tc>
          <w:tcPr>
            <w:tcW w:w="53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Delaware</w:t>
            </w:r>
          </w:p>
        </w:tc>
      </w:tr>
      <w:tr>
        <w:trPr>
          <w:trHeight w:val="318"/>
        </w:trPr>
        <w:tc>
          <w:tcPr>
            <w:tcW w:w="58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Comparably LLC</w:t>
            </w:r>
          </w:p>
        </w:tc>
        <w:tc>
          <w:tcPr>
            <w:tcW w:w="53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Delaware</w:t>
            </w:r>
          </w:p>
        </w:tc>
      </w:tr>
      <w:tr>
        <w:trPr>
          <w:trHeight w:val="318"/>
        </w:trPr>
        <w:tc>
          <w:tcPr>
            <w:tcW w:w="58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ZoomInfo Razor LLC</w:t>
            </w:r>
          </w:p>
        </w:tc>
        <w:tc>
          <w:tcPr>
            <w:tcW w:w="53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Delaware</w:t>
            </w:r>
          </w:p>
        </w:tc>
      </w:tr>
      <w:tr>
        <w:trPr>
          <w:trHeight w:val="318"/>
        </w:trPr>
        <w:tc>
          <w:tcPr>
            <w:tcW w:w="58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ZoomInfo Apollo LLC</w:t>
            </w:r>
          </w:p>
        </w:tc>
        <w:tc>
          <w:tcPr>
            <w:tcW w:w="53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Delaware</w:t>
            </w:r>
          </w:p>
        </w:tc>
      </w:tr>
      <w:tr>
        <w:trPr>
          <w:trHeight w:val="318"/>
        </w:trPr>
        <w:tc>
          <w:tcPr>
            <w:tcW w:w="58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Datanyze, LLC</w:t>
            </w:r>
          </w:p>
        </w:tc>
        <w:tc>
          <w:tcPr>
            <w:tcW w:w="53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Delaware</w:t>
            </w:r>
          </w:p>
        </w:tc>
      </w:tr>
      <w:tr>
        <w:trPr>
          <w:trHeight w:val="318"/>
        </w:trPr>
        <w:tc>
          <w:tcPr>
            <w:tcW w:w="58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DiscoverOrg Acquisition (Komiko), LLC</w:t>
            </w:r>
          </w:p>
        </w:tc>
        <w:tc>
          <w:tcPr>
            <w:tcW w:w="53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Delaware</w:t>
            </w:r>
          </w:p>
        </w:tc>
      </w:tr>
      <w:tr>
        <w:trPr>
          <w:trHeight w:val="318"/>
        </w:trPr>
        <w:tc>
          <w:tcPr>
            <w:tcW w:w="58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ZoomInfo Israel Ltd.</w:t>
            </w:r>
          </w:p>
        </w:tc>
        <w:tc>
          <w:tcPr>
            <w:tcW w:w="53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Israel</w:t>
            </w:r>
          </w:p>
        </w:tc>
      </w:tr>
      <w:tr>
        <w:trPr>
          <w:trHeight w:val="318"/>
        </w:trPr>
        <w:tc>
          <w:tcPr>
            <w:tcW w:w="58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ZoomInfo Israel GTM Ltd.</w:t>
            </w:r>
          </w:p>
        </w:tc>
        <w:tc>
          <w:tcPr>
            <w:tcW w:w="53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Israel</w:t>
            </w:r>
          </w:p>
        </w:tc>
      </w:tr>
      <w:tr>
        <w:trPr>
          <w:trHeight w:val="306"/>
        </w:trPr>
        <w:tc>
          <w:tcPr>
            <w:tcW w:w="58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ZoomInfo Technologies India Private Limited (formerly InsentApp</w:t>
            </w:r>
          </w:p>
        </w:tc>
        <w:tc>
          <w:tcPr>
            <w:tcW w:w="53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India</w:t>
            </w:r>
          </w:p>
        </w:tc>
      </w:tr>
      <w:tr>
        <w:trPr>
          <w:trHeight w:val="277"/>
        </w:trPr>
        <w:tc>
          <w:tcPr>
            <w:tcW w:w="58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India Private Limited)</w:t>
            </w:r>
          </w:p>
        </w:tc>
        <w:tc>
          <w:tcPr>
            <w:tcW w:w="5300" w:type="dxa"/>
            <w:vAlign w:val="bottom"/>
          </w:tcPr>
          <w:p>
            <w:pPr>
              <w:spacing w:after="0"/>
              <w:rPr>
                <w:sz w:val="24"/>
                <w:szCs w:val="24"/>
                <w:color w:val="auto"/>
              </w:rPr>
            </w:pPr>
          </w:p>
        </w:tc>
      </w:tr>
      <w:tr>
        <w:trPr>
          <w:trHeight w:val="318"/>
        </w:trPr>
        <w:tc>
          <w:tcPr>
            <w:tcW w:w="58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ZI Technology India GTM Private Limited</w:t>
            </w:r>
          </w:p>
        </w:tc>
        <w:tc>
          <w:tcPr>
            <w:tcW w:w="53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India</w:t>
            </w:r>
          </w:p>
        </w:tc>
      </w:tr>
      <w:tr>
        <w:trPr>
          <w:trHeight w:val="318"/>
        </w:trPr>
        <w:tc>
          <w:tcPr>
            <w:tcW w:w="58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ZoomInfo Canada Corp.</w:t>
            </w:r>
          </w:p>
        </w:tc>
        <w:tc>
          <w:tcPr>
            <w:tcW w:w="53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Canada</w:t>
            </w:r>
          </w:p>
        </w:tc>
      </w:tr>
      <w:tr>
        <w:trPr>
          <w:trHeight w:val="318"/>
        </w:trPr>
        <w:tc>
          <w:tcPr>
            <w:tcW w:w="58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ZoomInfo Australia Pty Ltd.</w:t>
            </w:r>
          </w:p>
        </w:tc>
        <w:tc>
          <w:tcPr>
            <w:tcW w:w="53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Australia</w:t>
            </w:r>
          </w:p>
        </w:tc>
      </w:tr>
      <w:tr>
        <w:trPr>
          <w:trHeight w:val="318"/>
        </w:trPr>
        <w:tc>
          <w:tcPr>
            <w:tcW w:w="58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ZoomInfo UK Ltd.</w:t>
            </w:r>
          </w:p>
        </w:tc>
        <w:tc>
          <w:tcPr>
            <w:tcW w:w="53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UK</w:t>
            </w:r>
          </w:p>
        </w:tc>
      </w:tr>
      <w:tr>
        <w:trPr>
          <w:trHeight w:val="318"/>
        </w:trPr>
        <w:tc>
          <w:tcPr>
            <w:tcW w:w="58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EverString Technology, LLC</w:t>
            </w:r>
          </w:p>
        </w:tc>
        <w:tc>
          <w:tcPr>
            <w:tcW w:w="53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Delaware</w:t>
            </w:r>
          </w:p>
        </w:tc>
      </w:tr>
    </w:tbl>
    <w:p>
      <w:pPr>
        <w:sectPr>
          <w:pgSz w:w="11900" w:h="16838" w:orient="portrait"/>
          <w:cols w:equalWidth="0" w:num="1">
            <w:col w:w="11240"/>
          </w:cols>
          <w:pgMar w:left="320" w:top="119"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3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333-238917, No. 333-269832, and No. 333-260668) on Form S-8s and S-3, respectively, of our reports dated February 15, 2024, with respect to the consolidated financial statements of ZoomInfo Technologies Inc. and subsidiaries and the effectiveness of internal control over financial reporting.</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Portland, Oregon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15, 2024</w:t>
      </w:r>
    </w:p>
    <w:p>
      <w:pPr>
        <w:sectPr>
          <w:pgSz w:w="11900" w:h="16838" w:orient="portrait"/>
          <w:cols w:equalWidth="0" w:num="1">
            <w:col w:w="11240"/>
          </w:cols>
          <w:pgMar w:left="320" w:top="119"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Certification Pursuant to</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Henry Schuck, certify that:</w:t>
      </w:r>
    </w:p>
    <w:p>
      <w:pPr>
        <w:spacing w:after="0" w:line="270" w:lineRule="exact"/>
        <w:rPr>
          <w:sz w:val="20"/>
          <w:szCs w:val="20"/>
          <w:color w:val="auto"/>
        </w:rPr>
      </w:pPr>
    </w:p>
    <w:p>
      <w:pPr>
        <w:ind w:left="180" w:hanging="174"/>
        <w:spacing w:after="0"/>
        <w:tabs>
          <w:tab w:leader="none" w:pos="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ZoomInfo Technologies Inc.;</w:t>
      </w:r>
    </w:p>
    <w:p>
      <w:pPr>
        <w:spacing w:after="0" w:line="283" w:lineRule="exact"/>
        <w:rPr>
          <w:rFonts w:ascii="Times New Roman" w:cs="Times New Roman" w:eastAsia="Times New Roman" w:hAnsi="Times New Roman"/>
          <w:sz w:val="18"/>
          <w:szCs w:val="18"/>
          <w:color w:val="auto"/>
        </w:rPr>
      </w:pPr>
    </w:p>
    <w:p>
      <w:pPr>
        <w:ind w:right="460" w:firstLine="6"/>
        <w:spacing w:after="0" w:line="336" w:lineRule="auto"/>
        <w:tabs>
          <w:tab w:leader="none" w:pos="177"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Times New Roman" w:cs="Times New Roman" w:eastAsia="Times New Roman" w:hAnsi="Times New Roman"/>
          <w:sz w:val="17"/>
          <w:szCs w:val="17"/>
          <w:color w:val="auto"/>
        </w:rPr>
      </w:pPr>
    </w:p>
    <w:p>
      <w:pPr>
        <w:ind w:right="80" w:firstLine="6"/>
        <w:spacing w:after="0" w:line="304" w:lineRule="auto"/>
        <w:tabs>
          <w:tab w:leader="none" w:pos="17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4" w:lineRule="exact"/>
        <w:rPr>
          <w:rFonts w:ascii="Times New Roman" w:cs="Times New Roman" w:eastAsia="Times New Roman" w:hAnsi="Times New Roman"/>
          <w:sz w:val="18"/>
          <w:szCs w:val="18"/>
          <w:color w:val="auto"/>
        </w:rPr>
      </w:pPr>
    </w:p>
    <w:p>
      <w:pPr>
        <w:ind w:right="60" w:firstLine="6"/>
        <w:spacing w:after="0" w:line="298" w:lineRule="auto"/>
        <w:tabs>
          <w:tab w:leader="none" w:pos="17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9" w:lineRule="exact"/>
        <w:rPr>
          <w:rFonts w:ascii="Times New Roman" w:cs="Times New Roman" w:eastAsia="Times New Roman" w:hAnsi="Times New Roman"/>
          <w:sz w:val="18"/>
          <w:szCs w:val="18"/>
          <w:color w:val="auto"/>
        </w:rPr>
      </w:pPr>
    </w:p>
    <w:p>
      <w:pPr>
        <w:ind w:left="640" w:right="60" w:firstLine="2"/>
        <w:spacing w:after="0" w:line="298" w:lineRule="auto"/>
        <w:tabs>
          <w:tab w:leader="none" w:pos="8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6" w:lineRule="exact"/>
        <w:rPr>
          <w:rFonts w:ascii="Times New Roman" w:cs="Times New Roman" w:eastAsia="Times New Roman" w:hAnsi="Times New Roman"/>
          <w:sz w:val="18"/>
          <w:szCs w:val="18"/>
          <w:color w:val="auto"/>
        </w:rPr>
      </w:pPr>
    </w:p>
    <w:p>
      <w:pPr>
        <w:ind w:left="900" w:hanging="258"/>
        <w:spacing w:after="0"/>
        <w:tabs>
          <w:tab w:leader="none" w:pos="9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44" w:lineRule="exact"/>
        <w:rPr>
          <w:rFonts w:ascii="Times New Roman" w:cs="Times New Roman" w:eastAsia="Times New Roman" w:hAnsi="Times New Roman"/>
          <w:sz w:val="18"/>
          <w:szCs w:val="18"/>
          <w:color w:val="auto"/>
        </w:rPr>
      </w:pPr>
    </w:p>
    <w:p>
      <w:pPr>
        <w:ind w:left="640" w:right="280"/>
        <w:spacing w:after="0" w:line="30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8"/>
          <w:szCs w:val="18"/>
          <w:color w:val="auto"/>
        </w:rPr>
      </w:pPr>
    </w:p>
    <w:p>
      <w:pPr>
        <w:ind w:left="640" w:right="840" w:firstLine="2"/>
        <w:spacing w:after="0" w:line="336" w:lineRule="auto"/>
        <w:tabs>
          <w:tab w:leader="none" w:pos="88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Times New Roman" w:cs="Times New Roman" w:eastAsia="Times New Roman" w:hAnsi="Times New Roman"/>
          <w:sz w:val="17"/>
          <w:szCs w:val="17"/>
          <w:color w:val="auto"/>
        </w:rPr>
      </w:pPr>
    </w:p>
    <w:p>
      <w:pPr>
        <w:jc w:val="both"/>
        <w:ind w:left="640" w:right="300" w:firstLine="2"/>
        <w:spacing w:after="0" w:line="298" w:lineRule="auto"/>
        <w:tabs>
          <w:tab w:leader="none" w:pos="89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6" w:lineRule="exact"/>
        <w:rPr>
          <w:rFonts w:ascii="Times New Roman" w:cs="Times New Roman" w:eastAsia="Times New Roman" w:hAnsi="Times New Roman"/>
          <w:sz w:val="18"/>
          <w:szCs w:val="18"/>
          <w:color w:val="auto"/>
        </w:rPr>
      </w:pPr>
    </w:p>
    <w:p>
      <w:pPr>
        <w:ind w:right="680" w:firstLine="6"/>
        <w:spacing w:after="0" w:line="320" w:lineRule="auto"/>
        <w:tabs>
          <w:tab w:leader="none" w:pos="17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132" w:right="339" w:bottom="1440" w:gutter="0" w:footer="0" w:header="0"/>
        </w:sectPr>
      </w:pPr>
    </w:p>
    <w:bookmarkStart w:id="144" w:name="page145"/>
    <w:bookmarkEnd w:id="144"/>
    <w:p>
      <w:pPr>
        <w:ind w:left="940" w:right="40" w:hanging="318"/>
        <w:spacing w:after="0" w:line="320" w:lineRule="auto"/>
        <w:tabs>
          <w:tab w:leader="none" w:pos="93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Times New Roman" w:cs="Times New Roman" w:eastAsia="Times New Roman" w:hAnsi="Times New Roman"/>
          <w:sz w:val="18"/>
          <w:szCs w:val="18"/>
          <w:color w:val="auto"/>
        </w:rPr>
      </w:pPr>
    </w:p>
    <w:p>
      <w:pPr>
        <w:ind w:left="940" w:hanging="318"/>
        <w:spacing w:after="0" w:line="320" w:lineRule="auto"/>
        <w:tabs>
          <w:tab w:leader="none" w:pos="93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/s/ Henry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3903345</wp:posOffset>
            </wp:positionH>
            <wp:positionV relativeFrom="paragraph">
              <wp:posOffset>31750</wp:posOffset>
            </wp:positionV>
            <wp:extent cx="307975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8">
                      <a:extLst>
                        <a:ext uri="{28A0092B-C50C-407E-A947-70E740481C1C}"/>
                      </a:extLst>
                    </a:blip>
                    <a:srcRect/>
                    <a:stretch>
                      <a:fillRect/>
                    </a:stretch>
                  </pic:blipFill>
                  <pic:spPr bwMode="auto">
                    <a:xfrm>
                      <a:off x="0" y="0"/>
                      <a:ext cx="3079750" cy="8255"/>
                    </a:xfrm>
                    <a:prstGeom prst="rect">
                      <a:avLst/>
                    </a:prstGeom>
                    <a:noFill/>
                  </pic:spPr>
                </pic:pic>
              </a:graphicData>
            </a:graphic>
          </wp:anchor>
        </w:drawing>
      </w:r>
    </w:p>
    <w:p>
      <w:pPr>
        <w:spacing w:after="0" w:line="38" w:lineRule="exact"/>
        <w:rPr>
          <w:sz w:val="20"/>
          <w:szCs w:val="20"/>
          <w:color w:val="auto"/>
        </w:rPr>
      </w:pPr>
    </w:p>
    <w:p>
      <w:pPr>
        <w:spacing w:after="0"/>
        <w:tabs>
          <w:tab w:leader="none" w:pos="6140" w:val="left"/>
        </w:tabs>
        <w:rPr>
          <w:sz w:val="20"/>
          <w:szCs w:val="20"/>
          <w:color w:val="auto"/>
        </w:rPr>
      </w:pPr>
      <w:r>
        <w:rPr>
          <w:rFonts w:ascii="Times New Roman" w:cs="Times New Roman" w:eastAsia="Times New Roman" w:hAnsi="Times New Roman"/>
          <w:sz w:val="18"/>
          <w:szCs w:val="18"/>
          <w:color w:val="auto"/>
        </w:rPr>
        <w:t>Date: February 15, 2024</w:t>
      </w:r>
      <w:r>
        <w:rPr>
          <w:sz w:val="20"/>
          <w:szCs w:val="20"/>
          <w:color w:val="auto"/>
        </w:rPr>
        <w:tab/>
      </w:r>
      <w:r>
        <w:rPr>
          <w:rFonts w:ascii="Times New Roman" w:cs="Times New Roman" w:eastAsia="Times New Roman" w:hAnsi="Times New Roman"/>
          <w:sz w:val="17"/>
          <w:szCs w:val="17"/>
          <w:color w:val="auto"/>
        </w:rPr>
        <w:t>Henry Schuck</w:t>
      </w:r>
    </w:p>
    <w:p>
      <w:pPr>
        <w:spacing w:after="0" w:line="7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5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100"/>
          </w:cols>
          <w:pgMar w:left="340" w:top="1406" w:right="45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Certification Pursuant to</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 Cameron Hyzer, certify that:</w:t>
      </w:r>
    </w:p>
    <w:p>
      <w:pPr>
        <w:spacing w:after="0" w:line="270" w:lineRule="exact"/>
        <w:rPr>
          <w:sz w:val="20"/>
          <w:szCs w:val="20"/>
          <w:color w:val="auto"/>
        </w:rPr>
      </w:pPr>
    </w:p>
    <w:p>
      <w:pPr>
        <w:ind w:left="180" w:hanging="174"/>
        <w:spacing w:after="0"/>
        <w:tabs>
          <w:tab w:leader="none" w:pos="1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ZoomInfo Technologies Inc.;</w:t>
      </w:r>
    </w:p>
    <w:p>
      <w:pPr>
        <w:spacing w:after="0" w:line="283" w:lineRule="exact"/>
        <w:rPr>
          <w:rFonts w:ascii="Times New Roman" w:cs="Times New Roman" w:eastAsia="Times New Roman" w:hAnsi="Times New Roman"/>
          <w:sz w:val="18"/>
          <w:szCs w:val="18"/>
          <w:color w:val="auto"/>
        </w:rPr>
      </w:pPr>
    </w:p>
    <w:p>
      <w:pPr>
        <w:ind w:right="460" w:firstLine="6"/>
        <w:spacing w:after="0" w:line="336" w:lineRule="auto"/>
        <w:tabs>
          <w:tab w:leader="none" w:pos="177"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Times New Roman" w:cs="Times New Roman" w:eastAsia="Times New Roman" w:hAnsi="Times New Roman"/>
          <w:sz w:val="17"/>
          <w:szCs w:val="17"/>
          <w:color w:val="auto"/>
        </w:rPr>
      </w:pPr>
    </w:p>
    <w:p>
      <w:pPr>
        <w:ind w:right="80" w:firstLine="6"/>
        <w:spacing w:after="0" w:line="304" w:lineRule="auto"/>
        <w:tabs>
          <w:tab w:leader="none" w:pos="17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4" w:lineRule="exact"/>
        <w:rPr>
          <w:rFonts w:ascii="Times New Roman" w:cs="Times New Roman" w:eastAsia="Times New Roman" w:hAnsi="Times New Roman"/>
          <w:sz w:val="18"/>
          <w:szCs w:val="18"/>
          <w:color w:val="auto"/>
        </w:rPr>
      </w:pPr>
    </w:p>
    <w:p>
      <w:pPr>
        <w:ind w:right="60" w:firstLine="6"/>
        <w:spacing w:after="0" w:line="298" w:lineRule="auto"/>
        <w:tabs>
          <w:tab w:leader="none" w:pos="17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75" w:lineRule="exact"/>
        <w:rPr>
          <w:rFonts w:ascii="Times New Roman" w:cs="Times New Roman" w:eastAsia="Times New Roman" w:hAnsi="Times New Roman"/>
          <w:sz w:val="18"/>
          <w:szCs w:val="18"/>
          <w:color w:val="auto"/>
        </w:rPr>
      </w:pPr>
    </w:p>
    <w:p>
      <w:pPr>
        <w:ind w:left="640" w:right="60" w:firstLine="2"/>
        <w:spacing w:after="0" w:line="298" w:lineRule="auto"/>
        <w:tabs>
          <w:tab w:leader="none" w:pos="8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6" w:lineRule="exact"/>
        <w:rPr>
          <w:rFonts w:ascii="Times New Roman" w:cs="Times New Roman" w:eastAsia="Times New Roman" w:hAnsi="Times New Roman"/>
          <w:sz w:val="18"/>
          <w:szCs w:val="18"/>
          <w:color w:val="auto"/>
        </w:rPr>
      </w:pPr>
    </w:p>
    <w:p>
      <w:pPr>
        <w:ind w:left="900" w:hanging="258"/>
        <w:spacing w:after="0"/>
        <w:tabs>
          <w:tab w:leader="none" w:pos="9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44" w:lineRule="exact"/>
        <w:rPr>
          <w:rFonts w:ascii="Times New Roman" w:cs="Times New Roman" w:eastAsia="Times New Roman" w:hAnsi="Times New Roman"/>
          <w:sz w:val="18"/>
          <w:szCs w:val="18"/>
          <w:color w:val="auto"/>
        </w:rPr>
      </w:pPr>
    </w:p>
    <w:p>
      <w:pPr>
        <w:ind w:left="640" w:right="280"/>
        <w:spacing w:after="0" w:line="30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8"/>
          <w:szCs w:val="18"/>
          <w:color w:val="auto"/>
        </w:rPr>
      </w:pPr>
    </w:p>
    <w:p>
      <w:pPr>
        <w:ind w:left="640" w:right="840" w:firstLine="2"/>
        <w:spacing w:after="0" w:line="336" w:lineRule="auto"/>
        <w:tabs>
          <w:tab w:leader="none" w:pos="88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Times New Roman" w:cs="Times New Roman" w:eastAsia="Times New Roman" w:hAnsi="Times New Roman"/>
          <w:sz w:val="17"/>
          <w:szCs w:val="17"/>
          <w:color w:val="auto"/>
        </w:rPr>
      </w:pPr>
    </w:p>
    <w:p>
      <w:pPr>
        <w:jc w:val="both"/>
        <w:ind w:left="640" w:right="300" w:firstLine="2"/>
        <w:spacing w:after="0" w:line="298" w:lineRule="auto"/>
        <w:tabs>
          <w:tab w:leader="none" w:pos="89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Times New Roman" w:cs="Times New Roman" w:eastAsia="Times New Roman" w:hAnsi="Times New Roman"/>
          <w:sz w:val="18"/>
          <w:szCs w:val="18"/>
          <w:color w:val="auto"/>
        </w:rPr>
      </w:pPr>
    </w:p>
    <w:p>
      <w:pPr>
        <w:ind w:right="680" w:firstLine="6"/>
        <w:spacing w:after="0" w:line="304" w:lineRule="auto"/>
        <w:tabs>
          <w:tab w:leader="none" w:pos="17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132" w:right="339" w:bottom="1440" w:gutter="0" w:footer="0" w:header="0"/>
        </w:sectPr>
      </w:pPr>
    </w:p>
    <w:bookmarkStart w:id="146" w:name="page147"/>
    <w:bookmarkEnd w:id="146"/>
    <w:p>
      <w:pPr>
        <w:ind w:left="940" w:right="40" w:hanging="318"/>
        <w:spacing w:after="0" w:line="320" w:lineRule="auto"/>
        <w:tabs>
          <w:tab w:leader="none" w:pos="93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Times New Roman" w:cs="Times New Roman" w:eastAsia="Times New Roman" w:hAnsi="Times New Roman"/>
          <w:sz w:val="18"/>
          <w:szCs w:val="18"/>
          <w:color w:val="auto"/>
        </w:rPr>
      </w:pPr>
    </w:p>
    <w:p>
      <w:pPr>
        <w:ind w:left="940" w:hanging="318"/>
        <w:spacing w:after="0" w:line="320" w:lineRule="auto"/>
        <w:tabs>
          <w:tab w:leader="none" w:pos="93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/s/ P. Cameron Hyzer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3903345</wp:posOffset>
            </wp:positionH>
            <wp:positionV relativeFrom="paragraph">
              <wp:posOffset>31750</wp:posOffset>
            </wp:positionV>
            <wp:extent cx="307975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9">
                      <a:extLst>
                        <a:ext uri="{28A0092B-C50C-407E-A947-70E740481C1C}"/>
                      </a:extLst>
                    </a:blip>
                    <a:srcRect/>
                    <a:stretch>
                      <a:fillRect/>
                    </a:stretch>
                  </pic:blipFill>
                  <pic:spPr bwMode="auto">
                    <a:xfrm>
                      <a:off x="0" y="0"/>
                      <a:ext cx="3079750" cy="8255"/>
                    </a:xfrm>
                    <a:prstGeom prst="rect">
                      <a:avLst/>
                    </a:prstGeom>
                    <a:noFill/>
                  </pic:spPr>
                </pic:pic>
              </a:graphicData>
            </a:graphic>
          </wp:anchor>
        </w:drawing>
      </w:r>
    </w:p>
    <w:p>
      <w:pPr>
        <w:spacing w:after="0" w:line="51" w:lineRule="exact"/>
        <w:rPr>
          <w:sz w:val="20"/>
          <w:szCs w:val="20"/>
          <w:color w:val="auto"/>
        </w:rPr>
      </w:pPr>
    </w:p>
    <w:p>
      <w:pPr>
        <w:spacing w:after="0"/>
        <w:tabs>
          <w:tab w:leader="none" w:pos="6140" w:val="left"/>
        </w:tabs>
        <w:rPr>
          <w:sz w:val="20"/>
          <w:szCs w:val="20"/>
          <w:color w:val="auto"/>
        </w:rPr>
      </w:pPr>
      <w:r>
        <w:rPr>
          <w:rFonts w:ascii="Times New Roman" w:cs="Times New Roman" w:eastAsia="Times New Roman" w:hAnsi="Times New Roman"/>
          <w:sz w:val="18"/>
          <w:szCs w:val="18"/>
          <w:color w:val="auto"/>
        </w:rPr>
        <w:t>Date: February 15, 2024</w:t>
      </w:r>
      <w:r>
        <w:rPr>
          <w:sz w:val="20"/>
          <w:szCs w:val="20"/>
          <w:color w:val="auto"/>
        </w:rPr>
        <w:tab/>
      </w:r>
      <w:r>
        <w:rPr>
          <w:rFonts w:ascii="Times New Roman" w:cs="Times New Roman" w:eastAsia="Times New Roman" w:hAnsi="Times New Roman"/>
          <w:sz w:val="17"/>
          <w:szCs w:val="17"/>
          <w:color w:val="auto"/>
        </w:rPr>
        <w:t>P. Cameron Hyzer</w:t>
      </w:r>
    </w:p>
    <w:p>
      <w:pPr>
        <w:spacing w:after="0" w:line="58"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100"/>
          </w:cols>
          <w:pgMar w:left="340" w:top="1406" w:right="45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5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12" w:lineRule="exact"/>
        <w:rPr>
          <w:sz w:val="20"/>
          <w:szCs w:val="20"/>
          <w:color w:val="auto"/>
        </w:rPr>
      </w:pPr>
    </w:p>
    <w:p>
      <w:pPr>
        <w:ind w:right="40" w:firstLine="636"/>
        <w:spacing w:after="0" w:line="337" w:lineRule="auto"/>
        <w:rPr>
          <w:sz w:val="20"/>
          <w:szCs w:val="20"/>
          <w:color w:val="auto"/>
        </w:rPr>
      </w:pPr>
      <w:r>
        <w:rPr>
          <w:rFonts w:ascii="Times New Roman" w:cs="Times New Roman" w:eastAsia="Times New Roman" w:hAnsi="Times New Roman"/>
          <w:sz w:val="18"/>
          <w:szCs w:val="18"/>
          <w:color w:val="auto"/>
        </w:rPr>
        <w:t>In connection with the Annual Report on Form 10-K of ZoomInfo Technologies Inc. (the “Company”) for the year ended December 31, 2023 as filed with the Securities and Exchange Commission on the date hereof (the “Report”), Henry Schuck, as Chief Executive Officer of the Company, and P. Cameron Hyzer, as Chief Financial Officer of the Company, each hereby certifies, pursuant to 18 U.S.C. § 1350, as adopted pursuant to § 906 of the Sarbanes-Oxley Act of 2002, that, to the best of his knowledge:</w:t>
      </w:r>
    </w:p>
    <w:p>
      <w:pPr>
        <w:spacing w:after="0" w:line="176" w:lineRule="exact"/>
        <w:rPr>
          <w:sz w:val="20"/>
          <w:szCs w:val="20"/>
          <w:color w:val="auto"/>
        </w:rPr>
      </w:pPr>
    </w:p>
    <w:p>
      <w:pPr>
        <w:ind w:left="900" w:hanging="258"/>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83" w:lineRule="exact"/>
        <w:rPr>
          <w:rFonts w:ascii="Times New Roman" w:cs="Times New Roman" w:eastAsia="Times New Roman" w:hAnsi="Times New Roman"/>
          <w:sz w:val="18"/>
          <w:szCs w:val="18"/>
          <w:color w:val="auto"/>
        </w:rPr>
      </w:pPr>
    </w:p>
    <w:p>
      <w:pPr>
        <w:ind w:left="900" w:hanging="258"/>
        <w:spacing w:after="0"/>
        <w:tabs>
          <w:tab w:leader="none" w:pos="9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08" w:lineRule="exact"/>
        <w:rPr>
          <w:sz w:val="20"/>
          <w:szCs w:val="20"/>
          <w:color w:val="auto"/>
        </w:rPr>
      </w:pPr>
    </w:p>
    <w:p>
      <w:pPr>
        <w:ind w:right="200" w:firstLine="318"/>
        <w:spacing w:after="0" w:line="350" w:lineRule="auto"/>
        <w:rPr>
          <w:sz w:val="20"/>
          <w:szCs w:val="20"/>
          <w:color w:val="auto"/>
        </w:rPr>
      </w:pPr>
      <w:r>
        <w:rPr>
          <w:rFonts w:ascii="Times New Roman" w:cs="Times New Roman" w:eastAsia="Times New Roman" w:hAnsi="Times New Roman"/>
          <w:sz w:val="18"/>
          <w:szCs w:val="18"/>
          <w:color w:val="auto"/>
        </w:rPr>
        <w:t>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Henry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3907790</wp:posOffset>
            </wp:positionH>
            <wp:positionV relativeFrom="paragraph">
              <wp:posOffset>31750</wp:posOffset>
            </wp:positionV>
            <wp:extent cx="308800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0">
                      <a:extLst>
                        <a:ext uri="{28A0092B-C50C-407E-A947-70E740481C1C}"/>
                      </a:extLst>
                    </a:blip>
                    <a:srcRect/>
                    <a:stretch>
                      <a:fillRect/>
                    </a:stretch>
                  </pic:blipFill>
                  <pic:spPr bwMode="auto">
                    <a:xfrm>
                      <a:off x="0" y="0"/>
                      <a:ext cx="3088005" cy="8255"/>
                    </a:xfrm>
                    <a:prstGeom prst="rect">
                      <a:avLst/>
                    </a:prstGeom>
                    <a:noFill/>
                  </pic:spPr>
                </pic:pic>
              </a:graphicData>
            </a:graphic>
          </wp:anchor>
        </w:drawing>
      </w:r>
    </w:p>
    <w:p>
      <w:pPr>
        <w:spacing w:after="0" w:line="5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Henry Schuck</w:t>
      </w:r>
    </w:p>
    <w:p>
      <w:pPr>
        <w:spacing w:after="0" w:line="5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5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P. Cameron Hyzer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3907790</wp:posOffset>
            </wp:positionH>
            <wp:positionV relativeFrom="paragraph">
              <wp:posOffset>31750</wp:posOffset>
            </wp:positionV>
            <wp:extent cx="308800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1">
                      <a:extLst>
                        <a:ext uri="{28A0092B-C50C-407E-A947-70E740481C1C}"/>
                      </a:extLst>
                    </a:blip>
                    <a:srcRect/>
                    <a:stretch>
                      <a:fillRect/>
                    </a:stretch>
                  </pic:blipFill>
                  <pic:spPr bwMode="auto">
                    <a:xfrm>
                      <a:off x="0" y="0"/>
                      <a:ext cx="3088005" cy="8255"/>
                    </a:xfrm>
                    <a:prstGeom prst="rect">
                      <a:avLst/>
                    </a:prstGeom>
                    <a:noFill/>
                  </pic:spPr>
                </pic:pic>
              </a:graphicData>
            </a:graphic>
          </wp:anchor>
        </w:drawing>
      </w:r>
    </w:p>
    <w:p>
      <w:pPr>
        <w:spacing w:after="0" w:line="5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 Cameron Hyzer</w:t>
      </w:r>
    </w:p>
    <w:p>
      <w:pPr>
        <w:spacing w:after="0" w:line="5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132"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(Effective October 2, 2023)</w:t>
      </w:r>
    </w:p>
    <w:p>
      <w:pPr>
        <w:spacing w:after="0" w:line="109"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7"/>
          <w:szCs w:val="17"/>
          <w:color w:val="auto"/>
        </w:rPr>
        <w:t>If ZoomInfo Technologies Inc., a Delaware corporation (together with its subsidiaries,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is required to prepare an Accounting Restatement (as defined below), then the Company will recover reasonably promptly the amount of Erroneously Awarded Compensation (as defined below) Received (as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defined below) by any current or former Covered Officer (as defined below) during the Recovery Period (as defined below).</w:t>
      </w:r>
    </w:p>
    <w:p>
      <w:pPr>
        <w:spacing w:after="0" w:line="8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The Company will not be required to enforce this policy if the Compensation Committee (the “</w:t>
      </w:r>
      <w:r>
        <w:rPr>
          <w:rFonts w:ascii="Times New Roman" w:cs="Times New Roman" w:eastAsia="Times New Roman" w:hAnsi="Times New Roman"/>
          <w:sz w:val="17"/>
          <w:szCs w:val="17"/>
          <w:b w:val="1"/>
          <w:bCs w:val="1"/>
          <w:i w:val="1"/>
          <w:iCs w:val="1"/>
          <w:color w:val="auto"/>
        </w:rPr>
        <w:t>Committee</w:t>
      </w:r>
      <w:r>
        <w:rPr>
          <w:rFonts w:ascii="Times New Roman" w:cs="Times New Roman" w:eastAsia="Times New Roman" w:hAnsi="Times New Roman"/>
          <w:sz w:val="17"/>
          <w:szCs w:val="17"/>
          <w:color w:val="auto"/>
        </w:rPr>
        <w:t>”) of the Board of Directors of the Company (the “</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determines that (i) recovery would be impracticable, as determined by the Committee, and (ii) one of the conditions of (A), (B), or (C) are satisfied:</w:t>
      </w:r>
    </w:p>
    <w:p>
      <w:pPr>
        <w:spacing w:after="0" w:line="71" w:lineRule="exact"/>
        <w:rPr>
          <w:sz w:val="20"/>
          <w:szCs w:val="20"/>
          <w:color w:val="auto"/>
        </w:rPr>
      </w:pPr>
    </w:p>
    <w:p>
      <w:pPr>
        <w:jc w:val="both"/>
        <w:ind w:left="800" w:hanging="794"/>
        <w:spacing w:after="0" w:line="227" w:lineRule="auto"/>
        <w:tabs>
          <w:tab w:leader="none" w:pos="79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direct expense paid to a third party to assist in enforcing this policy would exceed the amount to be recovered;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before concluding that it would be impracticable to recover any amount of Erroneously Awarded Compensation based expense of enforcement, document such reasonable attempt(s) to recover, and provide that documentation to the Nasdaq Stock Market (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jc w:val="both"/>
        <w:ind w:left="800" w:hanging="794"/>
        <w:spacing w:after="0" w:line="220" w:lineRule="auto"/>
        <w:tabs>
          <w:tab w:leader="none" w:pos="79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Recovery would violate home country law where that law was adopted prior to November 28, 2022;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before concluding that it would be impracticable to recover any amount of Erroneously Awarded Compensation based on violation of home country law, the Company must obtain an opinion of home country counsel, acceptable to Nasdaq, that recovery would result in such a violation, and must provide such opinion to Nasdaq.</w:t>
      </w:r>
    </w:p>
    <w:p>
      <w:pPr>
        <w:spacing w:after="0" w:line="181" w:lineRule="exact"/>
        <w:rPr>
          <w:rFonts w:ascii="Times New Roman" w:cs="Times New Roman" w:eastAsia="Times New Roman" w:hAnsi="Times New Roman"/>
          <w:sz w:val="18"/>
          <w:szCs w:val="18"/>
          <w:color w:val="auto"/>
        </w:rPr>
      </w:pPr>
    </w:p>
    <w:p>
      <w:pPr>
        <w:ind w:left="800" w:hanging="794"/>
        <w:spacing w:after="0" w:line="243" w:lineRule="auto"/>
        <w:tabs>
          <w:tab w:leader="none" w:pos="79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likely cause an otherwise tax-qualified retirement plan, under which benefits are broadly available to the Company’s employees, to fail to meet the requirements of the Internal Revenue Code of 1986, as amended.</w:t>
      </w:r>
    </w:p>
    <w:p>
      <w:pPr>
        <w:spacing w:after="0" w:line="8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The Company is prohibited from indemnifying any current or former Covered Officer against the loss of any Erroneously Awarded Compensation or paying or reimbursing such Covered Officers for insurance premiums to recover losses incurred under this policy.</w:t>
      </w:r>
    </w:p>
    <w:p>
      <w:pPr>
        <w:spacing w:after="0" w:line="87"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This policy is intended to comply with Nasdaq Listing Rule 5608, as required by Section 10D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Rule 10D-1 promulgated thereunder. The Committee shall have express discretionary authority to interpret and administer this policy and to make all determinations with respect to this policy in its sole discretion which shall be final and binding on all parties.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policy:</w:t>
      </w:r>
    </w:p>
    <w:p>
      <w:pPr>
        <w:spacing w:after="0" w:line="107" w:lineRule="exact"/>
        <w:rPr>
          <w:sz w:val="20"/>
          <w:szCs w:val="20"/>
          <w:color w:val="auto"/>
        </w:rPr>
      </w:pPr>
    </w:p>
    <w:p>
      <w:pPr>
        <w:jc w:val="both"/>
        <w:ind w:left="640" w:hanging="316"/>
        <w:spacing w:after="0" w:line="221" w:lineRule="auto"/>
        <w:tabs>
          <w:tab w:leader="none" w:pos="63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Accounting Restatement</w:t>
      </w:r>
      <w:r>
        <w:rPr>
          <w:rFonts w:ascii="Times New Roman" w:cs="Times New Roman" w:eastAsia="Times New Roman" w:hAnsi="Times New Roman"/>
          <w:sz w:val="18"/>
          <w:szCs w:val="18"/>
          <w:color w:val="auto"/>
        </w:rPr>
        <w:t>” means an accounting restatement triggered by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91" w:lineRule="exact"/>
        <w:rPr>
          <w:rFonts w:ascii="Times New Roman" w:cs="Times New Roman" w:eastAsia="Times New Roman" w:hAnsi="Times New Roman"/>
          <w:sz w:val="18"/>
          <w:szCs w:val="18"/>
          <w:color w:val="auto"/>
        </w:rPr>
      </w:pPr>
    </w:p>
    <w:p>
      <w:pPr>
        <w:jc w:val="both"/>
        <w:ind w:left="640" w:hanging="316"/>
        <w:spacing w:after="0" w:line="214" w:lineRule="auto"/>
        <w:tabs>
          <w:tab w:leader="none" w:pos="63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Covered Officer</w:t>
      </w:r>
      <w:r>
        <w:rPr>
          <w:rFonts w:ascii="Times New Roman" w:cs="Times New Roman" w:eastAsia="Times New Roman" w:hAnsi="Times New Roman"/>
          <w:sz w:val="18"/>
          <w:szCs w:val="18"/>
          <w:color w:val="auto"/>
        </w:rPr>
        <w:t>” 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 parent(s) or subsidiaries are deemed executive officers of the Company if they perform such policy making functions. Identification of a Covered Officer for purposes of this policy and Nasdaq Listing Rule 5608 would include at a minimum executive officers identified pursuant to 17 CFR 229.401(b).</w:t>
      </w:r>
    </w:p>
    <w:p>
      <w:pPr>
        <w:spacing w:after="0" w:line="191" w:lineRule="exact"/>
        <w:rPr>
          <w:rFonts w:ascii="Times New Roman" w:cs="Times New Roman" w:eastAsia="Times New Roman" w:hAnsi="Times New Roman"/>
          <w:sz w:val="18"/>
          <w:szCs w:val="18"/>
          <w:color w:val="auto"/>
        </w:rPr>
      </w:pPr>
    </w:p>
    <w:p>
      <w:pPr>
        <w:jc w:val="both"/>
        <w:ind w:left="640" w:hanging="316"/>
        <w:spacing w:after="0" w:line="224" w:lineRule="auto"/>
        <w:tabs>
          <w:tab w:leader="none" w:pos="63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Erroneously Awarded Compensation</w:t>
      </w:r>
      <w:r>
        <w:rPr>
          <w:rFonts w:ascii="Times New Roman" w:cs="Times New Roman" w:eastAsia="Times New Roman" w:hAnsi="Times New Roman"/>
          <w:sz w:val="18"/>
          <w:szCs w:val="18"/>
          <w:color w:val="auto"/>
        </w:rPr>
        <w:t>” means the amount of Incentive-Based Compensation Received by a Covered Officer that exceeds the amount of Incentive-Based Compensation that otherwise would have been Received had it been determined based on the restated amounts, which amount must be computed without regard to any taxes paid.</w:t>
      </w:r>
    </w:p>
    <w:p>
      <w:pPr>
        <w:spacing w:after="0" w:line="188" w:lineRule="exact"/>
        <w:rPr>
          <w:rFonts w:ascii="Times New Roman" w:cs="Times New Roman" w:eastAsia="Times New Roman" w:hAnsi="Times New Roman"/>
          <w:sz w:val="18"/>
          <w:szCs w:val="18"/>
          <w:color w:val="auto"/>
        </w:rPr>
      </w:pPr>
    </w:p>
    <w:p>
      <w:pPr>
        <w:jc w:val="both"/>
        <w:ind w:left="640" w:hanging="316"/>
        <w:spacing w:after="0" w:line="221" w:lineRule="auto"/>
        <w:tabs>
          <w:tab w:leader="none" w:pos="63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Financial Reporting Measure</w:t>
      </w:r>
      <w:r>
        <w:rPr>
          <w:rFonts w:ascii="Times New Roman" w:cs="Times New Roman" w:eastAsia="Times New Roman" w:hAnsi="Times New Roman"/>
          <w:sz w:val="18"/>
          <w:szCs w:val="18"/>
          <w:color w:val="auto"/>
        </w:rPr>
        <w:t>” are measures that are determined and presented in accordance with the accounting principles used in preparing the Company’s financial statements, and any measures that are derived wholly or in part from such measures. Stock price and total shareholder return are also Financial Reporting Measures. A Financial Reporting Measure need not be presented within the financial statements or included in a filing with the U.S. Securities and Exchange Commission.</w:t>
      </w:r>
    </w:p>
    <w:p>
      <w:pPr>
        <w:sectPr>
          <w:pgSz w:w="11900" w:h="16838" w:orient="portrait"/>
          <w:cols w:equalWidth="0" w:num="1">
            <w:col w:w="11240"/>
          </w:cols>
          <w:pgMar w:left="320" w:top="132" w:right="339" w:bottom="1440" w:gutter="0" w:footer="0" w:header="0"/>
        </w:sectPr>
      </w:pPr>
    </w:p>
    <w:bookmarkStart w:id="149" w:name="page150"/>
    <w:bookmarkEnd w:id="149"/>
    <w:p>
      <w:pPr>
        <w:jc w:val="right"/>
        <w:spacing w:after="0"/>
        <w:rPr>
          <w:sz w:val="20"/>
          <w:szCs w:val="20"/>
          <w:color w:val="auto"/>
        </w:rPr>
      </w:pPr>
      <w:r>
        <w:rPr>
          <w:rFonts w:ascii="Calibri" w:cs="Calibri" w:eastAsia="Calibri" w:hAnsi="Calibri"/>
          <w:sz w:val="18"/>
          <w:szCs w:val="18"/>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20" w:hanging="316"/>
        <w:spacing w:after="0" w:line="236" w:lineRule="auto"/>
        <w:tabs>
          <w:tab w:leader="none" w:pos="31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Incentive-Based Compensation</w:t>
      </w:r>
      <w:r>
        <w:rPr>
          <w:rFonts w:ascii="Times New Roman" w:cs="Times New Roman" w:eastAsia="Times New Roman" w:hAnsi="Times New Roman"/>
          <w:sz w:val="18"/>
          <w:szCs w:val="18"/>
          <w:color w:val="auto"/>
        </w:rPr>
        <w:t>” means any compensation that is granted, earned or vested based wholly or in part upon the attainment of any Financial Reporting Measure.</w:t>
      </w:r>
    </w:p>
    <w:p>
      <w:pPr>
        <w:spacing w:after="0" w:line="189" w:lineRule="exact"/>
        <w:rPr>
          <w:rFonts w:ascii="Times New Roman" w:cs="Times New Roman" w:eastAsia="Times New Roman" w:hAnsi="Times New Roman"/>
          <w:sz w:val="18"/>
          <w:szCs w:val="18"/>
          <w:color w:val="auto"/>
        </w:rPr>
      </w:pPr>
    </w:p>
    <w:p>
      <w:pPr>
        <w:jc w:val="both"/>
        <w:ind w:left="320" w:hanging="316"/>
        <w:spacing w:after="0" w:line="224" w:lineRule="auto"/>
        <w:tabs>
          <w:tab w:leader="none" w:pos="31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Received</w:t>
      </w:r>
      <w:r>
        <w:rPr>
          <w:rFonts w:ascii="Times New Roman" w:cs="Times New Roman" w:eastAsia="Times New Roman" w:hAnsi="Times New Roman"/>
          <w:sz w:val="18"/>
          <w:szCs w:val="18"/>
          <w:color w:val="auto"/>
        </w:rPr>
        <w:t>” with respect to Incentive-Based Compensation means the fiscal period during which the Financial Reporting Measure specified in the Incentive-Based Compensation award is attained, even if the payment or grant of the Incentive-Based Compensation occurs after the end of that period.</w:t>
      </w:r>
    </w:p>
    <w:p>
      <w:pPr>
        <w:spacing w:after="0" w:line="188" w:lineRule="exact"/>
        <w:rPr>
          <w:rFonts w:ascii="Times New Roman" w:cs="Times New Roman" w:eastAsia="Times New Roman" w:hAnsi="Times New Roman"/>
          <w:sz w:val="18"/>
          <w:szCs w:val="18"/>
          <w:color w:val="auto"/>
        </w:rPr>
      </w:pPr>
    </w:p>
    <w:p>
      <w:pPr>
        <w:jc w:val="both"/>
        <w:ind w:left="320" w:hanging="316"/>
        <w:spacing w:after="0" w:line="212" w:lineRule="auto"/>
        <w:tabs>
          <w:tab w:leader="none" w:pos="31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Recovery Period</w:t>
      </w:r>
      <w:r>
        <w:rPr>
          <w:rFonts w:ascii="Times New Roman" w:cs="Times New Roman" w:eastAsia="Times New Roman" w:hAnsi="Times New Roman"/>
          <w:sz w:val="18"/>
          <w:szCs w:val="18"/>
          <w:color w:val="auto"/>
        </w:rPr>
        <w:t>” means the three (3) completed fiscal years immediately preceding the date that the Company is required to prepare an Accounting Restatement, which date is the earlier to occur of (a) the date the Board, a committee of the Board, or the officer or officers of the Company authorized to take such action if Board action is not required, concludes, or reasonably should have concluded, that the Company is required to prepare an Accounting Restatement or (b) the date a court, regulator or other legally authorized body directs the Company to prepare an Accounting Restatement. In addition to these last three (3) completed fiscal years, the Recovery Period also applies to any transition period (that results from a change in the Company’s fiscal year) within or immediately following those three (3) completed fiscal years. However, a transition period between the last day of the Company’s previous fiscal year end and the first day of its new fiscal year that comprises a period of nine (9) to twelve (12) months would be deemed a completed fiscal year.</w:t>
      </w:r>
    </w:p>
    <w:sectPr>
      <w:pgSz w:w="11900" w:h="16838" w:orient="portrait"/>
      <w:cols w:equalWidth="0" w:num="1">
        <w:col w:w="10920"/>
      </w:cols>
      <w:pgMar w:left="640" w:top="1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1)"/>
      <w:numFmt w:val="decimal"/>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1)"/>
      <w:numFmt w:val="lowerRoman"/>
      <w:start w:val="8"/>
    </w:lvl>
  </w:abstractNum>
  <w:abstractNum w:abstractNumId="25">
    <w:nsid w:val="5E884ADC"/>
    <w:multiLevelType w:val="hybridMultilevel"/>
    <w:lvl w:ilvl="0">
      <w:lvlJc w:val="left"/>
      <w:lvlText w:val="(%1)"/>
      <w:numFmt w:val="lowerLetter"/>
      <w:start w:val="1"/>
    </w:lvl>
  </w:abstractNum>
  <w:abstractNum w:abstractNumId="26">
    <w:nsid w:val="51EAD36B"/>
    <w:multiLevelType w:val="hybridMultilevel"/>
    <w:lvl w:ilvl="0">
      <w:lvlJc w:val="left"/>
      <w:lvlText w:val="(%1)"/>
      <w:numFmt w:val="lowerLetter"/>
      <w:start w:val="1"/>
    </w:lvl>
  </w:abstractNum>
  <w:abstractNum w:abstractNumId="27">
    <w:nsid w:val="2D517796"/>
    <w:multiLevelType w:val="hybridMultilevel"/>
    <w:lvl w:ilvl="0">
      <w:lvlJc w:val="left"/>
      <w:lvlText w:val="(%1)"/>
      <w:numFmt w:val="lowerLetter"/>
      <w:start w:val="4"/>
    </w:lvl>
  </w:abstractNum>
  <w:abstractNum w:abstractNumId="28">
    <w:nsid w:val="580BD78F"/>
    <w:multiLevelType w:val="hybridMultilevel"/>
    <w:lvl w:ilvl="0">
      <w:lvlJc w:val="left"/>
      <w:lvlText w:val="(%1)"/>
      <w:numFmt w:val="lowerLetter"/>
      <w:start w:val="1"/>
    </w:lvl>
  </w:abstractNum>
  <w:abstractNum w:abstractNumId="29">
    <w:nsid w:val="153EA438"/>
    <w:multiLevelType w:val="hybridMultilevel"/>
    <w:lvl w:ilvl="0">
      <w:lvlJc w:val="left"/>
      <w:lvlText w:val="(%1)"/>
      <w:numFmt w:val="lowerLetter"/>
      <w:start w:val="4"/>
    </w:lvl>
  </w:abstractNum>
  <w:abstractNum w:abstractNumId="30">
    <w:nsid w:val="3855585C"/>
    <w:multiLevelType w:val="hybridMultilevel"/>
    <w:lvl w:ilvl="0">
      <w:lvlJc w:val="left"/>
      <w:lvlText w:val="(%1)"/>
      <w:numFmt w:val="lowerLetter"/>
      <w:start w:val="1"/>
    </w:lvl>
  </w:abstractNum>
  <w:abstractNum w:abstractNumId="31">
    <w:nsid w:val="70A64E2A"/>
    <w:multiLevelType w:val="hybridMultilevel"/>
    <w:lvl w:ilvl="0">
      <w:lvlJc w:val="left"/>
      <w:lvlText w:val="(%1)"/>
      <w:numFmt w:val="lowerLetter"/>
      <w:start w:val="1"/>
    </w:lvl>
  </w:abstractNum>
  <w:abstractNum w:abstractNumId="32">
    <w:nsid w:val="6A2342EC"/>
    <w:multiLevelType w:val="hybridMultilevel"/>
    <w:lvl w:ilvl="0">
      <w:lvlJc w:val="left"/>
      <w:lvlText w:val="(%1)"/>
      <w:numFmt w:val="decimal"/>
      <w:start w:val="1"/>
    </w:lvl>
  </w:abstractNum>
  <w:abstractNum w:abstractNumId="33">
    <w:nsid w:val="2A487CB0"/>
    <w:multiLevelType w:val="hybridMultilevel"/>
    <w:lvl w:ilvl="0">
      <w:lvlJc w:val="left"/>
      <w:lvlText w:val="(%1)"/>
      <w:numFmt w:val="decimal"/>
      <w:start w:val="2"/>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1)"/>
      <w:numFmt w:val="decimal"/>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1)"/>
      <w:numFmt w:val="decimal"/>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1)"/>
      <w:numFmt w:val="decimal"/>
      <w:start w:val="1"/>
    </w:lvl>
  </w:abstractNum>
  <w:abstractNum w:abstractNumId="41">
    <w:nsid w:val="6DE91B18"/>
    <w:multiLevelType w:val="hybridMultilevel"/>
    <w:lvl w:ilvl="0">
      <w:lvlJc w:val="left"/>
      <w:lvlText w:val="(%1)"/>
      <w:numFmt w:val="decimal"/>
      <w:start w:val="1"/>
    </w:lvl>
  </w:abstractNum>
  <w:abstractNum w:abstractNumId="42">
    <w:nsid w:val="38437FDB"/>
    <w:multiLevelType w:val="hybridMultilevel"/>
    <w:lvl w:ilvl="0">
      <w:lvlJc w:val="left"/>
      <w:lvlText w:val="(%1)"/>
      <w:numFmt w:val="lowerLetter"/>
      <w:start w:val="1"/>
    </w:lvl>
    <w:lvl w:ilvl="1">
      <w:lvlJc w:val="left"/>
      <w:lvlText w:val="%2."/>
      <w:numFmt w:val="decimal"/>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1."/>
      <w:numFmt w:val="decimal"/>
      <w:start w:val="1"/>
    </w:lvl>
    <w:lvl w:ilvl="1">
      <w:lvlJc w:val="left"/>
      <w:lvlText w:val="(%2)"/>
      <w:numFmt w:val="lowerLetter"/>
      <w:start w:val="1"/>
    </w:lvl>
  </w:abstractNum>
  <w:abstractNum w:abstractNumId="45">
    <w:nsid w:val="684A481A"/>
    <w:multiLevelType w:val="hybridMultilevel"/>
    <w:lvl w:ilvl="0">
      <w:lvlJc w:val="left"/>
      <w:lvlText w:val="(%1)"/>
      <w:numFmt w:val="lowerLetter"/>
      <w:start w:val="1"/>
    </w:lvl>
  </w:abstractNum>
  <w:abstractNum w:abstractNumId="46">
    <w:nsid w:val="579478FE"/>
    <w:multiLevelType w:val="hybridMultilevel"/>
    <w:lvl w:ilvl="0">
      <w:lvlJc w:val="left"/>
      <w:lvlText w:val="%1."/>
      <w:numFmt w:val="decimal"/>
      <w:start w:val="1"/>
    </w:lvl>
    <w:lvl w:ilvl="1">
      <w:lvlJc w:val="left"/>
      <w:lvlText w:val="(%2)"/>
      <w:numFmt w:val="lowerLetter"/>
      <w:start w:val="1"/>
    </w:lvl>
  </w:abstractNum>
  <w:abstractNum w:abstractNumId="47">
    <w:nsid w:val="749ABB43"/>
    <w:multiLevelType w:val="hybridMultilevel"/>
    <w:lvl w:ilvl="0">
      <w:lvlJc w:val="left"/>
      <w:lvlText w:val="(%1)"/>
      <w:numFmt w:val="lowerLetter"/>
      <w:start w:val="1"/>
    </w:lvl>
  </w:abstractNum>
  <w:abstractNum w:abstractNumId="48">
    <w:nsid w:val="3DC240FB"/>
    <w:multiLevelType w:val="hybridMultilevel"/>
    <w:lvl w:ilvl="0">
      <w:lvlJc w:val="left"/>
      <w:lvlText w:val="(%1)"/>
      <w:numFmt w:val="decimal"/>
      <w:start w:val="1"/>
    </w:lvl>
  </w:abstractNum>
  <w:abstractNum w:abstractNumId="49">
    <w:nsid w:val="1BA026FA"/>
    <w:multiLevelType w:val="hybridMultilevel"/>
    <w:lvl w:ilvl="0">
      <w:lvlJc w:val="left"/>
      <w:lvlText w:val="(%1)"/>
      <w:numFmt w:val="upperLetter"/>
      <w:start w:val="1"/>
    </w:lvl>
  </w:abstractNum>
  <w:abstractNum w:abstractNumId="50">
    <w:nsid w:val="79A1DEAA"/>
    <w:multiLevelType w:val="hybridMultilevel"/>
    <w:lvl w:ilvl="0">
      <w:lvlJc w:val="left"/>
      <w:lvlText w:val="•"/>
      <w:numFmt w:val="bullet"/>
      <w:start w:val="1"/>
    </w:lvl>
  </w:abstractNum>
  <w:abstractNum w:abstractNumId="51">
    <w:nsid w:val="75C6C33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7" Type="http://schemas.openxmlformats.org/officeDocument/2006/relationships/image" Target="media/image157.png"/><Relationship Id="rId170" Type="http://schemas.openxmlformats.org/officeDocument/2006/relationships/image" Target="media/image158.png"/><Relationship Id="rId173" Type="http://schemas.openxmlformats.org/officeDocument/2006/relationships/image" Target="media/image159.png"/><Relationship Id="rId175" Type="http://schemas.openxmlformats.org/officeDocument/2006/relationships/image" Target="media/image160.png"/><Relationship Id="rId178" Type="http://schemas.openxmlformats.org/officeDocument/2006/relationships/image" Target="media/image161.png"/><Relationship Id="rId181" Type="http://schemas.openxmlformats.org/officeDocument/2006/relationships/image" Target="media/image162.png"/><Relationship Id="rId184" Type="http://schemas.openxmlformats.org/officeDocument/2006/relationships/image" Target="media/image163.png"/><Relationship Id="rId189" Type="http://schemas.openxmlformats.org/officeDocument/2006/relationships/image" Target="media/image164.png"/><Relationship Id="rId208" Type="http://schemas.openxmlformats.org/officeDocument/2006/relationships/image" Target="media/image165.png"/><Relationship Id="rId219" Type="http://schemas.openxmlformats.org/officeDocument/2006/relationships/image" Target="media/image166.png"/><Relationship Id="rId220" Type="http://schemas.openxmlformats.org/officeDocument/2006/relationships/image" Target="media/image167.png"/><Relationship Id="rId221" Type="http://schemas.openxmlformats.org/officeDocument/2006/relationships/image" Target="media/image168.png"/><Relationship Id="rId222" Type="http://schemas.openxmlformats.org/officeDocument/2006/relationships/image" Target="media/image169.png"/><Relationship Id="rId223" Type="http://schemas.openxmlformats.org/officeDocument/2006/relationships/image" Target="media/image170.png"/><Relationship Id="rId224" Type="http://schemas.openxmlformats.org/officeDocument/2006/relationships/image" Target="media/image171.png"/><Relationship Id="rId225" Type="http://schemas.openxmlformats.org/officeDocument/2006/relationships/image" Target="media/image172.png"/><Relationship Id="rId226" Type="http://schemas.openxmlformats.org/officeDocument/2006/relationships/image" Target="media/image173.png"/><Relationship Id="rId227" Type="http://schemas.openxmlformats.org/officeDocument/2006/relationships/image" Target="media/image174.png"/><Relationship Id="rId228" Type="http://schemas.openxmlformats.org/officeDocument/2006/relationships/image" Target="media/image175.png"/><Relationship Id="rId229" Type="http://schemas.openxmlformats.org/officeDocument/2006/relationships/image" Target="media/image176.png"/><Relationship Id="rId230" Type="http://schemas.openxmlformats.org/officeDocument/2006/relationships/image" Target="media/image177.png"/><Relationship Id="rId231" Type="http://schemas.openxmlformats.org/officeDocument/2006/relationships/image" Target="media/image178.png"/><Relationship Id="rId232" Type="http://schemas.openxmlformats.org/officeDocument/2006/relationships/image" Target="media/image179.png"/><Relationship Id="rId233" Type="http://schemas.openxmlformats.org/officeDocument/2006/relationships/image" Target="media/image180.png"/><Relationship Id="rId234" Type="http://schemas.openxmlformats.org/officeDocument/2006/relationships/image" Target="media/image181.png"/><Relationship Id="rId235" Type="http://schemas.openxmlformats.org/officeDocument/2006/relationships/image" Target="media/image182.png"/><Relationship Id="rId236" Type="http://schemas.openxmlformats.org/officeDocument/2006/relationships/image" Target="media/image183.png"/><Relationship Id="rId237" Type="http://schemas.openxmlformats.org/officeDocument/2006/relationships/image" Target="media/image184.png"/><Relationship Id="rId238" Type="http://schemas.openxmlformats.org/officeDocument/2006/relationships/image" Target="media/image185.png"/><Relationship Id="rId239" Type="http://schemas.openxmlformats.org/officeDocument/2006/relationships/image" Target="media/image186.png"/><Relationship Id="rId240" Type="http://schemas.openxmlformats.org/officeDocument/2006/relationships/image" Target="media/image187.png"/><Relationship Id="rId241" Type="http://schemas.openxmlformats.org/officeDocument/2006/relationships/image" Target="media/image188.png"/><Relationship Id="rId242" Type="http://schemas.openxmlformats.org/officeDocument/2006/relationships/image" Target="media/image189.png"/><Relationship Id="rId243" Type="http://schemas.openxmlformats.org/officeDocument/2006/relationships/image" Target="media/image190.png"/><Relationship Id="rId244" Type="http://schemas.openxmlformats.org/officeDocument/2006/relationships/image" Target="media/image191.png"/><Relationship Id="rId245" Type="http://schemas.openxmlformats.org/officeDocument/2006/relationships/image" Target="media/image192.png"/><Relationship Id="rId246" Type="http://schemas.openxmlformats.org/officeDocument/2006/relationships/image" Target="media/image193.png"/><Relationship Id="rId247" Type="http://schemas.openxmlformats.org/officeDocument/2006/relationships/image" Target="media/image194.png"/><Relationship Id="rId248" Type="http://schemas.openxmlformats.org/officeDocument/2006/relationships/image" Target="media/image195.png"/><Relationship Id="rId249" Type="http://schemas.openxmlformats.org/officeDocument/2006/relationships/image" Target="media/image196.png"/><Relationship Id="rId250" Type="http://schemas.openxmlformats.org/officeDocument/2006/relationships/image" Target="media/image197.png"/><Relationship Id="rId251" Type="http://schemas.openxmlformats.org/officeDocument/2006/relationships/image" Target="media/image198.png"/><Relationship Id="rId252" Type="http://schemas.openxmlformats.org/officeDocument/2006/relationships/image" Target="media/image199.png"/><Relationship Id="rId253" Type="http://schemas.openxmlformats.org/officeDocument/2006/relationships/image" Target="media/image200.png"/><Relationship Id="rId254" Type="http://schemas.openxmlformats.org/officeDocument/2006/relationships/image" Target="media/image201.png"/><Relationship Id="rId255" Type="http://schemas.openxmlformats.org/officeDocument/2006/relationships/image" Target="media/image202.png"/><Relationship Id="rId256" Type="http://schemas.openxmlformats.org/officeDocument/2006/relationships/image" Target="media/image203.png"/><Relationship Id="rId257" Type="http://schemas.openxmlformats.org/officeDocument/2006/relationships/image" Target="media/image204.png"/><Relationship Id="rId258" Type="http://schemas.openxmlformats.org/officeDocument/2006/relationships/image" Target="media/image205.png"/><Relationship Id="rId259" Type="http://schemas.openxmlformats.org/officeDocument/2006/relationships/image" Target="media/image206.png"/><Relationship Id="rId260" Type="http://schemas.openxmlformats.org/officeDocument/2006/relationships/image" Target="media/image207.png"/><Relationship Id="rId261" Type="http://schemas.openxmlformats.org/officeDocument/2006/relationships/image" Target="media/image208.png"/><Relationship Id="rId164" Type="http://schemas.openxmlformats.org/officeDocument/2006/relationships/hyperlink" Target="https://www.sec.gov/Archives/edgar/data/0001794515/000179451521000307/a21pubcomergeragreement.htm" TargetMode="External"/><Relationship Id="rId165" Type="http://schemas.openxmlformats.org/officeDocument/2006/relationships/hyperlink" Target="https://www.sec.gov/Archives/edgar/data/0001794515/000179451521000307/a22opcomergeragreement.htm" TargetMode="External"/><Relationship Id="rId166" Type="http://schemas.openxmlformats.org/officeDocument/2006/relationships/hyperlink" Target="https://www.sec.gov/Archives/edgar/data/1794515/000179451522000095/zi-ex31x20220518.htm" TargetMode="External"/><Relationship Id="rId168" Type="http://schemas.openxmlformats.org/officeDocument/2006/relationships/hyperlink" Target="https://www.sec.gov/Archives/edgar/data/0001794515/000179451521000307/a32amendedandrestatedbylaw.htm" TargetMode="External"/><Relationship Id="rId169" Type="http://schemas.openxmlformats.org/officeDocument/2006/relationships/hyperlink" Target="https://www.sec.gov/Archives/edgar/data/1794515/000179451522000102/zi-8aa20220523.htm" TargetMode="External"/><Relationship Id="rId171" Type="http://schemas.openxmlformats.org/officeDocument/2006/relationships/hyperlink" Target="https://www.sec.gov/Archives/edgar/data/1794515/000179451521000034/exhibit041xclosingxindent.htm" TargetMode="External"/><Relationship Id="rId172" Type="http://schemas.openxmlformats.org/officeDocument/2006/relationships/hyperlink" Target="https://www.sec.gov/Archives/edgar/data/0001794515/000179451521000174/zi-8kex42x20210715.htm" TargetMode="External"/><Relationship Id="rId174" Type="http://schemas.openxmlformats.org/officeDocument/2006/relationships/hyperlink" Target="https://www.sec.gov/Archives/edgar/data/1794515/000179451522000015/zi-ex101x0220224.htm" TargetMode="External"/><Relationship Id="rId176" Type="http://schemas.openxmlformats.org/officeDocument/2006/relationships/hyperlink" Target="http://www.sec.gov/Archives/edgar/data/1794515/000162828020009137/exhibit103-closing8xkxexch.htm" TargetMode="External"/><Relationship Id="rId177" Type="http://schemas.openxmlformats.org/officeDocument/2006/relationships/hyperlink" Target="https://www.sec.gov/Archives/edgar/data/1794515/000179451521000318/zi-ex103x20211101.htm" TargetMode="External"/><Relationship Id="rId179" Type="http://schemas.openxmlformats.org/officeDocument/2006/relationships/hyperlink" Target="https://www.sec.gov/Archives/edgar/data/0001794515/000179451521000307/a101exchangetraamendment.htm" TargetMode="External"/><Relationship Id="rId180" Type="http://schemas.openxmlformats.org/officeDocument/2006/relationships/hyperlink" Target="http://www.sec.gov/Archives/edgar/data/1794515/000162828020009137/exhibit104-closing8xkxreor.htm" TargetMode="External"/><Relationship Id="rId182" Type="http://schemas.openxmlformats.org/officeDocument/2006/relationships/hyperlink" Target="https://www.sec.gov/Archives/edgar/data/1794515/000179451521000318/zi-ex102x20211101.htm" TargetMode="External"/><Relationship Id="rId183" Type="http://schemas.openxmlformats.org/officeDocument/2006/relationships/hyperlink" Target="https://www.sec.gov/Archives/edgar/data/0001794515/000179451521000307/a102reorganizationtraamend.htm" TargetMode="External"/><Relationship Id="rId185" Type="http://schemas.openxmlformats.org/officeDocument/2006/relationships/hyperlink" Target="http://www.sec.gov/Archives/edgar/data/1794515/000162828020009137/exhibit105-closing8xkxregi.htm" TargetMode="External"/><Relationship Id="rId186" Type="http://schemas.openxmlformats.org/officeDocument/2006/relationships/hyperlink" Target="http://www.sec.gov/Archives/edgar/data/1794515/000162828020009137/exhibit106-closing8xkxstoc.htm" TargetMode="External"/><Relationship Id="rId187" Type="http://schemas.openxmlformats.org/officeDocument/2006/relationships/hyperlink" Target="http://www.sec.gov/Archives/edgar/data/1794515/000162828020009137/exhibit107-closing8xkx2020.htm" TargetMode="External"/><Relationship Id="rId188" Type="http://schemas.openxmlformats.org/officeDocument/2006/relationships/hyperlink" Target="http://www.sec.gov/Archives/edgar/data/1794515/000162828020009137/exhibit108-closing8xkxempl.htm" TargetMode="External"/><Relationship Id="rId190" Type="http://schemas.openxmlformats.org/officeDocument/2006/relationships/hyperlink" Target="https://www.sec.gov/Archives/edgar/data/1794515/000179451523000034/zi-ex1012x20230216.htm" TargetMode="External"/><Relationship Id="rId191" Type="http://schemas.openxmlformats.org/officeDocument/2006/relationships/hyperlink" Target="https://www.sec.gov/Archives/edgar/data/1794515/000162828020008444/exhibit109s-1aformofindemn.htm" TargetMode="External"/><Relationship Id="rId192" Type="http://schemas.openxmlformats.org/officeDocument/2006/relationships/hyperlink" Target="http://www.sec.gov/Archives/edgar/data/1794515/000162828020002344/exhibit1010-firstliencredi.htm" TargetMode="External"/><Relationship Id="rId193" Type="http://schemas.openxmlformats.org/officeDocument/2006/relationships/hyperlink" Target="http://www.sec.gov/Archives/edgar/data/1794515/000162828020002344/exhibit1011-amendmentno1da.htm" TargetMode="External"/><Relationship Id="rId194" Type="http://schemas.openxmlformats.org/officeDocument/2006/relationships/hyperlink" Target="https://www.sec.gov/Archives/edgar/data/1794515/000179451521000034/exhibit101xclosingxcredxam.htm" TargetMode="External"/><Relationship Id="rId195" Type="http://schemas.openxmlformats.org/officeDocument/2006/relationships/hyperlink" Target="https://www.sec.gov/Archives/edgar/data/1794515/000179451521000183/zi-8kex101x20210720.htm" TargetMode="External"/><Relationship Id="rId196" Type="http://schemas.openxmlformats.org/officeDocument/2006/relationships/hyperlink" Target="https://www.sec.gov/Archives/edgar/data/1794515/000179451523000034/zi-ex1018x20230216.htm" TargetMode="External"/><Relationship Id="rId197" Type="http://schemas.openxmlformats.org/officeDocument/2006/relationships/hyperlink" Target="https://www.sec.gov/Archives/edgar/data/1794515/000179451523000041/zi-ex101x20230228.htm" TargetMode="External"/><Relationship Id="rId198" Type="http://schemas.openxmlformats.org/officeDocument/2006/relationships/hyperlink" Target="https://www.sec.gov/Archives/edgar/data/1794515/000179451523000183/zi-ex101x20231208.htm" TargetMode="External"/><Relationship Id="rId199" Type="http://schemas.openxmlformats.org/officeDocument/2006/relationships/hyperlink" Target="http://www.sec.gov/Archives/edgar/data/1794515/000162828020002344/exhibit1012-firstliensecur.htm" TargetMode="External"/><Relationship Id="rId200" Type="http://schemas.openxmlformats.org/officeDocument/2006/relationships/hyperlink" Target="http://www.sec.gov/Archives/edgar/data/1794515/000162828020002344/exhibit1013-firstlienholdi.htm" TargetMode="External"/><Relationship Id="rId201" Type="http://schemas.openxmlformats.org/officeDocument/2006/relationships/hyperlink" Target="http://www.sec.gov/Archives/edgar/data/1794515/000162828020002344/exhibit1014-firstliensubsi.htm" TargetMode="External"/><Relationship Id="rId202" Type="http://schemas.openxmlformats.org/officeDocument/2006/relationships/hyperlink" Target="http://www.sec.gov/Archives/edgar/data/1794515/000162828020002344/exhibit1015-firstlieninter.htm" TargetMode="External"/><Relationship Id="rId203" Type="http://schemas.openxmlformats.org/officeDocument/2006/relationships/hyperlink" Target="http://www.sec.gov/Archives/edgar/data/1794515/000162828020009137/exhibit109-closing8xkxform.htm" TargetMode="External"/><Relationship Id="rId204" Type="http://schemas.openxmlformats.org/officeDocument/2006/relationships/hyperlink" Target="http://www.sec.gov/Archives/edgar/data/1794515/000162828020002344/exhibit1025-employmentagre.htm" TargetMode="External"/><Relationship Id="rId205" Type="http://schemas.openxmlformats.org/officeDocument/2006/relationships/hyperlink" Target="http://www.sec.gov/Archives/edgar/data/1794515/000162828020002344/exhibit1026-formofhskbfund.htm" TargetMode="External"/><Relationship Id="rId206" Type="http://schemas.openxmlformats.org/officeDocument/2006/relationships/hyperlink" Target="http://www.sec.gov/Archives/edgar/data/1794515/000162828020002344/exhibit1027-formofclasspin.htm" TargetMode="External"/><Relationship Id="rId207" Type="http://schemas.openxmlformats.org/officeDocument/2006/relationships/hyperlink" Target="http://www.sec.gov/Archives/edgar/data/1794515/000162828020008317/exhibit1028formofstandarde.htm" TargetMode="External"/><Relationship Id="rId209" Type="http://schemas.openxmlformats.org/officeDocument/2006/relationships/hyperlink" Target="http://www.sec.gov/Archives/edgar/data/1794515/000162828020008317/exhibit1029formofstockopti.htm" TargetMode="External"/><Relationship Id="rId210" Type="http://schemas.openxmlformats.org/officeDocument/2006/relationships/hyperlink" Target="http://www.sec.gov/Archives/edgar/data/1794515/000162828020008317/exhibit1030formofleverager.htm" TargetMode="External"/><Relationship Id="rId211" Type="http://schemas.openxmlformats.org/officeDocument/2006/relationships/hyperlink" Target="https://www.sec.gov/Archives/edgar/data/1794515/000179451523000034/zi-ex1030x20230216.htm" TargetMode="External"/><Relationship Id="rId212" Type="http://schemas.openxmlformats.org/officeDocument/2006/relationships/hyperlink" Target="http://www.sec.gov/Archives/edgar/data/1794515/000162828020008317/exhibit1032formofnon-emplo.htm" TargetMode="External"/><Relationship Id="rId213" Type="http://schemas.openxmlformats.org/officeDocument/2006/relationships/hyperlink" Target="http://www.sec.gov/Archives/edgar/data/1794515/000162828020008317/exhibit1033formofnon-emplo.htm" TargetMode="External"/><Relationship Id="rId214" Type="http://schemas.openxmlformats.org/officeDocument/2006/relationships/hyperlink" Target="http://www.sec.gov/Archives/edgar/data/1794515/000162828020008317/exhibit1034formofclasspuni.htm" TargetMode="External"/><Relationship Id="rId215" Type="http://schemas.openxmlformats.org/officeDocument/2006/relationships/hyperlink" Target="http://www.sec.gov/Archives/edgar/data/1794515/000162828020008317/exhibit1035formofltipunita.htm" TargetMode="External"/><Relationship Id="rId216" Type="http://schemas.openxmlformats.org/officeDocument/2006/relationships/hyperlink" Target="http://www.sec.gov/Archives/edgar/data/1794515/000162828020008317/exhibit1036formofrestricti.htm" TargetMode="External"/><Relationship Id="rId217" Type="http://schemas.openxmlformats.org/officeDocument/2006/relationships/hyperlink" Target="http://www.sec.gov/Archives/edgar/data/1794515/000179451520000019/zi-ex1020x20200810.htm" TargetMode="External"/><Relationship Id="rId218" Type="http://schemas.openxmlformats.org/officeDocument/2006/relationships/hyperlink" Target="https://www.sec.gov/Archives/edgar/data/1794515/000179451521000061/zi-ex1030x2021022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2024-02-15T17:39:41Z</dcterms:created>
  <dcterms:modified xsi:type="dcterms:W3CDTF">2024-02-15T17:39:41Z</dcterms:modified>
</cp:coreProperties>
</file>