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240" w:after="283"/>
        <w:jc w:val="center"/>
        <w:rPr/>
      </w:pPr>
      <w:r>
        <w:rPr/>
      </w:r>
    </w:p>
    <w:p>
      <w:pPr>
        <w:pStyle w:val="TextBody"/>
        <w:bidi w:val="0"/>
        <w:spacing w:lineRule="auto" w:line="288" w:before="600" w:after="283"/>
        <w:jc w:val="center"/>
        <w:rPr>
          <w:rFonts w:ascii="Lato Black;sans-serif" w:hAnsi="Lato Black;sans-serif"/>
          <w:b/>
          <w:color w:val="000000"/>
          <w:sz w:val="36"/>
        </w:rPr>
      </w:pPr>
      <w:r>
        <w:rPr>
          <w:rFonts w:ascii="Lato Black;sans-serif" w:hAnsi="Lato Black;sans-serif"/>
          <w:b/>
          <w:color w:val="000000"/>
          <w:sz w:val="36"/>
        </w:rPr>
        <w:t>UNITED STATES</w:t>
      </w:r>
    </w:p>
    <w:p>
      <w:pPr>
        <w:pStyle w:val="TextBody"/>
        <w:bidi w:val="0"/>
        <w:spacing w:lineRule="auto" w:line="288" w:before="0" w:after="0"/>
        <w:jc w:val="center"/>
        <w:rPr>
          <w:rFonts w:ascii="Lato Black;sans-serif" w:hAnsi="Lato Black;sans-serif"/>
          <w:b/>
          <w:color w:val="000000"/>
          <w:sz w:val="36"/>
        </w:rPr>
      </w:pPr>
      <w:r>
        <w:rPr>
          <w:rFonts w:ascii="Lato Black;sans-serif" w:hAnsi="Lato Black;sans-serif"/>
          <w:b/>
          <w:color w:val="000000"/>
          <w:sz w:val="36"/>
        </w:rPr>
        <w:t>SECURITIES AND EXCHANGE COMMISSION</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Lato;sans-serif" w:hAnsi="Lato;sans-serif"/>
          <w:b/>
          <w:color w:val="000000"/>
          <w:sz w:val="36"/>
        </w:rPr>
      </w:pPr>
      <w:r>
        <w:rPr>
          <w:rFonts w:ascii="Lato;sans-serif" w:hAnsi="Lato;sans-serif"/>
          <w:b/>
          <w:color w:val="000000"/>
          <w:sz w:val="36"/>
        </w:rPr>
        <w:t>SCHEDULE 14A</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Proxy Statement Pursuant to Section 14(a) of the</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Securities Exchange Act of 1934</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(Amendment No.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120"/>
        <w:jc w:val="left"/>
        <w:rPr/>
      </w:pPr>
      <w:r>
        <w:rPr/>
      </w:r>
    </w:p>
    <w:p>
      <w:pPr>
        <w:pStyle w:val="TextBody"/>
        <w:bidi w:val="0"/>
        <w:spacing w:lineRule="auto" w:line="288" w:before="240" w:after="283"/>
        <w:jc w:val="left"/>
        <w:rPr>
          <w:rFonts w:ascii="Lato;sans-serif" w:hAnsi="Lato;sans-serif"/>
          <w:b w:val="false"/>
          <w:color w:val="000000"/>
          <w:sz w:val="20"/>
        </w:rPr>
      </w:pPr>
      <w:r>
        <w:rPr>
          <w:rFonts w:ascii="Lato;sans-serif" w:hAnsi="Lato;sans-serif"/>
          <w:b w:val="false"/>
          <w:color w:val="000000"/>
          <w:sz w:val="20"/>
        </w:rPr>
        <w:t>Filed by the Registrant  ☒                            Filed by a Party other than the Registrant  ☐</w:t>
      </w:r>
    </w:p>
    <w:p>
      <w:pPr>
        <w:pStyle w:val="TextBody"/>
        <w:bidi w:val="0"/>
        <w:spacing w:lineRule="auto" w:line="288" w:before="240" w:after="283"/>
        <w:jc w:val="left"/>
        <w:rPr>
          <w:rFonts w:ascii="Lato;sans-serif" w:hAnsi="Lato;sans-serif"/>
          <w:b w:val="false"/>
          <w:color w:val="000000"/>
          <w:sz w:val="20"/>
        </w:rPr>
      </w:pPr>
      <w:r>
        <w:rPr>
          <w:rFonts w:ascii="Lato;sans-serif" w:hAnsi="Lato;sans-serif"/>
          <w:b w:val="false"/>
          <w:color w:val="000000"/>
          <w:sz w:val="20"/>
        </w:rPr>
        <w:t>Check the appropriate box:</w:t>
      </w:r>
    </w:p>
    <w:tbl>
      <w:tblPr>
        <w:tblW w:w="96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30"/>
        <w:gridCol w:w="2630"/>
        <w:gridCol w:w="3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Soliciting Material Pursuant to §240.14a-12</w:t>
            </w:r>
          </w:p>
        </w:tc>
      </w:tr>
    </w:tbl>
    <w:p>
      <w:pPr>
        <w:pStyle w:val="TextBody"/>
        <w:bidi w:val="0"/>
        <w:spacing w:before="0" w:after="120"/>
        <w:jc w:val="left"/>
        <w:rPr/>
      </w:pPr>
      <w:r>
        <w:rPr/>
      </w:r>
    </w:p>
    <w:p>
      <w:pPr>
        <w:pStyle w:val="TextBody"/>
        <w:bidi w:val="0"/>
        <w:spacing w:lineRule="auto" w:line="288" w:before="360" w:after="283"/>
        <w:jc w:val="center"/>
        <w:rPr>
          <w:rFonts w:ascii="Lato;sans-serif" w:hAnsi="Lato;sans-serif"/>
          <w:b/>
          <w:color w:val="000000"/>
          <w:sz w:val="44"/>
        </w:rPr>
      </w:pPr>
      <w:r>
        <w:rPr>
          <w:rFonts w:ascii="Lato;sans-serif" w:hAnsi="Lato;sans-serif"/>
          <w:b/>
          <w:color w:val="000000"/>
          <w:sz w:val="44"/>
        </w:rPr>
        <w:t>ZOOMINFO TECHNOLOGIES INC.</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(Name of Registrant as Specified In Its Charter)</w:t>
      </w:r>
    </w:p>
    <w:p>
      <w:pPr>
        <w:pStyle w:val="TextBody"/>
        <w:bidi w:val="0"/>
        <w:spacing w:lineRule="auto" w:line="288" w:before="360" w:after="283"/>
        <w:jc w:val="center"/>
        <w:rPr>
          <w:rFonts w:ascii="Lato;sans-serif" w:hAnsi="Lato;sans-serif"/>
          <w:b/>
          <w:color w:val="000000"/>
          <w:sz w:val="16"/>
        </w:rPr>
      </w:pPr>
      <w:r>
        <w:rPr>
          <w:rFonts w:ascii="Lato;sans-serif" w:hAnsi="Lato;sans-serif"/>
          <w:b/>
          <w:color w:val="000000"/>
          <w:sz w:val="16"/>
        </w:rPr>
        <w:t>(Name of Person(s) Filing Proxy Statement, if Other Than the Registrant)</w:t>
      </w:r>
    </w:p>
    <w:p>
      <w:pPr>
        <w:pStyle w:val="TextBody"/>
        <w:bidi w:val="0"/>
        <w:spacing w:lineRule="auto" w:line="288" w:before="360" w:after="283"/>
        <w:jc w:val="left"/>
        <w:rPr>
          <w:rFonts w:ascii="Lato;sans-serif" w:hAnsi="Lato;sans-serif"/>
          <w:b w:val="false"/>
          <w:color w:val="000000"/>
          <w:sz w:val="20"/>
        </w:rPr>
      </w:pPr>
      <w:r>
        <w:rPr>
          <w:rFonts w:ascii="Lato;sans-serif" w:hAnsi="Lato;sans-serif"/>
          <w:b w:val="false"/>
          <w:color w:val="000000"/>
          <w:sz w:val="20"/>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4"/>
        <w:gridCol w:w="1014"/>
        <w:gridCol w:w="1014"/>
        <w:gridCol w:w="1013"/>
        <w:gridCol w:w="1011"/>
        <w:gridCol w:w="1011"/>
        <w:gridCol w:w="1011"/>
        <w:gridCol w:w="1011"/>
        <w:gridCol w:w="14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2371725" cy="6381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71725" cy="638175"/>
                    </a:xfrm>
                    <a:prstGeom prst="rect">
                      <a:avLst/>
                    </a:prstGeom>
                  </pic:spPr>
                </pic:pic>
              </a:graphicData>
            </a:graphic>
          </wp:inline>
        </w:drawing>
      </w:r>
    </w:p>
    <w:p>
      <w:pPr>
        <w:pStyle w:val="TextBody"/>
        <w:bidi w:val="0"/>
        <w:spacing w:lineRule="auto" w:line="288" w:before="300" w:after="283"/>
        <w:jc w:val="right"/>
        <w:rPr>
          <w:rFonts w:ascii="Lato;sans-serif" w:hAnsi="Lato;sans-serif"/>
          <w:b w:val="false"/>
          <w:color w:val="000000"/>
          <w:sz w:val="20"/>
        </w:rPr>
      </w:pPr>
      <w:r>
        <w:rPr>
          <w:rFonts w:ascii="Lato;sans-serif" w:hAnsi="Lato;sans-serif"/>
          <w:b w:val="false"/>
          <w:color w:val="000000"/>
          <w:sz w:val="20"/>
        </w:rPr>
        <w:t>March 29, 2024</w:t>
      </w:r>
    </w:p>
    <w:p>
      <w:pPr>
        <w:pStyle w:val="TextBody"/>
        <w:bidi w:val="0"/>
        <w:spacing w:lineRule="auto" w:line="288" w:before="240" w:after="180"/>
        <w:jc w:val="left"/>
        <w:rPr>
          <w:rFonts w:ascii="Lato;sans-serif" w:hAnsi="Lato;sans-serif"/>
          <w:b w:val="false"/>
          <w:color w:val="000000"/>
          <w:sz w:val="20"/>
        </w:rPr>
      </w:pPr>
      <w:r>
        <w:rPr>
          <w:rFonts w:ascii="Lato;sans-serif" w:hAnsi="Lato;sans-serif"/>
          <w:b w:val="false"/>
          <w:color w:val="000000"/>
          <w:sz w:val="20"/>
        </w:rPr>
        <w:t>Dear Stockholder: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Please join us for ZoomInfo Technologies Inc.’s Annual Meeting of Stockholders on Wednesday, May 15, 2024, at 12:00 p.m., Eastern Time. Consistent with past practice,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www.virtualshareholdermeeting.com/ZI2024.</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Attached to this letter are a Notice of Annual Meeting of Stockholders and Proxy Statement, which describe the business to be conducted at the meeting. The Notice of Internet Availability of this Proxy Statement and Annual Report and the proxy card are first being sent to stockholders on or about March 29, 2024. We urge you to read the accompanying materials regarding the matters to be voted on at the meeting and to submit your voting instructions by proxy. At the Annual Meeting, you will be asked to:</w:t>
      </w:r>
    </w:p>
    <w:p>
      <w:pPr>
        <w:pStyle w:val="TextBody"/>
        <w:bidi w:val="0"/>
        <w:spacing w:before="0" w:after="0"/>
        <w:jc w:val="left"/>
        <w:rPr/>
      </w:pPr>
      <w:r>
        <w:rPr/>
      </w:r>
    </w:p>
    <w:p>
      <w:pPr>
        <w:pStyle w:val="TextBody"/>
        <w:bidi w:val="0"/>
        <w:spacing w:lineRule="auto" w:line="417" w:before="0" w:after="0"/>
        <w:ind w:left="0" w:right="0" w:hanging="360"/>
        <w:jc w:val="both"/>
        <w:rPr>
          <w:rFonts w:ascii="Lato;sans-serif" w:hAnsi="Lato;sans-serif"/>
          <w:b w:val="false"/>
          <w:color w:val="000000"/>
          <w:sz w:val="20"/>
        </w:rPr>
      </w:pPr>
      <w:r>
        <w:rPr>
          <w:rFonts w:ascii="Lato;sans-serif" w:hAnsi="Lato;sans-serif"/>
          <w:b w:val="false"/>
          <w:color w:val="000000"/>
          <w:sz w:val="20"/>
        </w:rPr>
        <w:t>1.Elect two Class I directors, to serve until our 2027 annual meeting of stockholders;</w:t>
      </w:r>
    </w:p>
    <w:p>
      <w:pPr>
        <w:pStyle w:val="TextBody"/>
        <w:bidi w:val="0"/>
        <w:spacing w:lineRule="auto" w:line="417" w:before="0" w:after="0"/>
        <w:ind w:left="0" w:right="0" w:hanging="360"/>
        <w:jc w:val="both"/>
        <w:rPr>
          <w:rFonts w:ascii="Lato;sans-serif" w:hAnsi="Lato;sans-serif"/>
          <w:b w:val="false"/>
          <w:color w:val="000000"/>
          <w:sz w:val="20"/>
        </w:rPr>
      </w:pPr>
      <w:r>
        <w:rPr>
          <w:rFonts w:ascii="Lato;sans-serif" w:hAnsi="Lato;sans-serif"/>
          <w:b w:val="false"/>
          <w:color w:val="000000"/>
          <w:sz w:val="20"/>
        </w:rPr>
        <w:t>2.Ratify the appointment of KPMG LLP as our independent registered public accounting firm for 2024; and</w:t>
      </w:r>
    </w:p>
    <w:p>
      <w:pPr>
        <w:pStyle w:val="TextBody"/>
        <w:bidi w:val="0"/>
        <w:spacing w:lineRule="auto" w:line="417" w:before="0" w:after="180"/>
        <w:ind w:left="0" w:right="0" w:hanging="360"/>
        <w:jc w:val="both"/>
        <w:rPr>
          <w:rFonts w:ascii="Lato;sans-serif" w:hAnsi="Lato;sans-serif"/>
          <w:b w:val="false"/>
          <w:color w:val="000000"/>
          <w:sz w:val="20"/>
        </w:rPr>
      </w:pPr>
      <w:r>
        <w:rPr>
          <w:rFonts w:ascii="Lato;sans-serif" w:hAnsi="Lato;sans-serif"/>
          <w:b w:val="false"/>
          <w:color w:val="000000"/>
          <w:sz w:val="20"/>
        </w:rPr>
        <w:t>3.Approve, on an advisory, non-binding basis, the compensation of our named executive officers.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Whether or not you plan to attend the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pStyle w:val="TextBody"/>
        <w:bidi w:val="0"/>
        <w:spacing w:lineRule="auto" w:line="417" w:before="180" w:after="180"/>
        <w:jc w:val="both"/>
        <w:rPr>
          <w:rFonts w:ascii="Lato;sans-serif" w:hAnsi="Lato;sans-serif"/>
          <w:b w:val="false"/>
          <w:color w:val="000000"/>
          <w:sz w:val="20"/>
        </w:rPr>
      </w:pPr>
      <w:r>
        <w:rPr>
          <w:rFonts w:ascii="Lato;sans-serif" w:hAnsi="Lato;sans-serif"/>
          <w:b w:val="false"/>
          <w:color w:val="000000"/>
          <w:sz w:val="20"/>
        </w:rPr>
        <w:t>Thank you for your continued support of ZoomInfo Technologies Inc.</w:t>
      </w:r>
    </w:p>
    <w:p>
      <w:pPr>
        <w:pStyle w:val="TextBody"/>
        <w:bidi w:val="0"/>
        <w:spacing w:lineRule="auto" w:line="288" w:before="0" w:after="0"/>
        <w:jc w:val="left"/>
        <w:rPr>
          <w:color w:val="000000"/>
        </w:rPr>
      </w:pPr>
      <w:r>
        <w:rPr>
          <w:color w:val="000000"/>
        </w:rPr>
        <w:t> </w:t>
      </w:r>
    </w:p>
    <w:tbl>
      <w:tblPr>
        <w:tblW w:w="4419" w:type="dxa"/>
        <w:jc w:val="left"/>
        <w:tblInd w:w="0" w:type="dxa"/>
        <w:tblLayout w:type="fixed"/>
        <w:tblCellMar>
          <w:top w:w="28" w:type="dxa"/>
          <w:left w:w="28" w:type="dxa"/>
          <w:bottom w:w="28" w:type="dxa"/>
          <w:right w:w="28" w:type="dxa"/>
        </w:tblCellMar>
      </w:tblPr>
      <w:tblGrid>
        <w:gridCol w:w="124"/>
        <w:gridCol w:w="109"/>
        <w:gridCol w:w="109"/>
        <w:gridCol w:w="174"/>
        <w:gridCol w:w="174"/>
        <w:gridCol w:w="174"/>
        <w:gridCol w:w="1036"/>
        <w:gridCol w:w="1036"/>
        <w:gridCol w:w="1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pPr>
            <w:r>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04925" cy="4667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04925" cy="46672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20"/>
              <w:jc w:val="left"/>
              <w:rPr/>
            </w:pPr>
            <w:r>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Lato;sans-serif" w:hAnsi="Lato;sans-serif"/>
                <w:b w:val="false"/>
                <w:i/>
                <w:color w:val="000000"/>
                <w:sz w:val="20"/>
                <w:u w:val="single"/>
              </w:rPr>
            </w:pPr>
            <w:r>
              <w:rPr>
                <w:rFonts w:ascii="Lato;sans-serif" w:hAnsi="Lato;sans-serif"/>
                <w:b w:val="false"/>
                <w:i/>
                <w:color w:val="000000"/>
                <w:sz w:val="20"/>
                <w:u w:val="single"/>
              </w:rPr>
              <w:t>Henry Schuck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 xml:space="preserve">Chief Executive Officer and </w:t>
              <w:br/>
              <w:t>Chairman of the Board of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ZOOMINFO TECHNOLOGIES INC.</w:t>
      </w:r>
    </w:p>
    <w:p>
      <w:pPr>
        <w:pStyle w:val="TextBody"/>
        <w:bidi w:val="0"/>
        <w:spacing w:lineRule="auto" w:line="288" w:before="0" w:after="300"/>
        <w:jc w:val="center"/>
        <w:rPr>
          <w:rFonts w:ascii="Lato;sans-serif" w:hAnsi="Lato;sans-serif"/>
          <w:b/>
          <w:color w:val="000000"/>
          <w:sz w:val="20"/>
        </w:rPr>
      </w:pPr>
      <w:r>
        <w:rPr>
          <w:rFonts w:ascii="Lato;sans-serif" w:hAnsi="Lato;sans-serif"/>
          <w:b/>
          <w:color w:val="000000"/>
          <w:sz w:val="2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584"/>
        <w:gridCol w:w="445"/>
        <w:gridCol w:w="451"/>
        <w:gridCol w:w="3276"/>
        <w:gridCol w:w="2997"/>
        <w:gridCol w:w="2077"/>
        <w:gridCol w:w="109"/>
        <w:gridCol w:w="109"/>
        <w:gridCol w:w="157"/>
      </w:tblGrid>
      <w:tr>
        <w:trPr/>
        <w:tc>
          <w:tcPr>
            <w:tcW w:w="58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76"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TIME</w:t>
            </w:r>
          </w:p>
        </w:tc>
        <w:tc>
          <w:tcPr>
            <w:tcW w:w="83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12:00 p.m., Eastern Time, on Wednesday, May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VIRTUAL LOCATION</w:t>
            </w:r>
          </w:p>
        </w:tc>
        <w:tc>
          <w:tcPr>
            <w:tcW w:w="83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You can attend the Annual Meeting online, vote your shares electronically and submit your questions during the Annual Meeting, by visiting www.virtualshareholdermeeting.com/ZI2024. You will need to have your 16-Digit Control Number included on your proxy card or the instructions that accompanied your proxy materials in order to join the Annual Meeting.</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ITEMS OF BUSINESS</w:t>
            </w:r>
          </w:p>
        </w:tc>
        <w:tc>
          <w:tcPr>
            <w:tcW w:w="835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1.To elect the director nominees listed in the Proxy Statement.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2.To ratify the appointment of KPMG LLP as our independent registered public accounting firm for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3.To approve, on an advisory, non-binding basis, the compensation of our named executive officers.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Lato;sans-serif" w:hAnsi="Lato;sans-serif"/>
                <w:b w:val="false"/>
                <w:color w:val="000000"/>
                <w:sz w:val="20"/>
              </w:rPr>
            </w:pPr>
            <w:r>
              <w:rPr>
                <w:rFonts w:ascii="Lato;sans-serif" w:hAnsi="Lato;sans-serif"/>
                <w:b w:val="false"/>
                <w:color w:val="000000"/>
                <w:sz w:val="20"/>
              </w:rPr>
              <w:t>4.To consider such other business as may properly come before the Annual Meeting and any adjournments or postponements thereof.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RECORD DATE</w:t>
            </w:r>
          </w:p>
        </w:tc>
        <w:tc>
          <w:tcPr>
            <w:tcW w:w="83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You may vote at the Annual Meeting if you were a stockholder of record at the close of business on March 18,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VOTING BY PROXY</w:t>
            </w:r>
          </w:p>
        </w:tc>
        <w:tc>
          <w:tcPr>
            <w:tcW w:w="8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To ensure your shares are voted, you may vote your shares over the Internet, by telephone or by completing, signing and mailing the proxy card. Voting procedures are described on the following page and on the proxy card.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8" w:type="dxa"/>
        <w:jc w:val="left"/>
        <w:tblInd w:w="0" w:type="dxa"/>
        <w:tblLayout w:type="fixed"/>
        <w:tblCellMar>
          <w:top w:w="28" w:type="dxa"/>
          <w:left w:w="28" w:type="dxa"/>
          <w:bottom w:w="28" w:type="dxa"/>
          <w:right w:w="28" w:type="dxa"/>
        </w:tblCellMar>
      </w:tblPr>
      <w:tblGrid>
        <w:gridCol w:w="124"/>
        <w:gridCol w:w="109"/>
        <w:gridCol w:w="109"/>
        <w:gridCol w:w="1034"/>
        <w:gridCol w:w="1034"/>
        <w:gridCol w:w="1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62175" cy="8667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162175" cy="86677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Lato;sans-serif" w:hAnsi="Lato;sans-serif"/>
                <w:b w:val="false"/>
                <w:i/>
                <w:color w:val="000000"/>
                <w:sz w:val="20"/>
                <w:u w:val="single"/>
              </w:rPr>
            </w:pPr>
            <w:r>
              <w:rPr>
                <w:rFonts w:ascii="Lato;sans-serif" w:hAnsi="Lato;sans-serif"/>
                <w:b w:val="false"/>
                <w:i/>
                <w:color w:val="000000"/>
                <w:sz w:val="20"/>
                <w:u w:val="single"/>
              </w:rPr>
              <w:t>Anthony Stark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i/>
                <w:color w:val="000000"/>
                <w:sz w:val="20"/>
              </w:rPr>
            </w:pPr>
            <w:r>
              <w:rPr>
                <w:rFonts w:ascii="Lato;sans-serif" w:hAnsi="Lato;sans-serif"/>
                <w:b w:val="false"/>
                <w:i/>
                <w:color w:val="000000"/>
                <w:sz w:val="20"/>
              </w:rPr>
              <w:t>Secretary and General Counsel</w:t>
            </w:r>
          </w:p>
          <w:p>
            <w:pPr>
              <w:pStyle w:val="TableContents"/>
              <w:bidi w:val="0"/>
              <w:spacing w:lineRule="auto" w:line="288" w:before="0" w:after="20"/>
              <w:jc w:val="left"/>
              <w:rPr>
                <w:rFonts w:ascii="Lato;sans-serif" w:hAnsi="Lato;sans-serif"/>
                <w:b w:val="false"/>
                <w:i/>
                <w:color w:val="000000"/>
                <w:sz w:val="20"/>
              </w:rPr>
            </w:pPr>
            <w:r>
              <w:rPr>
                <w:rFonts w:ascii="Lato;sans-serif" w:hAnsi="Lato;sans-serif"/>
                <w:b w:val="false"/>
                <w:i/>
                <w:color w:val="000000"/>
                <w:sz w:val="20"/>
              </w:rPr>
              <w:t>March 29, 2024</w:t>
            </w:r>
          </w:p>
        </w:tc>
      </w:tr>
    </w:tbl>
    <w:p>
      <w:pPr>
        <w:pStyle w:val="TextBody"/>
        <w:bidi w:val="0"/>
        <w:spacing w:lineRule="auto" w:line="288" w:before="240" w:after="283"/>
        <w:jc w:val="center"/>
        <w:rPr>
          <w:rFonts w:ascii="Lato;sans-serif" w:hAnsi="Lato;sans-serif"/>
          <w:b/>
          <w:i/>
          <w:color w:val="000000"/>
          <w:sz w:val="20"/>
        </w:rPr>
      </w:pPr>
      <w:r>
        <w:rPr>
          <w:rFonts w:ascii="Lato;sans-serif" w:hAnsi="Lato;sans-serif"/>
          <w:b/>
          <w:i/>
          <w:color w:val="000000"/>
          <w:sz w:val="20"/>
        </w:rPr>
        <w:t>Important Notice Regarding the Availability of Proxy Materials for the Stockholder Meeting to Be Held on Wednesday, May 15, 2024: This Proxy Statement and our Annual Report are available free of charge at www.proxyvote.com. A list of the stockholders of record at the close of business on March 18, 2024 will also be available electronically during the Annual Meeting at www.virtualshareholdermeeting.com/ZI2024.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PROXY VOTING METHODS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were a stockholder of record at the close of business on March 18, 2024, you may vote your shares (i) over the Internet, by telephone or by mail in advance of the Annual Meeting or (ii) over the Internet at the Annual Meeting.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pStyle w:val="TextBody"/>
        <w:bidi w:val="0"/>
        <w:spacing w:lineRule="auto" w:line="288" w:before="180" w:after="180"/>
        <w:jc w:val="both"/>
        <w:rPr>
          <w:rFonts w:ascii="Lato;sans-serif" w:hAnsi="Lato;sans-serif"/>
          <w:b/>
          <w:color w:val="000000"/>
          <w:sz w:val="20"/>
        </w:rPr>
      </w:pPr>
      <w:r>
        <w:rPr>
          <w:rFonts w:ascii="Lato;sans-serif" w:hAnsi="Lato;sans-serif"/>
          <w:b/>
          <w:color w:val="000000"/>
          <w:sz w:val="20"/>
        </w:rPr>
        <w:t>If you are a stockholder of record, your Internet, telephone or mail vote must be received by 11:59 p.m., Eastern Time, on May 14, 2024 to be counted. If you hold shares through a broker, bank or other nominee, please refer to information from your broker, bank or nominee for voting instructions.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To vote by proxy if you are a stockholder of record:</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INTERNET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20"/>
              </w:rPr>
              <w:t xml:space="preserve">Go to the website </w:t>
            </w:r>
            <w:r>
              <w:rPr>
                <w:rFonts w:ascii="Lato;sans-serif" w:hAnsi="Lato;sans-serif"/>
                <w:b w:val="false"/>
                <w:i/>
                <w:color w:val="000000"/>
                <w:sz w:val="20"/>
              </w:rPr>
              <w:t>www.proxyvote.com</w:t>
            </w:r>
            <w:r>
              <w:rPr>
                <w:color w:val="000000"/>
              </w:rPr>
              <w:t xml:space="preserve"> </w:t>
            </w:r>
            <w:r>
              <w:rPr>
                <w:rFonts w:ascii="Lato;sans-serif" w:hAnsi="Lato;sans-serif"/>
                <w:b w:val="false"/>
                <w:color w:val="000000"/>
                <w:sz w:val="20"/>
              </w:rPr>
              <w:t xml:space="preserve">and follow the instructions, 24 hours a day, seven days a week.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You will need the 16-digit number included on your proxy card to obtain your records and to create an electronic voting instruction form.</w:t>
            </w:r>
          </w:p>
        </w:tc>
      </w:tr>
    </w:tbl>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TELEPHONE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From a touch-tone telephone, dial 1-800-690-6903 and follow the recorded instructions, 24 hours a day, seven days a week.</w:t>
            </w:r>
          </w:p>
        </w:tc>
      </w:tr>
    </w:tbl>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6"/>
        <w:gridCol w:w="2686"/>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You will need the 16-digit number included on your proxy card in order to vote by telephone.</w:t>
            </w:r>
          </w:p>
        </w:tc>
      </w:tr>
    </w:tbl>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BY MAIL</w:t>
      </w:r>
    </w:p>
    <w:tbl>
      <w:tblPr>
        <w:tblW w:w="50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72"/>
        <w:gridCol w:w="1172"/>
        <w:gridCol w:w="1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Mark your selections on the proxy card.</w:t>
            </w:r>
          </w:p>
        </w:tc>
      </w:tr>
    </w:tbl>
    <w:tbl>
      <w:tblPr>
        <w:tblW w:w="76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46"/>
        <w:gridCol w:w="1946"/>
        <w:gridCol w:w="2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Date and sign your name exactly as it appears on your proxy card.</w:t>
            </w:r>
          </w:p>
        </w:tc>
      </w:tr>
    </w:tbl>
    <w:tbl>
      <w:tblPr>
        <w:tblW w:w="85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97"/>
        <w:gridCol w:w="2197"/>
        <w:gridCol w:w="3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Mail the proxy card in the enclosed postage-paid envelope provided to you.</w:t>
            </w:r>
          </w:p>
        </w:tc>
      </w:tr>
    </w:tbl>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YOUR VOTE IS IMPORTANT TO US. THANK YOU FOR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0"/>
        <w:gridCol w:w="3094"/>
        <w:gridCol w:w="3108"/>
        <w:gridCol w:w="114"/>
        <w:gridCol w:w="114"/>
        <w:gridCol w:w="165"/>
      </w:tblGrid>
      <w:tr>
        <w:trPr/>
        <w:tc>
          <w:tcPr>
            <w:tcW w:w="361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3">
              <w:r>
                <w:rPr>
                  <w:rStyle w:val="InternetLink"/>
                  <w:rFonts w:ascii="Lato;sans-serif" w:hAnsi="Lato;sans-serif"/>
                  <w:b/>
                  <w:color w:val="0000FF"/>
                  <w:sz w:val="20"/>
                  <w:u w:val="single"/>
                </w:rPr>
                <w:t>GENERAL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3">
              <w:r>
                <w:rPr>
                  <w:rStyle w:val="InternetLink"/>
                  <w:rFonts w:ascii="Lato;sans-serif" w:hAnsi="Lato;sans-serif"/>
                  <w:b w:val="false"/>
                  <w:color w:val="0000FF"/>
                  <w:sz w:val="20"/>
                  <w:u w:val="single"/>
                </w:rPr>
                <w:t>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6">
              <w:r>
                <w:rPr>
                  <w:rStyle w:val="InternetLink"/>
                  <w:rFonts w:ascii="Lato;sans-serif" w:hAnsi="Lato;sans-serif"/>
                  <w:b/>
                  <w:color w:val="0000FF"/>
                  <w:sz w:val="20"/>
                  <w:u w:val="single"/>
                </w:rPr>
                <w:t>PROPOSAL NO. 1—ELECTION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6">
              <w:r>
                <w:rPr>
                  <w:rStyle w:val="InternetLink"/>
                  <w:rFonts w:ascii="Lato;sans-serif" w:hAnsi="Lato;sans-serif"/>
                  <w:b w:val="false"/>
                  <w:color w:val="0000FF"/>
                  <w:sz w:val="20"/>
                  <w:u w:val="single"/>
                </w:rPr>
                <w:t>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9">
              <w:r>
                <w:rPr>
                  <w:rStyle w:val="InternetLink"/>
                  <w:rFonts w:ascii="Lato;sans-serif" w:hAnsi="Lato;sans-serif"/>
                  <w:b w:val="false"/>
                  <w:i/>
                  <w:color w:val="0000FF"/>
                  <w:sz w:val="20"/>
                  <w:u w:val="single"/>
                </w:rPr>
                <w:t>Nominees for Election to the Board of Directors in 2024</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9">
              <w:r>
                <w:rPr>
                  <w:rStyle w:val="InternetLink"/>
                  <w:rFonts w:ascii="Lato;sans-serif" w:hAnsi="Lato;sans-serif"/>
                  <w:b w:val="false"/>
                  <w:color w:val="0000FF"/>
                  <w:sz w:val="20"/>
                  <w:u w:val="single"/>
                </w:rPr>
                <w:t>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22">
              <w:r>
                <w:rPr>
                  <w:rStyle w:val="InternetLink"/>
                  <w:rFonts w:ascii="Lato;sans-serif" w:hAnsi="Lato;sans-serif"/>
                  <w:b w:val="false"/>
                  <w:i/>
                  <w:color w:val="0000FF"/>
                  <w:sz w:val="20"/>
                  <w:u w:val="single"/>
                </w:rPr>
                <w:t>Continuing Members of the Board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22">
              <w:r>
                <w:rPr>
                  <w:rStyle w:val="InternetLink"/>
                  <w:rFonts w:ascii="Lato;sans-serif" w:hAnsi="Lato;sans-serif"/>
                  <w:b w:val="false"/>
                  <w:color w:val="0000FF"/>
                  <w:sz w:val="20"/>
                  <w:u w:val="single"/>
                </w:rPr>
                <w:t>9</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25">
              <w:r>
                <w:rPr>
                  <w:rStyle w:val="InternetLink"/>
                  <w:rFonts w:ascii="Lato;sans-serif" w:hAnsi="Lato;sans-serif"/>
                  <w:b/>
                  <w:color w:val="0000FF"/>
                  <w:sz w:val="20"/>
                  <w:u w:val="single"/>
                </w:rPr>
                <w:t>THE BOARD OF DIRECTORS AND CERTAIN GOVERNANCE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25">
              <w:r>
                <w:rPr>
                  <w:rStyle w:val="InternetLink"/>
                  <w:rFonts w:ascii="Lato;sans-serif" w:hAnsi="Lato;sans-serif"/>
                  <w:b w:val="false"/>
                  <w:color w:val="0000FF"/>
                  <w:sz w:val="20"/>
                  <w:u w:val="singl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28">
              <w:r>
                <w:rPr>
                  <w:rStyle w:val="InternetLink"/>
                  <w:rFonts w:ascii="Lato;sans-serif" w:hAnsi="Lato;sans-serif"/>
                  <w:b w:val="false"/>
                  <w:i/>
                  <w:color w:val="0000FF"/>
                  <w:sz w:val="20"/>
                  <w:u w:val="single"/>
                </w:rPr>
                <w:t>Director Independence and Independence Determinations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28">
              <w:r>
                <w:rPr>
                  <w:rStyle w:val="InternetLink"/>
                  <w:rFonts w:ascii="Lato;sans-serif" w:hAnsi="Lato;sans-serif"/>
                  <w:b w:val="false"/>
                  <w:color w:val="0000FF"/>
                  <w:sz w:val="20"/>
                  <w:u w:val="singl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31">
              <w:r>
                <w:rPr>
                  <w:rStyle w:val="InternetLink"/>
                  <w:rFonts w:ascii="Lato;sans-serif" w:hAnsi="Lato;sans-serif"/>
                  <w:b w:val="false"/>
                  <w:i/>
                  <w:color w:val="0000FF"/>
                  <w:sz w:val="20"/>
                  <w:u w:val="single"/>
                </w:rPr>
                <w:t>Director Nomination Process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31">
              <w:r>
                <w:rPr>
                  <w:rStyle w:val="InternetLink"/>
                  <w:rFonts w:ascii="Lato;sans-serif" w:hAnsi="Lato;sans-serif"/>
                  <w:b w:val="false"/>
                  <w:color w:val="0000FF"/>
                  <w:sz w:val="20"/>
                  <w:u w:val="singl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34">
              <w:r>
                <w:rPr>
                  <w:rStyle w:val="InternetLink"/>
                  <w:rFonts w:ascii="Lato;sans-serif" w:hAnsi="Lato;sans-serif"/>
                  <w:b w:val="false"/>
                  <w:i/>
                  <w:color w:val="0000FF"/>
                  <w:sz w:val="20"/>
                  <w:u w:val="single"/>
                </w:rPr>
                <w:t>Stockholder Engagement and Governance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34">
              <w:r>
                <w:rPr>
                  <w:rStyle w:val="InternetLink"/>
                  <w:rFonts w:ascii="Lato;sans-serif" w:hAnsi="Lato;sans-serif"/>
                  <w:b w:val="false"/>
                  <w:color w:val="0000FF"/>
                  <w:sz w:val="20"/>
                  <w:u w:val="singl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37">
              <w:r>
                <w:rPr>
                  <w:rStyle w:val="InternetLink"/>
                  <w:rFonts w:ascii="Lato;sans-serif" w:hAnsi="Lato;sans-serif"/>
                  <w:b w:val="false"/>
                  <w:i/>
                  <w:color w:val="0000FF"/>
                  <w:sz w:val="20"/>
                  <w:u w:val="single"/>
                </w:rPr>
                <w:t>Commitment to Sustainability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37">
              <w:r>
                <w:rPr>
                  <w:rStyle w:val="InternetLink"/>
                  <w:rFonts w:ascii="Lato;sans-serif" w:hAnsi="Lato;sans-serif"/>
                  <w:b w:val="false"/>
                  <w:color w:val="0000FF"/>
                  <w:sz w:val="20"/>
                  <w:u w:val="singl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40">
              <w:r>
                <w:rPr>
                  <w:rStyle w:val="InternetLink"/>
                  <w:rFonts w:ascii="Lato;sans-serif" w:hAnsi="Lato;sans-serif"/>
                  <w:b w:val="false"/>
                  <w:i/>
                  <w:color w:val="0000FF"/>
                  <w:sz w:val="20"/>
                  <w:u w:val="single"/>
                </w:rPr>
                <w:t>Board Leadership Structure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40">
              <w:r>
                <w:rPr>
                  <w:rStyle w:val="InternetLink"/>
                  <w:rFonts w:ascii="Lato;sans-serif" w:hAnsi="Lato;sans-serif"/>
                  <w:b w:val="false"/>
                  <w:color w:val="0000FF"/>
                  <w:sz w:val="20"/>
                  <w:u w:val="singl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43">
              <w:r>
                <w:rPr>
                  <w:rStyle w:val="InternetLink"/>
                  <w:rFonts w:ascii="Lato;sans-serif" w:hAnsi="Lato;sans-serif"/>
                  <w:b w:val="false"/>
                  <w:i/>
                  <w:color w:val="0000FF"/>
                  <w:sz w:val="20"/>
                  <w:u w:val="single"/>
                </w:rPr>
                <w:t>Compensation Committee Interlocks and Insider Participation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43">
              <w:r>
                <w:rPr>
                  <w:rStyle w:val="InternetLink"/>
                  <w:rFonts w:ascii="Lato;sans-serif" w:hAnsi="Lato;sans-serif"/>
                  <w:b w:val="false"/>
                  <w:color w:val="0000FF"/>
                  <w:sz w:val="20"/>
                  <w:u w:val="singl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46">
              <w:r>
                <w:rPr>
                  <w:rStyle w:val="InternetLink"/>
                  <w:rFonts w:ascii="Lato;sans-serif" w:hAnsi="Lato;sans-serif"/>
                  <w:b w:val="false"/>
                  <w:i/>
                  <w:color w:val="0000FF"/>
                  <w:sz w:val="20"/>
                  <w:u w:val="single"/>
                </w:rPr>
                <w:t>Board Diversity Matrix</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46">
              <w:r>
                <w:rPr>
                  <w:rStyle w:val="InternetLink"/>
                  <w:rFonts w:ascii="Lato;sans-serif" w:hAnsi="Lato;sans-serif"/>
                  <w:b w:val="false"/>
                  <w:color w:val="0000FF"/>
                  <w:sz w:val="20"/>
                  <w:u w:val="singl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49">
              <w:r>
                <w:rPr>
                  <w:rStyle w:val="InternetLink"/>
                  <w:rFonts w:ascii="Lato;sans-serif" w:hAnsi="Lato;sans-serif"/>
                  <w:b w:val="false"/>
                  <w:i/>
                  <w:color w:val="0000FF"/>
                  <w:sz w:val="20"/>
                  <w:u w:val="single"/>
                </w:rPr>
                <w:t>Executive Sessions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49">
              <w:r>
                <w:rPr>
                  <w:rStyle w:val="InternetLink"/>
                  <w:rFonts w:ascii="Lato;sans-serif" w:hAnsi="Lato;sans-serif"/>
                  <w:b w:val="false"/>
                  <w:color w:val="0000FF"/>
                  <w:sz w:val="20"/>
                  <w:u w:val="singl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52">
              <w:r>
                <w:rPr>
                  <w:rStyle w:val="InternetLink"/>
                  <w:rFonts w:ascii="Lato;sans-serif" w:hAnsi="Lato;sans-serif"/>
                  <w:b w:val="false"/>
                  <w:i/>
                  <w:color w:val="0000FF"/>
                  <w:sz w:val="20"/>
                  <w:u w:val="single"/>
                </w:rPr>
                <w:t>Communications with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52">
              <w:r>
                <w:rPr>
                  <w:rStyle w:val="InternetLink"/>
                  <w:rFonts w:ascii="Lato;sans-serif" w:hAnsi="Lato;sans-serif"/>
                  <w:b w:val="false"/>
                  <w:color w:val="0000FF"/>
                  <w:sz w:val="20"/>
                  <w:u w:val="singl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55">
              <w:r>
                <w:rPr>
                  <w:rStyle w:val="InternetLink"/>
                  <w:rFonts w:ascii="Lato;sans-serif" w:hAnsi="Lato;sans-serif"/>
                  <w:b w:val="false"/>
                  <w:i/>
                  <w:color w:val="0000FF"/>
                  <w:sz w:val="20"/>
                  <w:u w:val="single"/>
                </w:rPr>
                <w:t>Board Committees and Meetings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55">
              <w:r>
                <w:rPr>
                  <w:rStyle w:val="InternetLink"/>
                  <w:rFonts w:ascii="Lato;sans-serif" w:hAnsi="Lato;sans-serif"/>
                  <w:b w:val="false"/>
                  <w:color w:val="0000FF"/>
                  <w:sz w:val="20"/>
                  <w:u w:val="singl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58">
              <w:r>
                <w:rPr>
                  <w:rStyle w:val="InternetLink"/>
                  <w:rFonts w:ascii="Lato;sans-serif" w:hAnsi="Lato;sans-serif"/>
                  <w:b w:val="false"/>
                  <w:i/>
                  <w:color w:val="0000FF"/>
                  <w:sz w:val="20"/>
                  <w:u w:val="single"/>
                </w:rPr>
                <w:t>Committee Charters and Corporate Governance Guidelines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58">
              <w:r>
                <w:rPr>
                  <w:rStyle w:val="InternetLink"/>
                  <w:rFonts w:ascii="Lato;sans-serif" w:hAnsi="Lato;sans-serif"/>
                  <w:b w:val="false"/>
                  <w:color w:val="0000FF"/>
                  <w:sz w:val="20"/>
                  <w:u w:val="singl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61">
              <w:r>
                <w:rPr>
                  <w:rStyle w:val="InternetLink"/>
                  <w:rFonts w:ascii="Lato;sans-serif" w:hAnsi="Lato;sans-serif"/>
                  <w:b w:val="false"/>
                  <w:i/>
                  <w:color w:val="0000FF"/>
                  <w:sz w:val="20"/>
                  <w:u w:val="single"/>
                </w:rPr>
                <w:t>Code of Business Conduct &amp; Ethics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61">
              <w:r>
                <w:rPr>
                  <w:rStyle w:val="InternetLink"/>
                  <w:rFonts w:ascii="Lato;sans-serif" w:hAnsi="Lato;sans-serif"/>
                  <w:b w:val="false"/>
                  <w:color w:val="0000FF"/>
                  <w:sz w:val="20"/>
                  <w:u w:val="singl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64">
              <w:r>
                <w:rPr>
                  <w:rStyle w:val="InternetLink"/>
                  <w:rFonts w:ascii="Lato;sans-serif" w:hAnsi="Lato;sans-serif"/>
                  <w:b w:val="false"/>
                  <w:i/>
                  <w:color w:val="0000FF"/>
                  <w:sz w:val="20"/>
                  <w:u w:val="single"/>
                </w:rPr>
                <w:t>Oversight of Risk Management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64">
              <w:r>
                <w:rPr>
                  <w:rStyle w:val="InternetLink"/>
                  <w:rFonts w:ascii="Lato;sans-serif" w:hAnsi="Lato;sans-serif"/>
                  <w:b w:val="false"/>
                  <w:color w:val="0000FF"/>
                  <w:sz w:val="20"/>
                  <w:u w:val="singl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67">
              <w:r>
                <w:rPr>
                  <w:rStyle w:val="InternetLink"/>
                  <w:rFonts w:ascii="Lato;sans-serif" w:hAnsi="Lato;sans-serif"/>
                  <w:b w:val="false"/>
                  <w:i/>
                  <w:color w:val="0000FF"/>
                  <w:sz w:val="20"/>
                  <w:u w:val="single"/>
                </w:rPr>
                <w:t>Anti - Hedging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67">
              <w:r>
                <w:rPr>
                  <w:rStyle w:val="InternetLink"/>
                  <w:rFonts w:ascii="Lato;sans-serif" w:hAnsi="Lato;sans-serif"/>
                  <w:b w:val="false"/>
                  <w:color w:val="0000FF"/>
                  <w:sz w:val="20"/>
                  <w:u w:val="singl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70">
              <w:r>
                <w:rPr>
                  <w:rStyle w:val="InternetLink"/>
                  <w:rFonts w:ascii="Lato;sans-serif" w:hAnsi="Lato;sans-serif"/>
                  <w:b w:val="false"/>
                  <w:i/>
                  <w:color w:val="000080"/>
                  <w:sz w:val="20"/>
                  <w:u w:val="single"/>
                </w:rPr>
                <w:t xml:space="preserve">Director Compensation in </w:t>
              </w:r>
            </w:hyperlink>
            <w:hyperlink w:anchor="ibe598ee2c35542eb888ca215dcc0528e_70">
              <w:r>
                <w:rPr>
                  <w:rStyle w:val="InternetLink"/>
                  <w:rFonts w:ascii="Lato;sans-serif" w:hAnsi="Lato;sans-serif"/>
                  <w:b w:val="false"/>
                  <w:i/>
                  <w:color w:val="000080"/>
                  <w:sz w:val="20"/>
                  <w:u w:val="single"/>
                </w:rPr>
                <w:t>2023</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70">
              <w:r>
                <w:rPr>
                  <w:rStyle w:val="InternetLink"/>
                  <w:rFonts w:ascii="Lato;sans-serif" w:hAnsi="Lato;sans-serif"/>
                  <w:b w:val="false"/>
                  <w:color w:val="0000FF"/>
                  <w:sz w:val="20"/>
                  <w:u w:val="singl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73">
              <w:r>
                <w:rPr>
                  <w:rStyle w:val="InternetLink"/>
                  <w:rFonts w:ascii="Lato;sans-serif" w:hAnsi="Lato;sans-serif"/>
                  <w:b/>
                  <w:color w:val="0000FF"/>
                  <w:sz w:val="20"/>
                  <w:u w:val="single"/>
                </w:rPr>
                <w:t>PROPOSAL NO. 2—RATIFICATION OF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73">
              <w:r>
                <w:rPr>
                  <w:rStyle w:val="InternetLink"/>
                  <w:rFonts w:ascii="Lato;sans-serif" w:hAnsi="Lato;sans-serif"/>
                  <w:b w:val="false"/>
                  <w:color w:val="0000FF"/>
                  <w:sz w:val="20"/>
                  <w:u w:val="singl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76">
              <w:r>
                <w:rPr>
                  <w:rStyle w:val="InternetLink"/>
                  <w:rFonts w:ascii="Lato;sans-serif" w:hAnsi="Lato;sans-serif"/>
                  <w:b w:val="false"/>
                  <w:i/>
                  <w:color w:val="0000FF"/>
                  <w:sz w:val="20"/>
                  <w:u w:val="single"/>
                </w:rPr>
                <w:t>Audit and Non-Audit Fees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76">
              <w:r>
                <w:rPr>
                  <w:rStyle w:val="InternetLink"/>
                  <w:rFonts w:ascii="Lato;sans-serif" w:hAnsi="Lato;sans-serif"/>
                  <w:b w:val="false"/>
                  <w:color w:val="0000FF"/>
                  <w:sz w:val="20"/>
                  <w:u w:val="singl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79">
              <w:r>
                <w:rPr>
                  <w:rStyle w:val="InternetLink"/>
                  <w:rFonts w:ascii="Lato;sans-serif" w:hAnsi="Lato;sans-serif"/>
                  <w:b w:val="false"/>
                  <w:i/>
                  <w:color w:val="0000FF"/>
                  <w:sz w:val="20"/>
                  <w:u w:val="single"/>
                </w:rPr>
                <w:t>Pre-Approval Policy for Services of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79">
              <w:r>
                <w:rPr>
                  <w:rStyle w:val="InternetLink"/>
                  <w:rFonts w:ascii="Lato;sans-serif" w:hAnsi="Lato;sans-serif"/>
                  <w:b w:val="false"/>
                  <w:color w:val="0000FF"/>
                  <w:sz w:val="20"/>
                  <w:u w:val="singl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82">
              <w:r>
                <w:rPr>
                  <w:rStyle w:val="InternetLink"/>
                  <w:rFonts w:ascii="Lato;sans-serif" w:hAnsi="Lato;sans-serif"/>
                  <w:b/>
                  <w:color w:val="0000FF"/>
                  <w:sz w:val="20"/>
                  <w:u w:val="single"/>
                </w:rPr>
                <w:t>REPORT OF THE AUDIT COMMITTEE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82">
              <w:r>
                <w:rPr>
                  <w:rStyle w:val="InternetLink"/>
                  <w:rFonts w:ascii="Lato;sans-serif" w:hAnsi="Lato;sans-serif"/>
                  <w:b w:val="false"/>
                  <w:color w:val="0000FF"/>
                  <w:sz w:val="20"/>
                  <w:u w:val="singl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85">
              <w:r>
                <w:rPr>
                  <w:rStyle w:val="InternetLink"/>
                  <w:rFonts w:ascii="Lato;sans-serif" w:hAnsi="Lato;sans-serif"/>
                  <w:b/>
                  <w:color w:val="0000FF"/>
                  <w:sz w:val="20"/>
                  <w:u w:val="single"/>
                </w:rPr>
                <w:t>PROPOSAL NO. 3—ADVISORY NON-BINDING VOTE ON COMPENSATION OF NAMED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85">
              <w:r>
                <w:rPr>
                  <w:rStyle w:val="InternetLink"/>
                  <w:rFonts w:ascii="Lato;sans-serif" w:hAnsi="Lato;sans-serif"/>
                  <w:b w:val="false"/>
                  <w:color w:val="0000FF"/>
                  <w:sz w:val="20"/>
                  <w:u w:val="singl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e598ee2c35542eb888ca215dcc0528e_88">
              <w:r>
                <w:rPr>
                  <w:rStyle w:val="InternetLink"/>
                  <w:rFonts w:ascii="Lato;sans-serif" w:hAnsi="Lato;sans-serif"/>
                  <w:b w:val="false"/>
                  <w:i/>
                  <w:color w:val="0000FF"/>
                  <w:sz w:val="20"/>
                  <w:u w:val="single"/>
                </w:rPr>
                <w:t>Advisory Non-Binding Vote on Compensation of Named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88">
              <w:r>
                <w:rPr>
                  <w:rStyle w:val="InternetLink"/>
                  <w:rFonts w:ascii="Lato;sans-serif" w:hAnsi="Lato;sans-serif"/>
                  <w:b w:val="false"/>
                  <w:color w:val="0000FF"/>
                  <w:sz w:val="20"/>
                  <w:u w:val="single"/>
                </w:rPr>
                <w:t>29</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94">
              <w:r>
                <w:rPr>
                  <w:rStyle w:val="InternetLink"/>
                  <w:rFonts w:ascii="Lato;sans-serif" w:hAnsi="Lato;sans-serif"/>
                  <w:b/>
                  <w:color w:val="0000FF"/>
                  <w:sz w:val="20"/>
                  <w:u w:val="single"/>
                </w:rPr>
                <w:t>EXECUTIVE OFFICERS OF THE COMPANY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94">
              <w:r>
                <w:rPr>
                  <w:rStyle w:val="InternetLink"/>
                  <w:rFonts w:ascii="Lato;sans-serif" w:hAnsi="Lato;sans-serif"/>
                  <w:b w:val="false"/>
                  <w:color w:val="0000FF"/>
                  <w:sz w:val="20"/>
                  <w:u w:val="singl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97">
              <w:r>
                <w:rPr>
                  <w:rStyle w:val="InternetLink"/>
                  <w:rFonts w:ascii="Lato;sans-serif" w:hAnsi="Lato;sans-serif"/>
                  <w:b/>
                  <w:color w:val="0000FF"/>
                  <w:sz w:val="20"/>
                  <w:u w:val="single"/>
                </w:rPr>
                <w:t>EXECUTIVE COMPENSATION DISCUSSION AND ANALYSIS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97">
              <w:r>
                <w:rPr>
                  <w:rStyle w:val="InternetLink"/>
                  <w:rFonts w:ascii="Lato;sans-serif" w:hAnsi="Lato;sans-serif"/>
                  <w:b w:val="false"/>
                  <w:color w:val="0000FF"/>
                  <w:sz w:val="20"/>
                  <w:u w:val="singl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00">
              <w:r>
                <w:rPr>
                  <w:rStyle w:val="InternetLink"/>
                  <w:rFonts w:ascii="Lato;sans-serif" w:hAnsi="Lato;sans-serif"/>
                  <w:b w:val="false"/>
                  <w:i/>
                  <w:color w:val="0000FF"/>
                  <w:sz w:val="20"/>
                  <w:u w:val="single"/>
                </w:rPr>
                <w:t>Executive Summary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00">
              <w:r>
                <w:rPr>
                  <w:rStyle w:val="InternetLink"/>
                  <w:rFonts w:ascii="Lato;sans-serif" w:hAnsi="Lato;sans-serif"/>
                  <w:b w:val="false"/>
                  <w:color w:val="0000FF"/>
                  <w:sz w:val="20"/>
                  <w:u w:val="singl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03">
              <w:r>
                <w:rPr>
                  <w:rStyle w:val="InternetLink"/>
                  <w:rFonts w:ascii="Lato;sans-serif" w:hAnsi="Lato;sans-serif"/>
                  <w:b w:val="false"/>
                  <w:i/>
                  <w:color w:val="0000FF"/>
                  <w:sz w:val="20"/>
                  <w:u w:val="single"/>
                </w:rPr>
                <w:t>Executive Compensation Policies and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03">
              <w:r>
                <w:rPr>
                  <w:rStyle w:val="InternetLink"/>
                  <w:rFonts w:ascii="Lato;sans-serif" w:hAnsi="Lato;sans-serif"/>
                  <w:b w:val="false"/>
                  <w:color w:val="0000FF"/>
                  <w:sz w:val="20"/>
                  <w:u w:val="singl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06">
              <w:r>
                <w:rPr>
                  <w:rStyle w:val="InternetLink"/>
                  <w:rFonts w:ascii="Lato;sans-serif" w:hAnsi="Lato;sans-serif"/>
                  <w:b w:val="false"/>
                  <w:i/>
                  <w:color w:val="0000FF"/>
                  <w:sz w:val="20"/>
                  <w:u w:val="single"/>
                </w:rPr>
                <w:t>Compensation Process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06">
              <w:r>
                <w:rPr>
                  <w:rStyle w:val="InternetLink"/>
                  <w:rFonts w:ascii="Lato;sans-serif" w:hAnsi="Lato;sans-serif"/>
                  <w:b w:val="false"/>
                  <w:color w:val="0000FF"/>
                  <w:sz w:val="20"/>
                  <w:u w:val="singl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09">
              <w:r>
                <w:rPr>
                  <w:rStyle w:val="InternetLink"/>
                  <w:rFonts w:ascii="Lato;sans-serif" w:hAnsi="Lato;sans-serif"/>
                  <w:b w:val="false"/>
                  <w:i/>
                  <w:color w:val="0000FF"/>
                  <w:sz w:val="20"/>
                  <w:u w:val="single"/>
                </w:rPr>
                <w:t>Components of our Compensation Program and 2023 Compensation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09">
              <w:r>
                <w:rPr>
                  <w:rStyle w:val="InternetLink"/>
                  <w:rFonts w:ascii="Lato;sans-serif" w:hAnsi="Lato;sans-serif"/>
                  <w:b w:val="false"/>
                  <w:color w:val="0000FF"/>
                  <w:sz w:val="20"/>
                  <w:u w:val="singl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12">
              <w:r>
                <w:rPr>
                  <w:rStyle w:val="InternetLink"/>
                  <w:rFonts w:ascii="Lato;sans-serif" w:hAnsi="Lato;sans-serif"/>
                  <w:b w:val="false"/>
                  <w:i/>
                  <w:color w:val="0000FF"/>
                  <w:sz w:val="20"/>
                  <w:u w:val="single"/>
                </w:rPr>
                <w:t>Other Compensation Policies and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12">
              <w:r>
                <w:rPr>
                  <w:rStyle w:val="InternetLink"/>
                  <w:rFonts w:ascii="Lato;sans-serif" w:hAnsi="Lato;sans-serif"/>
                  <w:b w:val="false"/>
                  <w:color w:val="0000FF"/>
                  <w:sz w:val="20"/>
                  <w:u w:val="single"/>
                </w:rPr>
                <w:t>40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15">
              <w:r>
                <w:rPr>
                  <w:rStyle w:val="InternetLink"/>
                  <w:rFonts w:ascii="Lato;sans-serif" w:hAnsi="Lato;sans-serif"/>
                  <w:b w:val="false"/>
                  <w:i/>
                  <w:color w:val="0000FF"/>
                  <w:sz w:val="20"/>
                  <w:u w:val="single"/>
                </w:rPr>
                <w:t>Tax and Accounting Considerations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15">
              <w:r>
                <w:rPr>
                  <w:rStyle w:val="InternetLink"/>
                  <w:rFonts w:ascii="Lato;sans-serif" w:hAnsi="Lato;sans-serif"/>
                  <w:b w:val="false"/>
                  <w:color w:val="0000FF"/>
                  <w:sz w:val="20"/>
                  <w:u w:val="single"/>
                </w:rPr>
                <w:t>42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18">
              <w:r>
                <w:rPr>
                  <w:rStyle w:val="InternetLink"/>
                  <w:rFonts w:ascii="Lato;sans-serif" w:hAnsi="Lato;sans-serif"/>
                  <w:b w:val="false"/>
                  <w:i/>
                  <w:color w:val="0000FF"/>
                  <w:sz w:val="20"/>
                  <w:u w:val="single"/>
                </w:rPr>
                <w:t>Compensation Risk Assessment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18">
              <w:r>
                <w:rPr>
                  <w:rStyle w:val="InternetLink"/>
                  <w:rFonts w:ascii="Lato;sans-serif" w:hAnsi="Lato;sans-serif"/>
                  <w:b w:val="false"/>
                  <w:color w:val="0000FF"/>
                  <w:sz w:val="20"/>
                  <w:u w:val="single"/>
                </w:rPr>
                <w:t>42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21">
              <w:r>
                <w:rPr>
                  <w:rStyle w:val="InternetLink"/>
                  <w:rFonts w:ascii="Lato;sans-serif" w:hAnsi="Lato;sans-serif"/>
                  <w:b w:val="false"/>
                  <w:i/>
                  <w:color w:val="0000FF"/>
                  <w:sz w:val="20"/>
                  <w:u w:val="single"/>
                </w:rPr>
                <w:t>Compensation Committee Report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21">
              <w:r>
                <w:rPr>
                  <w:rStyle w:val="InternetLink"/>
                  <w:rFonts w:ascii="Lato;sans-serif" w:hAnsi="Lato;sans-serif"/>
                  <w:b w:val="false"/>
                  <w:color w:val="0000FF"/>
                  <w:sz w:val="20"/>
                  <w:u w:val="single"/>
                </w:rPr>
                <w:t>43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24">
              <w:r>
                <w:rPr>
                  <w:rStyle w:val="InternetLink"/>
                  <w:rFonts w:ascii="Lato;sans-serif" w:hAnsi="Lato;sans-serif"/>
                  <w:b/>
                  <w:color w:val="0000FF"/>
                  <w:sz w:val="20"/>
                  <w:u w:val="single"/>
                </w:rPr>
                <w:t>EXECUTIVE COMPENSATION TABLES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24">
              <w:r>
                <w:rPr>
                  <w:rStyle w:val="InternetLink"/>
                  <w:rFonts w:ascii="Lato;sans-serif" w:hAnsi="Lato;sans-serif"/>
                  <w:b w:val="false"/>
                  <w:color w:val="0000FF"/>
                  <w:sz w:val="20"/>
                  <w:u w:val="single"/>
                </w:rPr>
                <w:t>44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27">
              <w:r>
                <w:rPr>
                  <w:rStyle w:val="InternetLink"/>
                  <w:rFonts w:ascii="Lato;sans-serif" w:hAnsi="Lato;sans-serif"/>
                  <w:b w:val="false"/>
                  <w:i/>
                  <w:color w:val="0000FF"/>
                  <w:sz w:val="20"/>
                  <w:u w:val="single"/>
                </w:rPr>
                <w:t>Summary Compensation Table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27">
              <w:r>
                <w:rPr>
                  <w:rStyle w:val="InternetLink"/>
                  <w:rFonts w:ascii="Lato;sans-serif" w:hAnsi="Lato;sans-serif"/>
                  <w:b w:val="false"/>
                  <w:color w:val="0000FF"/>
                  <w:sz w:val="20"/>
                  <w:u w:val="single"/>
                </w:rPr>
                <w:t>44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30">
              <w:r>
                <w:rPr>
                  <w:rStyle w:val="InternetLink"/>
                  <w:rFonts w:ascii="Lato;sans-serif" w:hAnsi="Lato;sans-serif"/>
                  <w:b w:val="false"/>
                  <w:i/>
                  <w:color w:val="0000FF"/>
                  <w:sz w:val="20"/>
                  <w:u w:val="single"/>
                </w:rPr>
                <w:t>Grants of Plan-Based Awards in Fiscal 2023</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30">
              <w:r>
                <w:rPr>
                  <w:rStyle w:val="InternetLink"/>
                  <w:rFonts w:ascii="Lato;sans-serif" w:hAnsi="Lato;sans-serif"/>
                  <w:b w:val="false"/>
                  <w:color w:val="0000FF"/>
                  <w:sz w:val="20"/>
                  <w:u w:val="single"/>
                </w:rPr>
                <w:t>45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8"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7260" w:type="dxa"/>
        <w:jc w:val="left"/>
        <w:tblInd w:w="0" w:type="dxa"/>
        <w:tblLayout w:type="fixed"/>
        <w:tblCellMar>
          <w:top w:w="28" w:type="dxa"/>
          <w:left w:w="28" w:type="dxa"/>
          <w:bottom w:w="28" w:type="dxa"/>
          <w:right w:w="28" w:type="dxa"/>
        </w:tblCellMar>
      </w:tblPr>
      <w:tblGrid>
        <w:gridCol w:w="2488"/>
        <w:gridCol w:w="2186"/>
        <w:gridCol w:w="2195"/>
        <w:gridCol w:w="114"/>
        <w:gridCol w:w="114"/>
        <w:gridCol w:w="163"/>
      </w:tblGrid>
      <w:tr>
        <w:trPr/>
        <w:tc>
          <w:tcPr>
            <w:tcW w:w="248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33">
              <w:r>
                <w:rPr>
                  <w:rStyle w:val="InternetLink"/>
                  <w:rFonts w:ascii="Lato;sans-serif" w:hAnsi="Lato;sans-serif"/>
                  <w:b w:val="false"/>
                  <w:i/>
                  <w:color w:val="0000FF"/>
                  <w:sz w:val="20"/>
                  <w:u w:val="single"/>
                </w:rPr>
                <w:t>Outstanding Equity Awards at 2023 Fiscal Year-End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33">
              <w:r>
                <w:rPr>
                  <w:rStyle w:val="InternetLink"/>
                  <w:rFonts w:ascii="Lato;sans-serif" w:hAnsi="Lato;sans-serif"/>
                  <w:b w:val="false"/>
                  <w:color w:val="0000FF"/>
                  <w:sz w:val="20"/>
                  <w:u w:val="single"/>
                </w:rPr>
                <w:t>46</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36">
              <w:r>
                <w:rPr>
                  <w:rStyle w:val="InternetLink"/>
                  <w:rFonts w:ascii="Lato;sans-serif" w:hAnsi="Lato;sans-serif"/>
                  <w:b w:val="false"/>
                  <w:i/>
                  <w:color w:val="0000FF"/>
                  <w:sz w:val="20"/>
                  <w:u w:val="single"/>
                </w:rPr>
                <w:t>Option Exercises and Stock Vested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36">
              <w:r>
                <w:rPr>
                  <w:rStyle w:val="InternetLink"/>
                  <w:rFonts w:ascii="Lato;sans-serif" w:hAnsi="Lato;sans-serif"/>
                  <w:b w:val="false"/>
                  <w:color w:val="0000FF"/>
                  <w:sz w:val="20"/>
                  <w:u w:val="single"/>
                </w:rPr>
                <w:t>47</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39">
              <w:r>
                <w:rPr>
                  <w:rStyle w:val="InternetLink"/>
                  <w:rFonts w:ascii="Lato;sans-serif" w:hAnsi="Lato;sans-serif"/>
                  <w:b w:val="false"/>
                  <w:i/>
                  <w:color w:val="0000FF"/>
                  <w:sz w:val="20"/>
                  <w:u w:val="single"/>
                </w:rPr>
                <w:t>Employment Agreements and Offer Letter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39">
              <w:r>
                <w:rPr>
                  <w:rStyle w:val="InternetLink"/>
                  <w:rFonts w:ascii="Lato;sans-serif" w:hAnsi="Lato;sans-serif"/>
                  <w:b w:val="false"/>
                  <w:color w:val="0000FF"/>
                  <w:sz w:val="20"/>
                  <w:u w:val="single"/>
                </w:rPr>
                <w:t>47</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42">
              <w:r>
                <w:rPr>
                  <w:rStyle w:val="InternetLink"/>
                  <w:rFonts w:ascii="Lato;sans-serif" w:hAnsi="Lato;sans-serif"/>
                  <w:b w:val="false"/>
                  <w:i/>
                  <w:color w:val="0000FF"/>
                  <w:sz w:val="20"/>
                  <w:u w:val="single"/>
                </w:rPr>
                <w:t>Potential Payments upon Termination or Change in Control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42">
              <w:r>
                <w:rPr>
                  <w:rStyle w:val="InternetLink"/>
                  <w:rFonts w:ascii="Lato;sans-serif" w:hAnsi="Lato;sans-serif"/>
                  <w:b w:val="false"/>
                  <w:color w:val="0000FF"/>
                  <w:sz w:val="20"/>
                  <w:u w:val="single"/>
                </w:rPr>
                <w:t>52</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45">
              <w:r>
                <w:rPr>
                  <w:rStyle w:val="InternetLink"/>
                  <w:rFonts w:ascii="Lato;sans-serif" w:hAnsi="Lato;sans-serif"/>
                  <w:b w:val="false"/>
                  <w:i/>
                  <w:color w:val="0000FF"/>
                  <w:sz w:val="20"/>
                  <w:u w:val="single"/>
                </w:rPr>
                <w:t>CEO Pay Ratio Disclosure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45">
              <w:r>
                <w:rPr>
                  <w:rStyle w:val="InternetLink"/>
                  <w:rFonts w:ascii="Lato;sans-serif" w:hAnsi="Lato;sans-serif"/>
                  <w:b w:val="false"/>
                  <w:color w:val="0000FF"/>
                  <w:sz w:val="20"/>
                  <w:u w:val="single"/>
                </w:rPr>
                <w:t>53</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00"/>
              <w:jc w:val="left"/>
              <w:rPr/>
            </w:pPr>
            <w:hyperlink w:anchor="ibe598ee2c35542eb888ca215dcc0528e_148">
              <w:r>
                <w:rPr>
                  <w:rStyle w:val="InternetLink"/>
                  <w:rFonts w:ascii="Lato;sans-serif" w:hAnsi="Lato;sans-serif"/>
                  <w:b w:val="false"/>
                  <w:i/>
                  <w:color w:val="0000FF"/>
                  <w:sz w:val="20"/>
                  <w:u w:val="single"/>
                </w:rPr>
                <w:t>Pay Versus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48">
              <w:r>
                <w:rPr>
                  <w:rStyle w:val="InternetLink"/>
                  <w:rFonts w:ascii="Lato;sans-serif" w:hAnsi="Lato;sans-serif"/>
                  <w:b w:val="false"/>
                  <w:color w:val="0000FF"/>
                  <w:sz w:val="20"/>
                  <w:u w:val="single"/>
                </w:rPr>
                <w:t>54</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51">
              <w:r>
                <w:rPr>
                  <w:rStyle w:val="InternetLink"/>
                  <w:rFonts w:ascii="Lato;sans-serif" w:hAnsi="Lato;sans-serif"/>
                  <w:b/>
                  <w:color w:val="0000FF"/>
                  <w:sz w:val="20"/>
                  <w:u w:val="single"/>
                </w:rPr>
                <w:t>EQUITY COMPENSATION PLAN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51">
              <w:r>
                <w:rPr>
                  <w:rStyle w:val="InternetLink"/>
                  <w:rFonts w:ascii="Lato;sans-serif" w:hAnsi="Lato;sans-serif"/>
                  <w:b w:val="false"/>
                  <w:color w:val="0000FF"/>
                  <w:sz w:val="20"/>
                  <w:u w:val="single"/>
                </w:rPr>
                <w:t>58</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54">
              <w:r>
                <w:rPr>
                  <w:rStyle w:val="InternetLink"/>
                  <w:rFonts w:ascii="Lato;sans-serif" w:hAnsi="Lato;sans-serif"/>
                  <w:b/>
                  <w:color w:val="0000FF"/>
                  <w:sz w:val="20"/>
                  <w:u w:val="single"/>
                </w:rPr>
                <w:t>OWNERSHIP OF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54">
              <w:r>
                <w:rPr>
                  <w:rStyle w:val="InternetLink"/>
                  <w:rFonts w:ascii="Lato;sans-serif" w:hAnsi="Lato;sans-serif"/>
                  <w:b w:val="false"/>
                  <w:color w:val="0000FF"/>
                  <w:sz w:val="20"/>
                  <w:u w:val="single"/>
                </w:rPr>
                <w:t>59</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57">
              <w:r>
                <w:rPr>
                  <w:rStyle w:val="InternetLink"/>
                  <w:rFonts w:ascii="Lato;sans-serif" w:hAnsi="Lato;sans-serif"/>
                  <w:b/>
                  <w:color w:val="0000FF"/>
                  <w:sz w:val="20"/>
                  <w:u w:val="single"/>
                </w:rPr>
                <w:t>DELINQUENT SECTION 16(a) REPORTS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57">
              <w:r>
                <w:rPr>
                  <w:rStyle w:val="InternetLink"/>
                  <w:rFonts w:ascii="Lato;sans-serif" w:hAnsi="Lato;sans-serif"/>
                  <w:b w:val="false"/>
                  <w:color w:val="0000FF"/>
                  <w:sz w:val="20"/>
                  <w:u w:val="single"/>
                </w:rPr>
                <w:t>62</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60">
              <w:r>
                <w:rPr>
                  <w:rStyle w:val="InternetLink"/>
                  <w:rFonts w:ascii="Lato;sans-serif" w:hAnsi="Lato;sans-serif"/>
                  <w:b/>
                  <w:color w:val="0000FF"/>
                  <w:sz w:val="20"/>
                  <w:u w:val="single"/>
                </w:rPr>
                <w:t>TRANSACTIONS WITH RELATED PERSONS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60">
              <w:r>
                <w:rPr>
                  <w:rStyle w:val="InternetLink"/>
                  <w:rFonts w:ascii="Lato;sans-serif" w:hAnsi="Lato;sans-serif"/>
                  <w:b w:val="false"/>
                  <w:color w:val="0000FF"/>
                  <w:sz w:val="20"/>
                  <w:u w:val="single"/>
                </w:rPr>
                <w:t>63</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63">
              <w:r>
                <w:rPr>
                  <w:rStyle w:val="InternetLink"/>
                  <w:rFonts w:ascii="Lato;sans-serif" w:hAnsi="Lato;sans-serif"/>
                  <w:b/>
                  <w:color w:val="0000FF"/>
                  <w:sz w:val="20"/>
                  <w:u w:val="single"/>
                </w:rPr>
                <w:t>STOCKHOLDER PROPOSALS FOR THE 2025 ANNUAL MEETING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63">
              <w:r>
                <w:rPr>
                  <w:rStyle w:val="InternetLink"/>
                  <w:rFonts w:ascii="Lato;sans-serif" w:hAnsi="Lato;sans-serif"/>
                  <w:b w:val="false"/>
                  <w:color w:val="0000FF"/>
                  <w:sz w:val="20"/>
                  <w:u w:val="single"/>
                </w:rPr>
                <w:t>67</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66">
              <w:r>
                <w:rPr>
                  <w:rStyle w:val="InternetLink"/>
                  <w:rFonts w:ascii="Lato;sans-serif" w:hAnsi="Lato;sans-serif"/>
                  <w:b/>
                  <w:color w:val="0000FF"/>
                  <w:sz w:val="20"/>
                  <w:u w:val="single"/>
                </w:rPr>
                <w:t>OTHER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66">
              <w:r>
                <w:rPr>
                  <w:rStyle w:val="InternetLink"/>
                  <w:rFonts w:ascii="Lato;sans-serif" w:hAnsi="Lato;sans-serif"/>
                  <w:b w:val="false"/>
                  <w:color w:val="0000FF"/>
                  <w:sz w:val="20"/>
                  <w:u w:val="single"/>
                </w:rPr>
                <w:t>68</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598ee2c35542eb888ca215dcc0528e_169">
              <w:r>
                <w:rPr>
                  <w:rStyle w:val="InternetLink"/>
                  <w:rFonts w:ascii="Lato;sans-serif" w:hAnsi="Lato;sans-serif"/>
                  <w:b/>
                  <w:color w:val="0000FF"/>
                  <w:sz w:val="20"/>
                  <w:u w:val="single"/>
                </w:rPr>
                <w:t>APPENDIX A: NON-GAAP FINANCIAL MEASURES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598ee2c35542eb888ca215dcc0528e_169">
              <w:r>
                <w:rPr>
                  <w:rStyle w:val="InternetLink"/>
                  <w:rFonts w:ascii="Lato;sans-serif" w:hAnsi="Lato;sans-serif"/>
                  <w:b w:val="false"/>
                  <w:color w:val="0000FF"/>
                  <w:sz w:val="20"/>
                  <w:u w:val="single"/>
                </w:rPr>
                <w:t>69</w:t>
              </w:r>
            </w:hyperlink>
          </w:p>
        </w:tc>
      </w:tr>
    </w:tbl>
    <w:p>
      <w:pPr>
        <w:pStyle w:val="TextBody"/>
        <w:bidi w:val="0"/>
        <w:spacing w:lineRule="auto" w:line="288" w:before="0" w:after="180"/>
        <w:jc w:val="center"/>
        <w:rPr>
          <w:rFonts w:ascii="Lato;sans-serif" w:hAnsi="Lato;sans-serif"/>
          <w:b/>
          <w:color w:val="000000"/>
          <w:sz w:val="20"/>
        </w:rPr>
      </w:pPr>
      <w:r>
        <w:rPr>
          <w:rFonts w:ascii="Lato;sans-serif" w:hAnsi="Lato;sans-serif"/>
          <w:b/>
          <w:color w:val="000000"/>
          <w:sz w:val="20"/>
        </w:rPr>
        <w:t>Forward-Looking Statements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This Proxy Statement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Annual Report on Form 10-K for the fiscal year ended December 31, 2023 (our “2023 10-K”). Website references throughout this document are provided for convenience only, and the content on the referenced websites is not incorporated by reference into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9"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before="240" w:after="283"/>
        <w:jc w:val="center"/>
        <w:rPr/>
      </w:pPr>
      <w:r>
        <w:rPr/>
        <w:drawing>
          <wp:inline distT="0" distB="0" distL="0" distR="0">
            <wp:extent cx="2371725" cy="6381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71725" cy="638175"/>
                    </a:xfrm>
                    <a:prstGeom prst="rect">
                      <a:avLst/>
                    </a:prstGeom>
                  </pic:spPr>
                </pic:pic>
              </a:graphicData>
            </a:graphic>
          </wp:inline>
        </w:drawing>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ZOOMINFO TECHNOLOGIES INC.</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805 Broadway Street, Suite 900</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Vancouver, Washington 98660</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Telephone: (800) 914-1220</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PROXY STATEMENT</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Annual Meeting of Stockholders</w:t>
      </w:r>
    </w:p>
    <w:p>
      <w:pPr>
        <w:pStyle w:val="TextBody"/>
        <w:bidi w:val="0"/>
        <w:spacing w:lineRule="auto" w:line="288" w:before="0" w:after="0"/>
        <w:jc w:val="center"/>
        <w:rPr>
          <w:rFonts w:ascii="Lato;sans-serif" w:hAnsi="Lato;sans-serif"/>
          <w:b/>
          <w:color w:val="000000"/>
          <w:sz w:val="20"/>
        </w:rPr>
      </w:pPr>
      <w:r>
        <w:rPr>
          <w:rFonts w:ascii="Lato;sans-serif" w:hAnsi="Lato;sans-serif"/>
          <w:b/>
          <w:color w:val="000000"/>
          <w:sz w:val="20"/>
        </w:rPr>
        <w:t>May 15, 2024</w:t>
      </w:r>
    </w:p>
    <w:p>
      <w:pPr>
        <w:pStyle w:val="TextBody"/>
        <w:bidi w:val="0"/>
        <w:spacing w:lineRule="auto" w:line="288" w:before="240" w:after="283"/>
        <w:jc w:val="center"/>
        <w:rPr>
          <w:rFonts w:ascii="Lato;sans-serif" w:hAnsi="Lato;sans-serif"/>
          <w:b/>
          <w:color w:val="000000"/>
          <w:sz w:val="20"/>
        </w:rPr>
      </w:pPr>
      <w:r>
        <w:rPr>
          <w:rFonts w:ascii="Lato;sans-serif" w:hAnsi="Lato;sans-serif"/>
          <w:b/>
          <w:color w:val="000000"/>
          <w:sz w:val="20"/>
        </w:rPr>
        <w:t>GENERAL INFORMATION</w:t>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Why am I being provided with these materials?</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The notice containing instructions on how to access this Proxy Statement and Annual Report and proxy card are first being sent to stockholders on or about March 29, 2024. We have delivered these proxy materials to you in connection with the solicitation by the Board of Directors (the “Board” or “Board of Directors”) of ZoomInfo Technologies Inc. (“we”, “our”, “us” and the “Company”) of proxies to be voted at our Annual Meeting of Stockholders to be held on May 15, 2024 (the “Annual Meeting”), and at any postponements or adjournments of the Annual Meeting. You are invited to attend the Annual Meeting and vote your shares during the meeting via the Internet or to vote your shares in advance by proxy via the Internet, by telephone or by mail.</w:t>
      </w:r>
    </w:p>
    <w:p>
      <w:pPr>
        <w:pStyle w:val="TextBody"/>
        <w:bidi w:val="0"/>
        <w:spacing w:lineRule="auto" w:line="288" w:before="300" w:after="283"/>
        <w:jc w:val="both"/>
        <w:rPr>
          <w:rFonts w:ascii="Lato;sans-serif" w:hAnsi="Lato;sans-serif"/>
          <w:b/>
          <w:color w:val="000000"/>
          <w:sz w:val="20"/>
        </w:rPr>
      </w:pPr>
      <w:r>
        <w:rPr>
          <w:rFonts w:ascii="Lato;sans-serif" w:hAnsi="Lato;sans-serif"/>
          <w:b/>
          <w:color w:val="000000"/>
          <w:sz w:val="20"/>
        </w:rPr>
        <w:t>What am I voting 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There are three proposals scheduled to be voted on at the Annual Meeting: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51"/>
        <w:gridCol w:w="2668"/>
        <w:gridCol w:w="37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Proposal No. 1: Election of the director nominees listed in this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Proposal No. 2: Ratification of the appointment of KPMG LLP as our independent registered public accounting firm for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Proposal No. 3: Approval, on an advisory, non-binding basis, of the compensation of our named executive officers.</w:t>
            </w:r>
          </w:p>
        </w:tc>
      </w:tr>
    </w:tbl>
    <w:p>
      <w:pPr>
        <w:pStyle w:val="TextBody"/>
        <w:bidi w:val="0"/>
        <w:spacing w:lineRule="auto" w:line="288" w:before="300" w:after="180"/>
        <w:jc w:val="both"/>
        <w:rPr>
          <w:color w:val="000000"/>
        </w:rPr>
      </w:pPr>
      <w:r>
        <w:rPr>
          <w:color w:val="000000"/>
        </w:rPr>
        <w:t> </w:t>
      </w:r>
    </w:p>
    <w:p>
      <w:pPr>
        <w:pStyle w:val="TextBody"/>
        <w:bidi w:val="0"/>
        <w:spacing w:lineRule="auto" w:line="288" w:before="180" w:after="180"/>
        <w:jc w:val="both"/>
        <w:rPr>
          <w:rFonts w:ascii="Lato;sans-serif" w:hAnsi="Lato;sans-serif"/>
          <w:b/>
          <w:color w:val="000000"/>
          <w:sz w:val="20"/>
        </w:rPr>
      </w:pPr>
      <w:r>
        <w:rPr>
          <w:rFonts w:ascii="Lato;sans-serif" w:hAnsi="Lato;sans-serif"/>
          <w:b/>
          <w:color w:val="000000"/>
          <w:sz w:val="20"/>
        </w:rPr>
        <w:t xml:space="preserve">Who is entitled to vote?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Stockholders as of the close of business on March 18, 2024 (the “Record Date”) may vote at the Annual Meeting or any postponement or adjournment thereof. As of that date, there were 377,628,229 shares of our common stock outstanding. Holders of our common stock have one vote for each share of common stock held as of the Record Date including shares: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Held directly in your name as “stockholder of record” (also referred to as “registered stockholder”);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Held for you in an account with a broker, bank or other nominee (shares held in “street name”)—street name holders generally cannot vote their shares directly and instead must instruct the brokerage firm, bank or nominee how to vote their shares.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2425"/>
                <wp:effectExtent l="0" t="0" r="0" b="0"/>
                <wp:wrapNone/>
                <wp:docPr id="11" name="Frame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Lato;sans-serif" w:hAnsi="Lato;sans-serif"/>
          <w:b/>
          <w:color w:val="000000"/>
          <w:sz w:val="20"/>
        </w:rPr>
      </w:pPr>
      <w:r>
        <w:rPr>
          <w:rFonts w:ascii="Lato;sans-serif" w:hAnsi="Lato;sans-serif"/>
          <w:b/>
          <w:color w:val="000000"/>
          <w:sz w:val="20"/>
        </w:rPr>
        <w:t>What constitutes a quorum?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virtual presence or representation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What is a “broker non-vote”?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and Proposal No. 3 are each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many votes are required to approve each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Proposal No. 1, under our Amended and Restated Bylaws (the “Bylaws”), directors are elected by a plurality vote, which means that the director nominees with the greatest number of votes cast, even if less than a majority, will be elected. There is no cumulative voting. As a result, any shares not voted “FOR” a particular nominee (whether as a result of stockholder abstention or a broker non-vote) will not be counted in the nominee's favor and will have no effect on the outcome of the election. You may vote “FOR” or “WITHHOLD” on each nominee for election as a director.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Proposal No. 2, under our Bylaws, approval of the proposal requires the affirmative vote of the holders of a majority of the voting power of the shares of stock present virtually or represented by proxy and entitled to vote on the proposal.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 xml:space="preserve">For Proposal No. 3, approval of the proposal requires the affirmative vote of the holders of a majority of the voting power of the shares of stock present virtually or represented by proxy and entitled to vote on the proposal.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It is important to note that each of the proposal to ratify the appointment of KPMG LLP as our independent registered public accounting firm for 2024 (Proposal No. 2) and the proposal regarding the non-binding advisory vote on the compensation of our named executive officers (Proposal No. 3) is non-binding and advisory. While the ratification of KPMG LLP as our independent registered public accounting firm is not required by our Bylaws or otherwise, if our stockholders fail to ratify the selection, we will consider it notice to the Board and the Audit Committee to consider the selection of a different firm. Similarly, the Board and the Compensation Committee will consider the outcome of the non-binding advisory vote on the compensation of our named executive officers when determining the compensation of our named executive officers.</w:t>
      </w:r>
    </w:p>
    <w:p>
      <w:pPr>
        <w:pStyle w:val="TextBody"/>
        <w:bidi w:val="0"/>
        <w:spacing w:lineRule="auto" w:line="288" w:before="180" w:after="180"/>
        <w:jc w:val="both"/>
        <w:rPr>
          <w:rFonts w:ascii="Lato;sans-serif" w:hAnsi="Lato;sans-serif"/>
          <w:b/>
          <w:color w:val="000000"/>
          <w:sz w:val="20"/>
        </w:rPr>
      </w:pPr>
      <w:r>
        <w:rPr>
          <w:rFonts w:ascii="Lato;sans-serif" w:hAnsi="Lato;sans-serif"/>
          <w:b/>
          <w:color w:val="000000"/>
          <w:sz w:val="20"/>
        </w:rPr>
        <w:t>How are votes counted?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election of a director (Proposal No. 1), you may vote “FOR” or “WITHHOLD” with respect to each nominee. Votes that are “withheld” will not count as a vote “FOR” or “AGAINST” a director because directors are elected by plurality voting. Broker non-votes will have no effect on the outcome of Proposal No. 1.</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the ratification of our independent registered public accounting firm (Proposal No. 2), you may vote “FOR,” “AGAINST,” or “ABSTAIN.” Abstentions will be counted as a vote “AGAINST” Proposal No.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2425"/>
                <wp:effectExtent l="0" t="0" r="0" b="0"/>
                <wp:wrapNone/>
                <wp:docPr id="12" name="Frame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 xml:space="preserve">With respect to the non-binding advisory vote on the compensation of our named executive officers (Proposal No. 3), you may select “FOR,” “AGAINST,” or “ABSTAIN.” Abstentions will be counted as a vote “AGAINST” Proposal No. 3. Broker non-votes will not affect the outcome of voting on this proposal.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does the Board recommend that I vote?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recommends that you vote your shares: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43"/>
        <w:gridCol w:w="2672"/>
        <w:gridCol w:w="37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Lato;sans-serif" w:hAnsi="Lato;sans-serif"/>
                <w:b w:val="false"/>
                <w:color w:val="000000"/>
                <w:sz w:val="20"/>
              </w:rPr>
              <w:t>FOR” the director nominees set forth in this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Lato;sans-serif" w:hAnsi="Lato;sans-serif"/>
                <w:b w:val="false"/>
                <w:color w:val="000000"/>
                <w:sz w:val="20"/>
              </w:rPr>
              <w:t>FOR” the ratification of the appointment of KPMG LLP as our independent registered public accounting firm for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Lato;sans-serif" w:hAnsi="Lato;sans-serif"/>
                <w:b w:val="false"/>
                <w:color w:val="000000"/>
                <w:sz w:val="20"/>
              </w:rPr>
              <w:t>FOR” the approval, on a non-binding advisory basis, of the compensation of our named executive officers.</w:t>
            </w:r>
          </w:p>
        </w:tc>
      </w:tr>
    </w:tbl>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Who will count the vote?</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A representative of Broadridge Financial Solutions, Inc. or its designee will tabulate the votes and act as the inspector of election.</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 I vote my shares without attending the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are a stockholder of record, you may vote by authorizing a proxy to vote on your behalf at the Annual Meeting. Specifically, you may authorize a proxy: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i/>
                <w:color w:val="000000"/>
                <w:sz w:val="20"/>
              </w:rPr>
              <w:t>By Internet</w:t>
            </w:r>
            <w:r>
              <w:rPr>
                <w:color w:val="000000"/>
              </w:rPr>
              <w:t>—</w:t>
            </w:r>
            <w:r>
              <w:rPr>
                <w:rFonts w:ascii="Lato;sans-serif" w:hAnsi="Lato;sans-serif"/>
                <w:b w:val="false"/>
                <w:color w:val="000000"/>
                <w:sz w:val="20"/>
              </w:rPr>
              <w:t xml:space="preserve">If you have Internet access, you may submit your proxy by going to </w:t>
            </w:r>
            <w:r>
              <w:rPr>
                <w:rFonts w:ascii="Lato;sans-serif" w:hAnsi="Lato;sans-serif"/>
                <w:b w:val="false"/>
                <w:i/>
                <w:color w:val="000000"/>
                <w:sz w:val="20"/>
              </w:rPr>
              <w:t>www.proxyvote.com</w:t>
            </w:r>
            <w:r>
              <w:rPr>
                <w:color w:val="000000"/>
              </w:rPr>
              <w:t xml:space="preserve"> </w:t>
            </w:r>
            <w:r>
              <w:rPr>
                <w:rFonts w:ascii="Lato;sans-serif" w:hAnsi="Lato;sans-serif"/>
                <w:b w:val="false"/>
                <w:color w:val="000000"/>
                <w:sz w:val="20"/>
              </w:rPr>
              <w:t xml:space="preserve">and by following the instructions on how to complete an electronic proxy card. You will need the 16-digit number included on your proxy card in order to vote by Internet.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i/>
                <w:color w:val="000000"/>
                <w:sz w:val="20"/>
              </w:rPr>
              <w:t>By Telephone</w:t>
            </w:r>
            <w:r>
              <w:rPr>
                <w:color w:val="000000"/>
              </w:rPr>
              <w:t>—</w:t>
            </w:r>
            <w:r>
              <w:rPr>
                <w:rFonts w:ascii="Lato;sans-serif" w:hAnsi="Lato;sans-serif"/>
                <w:b w:val="false"/>
                <w:color w:val="000000"/>
                <w:sz w:val="20"/>
              </w:rPr>
              <w:t xml:space="preserve">If you have access to a touch-tone telephone, you may submit your proxy by dialing 1-800-690-6903 and by following the recorded instructions. You will need the 16-digit number included on your proxy card in order to vote by telephone.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i/>
                <w:color w:val="000000"/>
                <w:sz w:val="20"/>
              </w:rPr>
              <w:t>By</w:t>
            </w:r>
            <w:r>
              <w:rPr>
                <w:color w:val="000000"/>
              </w:rPr>
              <w:t xml:space="preserve"> </w:t>
            </w:r>
            <w:r>
              <w:rPr>
                <w:rFonts w:ascii="Lato;sans-serif" w:hAnsi="Lato;sans-serif"/>
                <w:b w:val="false"/>
                <w:i/>
                <w:color w:val="000000"/>
                <w:sz w:val="20"/>
              </w:rPr>
              <w:t>Mail—</w:t>
            </w:r>
            <w:r>
              <w:rPr>
                <w:rFonts w:ascii="Lato;sans-serif" w:hAnsi="Lato;sans-serif"/>
                <w:b w:val="false"/>
                <w:color w:val="000000"/>
                <w:sz w:val="20"/>
              </w:rPr>
              <w:t xml:space="preserve">You may vote by mail by signing and dating the proxy card where indicated and by mailing, or otherwise returning the card in the postage-paid envelope provided to you, to Vote Processing, c/o Broadridge, 51 Mercedes Way, Edgewood, NY 11717. You should sign your name exactly as it appears on the proxy card. If you are signing in a representative capacity (for example, as guardian, executor, trustee, custodian, attorney or officer of a corporation), indicate your name and title or capacity. </w:t>
            </w:r>
          </w:p>
        </w:tc>
      </w:tr>
    </w:tbl>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Internet and telephone voting facilities will close at 11:59 p.m., Eastern Time, on May 14, 2024, for the voting of shares held by stockholders of record as of the Record Date. Proxy cards with respect to shares held of record must be received no later than May 14, 2024.</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2425"/>
                <wp:effectExtent l="0" t="0" r="0" b="0"/>
                <wp:wrapNone/>
                <wp:docPr id="13" name="Frame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How do I attend and vote my shares at the Virtual Annual Meeting?</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This year’s Annual Meeting will be a completely “virtual” meeting of stockholders. The virtual shareholder meeting webcast, hosted by Broadridge, allows all stockholders to join the meeting, regardless of location. We aim to provide stockholders the same rights and comparable opportunities for participation that could be provided at an in-person meeting. You may attend the Annual Meeting via the Internet. Any stockholder can attend the Annual Meeting live online at www.virtualshareholdermeeting.com/ZI2024. If you virtually attend the Annual Meeting you can vote your shares electronically, and submit your questions during the Annual Meeting, by visiting www.virtualshareholdermeeting.com/ZI2024. A summary of the information you need to attend the Annual Meeting and vote via the Internet is provided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Instructions on how to attend and participate via the Internet, including how to demonstrate proof of stock ownership, are posted at www.virtualshareholdermeeting.com/ZI2024.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Assistance with questions regarding how to attend and participate via the Internet will be provided at www.virtualshareholdermeeting.com/ZI2024 on the day of the Annual Meeting. We encourage you to access the meeting webcast prior to the start time. Online access will begin at 11:45 a.m. Eastern Time on May 15, 2024. If you encounter difficulties joining the Annual Meeting webcast during check-in at the meeting time, please check your internet connectivity and contact our voting intermediary, Broadridge.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 xml:space="preserve">Stockholders may vote and submit questions while attending the Annual Meeting via the Internet. Rules of conduct for the Annual Meeting will be available once you access the meeting webcast and will also be available on the Annual Meeting website at www.virtualshareholdermeeting.com/ZI2024. A replay of the Annual Meeting will be available www.virtualshareholdermeeting.com/ZI2024 following the meeting.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You will need the 16-digit number that is included in your proxy card or the instructions that accompanied your proxy materials in order to enter the Annual Meeting, ask any questions, and vote during the Annual Meeting.</w:t>
            </w:r>
          </w:p>
        </w:tc>
      </w:tr>
    </w:tbl>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Will I be able to participate in the online Annual Meeting on the same basis I would be able to participate in a live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pStyle w:val="TextBody"/>
        <w:bidi w:val="0"/>
        <w:spacing w:lineRule="auto" w:line="288" w:before="240" w:after="120"/>
        <w:jc w:val="both"/>
        <w:rPr>
          <w:rFonts w:ascii="Lato;sans-serif" w:hAnsi="Lato;sans-serif"/>
          <w:b w:val="false"/>
          <w:color w:val="000000"/>
          <w:sz w:val="20"/>
        </w:rPr>
      </w:pPr>
      <w:r>
        <w:rPr>
          <w:rFonts w:ascii="Lato;sans-serif" w:hAnsi="Lato;sans-serif"/>
          <w:b w:val="false"/>
          <w:color w:val="000000"/>
          <w:sz w:val="20"/>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Providing stockholders with the ability to submit questions up to 15 minutes in advance of, and during the meeting, after entering your 16-digit control number;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Providing stockholders with the ability to submit questions real-time via the meeting website, in accordance with the rules of conduct posted to the Annual Meeting website;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Answering as many questions submitted in accordance with the meeting rules of conduct as possible in the time allotted for the meeting.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2425"/>
                <wp:effectExtent l="0" t="0" r="0" b="0"/>
                <wp:wrapNone/>
                <wp:docPr id="14" name="Frame1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You can submit questions in writing to the virtual meeting website during the Annual Meeting. You must first join the meeting with your control number as described above, click on the “Q&amp;A” tab, type the question into the “Submit a question” field, and click “Submit.” We intend to answer questions pertinent to Company matters as time allows during the meeting. Questions that are substantially similar may be grouped and answered once to avoid repetition. Stockholder questions related to matters that are not pertinent to Annual Meeting matters, or that are otherwise out of order or not suitable for the conduct of the Annual Meeting will not be addressed during the meeting. If there are any matters of individual concern to a stockholder and not of general concern to all stockholders, or if a question posed is not otherwise answered, during the Annual Meeting, those matters or questions may be raised separately after the Annual Meeting by contacting our Investor Relations department.</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Why did I receive a notice in the mail regarding Internet availability of the proxy materials instead of a paper copy of the full set of proxy materials?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This year, we are pleased to save costs and help protect the environment by using the SEC rule that allows companies to furnish their proxy materials over the Internet. As a result, we are mailing to many of our stockholders a Notice of Internet Availability of the proxy materials instead of a paper copy of the proxy materials. All stockholders receiving the Notice of Internet Availability will have the ability to access the proxy materials over the Internet.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stockholders who have previously requested to receive paper copies of the proxy materials, we are providing paper copies of the proxy materials instead of a Notice of Internet Availability of the proxy materials.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What does it mean if I receive more than one proxy card on or about the same time?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It generally means you hold shares registered in more than one account. To ensure that all your shares are voted, please sign and return each proxy card or, if you vote by Internet or telephone, vote once for each proxy card you receive.</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May I change my vote or revoke my proxy?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Yes. Whether you have voted by Internet, telephone or mail, if you are a stockholder of record, you may change your vote and revoke your proxy by: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02"/>
        <w:gridCol w:w="2646"/>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Sending a written statement to that effect to our Secretary, provided such statement is received no later than May 14,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Voting by Internet or telephone at a later time than your previous vote and before the closing of those voting facilities at 11:59 p.m., Eastern Time, on May 14,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Submitting a properly signed proxy card, which has a later date than your previous vote, and that is received no later than May 14, 2024;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Attending the Annual Meeting and voting (although attendance at the Annual Meeting will not, by itself, revoke a proxy). A stockholder's last vote is the vote that will be counted.</w:t>
            </w:r>
          </w:p>
        </w:tc>
      </w:tr>
    </w:tbl>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you hold shares in street name, please refer to information from your bank, broker or other nominee on how to revoke or submit new voting instructions.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Could other matters be decided at the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2425"/>
                <wp:effectExtent l="0" t="0" r="0" b="0"/>
                <wp:wrapNone/>
                <wp:docPr id="15" name="Frame1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Who will pay for the cost of this proxy solicitation?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2425"/>
                <wp:effectExtent l="0" t="0" r="0" b="0"/>
                <wp:wrapNone/>
                <wp:docPr id="16" name="Frame1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1—ELECTION OF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Second Amended and Restated Certificate of Incorporation provides for a classified Board of Directors divided into three classes. The Board believes that a classified Board of Directors provides continuity and stability in pursuing the Company’s policies and strategies and reinforces its commitment to long term perspective and value creation. Mitesh Dhruv, Keith Enright, and Henry Schuck constitute a class with a term that expires at the Annual Meeting of Stockholders in 2024 (the “Class I Directors”); Ashley Evans, Alison Gleeson, and Mark Mader constitute a class with a term that expires at the Annual Meeting of Stockholders in 2025 (the “Class II Directors”); and Todd Crockett, Patrick McCarter, and D. Randall Winn constitute a class with a term that expires at the Annual Meeting of Stockholders in 2026 (the “Class III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McCarter was designated for election to the Board of Directors by investment funds associated with The Carlyle Group (“Carlyle”) and Mr. Crockett was designated for election to the Board of Directors by investment funds associated with TA Associates (“TA Associates”), in each case, pursuant to the terms of the stockholders agreement (as defined herein) and as set forth in “—The Board of Directors and Certain Governance Matters” below.</w:t>
      </w:r>
    </w:p>
    <w:p>
      <w:pPr>
        <w:pStyle w:val="TextBody"/>
        <w:bidi w:val="0"/>
        <w:spacing w:lineRule="auto" w:line="268" w:before="180" w:after="180"/>
        <w:jc w:val="both"/>
        <w:rPr>
          <w:rFonts w:ascii="Lato;sans-serif" w:hAnsi="Lato;sans-serif"/>
          <w:b w:val="false"/>
          <w:color w:val="000000"/>
          <w:sz w:val="20"/>
        </w:rPr>
      </w:pPr>
      <w:r>
        <w:rPr>
          <w:rFonts w:ascii="Lato;sans-serif" w:hAnsi="Lato;sans-serif"/>
          <w:b w:val="false"/>
          <w:color w:val="000000"/>
          <w:sz w:val="20"/>
        </w:rPr>
        <w:t>On March 25, 2024, Mitesh Dhruv notified our Board of Directors that he is not standing for re-election. Mr. Dhruv's decision was not caused, in whole or in part, by a disagreement with the Company or the Board. His term will expire at the conclusion of the Annual Meeting. Upon the recommendation of the Nominating and Corporate Governance Committee, the full Board of Directors has considered and nominated each of Henry Schuck and Keith Enright to serve as a Class I Director for a three-year term expiring in 2027. Action will be taken at the Annual Meeting for the election of these Class I Director nominees. Our Board of Directors will reduce the size of the Board to eight members immediately following the expiration of Mr. Dhruv's term at the conclusion of the Annual Meeting. The Board of Directors thanks Mr. Dhruv for his leadership and years of service to the Company.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Unless otherwise instructed, the persons named in the form of proxy card (the “proxyholders”) included with this Proxy Statement intend to vote the proxies held by them “FOR” the election of the director nominees. Each nominee has indicated that he will be willing and able to serve as a director. If the nominee ceases to be a candidate for election by the time of the Annual Meeting (a contingency which the Board does not expect to occur), such proxies may be voted by the proxyholders in accordance with the recommendation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2425"/>
                <wp:effectExtent l="0" t="0" r="0" b="0"/>
                <wp:wrapNone/>
                <wp:docPr id="17" name="Frame1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Nominees for Election to the Board of Directors in 2024</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information describes the offices held, other business directorships and the term of service of the director nominees, as well as the experiences, qualifications, attributes or skills that caused the Nominating and Corporate Governance Committee and the Board to determine that each director nominee should serve as a director. Beneficial ownership of equity securities of each director nominee is shown under “Ownership of Securities” below.</w:t>
      </w:r>
    </w:p>
    <w:tbl>
      <w:tblPr>
        <w:tblW w:w="10205" w:type="dxa"/>
        <w:jc w:val="left"/>
        <w:tblInd w:w="0" w:type="dxa"/>
        <w:tblLayout w:type="fixed"/>
        <w:tblCellMar>
          <w:top w:w="28" w:type="dxa"/>
          <w:left w:w="28" w:type="dxa"/>
          <w:bottom w:w="28" w:type="dxa"/>
          <w:right w:w="28" w:type="dxa"/>
        </w:tblCellMar>
      </w:tblPr>
      <w:tblGrid>
        <w:gridCol w:w="520"/>
        <w:gridCol w:w="186"/>
        <w:gridCol w:w="186"/>
        <w:gridCol w:w="255"/>
        <w:gridCol w:w="186"/>
        <w:gridCol w:w="186"/>
        <w:gridCol w:w="2786"/>
        <w:gridCol w:w="2554"/>
        <w:gridCol w:w="3346"/>
      </w:tblGrid>
      <w:tr>
        <w:trPr/>
        <w:tc>
          <w:tcPr>
            <w:tcW w:w="5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000000"/>
                <w:sz w:val="20"/>
              </w:rPr>
            </w:pPr>
            <w:r>
              <w:rPr>
                <w:rFonts w:ascii="Lato;sans-serif" w:hAnsi="Lato;sans-serif"/>
                <w:b/>
                <w:color w:val="000000"/>
                <w:sz w:val="20"/>
              </w:rPr>
              <w:t>Class I – Nominees for terms expiring in 2027</w:t>
            </w:r>
          </w:p>
        </w:tc>
      </w:tr>
      <w:tr>
        <w:trPr/>
        <w:tc>
          <w:tcPr>
            <w:tcW w:w="89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6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Age</w:t>
            </w:r>
          </w:p>
        </w:tc>
        <w:tc>
          <w:tcPr>
            <w:tcW w:w="868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Principal occupation and other information</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Henry Schuck</w:t>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40</w:t>
            </w:r>
          </w:p>
        </w:tc>
        <w:tc>
          <w:tcPr>
            <w:tcW w:w="868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Schuck has served as Chief Executive Officer, Chairman of the Board and a director of ZoomInfo Technologies Inc. since its formation in November 2019 and served as Chief Executive Officer and a director of ZoomInfo Holdings LLC (formerly known as DiscoverOrg Holdings, LLC) since founding it in 2007. Prior to founding ZoomInfo Holdings LLC, Mr. Schuck was VP of Research &amp; Marketing at iProfile, a sales intelligence firm focused on the IT market. Mr. Schuck serves on the Board of Directors of Tegus, a leading market intelligence platform. Mr. Schuck is a cum laude graduate of the University of Nevada, Las Vegas with a B.S. in Business Administration and a B.S. in Hospitality Management and holds a J.D., cum laude, from The Ohio State University Moritz College of Law.</w:t>
            </w:r>
          </w:p>
          <w:p>
            <w:pPr>
              <w:pStyle w:val="TableContents"/>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Nomination considerations: Mr. Schuck’s perspective and the experience he brings as our co-founder and CEO.</w:t>
            </w:r>
          </w:p>
        </w:tc>
      </w:tr>
      <w:tr>
        <w:trPr/>
        <w:tc>
          <w:tcPr>
            <w:tcW w:w="89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Keith Enright</w:t>
            </w:r>
          </w:p>
        </w:tc>
        <w:tc>
          <w:tcPr>
            <w:tcW w:w="62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49</w:t>
            </w:r>
          </w:p>
        </w:tc>
        <w:tc>
          <w:tcPr>
            <w:tcW w:w="8686" w:type="dxa"/>
            <w:gridSpan w:val="3"/>
            <w:tcBorders/>
            <w:shd w:fill="DBDBDB" w:val="clear"/>
            <w:tcMar>
              <w:top w:w="0" w:type="dxa"/>
              <w:left w:w="0" w:type="dxa"/>
              <w:bottom w:w="0" w:type="dxa"/>
              <w:right w:w="0" w:type="dxa"/>
            </w:tcMar>
            <w:vAlign w:val="center"/>
          </w:tcPr>
          <w:p>
            <w:pPr>
              <w:pStyle w:val="TableContents"/>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Mr. Enright has served as a member of the Board of Directors of ZoomInfo Technologies Inc. since March 2020 and served as a member of the Board of Managers of ZoomInfo Holdings LLC from March 2020 to June 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pStyle w:val="TableContents"/>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Nomination considerations: Mr. Enright’s extensive experience with data privacy, including as Chief Privacy Officer for Google LLC, and his significant core business skills.</w:t>
            </w:r>
          </w:p>
        </w:tc>
      </w:tr>
    </w:tbl>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 xml:space="preserve">THE BOARD OF DIRECTORS RECOMMENDS THAT YOU VOTE “FOR” THE ELECTION OF </w:t>
      </w:r>
    </w:p>
    <w:p>
      <w:pPr>
        <w:pStyle w:val="TextBody"/>
        <w:bidi w:val="0"/>
        <w:spacing w:lineRule="auto" w:line="288" w:before="180" w:after="180"/>
        <w:jc w:val="center"/>
        <w:rPr>
          <w:rFonts w:ascii="Lato;sans-serif" w:hAnsi="Lato;sans-serif"/>
          <w:b/>
          <w:color w:val="000000"/>
          <w:sz w:val="20"/>
        </w:rPr>
      </w:pPr>
      <w:r>
        <w:rPr>
          <w:rFonts w:ascii="Lato;sans-serif" w:hAnsi="Lato;sans-serif"/>
          <w:b/>
          <w:color w:val="000000"/>
          <w:sz w:val="20"/>
        </w:rPr>
        <w:t>THE DIRECTOR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2425"/>
                <wp:effectExtent l="0" t="0" r="0" b="0"/>
                <wp:wrapNone/>
                <wp:docPr id="18" name="Frame1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Continuing Members of the Board of Directors</w:t>
      </w:r>
    </w:p>
    <w:p>
      <w:pPr>
        <w:pStyle w:val="TextBody"/>
        <w:bidi w:val="0"/>
        <w:spacing w:lineRule="auto" w:line="240" w:before="180" w:after="180"/>
        <w:jc w:val="both"/>
        <w:rPr>
          <w:rFonts w:ascii="Lato;sans-serif" w:hAnsi="Lato;sans-serif"/>
          <w:b w:val="false"/>
          <w:color w:val="000000"/>
          <w:sz w:val="20"/>
        </w:rPr>
      </w:pPr>
      <w:r>
        <w:rPr>
          <w:rFonts w:ascii="Lato;sans-serif" w:hAnsi="Lato;sans-serif"/>
          <w:b w:val="false"/>
          <w:color w:val="000000"/>
          <w:sz w:val="20"/>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tbl>
      <w:tblPr>
        <w:tblW w:w="10205" w:type="dxa"/>
        <w:jc w:val="left"/>
        <w:tblInd w:w="0" w:type="dxa"/>
        <w:tblLayout w:type="fixed"/>
        <w:tblCellMar>
          <w:top w:w="28" w:type="dxa"/>
          <w:left w:w="28" w:type="dxa"/>
          <w:bottom w:w="28" w:type="dxa"/>
          <w:right w:w="28" w:type="dxa"/>
        </w:tblCellMar>
      </w:tblPr>
      <w:tblGrid>
        <w:gridCol w:w="634"/>
        <w:gridCol w:w="167"/>
        <w:gridCol w:w="167"/>
        <w:gridCol w:w="263"/>
        <w:gridCol w:w="167"/>
        <w:gridCol w:w="167"/>
        <w:gridCol w:w="2821"/>
        <w:gridCol w:w="2568"/>
        <w:gridCol w:w="3251"/>
      </w:tblGrid>
      <w:tr>
        <w:trPr/>
        <w:tc>
          <w:tcPr>
            <w:tcW w:w="6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Class II – Directors whose terms expire in 2025</w:t>
            </w:r>
          </w:p>
        </w:tc>
      </w:tr>
      <w:tr>
        <w:trPr/>
        <w:tc>
          <w:tcPr>
            <w:tcW w:w="96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59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Age</w:t>
            </w:r>
          </w:p>
        </w:tc>
        <w:tc>
          <w:tcPr>
            <w:tcW w:w="864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Principal occupation and other information</w:t>
            </w:r>
          </w:p>
        </w:tc>
      </w:tr>
      <w:tr>
        <w:trPr/>
        <w:tc>
          <w:tcPr>
            <w:tcW w:w="9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Ashley Evans</w:t>
            </w:r>
          </w:p>
        </w:tc>
        <w:tc>
          <w:tcPr>
            <w:tcW w:w="5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44</w:t>
            </w:r>
          </w:p>
        </w:tc>
        <w:tc>
          <w:tcPr>
            <w:tcW w:w="8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both"/>
              <w:rPr>
                <w:rFonts w:ascii="Lato;sans-serif" w:hAnsi="Lato;sans-serif"/>
                <w:b w:val="false"/>
                <w:color w:val="000000"/>
                <w:sz w:val="20"/>
              </w:rPr>
            </w:pPr>
            <w:r>
              <w:rPr>
                <w:rFonts w:ascii="Lato;sans-serif" w:hAnsi="Lato;sans-serif"/>
                <w:b w:val="false"/>
                <w:color w:val="000000"/>
                <w:sz w:val="20"/>
              </w:rPr>
              <w:t>Ms. Evans has served as a member of the Board of Directors of ZoomInfo Technologies Inc. since February 2020 and served as a member of the Board of Managers of ZoomInfo Holdings LLC from 2018 to June 2020. Ms. Evans is a Partner at Francisco Partners, a leading global investment firm that partners with technology businesses. Previously she was a Partner at The Carlyle Group. She invests in enterprise software businesses and currently serves on the board of Greenslate, Macrobond, PayScale, SourceScrub, and Litmos and has previously served on the boards of HireVue, Jagex, NEOGOV, Saama, TriNetX and Veritas. She is a founder of SynGAP Research Fund, a public charity focused on improving the lives of SynGAP patients through the research and development of precision treatments. Ms. Evans holds an A.B. summa cum laude from Harvard College, where she was elected to Phi Beta Kappa, an M.Phil from the University of Cambridge, where she was a Knox Scholar, and a M.B.A from Stanford University’s Graduate School of Business, where she was a Siebel Scholar and an Arjay Miller Scholar.</w:t>
            </w:r>
          </w:p>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Nomination considerations: Ms. Evans’ significant core business skills, including financial and strategic planning, and her extensive management experience, including her involvement with Francisco Partners and Carlyle.</w:t>
            </w:r>
          </w:p>
        </w:tc>
      </w:tr>
      <w:tr>
        <w:trPr/>
        <w:tc>
          <w:tcPr>
            <w:tcW w:w="9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Alison Gleeson</w:t>
            </w:r>
          </w:p>
        </w:tc>
        <w:tc>
          <w:tcPr>
            <w:tcW w:w="59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58</w:t>
            </w:r>
          </w:p>
        </w:tc>
        <w:tc>
          <w:tcPr>
            <w:tcW w:w="864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both"/>
              <w:rPr/>
            </w:pPr>
            <w:r>
              <w:rPr>
                <w:rFonts w:ascii="Lato;sans-serif" w:hAnsi="Lato;sans-serif"/>
                <w:b w:val="false"/>
                <w:color w:val="000000"/>
                <w:sz w:val="20"/>
              </w:rPr>
              <w:t>Ms. Gleeson has served as a member of the Board of Directors of ZoomInfo Technologies Inc. since July 2022. She currently also serves on the boards of directors of publicly traded SaaS companies Elasic N.V, since January 2020, and 8x8, Inc., since August 2021, as a Special Advisor and Portfolio Committee Member at Brighton Park Capital, an investment firm, since October 2019, and on The Eli Broad College of Business Advisory Board of Directors for her alma mater, Michigan State University, since June 2017. From January 1996 to October 2018, Ms. Gleeson was with Cisco, where she served in various roles, most recently as Senior Vice President, Americas from July 2014 to October 2018. In that role she was responsible for Cisco's largest geographic region, with $25B+ in annual sales, and led 9,000 employees across 35 countries. Ms. Gleeson is also a highly-regarded international speaker on the drivers for digital disruption across industries, the role of technology in enabling business transformation, and empowering women in technology. Ms. Gleeson holds a B.S. in Finance and Marketing from Michigan State University.</w:t>
              <w:br/>
            </w:r>
            <w:r>
              <w:rPr>
                <w:rFonts w:ascii="Lato;sans-serif" w:hAnsi="Lato;sans-serif"/>
                <w:b w:val="false"/>
                <w:sz w:val="20"/>
              </w:rPr>
              <w:br/>
            </w:r>
            <w:r>
              <w:rPr>
                <w:rFonts w:ascii="Lato;sans-serif" w:hAnsi="Lato;sans-serif"/>
                <w:b w:val="false"/>
                <w:color w:val="000000"/>
                <w:sz w:val="20"/>
              </w:rPr>
              <w:t>Nomination considerations: Ms. Gleeson’s extensive enterprise sales and marketing experience, including her leadership roles and go-to-market experience at a large public company.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2425"/>
                <wp:effectExtent l="0" t="0" r="0" b="0"/>
                <wp:wrapNone/>
                <wp:docPr id="19" name="Frame1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79"/>
        <w:gridCol w:w="245"/>
        <w:gridCol w:w="247"/>
        <w:gridCol w:w="115"/>
        <w:gridCol w:w="115"/>
        <w:gridCol w:w="116"/>
        <w:gridCol w:w="2660"/>
        <w:gridCol w:w="2660"/>
        <w:gridCol w:w="3768"/>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Mark Mader</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53</w:t>
            </w:r>
          </w:p>
        </w:tc>
        <w:tc>
          <w:tcPr>
            <w:tcW w:w="9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pPr>
            <w:r>
              <w:rPr>
                <w:rFonts w:ascii="Lato;sans-serif" w:hAnsi="Lato;sans-serif"/>
                <w:b w:val="false"/>
                <w:color w:val="000000"/>
                <w:sz w:val="20"/>
              </w:rPr>
              <w:t>Mr. Mader has served as a member of the Board of Directors of ZoomInfo Technologies Inc. since February 2020 and served as a member of the Board of Managers of ZoomInfo Holdings LLC from February 2020 to June 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br/>
            </w:r>
            <w:r>
              <w:rPr>
                <w:rFonts w:ascii="Lato;sans-serif" w:hAnsi="Lato;sans-serif"/>
                <w:b w:val="false"/>
                <w:sz w:val="20"/>
              </w:rPr>
              <w:br/>
            </w:r>
            <w:r>
              <w:rPr>
                <w:rFonts w:ascii="Lato;sans-serif" w:hAnsi="Lato;sans-serif"/>
                <w:b w:val="false"/>
                <w:color w:val="000000"/>
                <w:sz w:val="20"/>
              </w:rPr>
              <w:t>Nomination considerations: Mr. Mader’s extensive knowledge and experience in our industry and with SaaS companies, and his experience leading a public company as President, Chief Executive Officer and director of Smartsheet.</w:t>
            </w:r>
          </w:p>
        </w:tc>
      </w:tr>
    </w:tbl>
    <w:tbl>
      <w:tblPr>
        <w:tblW w:w="10205" w:type="dxa"/>
        <w:jc w:val="left"/>
        <w:tblInd w:w="0" w:type="dxa"/>
        <w:tblLayout w:type="fixed"/>
        <w:tblCellMar>
          <w:top w:w="28" w:type="dxa"/>
          <w:left w:w="28" w:type="dxa"/>
          <w:bottom w:w="28" w:type="dxa"/>
          <w:right w:w="28" w:type="dxa"/>
        </w:tblCellMar>
      </w:tblPr>
      <w:tblGrid>
        <w:gridCol w:w="644"/>
        <w:gridCol w:w="198"/>
        <w:gridCol w:w="180"/>
        <w:gridCol w:w="273"/>
        <w:gridCol w:w="180"/>
        <w:gridCol w:w="180"/>
        <w:gridCol w:w="2755"/>
        <w:gridCol w:w="2564"/>
        <w:gridCol w:w="3231"/>
      </w:tblGrid>
      <w:tr>
        <w:trPr/>
        <w:tc>
          <w:tcPr>
            <w:tcW w:w="6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Class III – Directors whose terms expire in 2026</w:t>
            </w:r>
          </w:p>
        </w:tc>
      </w:tr>
      <w:tr>
        <w:trPr/>
        <w:tc>
          <w:tcPr>
            <w:tcW w:w="102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63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Age</w:t>
            </w:r>
          </w:p>
        </w:tc>
        <w:tc>
          <w:tcPr>
            <w:tcW w:w="855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Principal occupation and other information</w:t>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Todd Crockett</w:t>
            </w:r>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54</w:t>
            </w:r>
          </w:p>
        </w:tc>
        <w:tc>
          <w:tcPr>
            <w:tcW w:w="8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Crockett has served as a member of the Board of Directors of ZoomInfo Technologies Inc. since February 2020 and served as a member of the Board of Managers of ZoomInfo Holdings LLC from 2014 to June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and Green Street. Mr. Crockett holds a B.A. from Princeton University and a MBA from Harvard Business School.</w:t>
            </w:r>
          </w:p>
          <w:p>
            <w:pPr>
              <w:pStyle w:val="TableContents"/>
              <w:bidi w:val="0"/>
              <w:spacing w:before="0" w:after="0"/>
              <w:jc w:val="both"/>
              <w:rPr/>
            </w:pPr>
            <w:r>
              <w:rPr/>
            </w:r>
          </w:p>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Nomination considerations: Mr. Crockett’s extensive core business and leadership skills, including financial and strategic planning, and his significant management experience, including his involvement with TA Associates.</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2425"/>
                <wp:effectExtent l="0" t="0" r="0" b="0"/>
                <wp:wrapNone/>
                <wp:docPr id="20" name="Frame1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374"/>
        <w:gridCol w:w="328"/>
        <w:gridCol w:w="330"/>
        <w:gridCol w:w="115"/>
        <w:gridCol w:w="115"/>
        <w:gridCol w:w="116"/>
        <w:gridCol w:w="2585"/>
        <w:gridCol w:w="2585"/>
        <w:gridCol w:w="3657"/>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Patrick McCarter</w:t>
            </w:r>
          </w:p>
        </w:tc>
        <w:tc>
          <w:tcPr>
            <w:tcW w:w="34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48</w:t>
            </w:r>
          </w:p>
        </w:tc>
        <w:tc>
          <w:tcPr>
            <w:tcW w:w="882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Mr. McCarter has served as a member of the Board of Directors of ZoomInfo Technologies Inc. since February 2020 and served as a member of the Board of Managers of ZoomInfo Holdings LLC from 2018 to June 2020. Mr. McCarter is a Managing Director and Head of Global Technology. Mr. McCarter founded Carlyle’s Menlo Park, CA office in 2016 and is currently based there. Since joining Carlyle in 2001, Mr. McCarter has led or been a key contributor to several Carlyle investments, including Hexaware, Abrigo, NEOGOV, Jagex, Tribute Technology, Unison, HireVue, ZoomInfo, Ampere Computing, Veritas, CommScope, Open Link Financial, Open Solutions, Freescale Semiconductor, Jazz Semiconductor, Sippican, and CPU Technology. Prior to joining Carlyle, Mr. McCarter held positions at Morgan Stanley with a focus on financial institutions in New York. Mr. McCarter serves as a director on the boards of publicly traded ZoomInfo and CommScope as well as the privately held HireVue, Veritas, Ampere Computing and Saama Technologies. He is also a member of Northwestern’s McCormick School of Engineering Advisory Council. Mr. McCarter received his M.B.A. from Harvard Business School and a B.S. with a double major in industrial engineering and economics from Northwestern University.</w:t>
            </w:r>
          </w:p>
          <w:p>
            <w:pPr>
              <w:pStyle w:val="TableContents"/>
              <w:bidi w:val="0"/>
              <w:spacing w:before="0" w:after="0"/>
              <w:jc w:val="both"/>
              <w:rPr/>
            </w:pPr>
            <w:r>
              <w:rPr/>
            </w:r>
          </w:p>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Nomination considerations: Mr. McCarter’s extensive core business skills, including financial and strategic planning, and many years of management experience at portfolio companies through his involvement with Carlyle.</w:t>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 Randall Winn</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54</w:t>
            </w:r>
          </w:p>
        </w:tc>
        <w:tc>
          <w:tcPr>
            <w:tcW w:w="88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Mr. Winn has served as a member of the board of directors of ZoomInfo Technologies Inc. since February 2020 and served as a member of the Board of Managers of ZoomInfo Holdings LLC from 2014 to June 2020. Mr. Winn currently serves as a Managing Member of 22C Capital, a principal investment firm, which he founded in 2017 and also serves as Managing Member of FiveW Capital. Mr. Winn is currently a director of the following private companies: LMI, Aurora Energy Research and Canoe Intelligence. Mr. Winn previously was the nonexecutive chairman of Dealogic, served on the board of Definitive Healthcare (NASDAQ:DH) and served on the boards of private companies such as Viteos Fund Services, Merit Software, and eMarketer. Prior to founding 22C Capital, Mr. Winn was a co founder of, and Co-Managing Partner and ultimately Executive Managing Director/CEO of Capital IQ from 1999 to 2011. Mr. Winn holds an A.B. from the Woodrow Wilson School of Public and International Affairs at Princeton University. </w:t>
            </w:r>
          </w:p>
          <w:p>
            <w:pPr>
              <w:pStyle w:val="TableContents"/>
              <w:bidi w:val="0"/>
              <w:spacing w:before="0" w:after="0"/>
              <w:jc w:val="both"/>
              <w:rPr/>
            </w:pPr>
            <w:r>
              <w:rPr/>
            </w:r>
          </w:p>
          <w:p>
            <w:pPr>
              <w:pStyle w:val="TableContents"/>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Nomination considerations: Mr. Winn’s deep knowledge of our industry, extensive financial and business skills, including strategic planning, and his significant management and leadership experience, including with CapitalIQ.</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2425"/>
                <wp:effectExtent l="0" t="0" r="0" b="0"/>
                <wp:wrapNone/>
                <wp:docPr id="21" name="Frame1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THE BOARD OF DIRECTORS AND CERTAIN GOVERNANCE MATTERS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“―Communications with the Board” below.</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stockholders agreement described under “Transactions with Related Persons—Stockholders Agreement” (the “stockholders agreement”) provides that certain affiliates of investment funds associated with TA Associates, investment funds associated with Carlyle, and Henry Schuck, our Chief Executive Officer, and Kirk Brown (our “Founders”) have the right to designate nominees to our Board of Directors, subject to the maintenance of certain ownership requirements in us. Mr. McCarter is the director nominee of Carlyle, Mr. Crockett is the director nominee of TA Associates, and Mr. Schuck is the director nominee of the Founders, in each case, pursuant to the stockholders agreement entered into among us and certain affiliates of TA Associates, Carlyle, and our Founders in connection with our initial public offering (the “IPO”). The stockholders agreement provides that the authorized number of directors will not increase without the consent of TA Associates or Carlyle so long as TA Associates or Carlyle, as applicable, has the right to designate at least one director pursuant to the stockholders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Director Independence and Independence Determinations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Under our Corporate Governance Guidelines and Nasdaq rules, a director is not independent unless our Board of Directors affirmatively determines that the director does not have any relationships which, in the opinion of our Board of Directors, would interfere with the exercise of independent judgment in carrying out the responsibilities of a director.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a director has a relationship with the Company that is relevant to their independence and is not addressed by the objective tests set forth in the Nasdaq independence definition, our Board of Directors will determine, considering all relevant facts and circumstances, whether such relationship is material.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has affirmatively determined that each of Mses. Evans and Gleeson and Messrs. Crockett, Dhruv, Enright, Mader, McCarter, and Winn is independent under the guidelines for director independence set forth in the Corporate Governance Guidelines and under all applicable Nasdaq guidelines, including with respect to committee membership. Our Board also has determined that each of Ms. Evans and Messrs. Dhruv, Enright, and Mader is “independent” for purposes of Section 10A(m)(3) of the Securities Exchange Act of 1934, as amended (the “Exchange Act”), and that each of Ms. Evans and Messrs. Crockett, McCarter, and Winn is “independent” for purposes of Section 10C(a)(3) of the Exchange Act. In making its independence determinations, our Board of Directors considered and reviewed all information known to it (including information identified through annual directors’ questionnaires).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2425"/>
                <wp:effectExtent l="0" t="0" r="0" b="0"/>
                <wp:wrapNone/>
                <wp:docPr id="22" name="Frame1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Director Nomination Process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ability to work collegially with the other members of the Board. In addition, the Nominating and Corporate Governance Committee considers other factors it considers appropriate, including diversity of background with respect to gender, race, ethnicity, and geography.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Nominating and Corporate Governance Committee utilizes the same criteria for evaluating candidates regardless of the source of the referral. When considering director candidates, the Nominating and Corporate Governance Committee seeks individuals with diverse backgrounds and qualities that, when combined with those of our incumbent directors, provide a blend of skills and experience to further enhance the Board’s effectiveness. Set forth below is a list of experience, qualifications, attributes or skills that our Nominating and Corporate Governance Committee considers to be among the most important in its director nominating process, along with the number of current directors who possess the relevant experience, qualifications, attributes, and skills.</w:t>
      </w:r>
    </w:p>
    <w:tbl>
      <w:tblPr>
        <w:tblW w:w="10205" w:type="dxa"/>
        <w:jc w:val="left"/>
        <w:tblInd w:w="0" w:type="dxa"/>
        <w:tblLayout w:type="fixed"/>
        <w:tblCellMar>
          <w:top w:w="28" w:type="dxa"/>
          <w:left w:w="28" w:type="dxa"/>
          <w:bottom w:w="28" w:type="dxa"/>
          <w:right w:w="28" w:type="dxa"/>
        </w:tblCellMar>
      </w:tblPr>
      <w:tblGrid>
        <w:gridCol w:w="2497"/>
        <w:gridCol w:w="2111"/>
        <w:gridCol w:w="2121"/>
        <w:gridCol w:w="1017"/>
        <w:gridCol w:w="1017"/>
        <w:gridCol w:w="1442"/>
      </w:tblGrid>
      <w:tr>
        <w:trPr/>
        <w:tc>
          <w:tcPr>
            <w:tcW w:w="249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672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Director Skills, Knowledge and Experience Deemed Most Valuable by Committee</w:t>
            </w:r>
          </w:p>
        </w:tc>
        <w:tc>
          <w:tcPr>
            <w:tcW w:w="347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Directors Self-Reporting Qualification (#)</w:t>
            </w:r>
            <w:r>
              <w:rPr>
                <w:rFonts w:ascii="Lato;sans-serif" w:hAnsi="Lato;sans-serif"/>
                <w:b/>
                <w:color w:val="FFFFFF"/>
                <w:sz w:val="13"/>
              </w:rPr>
              <w:t>(1)</w:t>
            </w:r>
          </w:p>
        </w:tc>
      </w:tr>
      <w:tr>
        <w:trPr/>
        <w:tc>
          <w:tcPr>
            <w:tcW w:w="672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Knowledge and Experience in ZoomInfo's Industry</w:t>
            </w:r>
          </w:p>
        </w:tc>
        <w:tc>
          <w:tcPr>
            <w:tcW w:w="347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8</w:t>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Knowledge and Experience with SaaS Companies in Other Industries</w:t>
            </w:r>
          </w:p>
        </w:tc>
        <w:tc>
          <w:tcPr>
            <w:tcW w:w="3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w:t>
            </w:r>
          </w:p>
        </w:tc>
      </w:tr>
      <w:tr>
        <w:trPr/>
        <w:tc>
          <w:tcPr>
            <w:tcW w:w="67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in Management of a Public Company</w:t>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6</w:t>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Extensive Management Experience in a Large Organization</w:t>
            </w:r>
          </w:p>
        </w:tc>
        <w:tc>
          <w:tcPr>
            <w:tcW w:w="3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r>
      <w:tr>
        <w:trPr/>
        <w:tc>
          <w:tcPr>
            <w:tcW w:w="67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Data Privacy Experience</w:t>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w:t>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Cyber Security Experience</w:t>
            </w:r>
          </w:p>
        </w:tc>
        <w:tc>
          <w:tcPr>
            <w:tcW w:w="3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w:t>
            </w:r>
          </w:p>
        </w:tc>
      </w:tr>
      <w:tr>
        <w:trPr/>
        <w:tc>
          <w:tcPr>
            <w:tcW w:w="67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Core Business and Leadership Skills</w:t>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8</w:t>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Leadership Experience in Sales / Go-to-Market Areas</w:t>
            </w:r>
          </w:p>
        </w:tc>
        <w:tc>
          <w:tcPr>
            <w:tcW w:w="3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w:t>
            </w:r>
          </w:p>
        </w:tc>
      </w:tr>
      <w:tr>
        <w:trPr/>
        <w:tc>
          <w:tcPr>
            <w:tcW w:w="67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Finance and Accounting Expertise</w:t>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6</w:t>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Financial and Strategic Planning Expertise</w:t>
            </w:r>
          </w:p>
        </w:tc>
        <w:tc>
          <w:tcPr>
            <w:tcW w:w="3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7</w:t>
            </w:r>
          </w:p>
        </w:tc>
      </w:tr>
      <w:tr>
        <w:trPr/>
        <w:tc>
          <w:tcPr>
            <w:tcW w:w="67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in a Chief Product Officer or Similar Role with Oversight of Product Quality</w:t>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w:t>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Current or Past Director of Another Public Company</w:t>
            </w:r>
          </w:p>
        </w:tc>
        <w:tc>
          <w:tcPr>
            <w:tcW w:w="3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r>
      <w:tr>
        <w:trPr/>
        <w:tc>
          <w:tcPr>
            <w:tcW w:w="67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International Operations Experience</w:t>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Experience at Growing a Scaled SaaS Business ($2bn+)</w:t>
            </w:r>
          </w:p>
        </w:tc>
        <w:tc>
          <w:tcPr>
            <w:tcW w:w="3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w:t>
            </w:r>
          </w:p>
        </w:tc>
      </w:tr>
      <w:tr>
        <w:trPr/>
        <w:tc>
          <w:tcPr>
            <w:tcW w:w="67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Multi-Product/Services or Multi-Segment Company Experience (Managing Multiple Products Across a Platform)</w:t>
            </w:r>
          </w:p>
        </w:tc>
        <w:tc>
          <w:tcPr>
            <w:tcW w:w="34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Lato;sans-serif" w:hAnsi="Lato;sans-serif"/>
                <w:b w:val="false"/>
                <w:color w:val="000000"/>
                <w:sz w:val="13"/>
              </w:rPr>
              <w:t>(1)</w:t>
            </w:r>
            <w:r>
              <w:rPr>
                <w:color w:val="000000"/>
              </w:rPr>
              <w:t xml:space="preserve"> </w:t>
            </w:r>
            <w:r>
              <w:rPr>
                <w:rFonts w:ascii="Lato;sans-serif" w:hAnsi="Lato;sans-serif"/>
                <w:b w:val="false"/>
                <w:color w:val="000000"/>
                <w:sz w:val="20"/>
              </w:rPr>
              <w:t>This table excludes Mr. Dhruv, who is not standing for re-election at the Annual Meeting.</w:t>
            </w:r>
          </w:p>
        </w:tc>
      </w:tr>
    </w:tbl>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2425"/>
                <wp:effectExtent l="0" t="0" r="0" b="0"/>
                <wp:wrapNone/>
                <wp:docPr id="23" name="Frame1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to the process described above, the Nominating and Corporate Governance Committee also nominates the individuals designated by TA Associates, Carlyle, and our Founders as required under the provisions of the stockholders agreement described under “Transactions With Related Persons—Stockholders Agreement.” Mr. McCarter was elected as the director nominee of Carlyle, Mr. Crockett was elected as the director nominee of TA Associates, and Mr. Schuck is nominated for election as the director nominee of the Founders pursuant to the stockholders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When considering whether a nominee has the experience, qualifications, attributes and skills, taken as a whole, to enable the Board to satisfy its oversight responsibilities effectively in light of our business and structure, the Board focused primarily on the information discussed in the board member’s biographical information set forth above. This process resulted in the Board’s nomination of the incumbent director named in this Proxy Statement and proposed for election by you at the upcoming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believe that our directors provide an appropriate mix of experience and skills relevant to the size and nature of our business.</w:t>
      </w:r>
    </w:p>
    <w:p>
      <w:pPr>
        <w:pStyle w:val="TextBody"/>
        <w:bidi w:val="0"/>
        <w:spacing w:lineRule="auto" w:line="288" w:before="180" w:after="180"/>
        <w:jc w:val="both"/>
        <w:rPr/>
      </w:pPr>
      <w:r>
        <w:rPr>
          <w:rFonts w:ascii="Lato;sans-serif" w:hAnsi="Lato;sans-serif"/>
          <w:b w:val="false"/>
          <w:color w:val="000000"/>
          <w:sz w:val="20"/>
        </w:rPr>
        <w:t>As discussed above, the Nominating and Corporate Governance Committee and the Board consider diversity of background with respect to gender, race, ethnicity, and geography as part of several criteria that they consider in connection with selecting candidates for the Board. This consideration is reflected in the director qualification standards set forth in our Corporate Governance Guidelines. Of the nine current members of our Board, four are diverse, including two who are female and two who are ethnically diverse. Moreover, two ethnically diverse directors hold a Board leadership role. For more information on our commitment to enhancing Board diversity see “</w:t>
      </w:r>
      <w:r>
        <w:rPr>
          <w:rFonts w:ascii="Lato;sans-serif" w:hAnsi="Lato;sans-serif"/>
          <w:b w:val="false"/>
          <w:i/>
          <w:color w:val="000000"/>
          <w:sz w:val="20"/>
        </w:rPr>
        <w:t>Stockholder Engagement and Governance Practices</w:t>
      </w:r>
      <w:r>
        <w:rPr>
          <w:color w:val="000000"/>
        </w:rPr>
        <w:t xml:space="preserve">” </w:t>
      </w:r>
      <w:r>
        <w:rPr>
          <w:rFonts w:ascii="Lato;sans-serif" w:hAnsi="Lato;sans-serif"/>
          <w:b w:val="false"/>
          <w:color w:val="000000"/>
          <w:sz w:val="20"/>
        </w:rPr>
        <w:t>below.</w:t>
      </w:r>
    </w:p>
    <w:p>
      <w:pPr>
        <w:pStyle w:val="TextBody"/>
        <w:bidi w:val="0"/>
        <w:spacing w:lineRule="auto" w:line="288" w:before="180" w:after="180"/>
        <w:jc w:val="both"/>
        <w:rPr/>
      </w:pPr>
      <w:r>
        <w:rPr>
          <w:rFonts w:ascii="Lato;sans-serif" w:hAnsi="Lato;sans-serif"/>
          <w:b w:val="false"/>
          <w:color w:val="000000"/>
          <w:sz w:val="20"/>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 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805 Broadway Street, Suite 900, Vancouver, Washington 98660. Stockholders also must satisfy the notification, timeliness, consent and information requirements set forth in our Bylaws. All recommendations for nomination received by the Secretary that satisfy our Bylaw requirements relating to director nominations will be presented to the Nominating and Corporate Governance Committee for its consideration. These requirements are also described under “</w:t>
      </w:r>
      <w:hyperlink w:anchor="ibe598ee2c35542eb888ca215dcc0528e_163">
        <w:r>
          <w:rPr>
            <w:rStyle w:val="InternetLink"/>
            <w:rFonts w:ascii="Lato;sans-serif" w:hAnsi="Lato;sans-serif"/>
            <w:b w:val="false"/>
            <w:color w:val="0000FF"/>
            <w:sz w:val="20"/>
            <w:u w:val="single"/>
          </w:rPr>
          <w:t>Stockholder Proposals for the 2025 Annual Meeting</w:t>
        </w:r>
      </w:hyperlink>
      <w:r>
        <w:rPr>
          <w:rFonts w:ascii="Lato;sans-serif" w:hAnsi="Lato;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Stockholder Engagement and Governance Practices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approaches governance in a strategic and thoughtful manner, taking into consideration multiple perspectives, including those of our Nominating and Corporate Governance Committee, our individual directors, our stockholders, our employees, various experts and other stakeholders. Our governance practices and programs include the following:</w:t>
      </w:r>
    </w:p>
    <w:p>
      <w:pPr>
        <w:pStyle w:val="TextBody"/>
        <w:bidi w:val="0"/>
        <w:spacing w:lineRule="auto" w:line="288" w:before="180" w:after="180"/>
        <w:ind w:left="0" w:right="0" w:hanging="360"/>
        <w:jc w:val="both"/>
        <w:rPr/>
      </w:pPr>
      <w:r>
        <w:rPr>
          <w:color w:val="000000"/>
        </w:rPr>
        <w:t>•</w:t>
      </w:r>
      <w:r>
        <w:rPr>
          <w:rFonts w:ascii="Lato;sans-serif" w:hAnsi="Lato;sans-serif"/>
          <w:b/>
          <w:color w:val="000000"/>
          <w:sz w:val="20"/>
        </w:rPr>
        <w:t>Single Class of Stock</w:t>
      </w:r>
      <w:r>
        <w:rPr>
          <w:rFonts w:ascii="Lato;sans-serif" w:hAnsi="Lato;sans-serif"/>
          <w:b w:val="false"/>
          <w:color w:val="000000"/>
          <w:sz w:val="20"/>
        </w:rPr>
        <w:t>: In May 2022, following approval by our stockholders, we amended and restated our Amended and Restated Certification of Incorporation to eliminate the multiple classes of common stock and to rename the Company’s Class A common stock as “Common Stock”. These transactions are discussed in Note 1: “</w:t>
      </w:r>
      <w:r>
        <w:rPr>
          <w:rFonts w:ascii="Lato;sans-serif" w:hAnsi="Lato;sans-serif"/>
          <w:b w:val="false"/>
          <w:i/>
          <w:color w:val="000000"/>
          <w:sz w:val="20"/>
        </w:rPr>
        <w:t>Organization and Background - Holding Company Reorganization</w:t>
      </w:r>
      <w:r>
        <w:rPr>
          <w:color w:val="000000"/>
        </w:rPr>
        <w:t xml:space="preserve">” </w:t>
      </w:r>
      <w:r>
        <w:rPr>
          <w:rFonts w:ascii="Lato;sans-serif" w:hAnsi="Lato;sans-serif"/>
          <w:b w:val="false"/>
          <w:color w:val="000000"/>
          <w:sz w:val="20"/>
        </w:rPr>
        <w:t>to our Consolidated Financial Statements in Part II, Item 8 of our 2023 Annual Report on Form 10-K. All stockholders have one vote for each share of common stock held by such stockholder.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2425"/>
                <wp:effectExtent l="0" t="0" r="0" b="0"/>
                <wp:wrapNone/>
                <wp:docPr id="24" name="Frame2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ind w:left="0" w:right="0" w:hanging="360"/>
        <w:jc w:val="both"/>
        <w:rPr/>
      </w:pPr>
      <w:r>
        <w:rPr>
          <w:color w:val="000000"/>
        </w:rPr>
        <w:t>•</w:t>
      </w:r>
      <w:r>
        <w:rPr>
          <w:rFonts w:ascii="Lato;sans-serif" w:hAnsi="Lato;sans-serif"/>
          <w:b/>
          <w:color w:val="000000"/>
          <w:sz w:val="20"/>
        </w:rPr>
        <w:t>Independent Directors</w:t>
      </w:r>
      <w:r>
        <w:rPr>
          <w:rFonts w:ascii="Lato;sans-serif" w:hAnsi="Lato;sans-serif"/>
          <w:b w:val="false"/>
          <w:color w:val="000000"/>
          <w:sz w:val="20"/>
        </w:rPr>
        <w:t>: Our common stock is listed on The Nasdaq Global Select Market (“Nasdaq”). Under the Nasdaq rules, independent directors must comprise a majority of a listed company’s board of directors, and subject to specified limited exceptions, which are no longer applicable to us, all members of its audit, compensation, and nominating and corporate governance committees must be independent. Under those rules, a director is independent only if a company’s board of directors makes an affirmative determination that the director has no material relationship with the company that would impair his or her independence, in addition to satisfying the independence requirements set forth in the Nasdaq rules. Our Board has undertaken a review of the independence of each director and determined that all of our directors other than Mr. Schuck, who does not serve on any of the aforementioned committees, are “independent” as that term is defined under the Nasdaq rules for purposes of serving on our Board and committees of our Board.</w:t>
      </w:r>
    </w:p>
    <w:p>
      <w:pPr>
        <w:pStyle w:val="TextBody"/>
        <w:bidi w:val="0"/>
        <w:spacing w:lineRule="auto" w:line="288" w:before="180" w:after="180"/>
        <w:ind w:left="0" w:right="0" w:hanging="360"/>
        <w:jc w:val="both"/>
        <w:rPr/>
      </w:pPr>
      <w:r>
        <w:rPr>
          <w:color w:val="000000"/>
        </w:rPr>
        <w:t>•</w:t>
      </w:r>
      <w:r>
        <w:rPr>
          <w:rFonts w:ascii="Lato;sans-serif" w:hAnsi="Lato;sans-serif"/>
          <w:b/>
          <w:color w:val="000000"/>
          <w:sz w:val="20"/>
        </w:rPr>
        <w:t>Adoption of Stock Ownership Guidelines</w:t>
      </w:r>
      <w:r>
        <w:rPr>
          <w:rFonts w:ascii="Lato;sans-serif" w:hAnsi="Lato;sans-serif"/>
          <w:b w:val="false"/>
          <w:color w:val="000000"/>
          <w:sz w:val="20"/>
        </w:rPr>
        <w:t>: In 2023, in an effort to further align management and shareholder interests, our Board adopted stock ownership guidelines pursuant to which non-employee directors and executive officers are required to own shares of the Company’s common stock that have a fair market value equal to a multiple of the individual’s base salary or, in the case of a non-employee director, a multiple of the cash annual retainer paid to the non-employee director by the Company. The stock ownership guidelines are described below in the “</w:t>
      </w:r>
      <w:hyperlink w:anchor="ibe598ee2c35542eb888ca215dcc0528e_97">
        <w:r>
          <w:rPr>
            <w:rStyle w:val="InternetLink"/>
            <w:rFonts w:ascii="Lato;sans-serif" w:hAnsi="Lato;sans-serif"/>
            <w:b w:val="false"/>
            <w:color w:val="0000FF"/>
            <w:sz w:val="20"/>
            <w:u w:val="single"/>
          </w:rPr>
          <w:t>Executive Compensation Discussion and Analysis</w:t>
        </w:r>
      </w:hyperlink>
      <w:r>
        <w:rPr>
          <w:color w:val="000000"/>
        </w:rPr>
        <w:t xml:space="preserve">” </w:t>
      </w:r>
      <w:r>
        <w:rPr>
          <w:rFonts w:ascii="Lato;sans-serif" w:hAnsi="Lato;sans-serif"/>
          <w:b w:val="false"/>
          <w:color w:val="000000"/>
          <w:sz w:val="20"/>
        </w:rPr>
        <w:t>section of this proxy statement under “</w:t>
      </w:r>
      <w:r>
        <w:rPr>
          <w:rFonts w:ascii="Lato;sans-serif" w:hAnsi="Lato;sans-serif"/>
          <w:b w:val="false"/>
          <w:i/>
          <w:color w:val="000000"/>
          <w:sz w:val="20"/>
        </w:rPr>
        <w:t>Other Compensation Policies and Practices.</w:t>
      </w:r>
      <w:r>
        <w:rPr>
          <w:color w:val="000000"/>
        </w:rPr>
        <w:t>”</w:t>
      </w:r>
    </w:p>
    <w:p>
      <w:pPr>
        <w:pStyle w:val="TextBody"/>
        <w:bidi w:val="0"/>
        <w:spacing w:lineRule="auto" w:line="288" w:before="180" w:after="180"/>
        <w:ind w:left="0" w:right="0" w:hanging="360"/>
        <w:jc w:val="both"/>
        <w:rPr/>
      </w:pPr>
      <w:r>
        <w:rPr>
          <w:color w:val="000000"/>
        </w:rPr>
        <w:t>•</w:t>
      </w:r>
      <w:r>
        <w:rPr>
          <w:rFonts w:ascii="Lato;sans-serif" w:hAnsi="Lato;sans-serif"/>
          <w:b/>
          <w:color w:val="000000"/>
          <w:sz w:val="20"/>
        </w:rPr>
        <w:t>Commitment to Privacy and Customer Trust</w:t>
      </w:r>
      <w:r>
        <w:rPr>
          <w:rFonts w:ascii="Lato;sans-serif" w:hAnsi="Lato;sans-serif"/>
          <w:b w:val="false"/>
          <w:color w:val="000000"/>
          <w:sz w:val="20"/>
        </w:rPr>
        <w:t>: We are committed to data privacy and security and founded on our customers’ trust in our data. Our company-wide privacy policies and practices have been certified under TrustArc’s Enterprise Privacy and Data Governance Practices. We have also achieved CCPA and GDPR validations from TrustArc. Our ISO 27701 certification assures our stakeholders that processes are in place to protect their data and personal information. Finally, we are also certified under the EUU.S. and Swiss-US Data Privacy Frameworks, including the UK Extension to the EU-U.S. Data Privacy Framework. The Privacy, Security and Technology Committee of our Board of Directors meets quarterly and oversees our major risk exposures relating to privacy, cybersecurity, and technology, and the steps the Company takes to detect, monitor, and actively manage those exposures. Our chief compliance officer manages our privacy function and reports directly to our Chief Executive Officer. Our chief compliance officer, chief security officer, chief technology officer, and other members of management provide updates and analysis regarding data privacy and security topics to the Privacy, Security and Technology Committee at each meeting. In addition, our privacy and legal teams are focused on applicable privacy laws and regulations and monitor changes to such laws and regulations with a view to implementing what we believe are best practices in the industry.</w:t>
      </w:r>
    </w:p>
    <w:p>
      <w:pPr>
        <w:pStyle w:val="TextBody"/>
        <w:bidi w:val="0"/>
        <w:spacing w:lineRule="auto" w:line="288" w:before="180" w:after="180"/>
        <w:ind w:left="0" w:right="0" w:hanging="360"/>
        <w:jc w:val="both"/>
        <w:rPr/>
      </w:pPr>
      <w:r>
        <w:rPr>
          <w:color w:val="000000"/>
        </w:rPr>
        <w:t>•</w:t>
      </w:r>
      <w:r>
        <w:rPr>
          <w:rFonts w:ascii="Lato;sans-serif" w:hAnsi="Lato;sans-serif"/>
          <w:b/>
          <w:color w:val="000000"/>
          <w:sz w:val="20"/>
        </w:rPr>
        <w:t>Stockholder Engagement Program</w:t>
      </w:r>
      <w:r>
        <w:rPr>
          <w:rFonts w:ascii="Lato;sans-serif" w:hAnsi="Lato;sans-serif"/>
          <w:b w:val="false"/>
          <w:color w:val="000000"/>
          <w:sz w:val="20"/>
        </w:rPr>
        <w:t>: We believe that effective corporate governance includes regular, constructive conversations with our stockholders. We are committed to maintaining an active dialogue to understand the priorities of our stockholders and believe that ongoing engagement builds mutual trust and understanding. Both active and prospective stockholder engagement and feedback are important components of our corporate governance practices and inform our decisions and programs. In 2023, members of our management team held more than 500 meetings with current and prospective stockholders. These included meetings with approximately 72%, 80% and 100% of our top 50, 25 and 10 active investors, respectively. Discussions with investors help ensure that our Board’s decisions are informed by stockholder perspectives.</w:t>
      </w:r>
    </w:p>
    <w:p>
      <w:pPr>
        <w:pStyle w:val="TextBody"/>
        <w:bidi w:val="0"/>
        <w:spacing w:lineRule="auto" w:line="288" w:before="0" w:after="0"/>
        <w:ind w:left="0" w:right="0" w:hanging="360"/>
        <w:jc w:val="both"/>
        <w:rPr/>
      </w:pPr>
      <w:r>
        <w:rPr>
          <w:color w:val="000000"/>
        </w:rPr>
        <w:t>•</w:t>
      </w:r>
      <w:r>
        <w:rPr>
          <w:rFonts w:ascii="Lato;sans-serif" w:hAnsi="Lato;sans-serif"/>
          <w:b/>
          <w:color w:val="000000"/>
          <w:sz w:val="20"/>
        </w:rPr>
        <w:t>Commitment to Board Diversity</w:t>
      </w:r>
      <w:r>
        <w:rPr>
          <w:rFonts w:ascii="Lato;sans-serif" w:hAnsi="Lato;sans-serif"/>
          <w:b w:val="false"/>
          <w:color w:val="000000"/>
          <w:sz w:val="20"/>
        </w:rPr>
        <w:t>: We continually seek to prioritize opportunities for the appointment of qualified candidates to increase diversity on our Board. During 2023, the Board was actively seeking, and continues to actively seek, additional directors who satisfy Nasdaq and SEC independence requirements and increase diversity, including with respect to gender, racial and ethnic diversity, among our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2425"/>
                <wp:effectExtent l="0" t="0" r="0" b="0"/>
                <wp:wrapNone/>
                <wp:docPr id="25" name="Frame2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Commitment to Sustainability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Audit Committee of our Board of Directors oversees the Company’s ESG related strategy, policies, practices, risk assessment and management, and public disclosures, in accordance with its charter. During 2023, we launched a program to evaluate our ESG practices and conducted a sustainability materiality assessment. In February 2024, we published our third annual sustainability report, which is available on our sustainability page at https://ir.zoominfo.com/sustainability. In the sustainability report, we provided updates on several ESG initiatives:</w:t>
      </w:r>
    </w:p>
    <w:tbl>
      <w:tblPr>
        <w:tblW w:w="10205" w:type="dxa"/>
        <w:jc w:val="left"/>
        <w:tblInd w:w="0" w:type="dxa"/>
        <w:tblLayout w:type="fixed"/>
        <w:tblCellMar>
          <w:top w:w="28" w:type="dxa"/>
          <w:left w:w="28" w:type="dxa"/>
          <w:bottom w:w="28" w:type="dxa"/>
          <w:right w:w="28" w:type="dxa"/>
        </w:tblCellMar>
      </w:tblPr>
      <w:tblGrid>
        <w:gridCol w:w="2216"/>
        <w:gridCol w:w="1949"/>
        <w:gridCol w:w="1954"/>
        <w:gridCol w:w="109"/>
        <w:gridCol w:w="109"/>
        <w:gridCol w:w="109"/>
        <w:gridCol w:w="109"/>
        <w:gridCol w:w="109"/>
        <w:gridCol w:w="109"/>
        <w:gridCol w:w="1002"/>
        <w:gridCol w:w="1002"/>
        <w:gridCol w:w="1428"/>
      </w:tblGrid>
      <w:tr>
        <w:trPr/>
        <w:tc>
          <w:tcPr>
            <w:tcW w:w="221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0"/>
              <w:jc w:val="left"/>
              <w:rPr>
                <w:rFonts w:ascii="Lato;sans-serif" w:hAnsi="Lato;sans-serif"/>
                <w:b/>
                <w:color w:val="000000"/>
                <w:sz w:val="24"/>
              </w:rPr>
            </w:pPr>
            <w:r>
              <w:rPr>
                <w:rFonts w:ascii="Lato;sans-serif" w:hAnsi="Lato;sans-serif"/>
                <w:b/>
                <w:color w:val="000000"/>
                <w:sz w:val="24"/>
              </w:rPr>
              <w:t>Social</w:t>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60"/>
              <w:jc w:val="left"/>
              <w:rPr>
                <w:rFonts w:ascii="Lato;sans-serif" w:hAnsi="Lato;sans-serif"/>
                <w:b/>
                <w:color w:val="000000"/>
                <w:sz w:val="20"/>
              </w:rPr>
            </w:pPr>
            <w:r>
              <w:rPr>
                <w:rFonts w:ascii="Lato;sans-serif" w:hAnsi="Lato;sans-serif"/>
                <w:b/>
                <w:color w:val="000000"/>
                <w:sz w:val="20"/>
              </w:rPr>
              <w:t>Short-term</w:t>
            </w:r>
          </w:p>
          <w:p>
            <w:pPr>
              <w:pStyle w:val="TableContents"/>
              <w:bidi w:val="0"/>
              <w:spacing w:lineRule="auto" w:line="240" w:before="0" w:after="80"/>
              <w:jc w:val="left"/>
              <w:rPr>
                <w:rFonts w:ascii="Lato;sans-serif" w:hAnsi="Lato;sans-serif"/>
                <w:b w:val="false"/>
                <w:color w:val="000000"/>
                <w:sz w:val="20"/>
              </w:rPr>
            </w:pPr>
            <w:r>
              <w:rPr>
                <w:rFonts w:ascii="Lato;sans-serif" w:hAnsi="Lato;sans-serif"/>
                <w:b w:val="false"/>
                <w:color w:val="000000"/>
                <w:sz w:val="20"/>
              </w:rPr>
              <w:t>(2023-2024)</w:t>
            </w:r>
          </w:p>
          <w:p>
            <w:pPr>
              <w:pStyle w:val="TableContents"/>
              <w:bidi w:val="0"/>
              <w:spacing w:lineRule="auto" w:line="240" w:before="0" w:after="0"/>
              <w:ind w:left="0" w:right="0" w:hanging="270"/>
              <w:jc w:val="left"/>
              <w:rPr/>
            </w:pPr>
            <w:r>
              <w:rPr>
                <w:color w:val="000000"/>
              </w:rPr>
              <w:t>•</w:t>
            </w:r>
            <w:r>
              <w:rPr>
                <w:rFonts w:ascii="Lato;sans-serif" w:hAnsi="Lato;sans-serif"/>
                <w:b w:val="false"/>
                <w:color w:val="000000"/>
                <w:sz w:val="20"/>
              </w:rPr>
              <w:t>Donate platform access, resources, and time to organizations that help make the communities where our employees live and work better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60"/>
              <w:jc w:val="left"/>
              <w:rPr>
                <w:rFonts w:ascii="Lato;sans-serif" w:hAnsi="Lato;sans-serif"/>
                <w:b/>
                <w:color w:val="000000"/>
                <w:sz w:val="20"/>
              </w:rPr>
            </w:pPr>
            <w:r>
              <w:rPr>
                <w:rFonts w:ascii="Lato;sans-serif" w:hAnsi="Lato;sans-serif"/>
                <w:b/>
                <w:color w:val="000000"/>
                <w:sz w:val="20"/>
              </w:rPr>
              <w:t>Long-term</w:t>
            </w:r>
          </w:p>
          <w:p>
            <w:pPr>
              <w:pStyle w:val="TableContents"/>
              <w:bidi w:val="0"/>
              <w:spacing w:lineRule="auto" w:line="240" w:before="0" w:after="80"/>
              <w:jc w:val="left"/>
              <w:rPr>
                <w:rFonts w:ascii="Lato;sans-serif" w:hAnsi="Lato;sans-serif"/>
                <w:b w:val="false"/>
                <w:color w:val="000000"/>
                <w:sz w:val="20"/>
              </w:rPr>
            </w:pPr>
            <w:r>
              <w:rPr>
                <w:rFonts w:ascii="Lato;sans-serif" w:hAnsi="Lato;sans-serif"/>
                <w:b w:val="false"/>
                <w:color w:val="000000"/>
                <w:sz w:val="20"/>
              </w:rPr>
              <w:t>(2024+)</w:t>
            </w:r>
          </w:p>
          <w:p>
            <w:pPr>
              <w:pStyle w:val="TableContents"/>
              <w:bidi w:val="0"/>
              <w:spacing w:lineRule="auto" w:line="240" w:before="0" w:after="0"/>
              <w:ind w:left="0" w:right="0" w:hanging="270"/>
              <w:jc w:val="left"/>
              <w:rPr/>
            </w:pPr>
            <w:r>
              <w:rPr>
                <w:color w:val="000000"/>
              </w:rPr>
              <w:t>•</w:t>
            </w:r>
            <w:r>
              <w:rPr>
                <w:rFonts w:ascii="Lato;sans-serif" w:hAnsi="Lato;sans-serif"/>
                <w:b w:val="false"/>
                <w:color w:val="000000"/>
                <w:sz w:val="20"/>
              </w:rPr>
              <w:t>Formalize Corporate Social Responsibility framework (2025 strategic plan)</w:t>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0"/>
              <w:jc w:val="left"/>
              <w:rPr>
                <w:rFonts w:ascii="Lato;sans-serif" w:hAnsi="Lato;sans-serif"/>
                <w:b/>
                <w:color w:val="000000"/>
                <w:sz w:val="24"/>
              </w:rPr>
            </w:pPr>
            <w:r>
              <w:rPr>
                <w:rFonts w:ascii="Lato;sans-serif" w:hAnsi="Lato;sans-serif"/>
                <w:b/>
                <w:color w:val="000000"/>
                <w:sz w:val="24"/>
              </w:rPr>
              <w:t>Governance</w:t>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60"/>
              <w:jc w:val="left"/>
              <w:rPr>
                <w:rFonts w:ascii="Lato;sans-serif" w:hAnsi="Lato;sans-serif"/>
                <w:b/>
                <w:color w:val="000000"/>
                <w:sz w:val="20"/>
              </w:rPr>
            </w:pPr>
            <w:r>
              <w:rPr>
                <w:rFonts w:ascii="Lato;sans-serif" w:hAnsi="Lato;sans-serif"/>
                <w:b/>
                <w:color w:val="000000"/>
                <w:sz w:val="20"/>
              </w:rPr>
              <w:t>Short-term</w:t>
            </w:r>
          </w:p>
          <w:p>
            <w:pPr>
              <w:pStyle w:val="TableContents"/>
              <w:bidi w:val="0"/>
              <w:spacing w:lineRule="auto" w:line="240" w:before="0" w:after="80"/>
              <w:jc w:val="left"/>
              <w:rPr>
                <w:rFonts w:ascii="Lato;sans-serif" w:hAnsi="Lato;sans-serif"/>
                <w:b w:val="false"/>
                <w:color w:val="000000"/>
                <w:sz w:val="20"/>
              </w:rPr>
            </w:pPr>
            <w:r>
              <w:rPr>
                <w:rFonts w:ascii="Lato;sans-serif" w:hAnsi="Lato;sans-serif"/>
                <w:b w:val="false"/>
                <w:color w:val="000000"/>
                <w:sz w:val="20"/>
              </w:rPr>
              <w:t>(2023-2024)</w:t>
            </w:r>
          </w:p>
          <w:p>
            <w:pPr>
              <w:pStyle w:val="TableContents"/>
              <w:bidi w:val="0"/>
              <w:spacing w:lineRule="auto" w:line="240" w:before="0" w:after="0"/>
              <w:ind w:left="0" w:right="0" w:hanging="270"/>
              <w:jc w:val="left"/>
              <w:rPr/>
            </w:pPr>
            <w:r>
              <w:rPr>
                <w:color w:val="000000"/>
              </w:rPr>
              <w:t>•</w:t>
            </w:r>
            <w:r>
              <w:rPr>
                <w:rFonts w:ascii="Lato;sans-serif" w:hAnsi="Lato;sans-serif"/>
                <w:b w:val="false"/>
                <w:color w:val="000000"/>
                <w:sz w:val="20"/>
              </w:rPr>
              <w:t>Further align pay for performance, increasing the number of executives, and the portion of their compensation that is connected to company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60"/>
              <w:jc w:val="left"/>
              <w:rPr>
                <w:rFonts w:ascii="Lato;sans-serif" w:hAnsi="Lato;sans-serif"/>
                <w:b/>
                <w:color w:val="000000"/>
                <w:sz w:val="20"/>
              </w:rPr>
            </w:pPr>
            <w:r>
              <w:rPr>
                <w:rFonts w:ascii="Lato;sans-serif" w:hAnsi="Lato;sans-serif"/>
                <w:b/>
                <w:color w:val="000000"/>
                <w:sz w:val="20"/>
              </w:rPr>
              <w:t>Long-term</w:t>
            </w:r>
          </w:p>
          <w:p>
            <w:pPr>
              <w:pStyle w:val="TableContents"/>
              <w:bidi w:val="0"/>
              <w:spacing w:lineRule="auto" w:line="240" w:before="0" w:after="80"/>
              <w:jc w:val="left"/>
              <w:rPr>
                <w:rFonts w:ascii="Lato;sans-serif" w:hAnsi="Lato;sans-serif"/>
                <w:b w:val="false"/>
                <w:color w:val="000000"/>
                <w:sz w:val="20"/>
              </w:rPr>
            </w:pPr>
            <w:r>
              <w:rPr>
                <w:rFonts w:ascii="Lato;sans-serif" w:hAnsi="Lato;sans-serif"/>
                <w:b w:val="false"/>
                <w:color w:val="000000"/>
                <w:sz w:val="20"/>
              </w:rPr>
              <w:t>(2024+)</w:t>
            </w:r>
          </w:p>
          <w:p>
            <w:pPr>
              <w:pStyle w:val="TableContents"/>
              <w:bidi w:val="0"/>
              <w:spacing w:lineRule="auto" w:line="240" w:before="0" w:after="0"/>
              <w:ind w:left="0" w:right="0" w:hanging="270"/>
              <w:jc w:val="left"/>
              <w:rPr/>
            </w:pPr>
            <w:r>
              <w:rPr>
                <w:color w:val="000000"/>
              </w:rPr>
              <w:t>•</w:t>
            </w:r>
            <w:r>
              <w:rPr>
                <w:rFonts w:ascii="Lato;sans-serif" w:hAnsi="Lato;sans-serif"/>
                <w:b w:val="false"/>
                <w:color w:val="000000"/>
                <w:sz w:val="20"/>
              </w:rPr>
              <w:t>Increase Board of Directors diversity</w:t>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0"/>
              <w:jc w:val="left"/>
              <w:rPr>
                <w:rFonts w:ascii="Lato;sans-serif" w:hAnsi="Lato;sans-serif"/>
                <w:b/>
                <w:color w:val="000000"/>
                <w:sz w:val="24"/>
              </w:rPr>
            </w:pPr>
            <w:r>
              <w:rPr>
                <w:rFonts w:ascii="Lato;sans-serif" w:hAnsi="Lato;sans-serif"/>
                <w:b/>
                <w:color w:val="000000"/>
                <w:sz w:val="24"/>
              </w:rPr>
              <w:t>Environment</w:t>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60"/>
              <w:jc w:val="left"/>
              <w:rPr>
                <w:rFonts w:ascii="Lato;sans-serif" w:hAnsi="Lato;sans-serif"/>
                <w:b/>
                <w:color w:val="000000"/>
                <w:sz w:val="20"/>
              </w:rPr>
            </w:pPr>
            <w:r>
              <w:rPr>
                <w:rFonts w:ascii="Lato;sans-serif" w:hAnsi="Lato;sans-serif"/>
                <w:b/>
                <w:color w:val="000000"/>
                <w:sz w:val="20"/>
              </w:rPr>
              <w:t>Short-term</w:t>
            </w:r>
          </w:p>
          <w:p>
            <w:pPr>
              <w:pStyle w:val="TableContents"/>
              <w:bidi w:val="0"/>
              <w:spacing w:lineRule="auto" w:line="240" w:before="0" w:after="80"/>
              <w:jc w:val="left"/>
              <w:rPr>
                <w:rFonts w:ascii="Lato;sans-serif" w:hAnsi="Lato;sans-serif"/>
                <w:b w:val="false"/>
                <w:color w:val="000000"/>
                <w:sz w:val="20"/>
              </w:rPr>
            </w:pPr>
            <w:r>
              <w:rPr>
                <w:rFonts w:ascii="Lato;sans-serif" w:hAnsi="Lato;sans-serif"/>
                <w:b w:val="false"/>
                <w:color w:val="000000"/>
                <w:sz w:val="20"/>
              </w:rPr>
              <w:t>(2023-2024)</w:t>
            </w:r>
          </w:p>
          <w:p>
            <w:pPr>
              <w:pStyle w:val="TableContents"/>
              <w:bidi w:val="0"/>
              <w:spacing w:lineRule="auto" w:line="240" w:before="0" w:after="0"/>
              <w:ind w:left="0" w:right="0" w:hanging="270"/>
              <w:jc w:val="left"/>
              <w:rPr/>
            </w:pPr>
            <w:r>
              <w:rPr>
                <w:color w:val="000000"/>
              </w:rPr>
              <w:t>•</w:t>
            </w:r>
            <w:r>
              <w:rPr>
                <w:rFonts w:ascii="Lato;sans-serif" w:hAnsi="Lato;sans-serif"/>
                <w:b w:val="false"/>
                <w:color w:val="000000"/>
                <w:sz w:val="20"/>
              </w:rPr>
              <w:t>Begin offsetting the carbon impact of our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60"/>
              <w:jc w:val="left"/>
              <w:rPr>
                <w:rFonts w:ascii="Lato;sans-serif" w:hAnsi="Lato;sans-serif"/>
                <w:b/>
                <w:color w:val="000000"/>
                <w:sz w:val="20"/>
              </w:rPr>
            </w:pPr>
            <w:r>
              <w:rPr>
                <w:rFonts w:ascii="Lato;sans-serif" w:hAnsi="Lato;sans-serif"/>
                <w:b/>
                <w:color w:val="000000"/>
                <w:sz w:val="20"/>
              </w:rPr>
              <w:t>Long-term</w:t>
            </w:r>
          </w:p>
          <w:p>
            <w:pPr>
              <w:pStyle w:val="TableContents"/>
              <w:bidi w:val="0"/>
              <w:spacing w:lineRule="auto" w:line="240" w:before="0" w:after="80"/>
              <w:jc w:val="left"/>
              <w:rPr>
                <w:rFonts w:ascii="Lato;sans-serif" w:hAnsi="Lato;sans-serif"/>
                <w:b w:val="false"/>
                <w:color w:val="000000"/>
                <w:sz w:val="20"/>
              </w:rPr>
            </w:pPr>
            <w:r>
              <w:rPr>
                <w:rFonts w:ascii="Lato;sans-serif" w:hAnsi="Lato;sans-serif"/>
                <w:b w:val="false"/>
                <w:color w:val="000000"/>
                <w:sz w:val="20"/>
              </w:rPr>
              <w:t>(2024+)</w:t>
            </w:r>
          </w:p>
          <w:p>
            <w:pPr>
              <w:pStyle w:val="TableContents"/>
              <w:bidi w:val="0"/>
              <w:spacing w:lineRule="auto" w:line="240" w:before="0" w:after="0"/>
              <w:ind w:left="0" w:right="0" w:hanging="270"/>
              <w:jc w:val="left"/>
              <w:rPr/>
            </w:pPr>
            <w:r>
              <w:rPr>
                <w:color w:val="000000"/>
              </w:rPr>
              <w:t>•</w:t>
            </w:r>
            <w:r>
              <w:rPr>
                <w:rFonts w:ascii="Lato;sans-serif" w:hAnsi="Lato;sans-serif"/>
                <w:b w:val="false"/>
                <w:color w:val="000000"/>
                <w:sz w:val="20"/>
              </w:rPr>
              <w:t>Achieve Scope 1 and 2 carbon neutrality by 2025</w:t>
            </w:r>
          </w:p>
          <w:p>
            <w:pPr>
              <w:pStyle w:val="TableContents"/>
              <w:bidi w:val="0"/>
              <w:spacing w:lineRule="auto" w:line="240" w:before="0" w:after="0"/>
              <w:ind w:left="0" w:right="0" w:hanging="270"/>
              <w:jc w:val="left"/>
              <w:rPr/>
            </w:pPr>
            <w:r>
              <w:rPr>
                <w:color w:val="000000"/>
              </w:rPr>
              <w:t>•</w:t>
            </w:r>
            <w:r>
              <w:rPr>
                <w:rFonts w:ascii="Lato;sans-serif" w:hAnsi="Lato;sans-serif"/>
                <w:b w:val="false"/>
                <w:color w:val="000000"/>
                <w:sz w:val="20"/>
              </w:rPr>
              <w:t>Increase facilities’ LEED square footage</w:t>
            </w:r>
          </w:p>
        </w:tc>
      </w:tr>
      <w:tr>
        <w:trPr/>
        <w:tc>
          <w:tcPr>
            <w:tcW w:w="6119"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reference to our sustainability report and from our website is for convenience only, and the content in the report or from our website is not incorporated into this Proxy Statement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2425"/>
                <wp:effectExtent l="0" t="0" r="0" b="0"/>
                <wp:wrapNone/>
                <wp:docPr id="26" name="Frame2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cataloged a comprehensive list of sustainability materiality topics based on a review of internal and external sources, including:</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 xml:space="preserve">Our corporate mission, values, business model, strategic plan, policies, charters, and sustainability strategy; </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ESG reporting frameworks, including the Sustainability Accounting Standards Board (SASB), Task Force on Climate-Related Financial Disclosure (TCFD), UN Global Compact (UNGC), and the UN Sustainable Development Goals (UN SDGs);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ESG rating agency methodologies;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ESG materiality topics identified by our software industry peers;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ESG materiality topics identified by our shareholders; and</w:t>
      </w:r>
    </w:p>
    <w:p>
      <w:pPr>
        <w:pStyle w:val="TextBody"/>
        <w:bidi w:val="0"/>
        <w:spacing w:lineRule="auto" w:line="288" w:before="0" w:after="180"/>
        <w:ind w:left="0" w:right="0" w:hanging="360"/>
        <w:jc w:val="both"/>
        <w:rPr/>
      </w:pPr>
      <w:r>
        <w:rPr>
          <w:color w:val="000000"/>
        </w:rPr>
        <w:t>•</w:t>
      </w:r>
      <w:r>
        <w:rPr>
          <w:rFonts w:ascii="Lato;sans-serif" w:hAnsi="Lato;sans-serif"/>
          <w:b w:val="false"/>
          <w:color w:val="000000"/>
          <w:sz w:val="20"/>
        </w:rPr>
        <w:t>Guidance from our executive leadership, sustainability committee leadership, and employees.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consider the environmental, social, and governance topics below to be the most impactful to our long-term success and sustainability:</w:t>
      </w:r>
    </w:p>
    <w:tbl>
      <w:tblPr>
        <w:tblW w:w="10205" w:type="dxa"/>
        <w:jc w:val="left"/>
        <w:tblInd w:w="0" w:type="dxa"/>
        <w:tblLayout w:type="fixed"/>
        <w:tblCellMar>
          <w:top w:w="28" w:type="dxa"/>
          <w:left w:w="28" w:type="dxa"/>
          <w:bottom w:w="28" w:type="dxa"/>
          <w:right w:w="28" w:type="dxa"/>
        </w:tblCellMar>
      </w:tblPr>
      <w:tblGrid>
        <w:gridCol w:w="1357"/>
        <w:gridCol w:w="1192"/>
        <w:gridCol w:w="1198"/>
        <w:gridCol w:w="109"/>
        <w:gridCol w:w="109"/>
        <w:gridCol w:w="109"/>
        <w:gridCol w:w="1173"/>
        <w:gridCol w:w="1173"/>
        <w:gridCol w:w="1175"/>
        <w:gridCol w:w="109"/>
        <w:gridCol w:w="109"/>
        <w:gridCol w:w="109"/>
        <w:gridCol w:w="668"/>
        <w:gridCol w:w="668"/>
        <w:gridCol w:w="947"/>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1" w:before="0" w:after="80"/>
              <w:ind w:left="0" w:right="0" w:firstLine="180"/>
              <w:jc w:val="left"/>
              <w:rPr>
                <w:rFonts w:ascii="Lato;sans-serif" w:hAnsi="Lato;sans-serif"/>
                <w:b/>
                <w:color w:val="FFFFFF"/>
                <w:sz w:val="6"/>
              </w:rPr>
            </w:pPr>
            <w:r>
              <w:rPr>
                <w:rFonts w:ascii="Lato;sans-serif" w:hAnsi="Lato;sans-serif"/>
                <w:b/>
                <w:color w:val="FFFFFF"/>
                <w:sz w:val="6"/>
              </w:rPr>
              <w:t>.</w:t>
            </w:r>
          </w:p>
          <w:p>
            <w:pPr>
              <w:pStyle w:val="TableContents"/>
              <w:bidi w:val="0"/>
              <w:spacing w:lineRule="auto" w:line="288" w:before="0" w:after="180"/>
              <w:jc w:val="left"/>
              <w:rPr>
                <w:rFonts w:ascii="Lato;sans-serif" w:hAnsi="Lato;sans-serif"/>
                <w:b/>
                <w:color w:val="000000"/>
                <w:sz w:val="24"/>
              </w:rPr>
            </w:pPr>
            <w:r>
              <w:rPr>
                <w:rFonts w:ascii="Lato;sans-serif" w:hAnsi="Lato;sans-serif"/>
                <w:b/>
                <w:color w:val="000000"/>
                <w:sz w:val="24"/>
              </w:rPr>
              <w:t>Social</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Community Engagement, Philanthropy, &amp; Volunteerism</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Culture, Talent Attraction, Retention, &amp; Development</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Customer Satisfaction &amp; Relationship</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Diversity, Equity, &amp; Inclusion</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Health, Safety, &amp; Wellness</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Human Rights &amp; Labor</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80"/>
              <w:jc w:val="left"/>
              <w:rPr>
                <w:rFonts w:ascii="Lato;sans-serif" w:hAnsi="Lato;sans-serif"/>
                <w:b/>
                <w:color w:val="FFFFFF"/>
                <w:sz w:val="4"/>
              </w:rPr>
            </w:pPr>
            <w:r>
              <w:rPr>
                <w:rFonts w:ascii="Lato;sans-serif" w:hAnsi="Lato;sans-serif"/>
                <w:b/>
                <w:color w:val="FFFFFF"/>
                <w:sz w:val="4"/>
              </w:rPr>
              <w:t>.</w:t>
            </w:r>
          </w:p>
          <w:p>
            <w:pPr>
              <w:pStyle w:val="TableContents"/>
              <w:bidi w:val="0"/>
              <w:spacing w:lineRule="auto" w:line="288" w:before="0" w:after="180"/>
              <w:ind w:left="0" w:right="0" w:firstLine="180"/>
              <w:jc w:val="left"/>
              <w:rPr>
                <w:rFonts w:ascii="Lato;sans-serif" w:hAnsi="Lato;sans-serif"/>
                <w:b/>
                <w:color w:val="000000"/>
                <w:sz w:val="24"/>
              </w:rPr>
            </w:pPr>
            <w:r>
              <w:rPr>
                <w:rFonts w:ascii="Lato;sans-serif" w:hAnsi="Lato;sans-serif"/>
                <w:b/>
                <w:color w:val="000000"/>
                <w:sz w:val="24"/>
              </w:rPr>
              <w:t>Governance</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Corporate Efficiency</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Governance &amp; Ethics</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Privacy &amp; Data Security</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Product Governance, Innovation, &amp; Technology</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Risk Management</w:t>
            </w:r>
          </w:p>
          <w:p>
            <w:pPr>
              <w:pStyle w:val="TableContents"/>
              <w:bidi w:val="0"/>
              <w:spacing w:lineRule="auto" w:line="271" w:before="0" w:after="80"/>
              <w:ind w:left="0" w:right="0" w:hanging="270"/>
              <w:jc w:val="left"/>
              <w:rPr/>
            </w:pPr>
            <w:r>
              <w:rPr>
                <w:color w:val="000000"/>
              </w:rPr>
              <w:t>•</w:t>
            </w:r>
            <w:r>
              <w:rPr>
                <w:rFonts w:ascii="Lato;sans-serif" w:hAnsi="Lato;sans-serif"/>
                <w:b w:val="false"/>
                <w:color w:val="000000"/>
                <w:sz w:val="20"/>
              </w:rPr>
              <w:t>Supply Chain Management</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1" w:before="0" w:after="80"/>
              <w:jc w:val="left"/>
              <w:rPr>
                <w:rFonts w:ascii="Lato;sans-serif" w:hAnsi="Lato;sans-serif"/>
                <w:b/>
                <w:color w:val="FFFFFF"/>
                <w:sz w:val="4"/>
              </w:rPr>
            </w:pPr>
            <w:r>
              <w:rPr>
                <w:rFonts w:ascii="Lato;sans-serif" w:hAnsi="Lato;sans-serif"/>
                <w:b/>
                <w:color w:val="FFFFFF"/>
                <w:sz w:val="4"/>
              </w:rPr>
              <w:t>.</w:t>
            </w:r>
          </w:p>
          <w:p>
            <w:pPr>
              <w:pStyle w:val="TableContents"/>
              <w:bidi w:val="0"/>
              <w:spacing w:lineRule="auto" w:line="288" w:before="0" w:after="180"/>
              <w:ind w:left="0" w:right="0" w:firstLine="180"/>
              <w:jc w:val="left"/>
              <w:rPr>
                <w:rFonts w:ascii="Lato;sans-serif" w:hAnsi="Lato;sans-serif"/>
                <w:b/>
                <w:color w:val="000000"/>
                <w:sz w:val="24"/>
              </w:rPr>
            </w:pPr>
            <w:r>
              <w:rPr>
                <w:rFonts w:ascii="Lato;sans-serif" w:hAnsi="Lato;sans-serif"/>
                <w:b/>
                <w:color w:val="000000"/>
                <w:sz w:val="24"/>
              </w:rPr>
              <w:t>Environmental</w:t>
            </w:r>
          </w:p>
          <w:p>
            <w:pPr>
              <w:pStyle w:val="TableContents"/>
              <w:bidi w:val="0"/>
              <w:spacing w:lineRule="auto" w:line="256" w:before="0" w:after="80"/>
              <w:ind w:left="0" w:right="0" w:hanging="270"/>
              <w:jc w:val="left"/>
              <w:rPr/>
            </w:pPr>
            <w:r>
              <w:rPr>
                <w:color w:val="000000"/>
              </w:rPr>
              <w:t>•</w:t>
            </w:r>
            <w:r>
              <w:rPr>
                <w:rFonts w:ascii="Lato;sans-serif" w:hAnsi="Lato;sans-serif"/>
                <w:b w:val="false"/>
                <w:color w:val="000000"/>
                <w:sz w:val="20"/>
              </w:rPr>
              <w:t>Energy &amp; Emission</w:t>
            </w:r>
          </w:p>
          <w:p>
            <w:pPr>
              <w:pStyle w:val="TableContents"/>
              <w:bidi w:val="0"/>
              <w:spacing w:lineRule="auto" w:line="256" w:before="0" w:after="80"/>
              <w:ind w:left="0" w:right="0" w:hanging="270"/>
              <w:jc w:val="left"/>
              <w:rPr/>
            </w:pPr>
            <w:r>
              <w:rPr>
                <w:color w:val="000000"/>
              </w:rPr>
              <w:t>•</w:t>
            </w:r>
            <w:r>
              <w:rPr>
                <w:rFonts w:ascii="Lato;sans-serif" w:hAnsi="Lato;sans-serif"/>
                <w:b w:val="false"/>
                <w:color w:val="000000"/>
                <w:sz w:val="20"/>
              </w:rPr>
              <w:t>Natural Resources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Board Leadership Structure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Corporate Governance Guidelines provide that whenever the Chairman of our Board is also the Chief Executive Officer or is a director who does not otherwise qualify as an “independent director,” the independent directors may, but are not obligated to, elect from among themselves a Lead Director. The independent directors have not elected a Lead Director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2425"/>
                <wp:effectExtent l="0" t="0" r="0" b="0"/>
                <wp:wrapNone/>
                <wp:docPr id="27" name="Frame2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Factors that our Board considers in reviewing its leadership structure and making these determinations include, but are not limited to, the current composition of the Board, the policies and practices in place to provide independent Board oversight of management, the Company’s circumstances, and the views of our stockholders and other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Compensation Committee Interlocks and Insider Participation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members of our Compensation Committee during 2023 included Messrs. Crockett, McCarter, and Winn. None of the members of our Compensation Committee during 2023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Board Diversity Matrix</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sets forth Board level diversity statistics based on self-identification of members of our Board as of March 29, 2024.</w:t>
      </w:r>
    </w:p>
    <w:tbl>
      <w:tblPr>
        <w:tblW w:w="10205" w:type="dxa"/>
        <w:jc w:val="left"/>
        <w:tblInd w:w="0" w:type="dxa"/>
        <w:tblLayout w:type="fixed"/>
        <w:tblCellMar>
          <w:top w:w="28" w:type="dxa"/>
          <w:left w:w="28" w:type="dxa"/>
          <w:bottom w:w="28" w:type="dxa"/>
          <w:right w:w="28" w:type="dxa"/>
        </w:tblCellMar>
      </w:tblPr>
      <w:tblGrid>
        <w:gridCol w:w="1569"/>
        <w:gridCol w:w="1139"/>
        <w:gridCol w:w="1145"/>
        <w:gridCol w:w="451"/>
        <w:gridCol w:w="451"/>
        <w:gridCol w:w="343"/>
        <w:gridCol w:w="451"/>
        <w:gridCol w:w="312"/>
        <w:gridCol w:w="290"/>
        <w:gridCol w:w="559"/>
        <w:gridCol w:w="559"/>
        <w:gridCol w:w="561"/>
        <w:gridCol w:w="721"/>
        <w:gridCol w:w="721"/>
        <w:gridCol w:w="933"/>
      </w:tblGrid>
      <w:tr>
        <w:trPr/>
        <w:tc>
          <w:tcPr>
            <w:tcW w:w="156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4" w:space="0" w:color="000000"/>
            </w:tcBorders>
            <w:shd w:fill="F44238" w:val="clear"/>
            <w:tcMar>
              <w:top w:w="0" w:type="dxa"/>
              <w:left w:w="0" w:type="dxa"/>
              <w:bottom w:w="3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Board Diversity Matrix as of March 29, 2024</w:t>
            </w:r>
          </w:p>
        </w:tc>
      </w:tr>
      <w:tr>
        <w:trPr/>
        <w:tc>
          <w:tcPr>
            <w:tcW w:w="385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Total Number of Directors</w:t>
            </w:r>
            <w:r>
              <w:rPr>
                <w:rFonts w:ascii="Lato;sans-serif" w:hAnsi="Lato;sans-serif"/>
                <w:b w:val="false"/>
                <w:color w:val="000000"/>
                <w:sz w:val="13"/>
              </w:rPr>
              <w:t>(1)</w:t>
            </w:r>
          </w:p>
        </w:tc>
        <w:tc>
          <w:tcPr>
            <w:tcW w:w="6352" w:type="dxa"/>
            <w:gridSpan w:val="1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9</w:t>
            </w:r>
          </w:p>
        </w:tc>
      </w:tr>
      <w:tr>
        <w:trPr/>
        <w:tc>
          <w:tcPr>
            <w:tcW w:w="38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Female</w:t>
            </w:r>
          </w:p>
        </w:tc>
        <w:tc>
          <w:tcPr>
            <w:tcW w:w="10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Male</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Non-Binary</w:t>
            </w:r>
          </w:p>
        </w:tc>
        <w:tc>
          <w:tcPr>
            <w:tcW w:w="2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Did Not Disclose Gender</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Lato;sans-serif" w:hAnsi="Lato;sans-serif"/>
                <w:b/>
                <w:color w:val="000000"/>
                <w:sz w:val="20"/>
              </w:rPr>
            </w:pPr>
            <w:r>
              <w:rPr>
                <w:rFonts w:ascii="Lato;sans-serif" w:hAnsi="Lato;sans-serif"/>
                <w:b/>
                <w:color w:val="000000"/>
                <w:sz w:val="20"/>
              </w:rPr>
              <w:t>Part I: Gender Identity</w:t>
            </w:r>
          </w:p>
        </w:tc>
      </w:tr>
      <w:tr>
        <w:trPr/>
        <w:tc>
          <w:tcPr>
            <w:tcW w:w="3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Directors</w:t>
            </w:r>
          </w:p>
        </w:tc>
        <w:tc>
          <w:tcPr>
            <w:tcW w:w="1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w:t>
            </w:r>
          </w:p>
        </w:tc>
        <w:tc>
          <w:tcPr>
            <w:tcW w:w="10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Lato;sans-serif" w:hAnsi="Lato;sans-serif"/>
                <w:b/>
                <w:color w:val="000000"/>
                <w:sz w:val="20"/>
              </w:rPr>
            </w:pPr>
            <w:r>
              <w:rPr>
                <w:rFonts w:ascii="Lato;sans-serif" w:hAnsi="Lato;sans-serif"/>
                <w:b/>
                <w:color w:val="000000"/>
                <w:sz w:val="20"/>
              </w:rPr>
              <w:t>Part II: Demographic Background</w:t>
            </w:r>
          </w:p>
        </w:tc>
      </w:tr>
      <w:tr>
        <w:trPr/>
        <w:tc>
          <w:tcPr>
            <w:tcW w:w="3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African American or Black</w:t>
            </w:r>
          </w:p>
        </w:tc>
        <w:tc>
          <w:tcPr>
            <w:tcW w:w="1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0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Alaskan Native or Native American</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Asian</w:t>
            </w:r>
          </w:p>
        </w:tc>
        <w:tc>
          <w:tcPr>
            <w:tcW w:w="1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0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Hispanic or Latinx</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Native Hawaiian or Pacific Islander</w:t>
            </w:r>
          </w:p>
        </w:tc>
        <w:tc>
          <w:tcPr>
            <w:tcW w:w="1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0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White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Two or More Races or Ethnicities</w:t>
            </w:r>
          </w:p>
        </w:tc>
        <w:tc>
          <w:tcPr>
            <w:tcW w:w="12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0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w:t>
            </w:r>
          </w:p>
        </w:tc>
        <w:tc>
          <w:tcPr>
            <w:tcW w:w="23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LGBTQ+</w:t>
            </w:r>
          </w:p>
        </w:tc>
        <w:tc>
          <w:tcPr>
            <w:tcW w:w="635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0</w:t>
            </w:r>
          </w:p>
        </w:tc>
      </w:tr>
      <w:tr>
        <w:trPr/>
        <w:tc>
          <w:tcPr>
            <w:tcW w:w="38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Did Not Disclose Demographic Background</w:t>
            </w:r>
          </w:p>
        </w:tc>
        <w:tc>
          <w:tcPr>
            <w:tcW w:w="6352"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Lato;sans-serif" w:hAnsi="Lato;sans-serif"/>
                <w:b w:val="false"/>
                <w:color w:val="000000"/>
                <w:sz w:val="20"/>
              </w:rPr>
            </w:pPr>
            <w:r>
              <w:rPr>
                <w:rFonts w:ascii="Lato;sans-serif" w:hAnsi="Lato;sans-serif"/>
                <w:b w:val="false"/>
                <w:color w:val="000000"/>
                <w:sz w:val="20"/>
              </w:rPr>
              <w:t>2</w:t>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Directors who identify as Middle Eastern</w:t>
            </w:r>
          </w:p>
        </w:tc>
        <w:tc>
          <w:tcPr>
            <w:tcW w:w="635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w:t>
            </w:r>
          </w:p>
        </w:tc>
      </w:tr>
      <w:tr>
        <w:trPr/>
        <w:tc>
          <w:tcPr>
            <w:tcW w:w="10205" w:type="dxa"/>
            <w:gridSpan w:val="15"/>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Lato;sans-serif" w:hAnsi="Lato;sans-serif"/>
                <w:b w:val="false"/>
                <w:color w:val="000000"/>
                <w:sz w:val="13"/>
              </w:rPr>
              <w:t>(1)</w:t>
            </w:r>
            <w:r>
              <w:rPr>
                <w:color w:val="000000"/>
              </w:rPr>
              <w:t xml:space="preserve"> </w:t>
            </w:r>
            <w:r>
              <w:rPr>
                <w:rFonts w:ascii="Lato;sans-serif" w:hAnsi="Lato;sans-serif"/>
                <w:b w:val="false"/>
                <w:color w:val="000000"/>
                <w:sz w:val="20"/>
              </w:rPr>
              <w:t>This table includes Mr. Dhruv, who is not standing for re-election at the Annual Meeting. Effective upon the expiration of Mr. Dhruv’s term as a director at the conclusion of the Annual Meeting, we will reduce the size of our board from nine directors to eight directors.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Executive Sessions</w:t>
      </w:r>
    </w:p>
    <w:p>
      <w:pPr>
        <w:pStyle w:val="TextBody"/>
        <w:bidi w:val="0"/>
        <w:spacing w:lineRule="auto" w:line="288" w:before="180" w:after="180"/>
        <w:jc w:val="both"/>
        <w:rPr/>
      </w:pPr>
      <w:r>
        <w:rPr>
          <w:rFonts w:ascii="Lato;sans-serif" w:hAnsi="Lato;sans-serif"/>
          <w:b w:val="false"/>
          <w:color w:val="000000"/>
          <w:sz w:val="20"/>
        </w:rPr>
        <w:t xml:space="preserve">Executive sessions, which are meetings of the non-management members of the Board, are regularly scheduled throughout the year. In addition, </w:t>
      </w:r>
      <w:r>
        <w:rPr>
          <w:rFonts w:ascii="Lato;sans-serif" w:hAnsi="Lato;sans-serif"/>
          <w:b w:val="false"/>
          <w:color w:val="000000"/>
          <w:sz w:val="20"/>
          <w:shd w:fill="FFFFFF" w:val="clear"/>
        </w:rPr>
        <w:t>at each regularly scheduled Board meeting (and in any event at least twice per year)</w:t>
      </w:r>
      <w:r>
        <w:rPr>
          <w:rFonts w:ascii="Lato;sans-serif" w:hAnsi="Lato;sans-serif"/>
          <w:b w:val="false"/>
          <w:color w:val="000000"/>
          <w:sz w:val="20"/>
        </w:rPr>
        <w:t>, the independent directors meet in a private session that excludes management and any non-independent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2425"/>
                <wp:effectExtent l="0" t="0" r="0" b="0"/>
                <wp:wrapNone/>
                <wp:docPr id="28" name="Frame2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Communications with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805 Broadway Street, Suite 900, Vancouver, Washington 98660, who will forward such communication to the appropriate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Board Committees and Meetings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summarizes the current membership of each of the Board’s committees and the number of meetings held by each committee during the year ended December 31, 2023.</w:t>
      </w:r>
    </w:p>
    <w:tbl>
      <w:tblPr>
        <w:tblW w:w="10205" w:type="dxa"/>
        <w:jc w:val="left"/>
        <w:tblInd w:w="0" w:type="dxa"/>
        <w:tblLayout w:type="fixed"/>
        <w:tblCellMar>
          <w:top w:w="28" w:type="dxa"/>
          <w:left w:w="28" w:type="dxa"/>
          <w:bottom w:w="28" w:type="dxa"/>
          <w:right w:w="28" w:type="dxa"/>
        </w:tblCellMar>
      </w:tblPr>
      <w:tblGrid>
        <w:gridCol w:w="662"/>
        <w:gridCol w:w="407"/>
        <w:gridCol w:w="409"/>
        <w:gridCol w:w="115"/>
        <w:gridCol w:w="115"/>
        <w:gridCol w:w="115"/>
        <w:gridCol w:w="495"/>
        <w:gridCol w:w="495"/>
        <w:gridCol w:w="496"/>
        <w:gridCol w:w="115"/>
        <w:gridCol w:w="115"/>
        <w:gridCol w:w="115"/>
        <w:gridCol w:w="592"/>
        <w:gridCol w:w="592"/>
        <w:gridCol w:w="593"/>
        <w:gridCol w:w="115"/>
        <w:gridCol w:w="115"/>
        <w:gridCol w:w="115"/>
        <w:gridCol w:w="650"/>
        <w:gridCol w:w="650"/>
        <w:gridCol w:w="652"/>
        <w:gridCol w:w="115"/>
        <w:gridCol w:w="115"/>
        <w:gridCol w:w="115"/>
        <w:gridCol w:w="621"/>
        <w:gridCol w:w="621"/>
        <w:gridCol w:w="890"/>
      </w:tblGrid>
      <w:tr>
        <w:trPr/>
        <w:tc>
          <w:tcPr>
            <w:tcW w:w="66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345" w:type="dxa"/>
            <w:gridSpan w:val="3"/>
            <w:tcBorders/>
            <w:shd w:fill="F44238" w:val="clear"/>
            <w:tcMar>
              <w:top w:w="0" w:type="dxa"/>
              <w:left w:w="0" w:type="dxa"/>
              <w:bottom w:w="0" w:type="dxa"/>
              <w:right w:w="0" w:type="dxa"/>
            </w:tcMar>
            <w:vAlign w:val="center"/>
          </w:tcPr>
          <w:p>
            <w:pPr>
              <w:pStyle w:val="TableContents"/>
              <w:bidi w:val="0"/>
              <w:spacing w:before="0" w:after="0"/>
              <w:jc w:val="left"/>
              <w:rPr/>
            </w:pPr>
            <w:r>
              <w:rPr/>
            </w:r>
          </w:p>
        </w:tc>
        <w:tc>
          <w:tcPr>
            <w:tcW w:w="148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Audit</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(1)</w:t>
            </w:r>
          </w:p>
        </w:tc>
        <w:tc>
          <w:tcPr>
            <w:tcW w:w="345" w:type="dxa"/>
            <w:gridSpan w:val="3"/>
            <w:tcBorders/>
            <w:shd w:fill="F44238" w:val="clear"/>
            <w:tcMar>
              <w:top w:w="0" w:type="dxa"/>
              <w:left w:w="0" w:type="dxa"/>
              <w:bottom w:w="0" w:type="dxa"/>
              <w:right w:w="0" w:type="dxa"/>
            </w:tcMar>
            <w:vAlign w:val="center"/>
          </w:tcPr>
          <w:p>
            <w:pPr>
              <w:pStyle w:val="TableContents"/>
              <w:bidi w:val="0"/>
              <w:spacing w:before="0" w:after="0"/>
              <w:jc w:val="left"/>
              <w:rPr/>
            </w:pPr>
            <w:r>
              <w:rPr/>
            </w:r>
          </w:p>
        </w:tc>
        <w:tc>
          <w:tcPr>
            <w:tcW w:w="177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Compensation</w:t>
            </w:r>
          </w:p>
          <w:p>
            <w:pPr>
              <w:pStyle w:val="TableContents"/>
              <w:bidi w:val="0"/>
              <w:spacing w:lineRule="auto" w:line="240" w:before="0" w:after="0"/>
              <w:jc w:val="center"/>
              <w:rPr/>
            </w:pPr>
            <w:r>
              <w:rPr>
                <w:rFonts w:ascii="Lato;sans-serif" w:hAnsi="Lato;sans-serif"/>
                <w:b/>
                <w:color w:val="FFFFFF"/>
                <w:sz w:val="20"/>
              </w:rPr>
              <w:t>Committee</w:t>
            </w:r>
            <w:r>
              <w:rPr>
                <w:rFonts w:ascii="Lato;sans-serif" w:hAnsi="Lato;sans-serif"/>
                <w:b/>
                <w:color w:val="FFFFFF"/>
                <w:sz w:val="13"/>
              </w:rPr>
              <w:t>(2)</w:t>
            </w:r>
          </w:p>
        </w:tc>
        <w:tc>
          <w:tcPr>
            <w:tcW w:w="345" w:type="dxa"/>
            <w:gridSpan w:val="3"/>
            <w:tcBorders/>
            <w:shd w:fill="F44238" w:val="clear"/>
            <w:tcMar>
              <w:top w:w="0" w:type="dxa"/>
              <w:left w:w="0" w:type="dxa"/>
              <w:bottom w:w="0" w:type="dxa"/>
              <w:right w:w="0" w:type="dxa"/>
            </w:tcMar>
            <w:vAlign w:val="center"/>
          </w:tcPr>
          <w:p>
            <w:pPr>
              <w:pStyle w:val="TableContents"/>
              <w:bidi w:val="0"/>
              <w:spacing w:before="0" w:after="0"/>
              <w:jc w:val="left"/>
              <w:rPr/>
            </w:pPr>
            <w:r>
              <w:rPr/>
            </w:r>
          </w:p>
        </w:tc>
        <w:tc>
          <w:tcPr>
            <w:tcW w:w="1952"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Nominating and</w:t>
            </w:r>
          </w:p>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Corporate </w:t>
            </w:r>
          </w:p>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Governance</w:t>
            </w:r>
          </w:p>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Committee</w:t>
            </w:r>
          </w:p>
        </w:tc>
        <w:tc>
          <w:tcPr>
            <w:tcW w:w="345" w:type="dxa"/>
            <w:gridSpan w:val="3"/>
            <w:tcBorders/>
            <w:shd w:fill="F44238" w:val="clear"/>
            <w:tcMar>
              <w:top w:w="0" w:type="dxa"/>
              <w:left w:w="0" w:type="dxa"/>
              <w:bottom w:w="0" w:type="dxa"/>
              <w:right w:w="0" w:type="dxa"/>
            </w:tcMar>
            <w:vAlign w:val="center"/>
          </w:tcPr>
          <w:p>
            <w:pPr>
              <w:pStyle w:val="TableContents"/>
              <w:bidi w:val="0"/>
              <w:spacing w:before="0" w:after="0"/>
              <w:jc w:val="left"/>
              <w:rPr/>
            </w:pPr>
            <w:r>
              <w:rPr/>
            </w:r>
          </w:p>
        </w:tc>
        <w:tc>
          <w:tcPr>
            <w:tcW w:w="2132"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Privacy, Security and Technology Committee</w:t>
            </w:r>
          </w:p>
        </w:tc>
      </w:tr>
      <w:tr>
        <w:trPr/>
        <w:tc>
          <w:tcPr>
            <w:tcW w:w="14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Todd Crockett</w:t>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20"/>
              </w:rPr>
              <w:t>Mitesh Dhruv</w:t>
            </w:r>
            <w:r>
              <w:rPr>
                <w:rFonts w:ascii="Lato;sans-serif" w:hAnsi="Lato;sans-serif"/>
                <w:b w:val="false"/>
                <w:color w:val="000000"/>
                <w:sz w:val="13"/>
              </w:rPr>
              <w:t>(3)</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DBDBDB" w:val="clear"/>
            <w:tcMar>
              <w:top w:w="0" w:type="dxa"/>
              <w:left w:w="0" w:type="dxa"/>
              <w:bottom w:w="0" w:type="dxa"/>
              <w:right w:w="0" w:type="dxa"/>
            </w:tcMar>
            <w:vAlign w:val="center"/>
          </w:tcPr>
          <w:p>
            <w:pPr>
              <w:pStyle w:val="TableContents"/>
              <w:bidi w:val="0"/>
              <w:spacing w:before="0" w:after="0"/>
              <w:jc w:val="left"/>
              <w:rPr/>
            </w:pPr>
            <w:r>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Keith Enright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X</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r>
      <w:tr>
        <w:trPr/>
        <w:tc>
          <w:tcPr>
            <w:tcW w:w="1478"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Ashley Evans</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X</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Alison Gleeson</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Mark Mader</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Patrick McCarter</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X</w:t>
            </w:r>
          </w:p>
        </w:tc>
      </w:tr>
      <w:tr>
        <w:trPr/>
        <w:tc>
          <w:tcPr>
            <w:tcW w:w="1478"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Henry Schuck</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Randall Winn</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Chair</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X</w:t>
            </w:r>
          </w:p>
        </w:tc>
      </w:tr>
      <w:tr>
        <w:trPr/>
        <w:tc>
          <w:tcPr>
            <w:tcW w:w="1478"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Lato;sans-serif" w:hAnsi="Lato;sans-serif"/>
                <w:b w:val="false"/>
                <w:color w:val="000000"/>
                <w:sz w:val="20"/>
              </w:rPr>
            </w:pPr>
            <w:r>
              <w:rPr>
                <w:rFonts w:ascii="Lato;sans-serif" w:hAnsi="Lato;sans-serif"/>
                <w:b w:val="false"/>
                <w:color w:val="000000"/>
                <w:sz w:val="20"/>
              </w:rPr>
              <w:t>Number of meetings held in 2023:</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20"/>
              </w:rPr>
            </w:pPr>
            <w:r>
              <w:rPr>
                <w:rFonts w:ascii="Lato;sans-serif" w:hAnsi="Lato;sans-serif"/>
                <w:b/>
                <w:color w:val="000000"/>
                <w:sz w:val="20"/>
              </w:rPr>
              <w:t>6</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20"/>
              </w:rPr>
            </w:pPr>
            <w:r>
              <w:rPr>
                <w:rFonts w:ascii="Lato;sans-serif" w:hAnsi="Lato;sans-serif"/>
                <w:b/>
                <w:color w:val="000000"/>
                <w:sz w:val="20"/>
              </w:rPr>
              <w:t>4</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20"/>
              </w:rPr>
            </w:pPr>
            <w:r>
              <w:rPr>
                <w:rFonts w:ascii="Lato;sans-serif" w:hAnsi="Lato;sans-serif"/>
                <w:b/>
                <w:color w:val="000000"/>
                <w:sz w:val="20"/>
              </w:rPr>
              <w:t>4</w:t>
            </w:r>
          </w:p>
        </w:tc>
        <w:tc>
          <w:tcPr>
            <w:tcW w:w="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20"/>
              </w:rPr>
            </w:pPr>
            <w:r>
              <w:rPr>
                <w:rFonts w:ascii="Lato;sans-serif" w:hAnsi="Lato;sans-serif"/>
                <w:b/>
                <w:color w:val="000000"/>
                <w:sz w:val="20"/>
              </w:rPr>
              <w:t>4</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Lato;sans-serif" w:hAnsi="Lato;sans-serif"/>
                <w:b w:val="false"/>
                <w:color w:val="000000"/>
                <w:sz w:val="10"/>
              </w:rPr>
              <w:t>(1)</w:t>
            </w:r>
            <w:r>
              <w:rPr>
                <w:color w:val="000000"/>
              </w:rPr>
              <w:t xml:space="preserve"> </w:t>
            </w:r>
            <w:r>
              <w:rPr>
                <w:rFonts w:ascii="Lato;sans-serif" w:hAnsi="Lato;sans-serif"/>
                <w:b w:val="false"/>
                <w:color w:val="000000"/>
                <w:sz w:val="16"/>
              </w:rPr>
              <w:t>Effective January 1, 2024, Ms. Evans ceased to be a member of the Audit Committee.</w:t>
            </w:r>
          </w:p>
          <w:p>
            <w:pPr>
              <w:pStyle w:val="TableContents"/>
              <w:bidi w:val="0"/>
              <w:spacing w:lineRule="auto" w:line="288" w:before="0" w:after="0"/>
              <w:ind w:left="0" w:right="0" w:hanging="180"/>
              <w:jc w:val="left"/>
              <w:rPr/>
            </w:pPr>
            <w:r>
              <w:rPr>
                <w:rFonts w:ascii="Lato;sans-serif" w:hAnsi="Lato;sans-serif"/>
                <w:b w:val="false"/>
                <w:color w:val="000000"/>
                <w:sz w:val="10"/>
              </w:rPr>
              <w:t>(2)</w:t>
            </w:r>
            <w:r>
              <w:rPr>
                <w:color w:val="000000"/>
              </w:rPr>
              <w:t xml:space="preserve"> </w:t>
            </w:r>
            <w:r>
              <w:rPr>
                <w:rFonts w:ascii="Lato;sans-serif" w:hAnsi="Lato;sans-serif"/>
                <w:b w:val="false"/>
                <w:color w:val="000000"/>
                <w:sz w:val="16"/>
              </w:rPr>
              <w:t xml:space="preserve">Effective January 1, 2024, Ms. Evans replaced Mr. Crockett as a member of the Compensation Committee. </w:t>
            </w:r>
          </w:p>
          <w:p>
            <w:pPr>
              <w:pStyle w:val="TableContents"/>
              <w:bidi w:val="0"/>
              <w:spacing w:lineRule="auto" w:line="288" w:before="0" w:after="0"/>
              <w:ind w:left="0" w:right="0" w:hanging="180"/>
              <w:jc w:val="both"/>
              <w:rPr/>
            </w:pPr>
            <w:r>
              <w:rPr>
                <w:rFonts w:ascii="Lato;sans-serif" w:hAnsi="Lato;sans-serif"/>
                <w:b w:val="false"/>
                <w:color w:val="000000"/>
                <w:sz w:val="10"/>
              </w:rPr>
              <w:t>(3)</w:t>
            </w:r>
            <w:r>
              <w:rPr>
                <w:color w:val="000000"/>
              </w:rPr>
              <w:t xml:space="preserve"> </w:t>
            </w:r>
            <w:r>
              <w:rPr>
                <w:rFonts w:ascii="Lato;sans-serif" w:hAnsi="Lato;sans-serif"/>
                <w:b w:val="false"/>
                <w:color w:val="000000"/>
                <w:sz w:val="16"/>
              </w:rPr>
              <w:t xml:space="preserve">This table includes Mr. Dhruv, who is not standing for re-election at the Annual Meeting. Effective upon the expiration of Mr. Dhruv’s term as a director at the conclusion of the Annual Meeting, we will reduce the size of our board from nine directors to eight directors. </w:t>
            </w:r>
          </w:p>
        </w:tc>
      </w:tr>
    </w:tbl>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Directors are encouraged to attend our annual meetings of stockholders. Seven of our nine then-serving directors attended the annual meeting of stockholders in 2023. During the year ended December 31, 2023, the Board held ten meetings. In 2023, all of our then-serving directors attended at least 75% of the meetings of the Board and committees during the time in which they served as a member of the Board or such committee.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 xml:space="preserve">Audit Committee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Audit Committee consists of Mr. Dhruv, Mr. Enright, and Mr. Mader, with Mr. Dhruv serving as chair. Ms. Evans served on the Audit Committee until January 1, 2024. Mr. Dhruv is not standing for re-election to the Board of Directors and his term will expire at the conclusion of the Annual Meeting. At that time, Ms. Evans will re-join the Audit Committee and become its chair. All members of the Audit Committee, including Ms. Evans, have been determined to be “independent,” consistent with our Audit Committee charter, Corporate Governance Guidelines and the Nasdaq listing standards applicable to boards of directors in general and audit committees in particular. Our Board of Directors also has determined that each of Mr. Dhruv and Ms. Evans qualifies as an audit committee financial expert as defined by applicable Securities and Exchange Commission (“SEC”)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2425"/>
                <wp:effectExtent l="0" t="0" r="0" b="0"/>
                <wp:wrapNone/>
                <wp:docPr id="29" name="Frame2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19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Audit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Governance Highlights: Committee Charters: Audit Committee Charter, and include providing assistance to the Board with respect to its oversight of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03"/>
        <w:gridCol w:w="2653"/>
        <w:gridCol w:w="37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the quality and integrity of the Company’s financial statements, including oversight of the Company’s financial reporting processes and financial statement audits;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our compliance with legal and regulatory requirements applicable to financial statements and accounting and financial reporting processes;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the independent registered public accounting firm’s qualifications, performance and independence;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the performance of our internal audit function;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risk assessment and management, particularly with respect to financial risk exposure;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the Company’s environmental, social, and governance (“ESG”) related strategy, policies, practices, risk assessment and management, and public disclosures.</w:t>
            </w:r>
          </w:p>
        </w:tc>
      </w:tr>
    </w:tbl>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also prepares the report of the committee required by the rules and regulations of the SEC to be included in our annual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Compensation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Compensation Committee consists of Ms. Evans, Mr. McCarter, and Mr. Winn, with Mr. Winn serving as chair. All members of the Compensation Committee, including Mr. Crockett, who served on the Compensation Committee until January 1, 2024, have been determined to be “independent” as defined by our Corporate Governance Guidelines and the Nasdaq listing standards applicable to boards of directors in general and compensation committees in particular.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2425"/>
                <wp:effectExtent l="0" t="0" r="0" b="0"/>
                <wp:wrapNone/>
                <wp:docPr id="30" name="Frame2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Compensation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Governance Highlights: Committee Charters: Compensation Committee Charter. The Compensation Committee’s key functions include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23"/>
        <w:gridCol w:w="2599"/>
        <w:gridCol w:w="36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establishing and reviewing of the overall compensation philosophy of the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 on an annual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reviewing and approving, or making recommendations to the Board of Directors with respect to, the compensation of our other executive officers, including annual base salary, bonus and equity-based incentives, and other benefits;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reviewing and recommending the compensation of our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reviewing and making recommendations with respect to our equity compensation plans;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monitoring our regulatory compliance with respect to compensation matters.</w:t>
            </w:r>
          </w:p>
        </w:tc>
      </w:tr>
    </w:tbl>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Additionally, the Compensation Committee reviews and approves the Compensation Discussion and Analysis for inclusion in the annual proxy statement.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the plan and the laws of our state of incorporation. In addition, the Compensation Committee has the authority under its charter to retain outside consultants or advisors,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Nominating and Corporate Governance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Nominating and Corporate Governance Committee consists of Mr. Crockett, Ms. Gleeson, and Mr. McCarter, with Mr. McCarter serving as chair. All members of the Nominating and Corporate Governance Committee have been determined to be “independent” as defined by our Corporate Governance Guidelines and the Nasdaq listing standards applicable to boards of directors in general.</w:t>
      </w:r>
    </w:p>
    <w:p>
      <w:pPr>
        <w:pStyle w:val="TextBody"/>
        <w:bidi w:val="0"/>
        <w:spacing w:lineRule="auto" w:line="288" w:before="180" w:after="180"/>
        <w:jc w:val="both"/>
        <w:rPr/>
      </w:pPr>
      <w:r>
        <w:rPr>
          <w:rFonts w:ascii="Lato;sans-serif" w:hAnsi="Lato;sans-serif"/>
          <w:b w:val="false"/>
          <w:color w:val="000000"/>
          <w:sz w:val="20"/>
        </w:rPr>
        <w:t xml:space="preserve">The duties and responsibilities of the Nominating and Corporate Governance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Governance Highlights: Committee Charters: Nominating and Corporate Governance Committee Charter. The Nominating and Corporate Governance Committee’s key functions include providing assistance to the Board with respect to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developing and recommending to the Board a set of corporate governance principles applicable to the Company and assisting the Board in complying with them;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overseeing the evaluation of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recommending to the Board the members of the Board to serve on the various committees of the Board and evaluating the functions and performance of such committees;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otherwise taking a leadership role in shaping the corporate governance of the Company.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2425"/>
                <wp:effectExtent l="0" t="0" r="0" b="0"/>
                <wp:wrapNone/>
                <wp:docPr id="31" name="Frame2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Privacy, Security and Technology Committee</w:t>
      </w:r>
    </w:p>
    <w:p>
      <w:pPr>
        <w:pStyle w:val="TextBody"/>
        <w:bidi w:val="0"/>
        <w:spacing w:lineRule="auto" w:line="288" w:before="180" w:after="180"/>
        <w:jc w:val="both"/>
        <w:rPr/>
      </w:pPr>
      <w:r>
        <w:rPr>
          <w:rFonts w:ascii="Lato;sans-serif" w:hAnsi="Lato;sans-serif"/>
          <w:b w:val="false"/>
          <w:color w:val="000000"/>
          <w:sz w:val="20"/>
        </w:rPr>
        <w:t xml:space="preserve">Our Privacy, Security and Technology Committee consists of Messrs. Enright, McCarter, and Winn, with Mr. Enright serving as chair. The purpose and responsibilities of the Privacy, Security and Technology Committee are set forth in its charter, which may be found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Governance Highlights: Committee Charters: Privacy, Security and Technology Committee Charter. Our Privacy, Security and Technology Committee’s key functions include reviewing and discussing with Company management the Company’s major risk exposures relating to privacy, cybersecurity, and technology, and the steps the Company takes to detect, monitor, and actively manage such exposures.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Committee Charters and Corporate Governance Guidelines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pStyle w:val="TextBody"/>
        <w:bidi w:val="0"/>
        <w:spacing w:lineRule="auto" w:line="288" w:before="180" w:after="180"/>
        <w:jc w:val="both"/>
        <w:rPr/>
      </w:pPr>
      <w:r>
        <w:rPr>
          <w:rFonts w:ascii="Lato;sans-serif" w:hAnsi="Lato;sans-serif"/>
          <w:b w:val="false"/>
          <w:color w:val="000000"/>
          <w:sz w:val="20"/>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Any stockholder also may request them in print, without charge, by contacting the Secretary of ZoomInfo Technologies Inc., at 805 Broadway Street, Suite 900, Vancouver, Washington 98660.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Code of Business Conduct and Ethics</w:t>
      </w:r>
    </w:p>
    <w:p>
      <w:pPr>
        <w:pStyle w:val="TextBody"/>
        <w:bidi w:val="0"/>
        <w:spacing w:lineRule="auto" w:line="288" w:before="180" w:after="180"/>
        <w:jc w:val="both"/>
        <w:rPr/>
      </w:pPr>
      <w:r>
        <w:rPr>
          <w:rFonts w:ascii="Lato;sans-serif" w:hAnsi="Lato;sans-serif"/>
          <w:b w:val="false"/>
          <w:color w:val="000000"/>
          <w:sz w:val="20"/>
        </w:rPr>
        <w:t xml:space="preserve">We maintain a Code of Business Conduct and Ethics that is applicable to all of our directors, officers and employees, including our Chairman and Chief Executive Officer, Chief Financial Officer, Chief Accounting Officer and other senior officers.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This Code of Business Conduct and Ethics also satisfies the requirements for a code of ethics, as defined by Item 406 of Regulation S-K promulgated by the SEC. The Code of Business Conduct and Ethics may be found on our website at </w:t>
      </w:r>
      <w:r>
        <w:rPr>
          <w:rFonts w:ascii="Lato;sans-serif" w:hAnsi="Lato;sans-serif"/>
          <w:b w:val="false"/>
          <w:i/>
          <w:color w:val="000000"/>
          <w:sz w:val="20"/>
        </w:rPr>
        <w:t>ir.zoominfo.com</w:t>
      </w:r>
      <w:r>
        <w:rPr>
          <w:color w:val="000000"/>
        </w:rPr>
        <w:t xml:space="preserve"> </w:t>
      </w:r>
      <w:r>
        <w:rPr>
          <w:rFonts w:ascii="Lato;sans-serif" w:hAnsi="Lato;sans-serif"/>
          <w:b w:val="false"/>
          <w:color w:val="000000"/>
          <w:sz w:val="20"/>
        </w:rPr>
        <w:t>under Governance: Governance Highlights: Governance Documents: Code of Business Conduct and Ethics.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2425"/>
                <wp:effectExtent l="0" t="0" r="0" b="0"/>
                <wp:wrapNone/>
                <wp:docPr id="32" name="Frame2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Oversight of Risk Management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Board Oversight of Privacy, Cybersecurity and Technology Risks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recognizes the importance of maintaining the trust and confidence of our clients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staffing,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Privacy, Security and Technology Committee receives regular presentations and reports throughout the year on privacy, cybersecurity and technology risks. Our chief compliance officer, chief technology officer, chief security officer, and other members of management provide updates and analysis regarding data privacy and security topics to the Privacy, Security and Technology Committee at each meeting. These updates address a broad range of topics throughout the year, including but not limited to: cybersecurity threats, vulnerabilities and preparedness; technology trends; regulatory developments; legal issues; policies and practices; information governance and security; other potential threats and vulnerabilities; and efforts to plan for and mitigate threats and vulnerabilities.</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Board Oversight of Environmental, Social, and Governance Risks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recognizes the importance of sustainability to our organization. As a part of its independent oversight of the key risks facing our company, the Board, primarily through its Audit Committee, devotes significant time and attention to the oversight of sustainability initiatives, evaluation and management of ESG risks, and related public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2425"/>
                <wp:effectExtent l="0" t="0" r="0" b="0"/>
                <wp:wrapNone/>
                <wp:docPr id="33" name="Frame2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 xml:space="preserve">Anti-Hedging Policy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Company’s Securities Trading Policy requires executive officers and directors to consult the Company’s General Counsel prior to engaging in transactions involving the Company’s securities. In order to protect the Company from exposure under insider trading laws, executive officers and directors are encouraged to enter into pre-set trading plans under Exchange Act Rule 10b5-1. The Company’s Securities Trading Policy prohibits directors and employees (including officers) from trading in options, warrants, puts and calls or similar instruments on the Company’s securities or selling such securities short. In addition, directors and employees (including officers) are prohibited from purchasing financial instruments or otherwise engaging in any transactions (including variable forward contracts, equity swaps, collars and exchange funds) that are designed to hedge or offset any decrease in the market value of the Company’s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Director Compensation in 2023</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sets forth information regarding non-employee director compensation for the fiscal year ended December 31, 2023.</w:t>
      </w:r>
    </w:p>
    <w:tbl>
      <w:tblPr>
        <w:tblW w:w="9961" w:type="dxa"/>
        <w:jc w:val="left"/>
        <w:tblInd w:w="0" w:type="dxa"/>
        <w:tblLayout w:type="fixed"/>
        <w:tblCellMar>
          <w:top w:w="28" w:type="dxa"/>
          <w:left w:w="28" w:type="dxa"/>
          <w:bottom w:w="28" w:type="dxa"/>
          <w:right w:w="28" w:type="dxa"/>
        </w:tblCellMar>
      </w:tblPr>
      <w:tblGrid>
        <w:gridCol w:w="709"/>
        <w:gridCol w:w="624"/>
        <w:gridCol w:w="631"/>
        <w:gridCol w:w="109"/>
        <w:gridCol w:w="109"/>
        <w:gridCol w:w="109"/>
        <w:gridCol w:w="1198"/>
        <w:gridCol w:w="1198"/>
        <w:gridCol w:w="1203"/>
        <w:gridCol w:w="109"/>
        <w:gridCol w:w="109"/>
        <w:gridCol w:w="109"/>
        <w:gridCol w:w="734"/>
        <w:gridCol w:w="734"/>
        <w:gridCol w:w="736"/>
        <w:gridCol w:w="148"/>
        <w:gridCol w:w="148"/>
        <w:gridCol w:w="150"/>
        <w:gridCol w:w="319"/>
        <w:gridCol w:w="319"/>
        <w:gridCol w:w="456"/>
      </w:tblGrid>
      <w:tr>
        <w:trPr/>
        <w:tc>
          <w:tcPr>
            <w:tcW w:w="7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Fees Earned or Paid in Cash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Stock Awards ($)</w:t>
            </w:r>
            <w:r>
              <w:rPr>
                <w:rFonts w:ascii="Lato;sans-serif" w:hAnsi="Lato;sans-serif"/>
                <w:b/>
                <w:color w:val="FFFFFF"/>
                <w:sz w:val="13"/>
              </w:rPr>
              <w:t>(1)</w:t>
            </w:r>
          </w:p>
        </w:tc>
        <w:tc>
          <w:tcPr>
            <w:tcW w:w="44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Total ($)</w:t>
            </w:r>
          </w:p>
        </w:tc>
      </w:tr>
      <w:tr>
        <w:trPr/>
        <w:tc>
          <w:tcPr>
            <w:tcW w:w="19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both"/>
              <w:rPr>
                <w:rFonts w:ascii="Lato;sans-serif" w:hAnsi="Lato;sans-serif"/>
                <w:b w:val="false"/>
                <w:color w:val="000000"/>
                <w:sz w:val="20"/>
              </w:rPr>
            </w:pPr>
            <w:r>
              <w:rPr>
                <w:rFonts w:ascii="Lato;sans-serif" w:hAnsi="Lato;sans-serif"/>
                <w:b w:val="false"/>
                <w:color w:val="000000"/>
                <w:sz w:val="20"/>
              </w:rPr>
              <w:t>Todd Crockett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33" w:after="30"/>
              <w:ind w:left="0" w:right="0" w:firstLine="36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center"/>
              <w:rPr>
                <w:color w:val="000000"/>
              </w:rPr>
            </w:pPr>
            <w:r>
              <w:rPr>
                <w:color w:val="000000"/>
              </w:rPr>
              <w:t>— </w:t>
            </w:r>
          </w:p>
        </w:tc>
        <w:tc>
          <w:tcPr>
            <w:tcW w:w="446" w:type="dxa"/>
            <w:gridSpan w:val="3"/>
            <w:tcBorders/>
            <w:shd w:fill="FFFFFF" w:val="clear"/>
            <w:tcMar>
              <w:top w:w="0" w:type="dxa"/>
              <w:left w:w="0" w:type="dxa"/>
              <w:bottom w:w="0" w:type="dxa"/>
              <w:right w:w="0" w:type="dxa"/>
            </w:tcMar>
            <w:vAlign w:val="center"/>
          </w:tcPr>
          <w:p>
            <w:pPr>
              <w:pStyle w:val="TableContents"/>
              <w:bidi w:val="0"/>
              <w:spacing w:before="33" w:after="30"/>
              <w:ind w:left="0" w:right="0" w:firstLine="360"/>
              <w:jc w:val="right"/>
              <w:rPr/>
            </w:pPr>
            <w:r>
              <w:rPr/>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center"/>
              <w:rPr>
                <w:color w:val="000000"/>
              </w:rPr>
            </w:pPr>
            <w:r>
              <w:rPr>
                <w:color w:val="000000"/>
              </w:rPr>
              <w:t>— </w:t>
            </w:r>
          </w:p>
        </w:tc>
      </w:tr>
      <w:tr>
        <w:trPr/>
        <w:tc>
          <w:tcPr>
            <w:tcW w:w="1964" w:type="dxa"/>
            <w:gridSpan w:val="3"/>
            <w:tcBorders/>
            <w:shd w:fill="DBDBDB" w:val="clear"/>
            <w:tcMar>
              <w:top w:w="0" w:type="dxa"/>
              <w:left w:w="0" w:type="dxa"/>
              <w:bottom w:w="0" w:type="dxa"/>
              <w:right w:w="0" w:type="dxa"/>
            </w:tcMar>
            <w:vAlign w:val="center"/>
          </w:tcPr>
          <w:p>
            <w:pPr>
              <w:pStyle w:val="TableContents"/>
              <w:bidi w:val="0"/>
              <w:spacing w:lineRule="auto" w:line="333" w:before="53" w:after="30"/>
              <w:jc w:val="both"/>
              <w:rPr>
                <w:rFonts w:ascii="Lato;sans-serif" w:hAnsi="Lato;sans-serif"/>
                <w:b w:val="false"/>
                <w:color w:val="000000"/>
                <w:sz w:val="20"/>
              </w:rPr>
            </w:pPr>
            <w:r>
              <w:rPr>
                <w:rFonts w:ascii="Lato;sans-serif" w:hAnsi="Lato;sans-serif"/>
                <w:b w:val="false"/>
                <w:color w:val="000000"/>
                <w:sz w:val="20"/>
              </w:rPr>
              <w:t>Mitesh Dhruv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70,000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202,316</w:t>
            </w:r>
          </w:p>
        </w:tc>
        <w:tc>
          <w:tcPr>
            <w:tcW w:w="4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272,316</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both"/>
              <w:rPr>
                <w:rFonts w:ascii="Lato;sans-serif" w:hAnsi="Lato;sans-serif"/>
                <w:b w:val="false"/>
                <w:color w:val="000000"/>
                <w:sz w:val="20"/>
              </w:rPr>
            </w:pPr>
            <w:r>
              <w:rPr>
                <w:rFonts w:ascii="Lato;sans-serif" w:hAnsi="Lato;sans-serif"/>
                <w:b w:val="false"/>
                <w:color w:val="000000"/>
                <w:sz w:val="20"/>
              </w:rPr>
              <w:t>Keith Enright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202,316</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277,316</w:t>
            </w:r>
          </w:p>
        </w:tc>
      </w:tr>
      <w:tr>
        <w:trPr/>
        <w:tc>
          <w:tcPr>
            <w:tcW w:w="1964" w:type="dxa"/>
            <w:gridSpan w:val="3"/>
            <w:tcBorders/>
            <w:shd w:fill="DBDBDB" w:val="clear"/>
            <w:tcMar>
              <w:top w:w="0" w:type="dxa"/>
              <w:left w:w="0" w:type="dxa"/>
              <w:bottom w:w="0" w:type="dxa"/>
              <w:right w:w="0" w:type="dxa"/>
            </w:tcMar>
            <w:vAlign w:val="center"/>
          </w:tcPr>
          <w:p>
            <w:pPr>
              <w:pStyle w:val="TableContents"/>
              <w:bidi w:val="0"/>
              <w:spacing w:lineRule="auto" w:line="333" w:before="53" w:after="30"/>
              <w:jc w:val="both"/>
              <w:rPr>
                <w:rFonts w:ascii="Lato;sans-serif" w:hAnsi="Lato;sans-serif"/>
                <w:b w:val="false"/>
                <w:color w:val="000000"/>
                <w:sz w:val="20"/>
              </w:rPr>
            </w:pPr>
            <w:r>
              <w:rPr>
                <w:rFonts w:ascii="Lato;sans-serif" w:hAnsi="Lato;sans-serif"/>
                <w:b w:val="false"/>
                <w:color w:val="000000"/>
                <w:sz w:val="20"/>
              </w:rPr>
              <w:t>Ashley Evans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60,000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202,316</w:t>
            </w:r>
          </w:p>
        </w:tc>
        <w:tc>
          <w:tcPr>
            <w:tcW w:w="4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262,316</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both"/>
              <w:rPr>
                <w:rFonts w:ascii="Lato;sans-serif" w:hAnsi="Lato;sans-serif"/>
                <w:b w:val="false"/>
                <w:color w:val="000000"/>
                <w:sz w:val="20"/>
              </w:rPr>
            </w:pPr>
            <w:r>
              <w:rPr>
                <w:rFonts w:ascii="Lato;sans-serif" w:hAnsi="Lato;sans-serif"/>
                <w:b w:val="false"/>
                <w:color w:val="000000"/>
                <w:sz w:val="20"/>
              </w:rPr>
              <w:t>Alison Gleeson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202,316</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256,316</w:t>
            </w:r>
          </w:p>
        </w:tc>
      </w:tr>
      <w:tr>
        <w:trPr/>
        <w:tc>
          <w:tcPr>
            <w:tcW w:w="1964" w:type="dxa"/>
            <w:gridSpan w:val="3"/>
            <w:tcBorders/>
            <w:shd w:fill="DBDBDB" w:val="clear"/>
            <w:tcMar>
              <w:top w:w="0" w:type="dxa"/>
              <w:left w:w="0" w:type="dxa"/>
              <w:bottom w:w="0" w:type="dxa"/>
              <w:right w:w="0" w:type="dxa"/>
            </w:tcMar>
            <w:vAlign w:val="center"/>
          </w:tcPr>
          <w:p>
            <w:pPr>
              <w:pStyle w:val="TableContents"/>
              <w:bidi w:val="0"/>
              <w:spacing w:lineRule="auto" w:line="333" w:before="53" w:after="30"/>
              <w:jc w:val="both"/>
              <w:rPr>
                <w:rFonts w:ascii="Lato;sans-serif" w:hAnsi="Lato;sans-serif"/>
                <w:b w:val="false"/>
                <w:color w:val="000000"/>
                <w:sz w:val="20"/>
              </w:rPr>
            </w:pPr>
            <w:r>
              <w:rPr>
                <w:rFonts w:ascii="Lato;sans-serif" w:hAnsi="Lato;sans-serif"/>
                <w:b w:val="false"/>
                <w:color w:val="000000"/>
                <w:sz w:val="20"/>
              </w:rPr>
              <w:t>Mark Mader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202,316</w:t>
            </w:r>
          </w:p>
        </w:tc>
        <w:tc>
          <w:tcPr>
            <w:tcW w:w="4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262,316</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both"/>
              <w:rPr>
                <w:rFonts w:ascii="Lato;sans-serif" w:hAnsi="Lato;sans-serif"/>
                <w:b w:val="false"/>
                <w:color w:val="000000"/>
                <w:sz w:val="20"/>
              </w:rPr>
            </w:pPr>
            <w:r>
              <w:rPr>
                <w:rFonts w:ascii="Lato;sans-serif" w:hAnsi="Lato;sans-serif"/>
                <w:b w:val="false"/>
                <w:color w:val="000000"/>
                <w:sz w:val="20"/>
              </w:rPr>
              <w:t>Patrick McCarter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 </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 </w:t>
            </w:r>
          </w:p>
        </w:tc>
      </w:tr>
      <w:tr>
        <w:trPr/>
        <w:tc>
          <w:tcPr>
            <w:tcW w:w="1964" w:type="dxa"/>
            <w:gridSpan w:val="3"/>
            <w:tcBorders/>
            <w:shd w:fill="DBDBDB" w:val="clear"/>
            <w:tcMar>
              <w:top w:w="0" w:type="dxa"/>
              <w:left w:w="0" w:type="dxa"/>
              <w:bottom w:w="0" w:type="dxa"/>
              <w:right w:w="0" w:type="dxa"/>
            </w:tcMar>
            <w:vAlign w:val="center"/>
          </w:tcPr>
          <w:p>
            <w:pPr>
              <w:pStyle w:val="TableContents"/>
              <w:bidi w:val="0"/>
              <w:spacing w:lineRule="auto" w:line="333" w:before="53" w:after="30"/>
              <w:jc w:val="both"/>
              <w:rPr>
                <w:rFonts w:ascii="Lato;sans-serif" w:hAnsi="Lato;sans-serif"/>
                <w:b w:val="false"/>
                <w:color w:val="000000"/>
                <w:sz w:val="20"/>
              </w:rPr>
            </w:pPr>
            <w:r>
              <w:rPr>
                <w:rFonts w:ascii="Lato;sans-serif" w:hAnsi="Lato;sans-serif"/>
                <w:b w:val="false"/>
                <w:color w:val="000000"/>
                <w:sz w:val="20"/>
              </w:rPr>
              <w:t>D. Randall Winn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72,500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202,316</w:t>
            </w:r>
          </w:p>
        </w:tc>
        <w:tc>
          <w:tcPr>
            <w:tcW w:w="4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20"/>
              </w:rPr>
            </w:pPr>
            <w:r>
              <w:rPr>
                <w:rFonts w:ascii="Lato;sans-serif" w:hAnsi="Lato;sans-serif"/>
                <w:b w:val="false"/>
                <w:color w:val="000000"/>
                <w:sz w:val="20"/>
              </w:rPr>
              <w:t>274,816</w:t>
            </w:r>
          </w:p>
        </w:tc>
      </w:tr>
    </w:tbl>
    <w:p>
      <w:pPr>
        <w:pStyle w:val="TextBody"/>
        <w:bidi w:val="0"/>
        <w:spacing w:lineRule="auto" w:line="333" w:before="0" w:after="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360"/>
        <w:ind w:left="0" w:right="0" w:hanging="360"/>
        <w:jc w:val="both"/>
        <w:rPr/>
      </w:pPr>
      <w:r>
        <w:rPr>
          <w:rFonts w:ascii="Lato;sans-serif" w:hAnsi="Lato;sans-serif"/>
          <w:b w:val="false"/>
          <w:color w:val="000000"/>
          <w:sz w:val="16"/>
        </w:rPr>
        <w:t xml:space="preserve">(1)Represents the aggregate grant date fair value of restricted stock units granted during 2023 computed in accordance with Topic 718 without taking into account estimated forfeitures. The assumptions used in the valuation are discussed in Note 15: “Equity-based Compensation” to our Consolidated Financial Statements in Part II, Item 8 of our 2023 10-K. The aggregate number of restricted stock units outstanding as of December 31, 2023 for our non-employee directors who received compensation was </w:t>
      </w:r>
      <w:r>
        <w:rPr>
          <w:rFonts w:ascii="Lato;sans-serif" w:hAnsi="Lato;sans-serif"/>
          <w:b w:val="false"/>
          <w:color w:val="000000"/>
          <w:sz w:val="16"/>
          <w:shd w:fill="FFFFFF" w:val="clear"/>
        </w:rPr>
        <w:t>8,893 for Mr. Dhruv, Mr. Enright, Ms. Evans, Ms. Gleeson, Mr</w:t>
      </w:r>
      <w:r>
        <w:rPr>
          <w:rFonts w:ascii="Lato;sans-serif" w:hAnsi="Lato;sans-serif"/>
          <w:b w:val="false"/>
          <w:color w:val="000000"/>
          <w:sz w:val="16"/>
        </w:rPr>
        <w:t>. Mader, and Mr. Winn.</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Board and Committee Fees in 2023</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For 2023, each of non-employee director (other than any “Director Designee” nominated pursuant to the stockholders agreement) was entitled to the following compensation:</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$50,000 annual cash retainer, payable quarterly in arrears, for service on the Board; plus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Annual cash retainers for committee service, payable quarterly in arrears, as follows: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Audit Committee: $20,000.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Compensation Committee: $15,000.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Privacy, Security, and Technology Committee: $15,000.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Chairperson of the Nominating and Corporate Governance Committee: $8,000.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Audit Committee (other than the Chairperson): $10,000.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Compensation Committee (other than the Chairperson): $7,500.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Privacy, Security, and Technology Committee (other than the Chairperson): $7,500.</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Member of the Nominating and Corporate Governance Committee (other than the Chairperson): $4,000.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2425"/>
                <wp:effectExtent l="0" t="0" r="0" b="0"/>
                <wp:wrapNone/>
                <wp:docPr id="34" name="Frame3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each non-employee director received and will continue to receive an annual grant of restricted stock units (“RSUs”), denominated in shares of the Company’s common stock issued under the ZoomInfo 2020 Omnibus Incentive Plan (the “Plan”). On the close of business on the date of each regular annual meeting of the Company’s stockholders, without further action by the Board, each non-employee director then in office shall be granted $200,000 in RSUs, and the number of RSUs will be determined by dividing $200,000 by our closing stock price on the grant date, rounded up to the nearest whole share. Each annual grant of RSUs vests in full on the earlier of (x) the first anniversary of the vesting commencement date and (y) the date of the Company’s first regular annual meeting of stockholders held after the grant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Any non-employee director who serves on the Board or a committee for less than a full quarterly period shall receive a prorated portion of the applicable annual cash retainer(s) for that quarterly period, prorated using the number of days served during the quarterly period, including the date of appointment. Each non-employee director who is appointed to the Board during the year is entitled to a pro-rated annual RSU award, determined based on the number of days between the date the non-employee director joins the Board and the anticipated date of the Company’s next annual meeting of stockholders.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Additionally, all of our directors will continue to be reimbursed for their reasonable out-of-pocket expenses related to their board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2425"/>
                <wp:effectExtent l="0" t="0" r="0" b="0"/>
                <wp:wrapNone/>
                <wp:docPr id="35" name="Frame3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2—RATIFICATION OF INDEPENDENT REGISTERED PUBLIC ACCOUNTING FIRM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has appointed KPMG LLP to serve as our independent registered public accounting firm for 2024.</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shares represented by your proxy will be voted “FOR” the ratification of the selection of KPMG LLP unless you specify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Lato;sans-serif" w:hAnsi="Lato;sans-serif"/>
          <w:b/>
          <w:color w:val="000000"/>
          <w:sz w:val="20"/>
        </w:rPr>
      </w:pPr>
      <w:r>
        <w:rPr>
          <w:rFonts w:ascii="Lato;sans-serif" w:hAnsi="Lato;sans-serif"/>
          <w:b/>
          <w:color w:val="000000"/>
          <w:sz w:val="20"/>
        </w:rPr>
        <w:t>Audit and Non-Audit Fees</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In connection with the audit of the 2023 financial statements, we entered into an agreement with KPMG LLP that sets forth the terms by which KPMG LLP will perform audit services for the Company.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following table summarizes fees for professional services rendered by our independent registered public accounting firm, KPMG LLP for the audits of our annual consolidated financial statements for the years ended December 31, 2023 and 2022:</w:t>
      </w:r>
    </w:p>
    <w:tbl>
      <w:tblPr>
        <w:tblW w:w="5318" w:type="dxa"/>
        <w:jc w:val="left"/>
        <w:tblInd w:w="0" w:type="dxa"/>
        <w:tblLayout w:type="fixed"/>
        <w:tblCellMar>
          <w:top w:w="28" w:type="dxa"/>
          <w:left w:w="28" w:type="dxa"/>
          <w:bottom w:w="28" w:type="dxa"/>
          <w:right w:w="28" w:type="dxa"/>
        </w:tblCellMar>
      </w:tblPr>
      <w:tblGrid>
        <w:gridCol w:w="733"/>
        <w:gridCol w:w="643"/>
        <w:gridCol w:w="648"/>
        <w:gridCol w:w="226"/>
        <w:gridCol w:w="1126"/>
        <w:gridCol w:w="109"/>
        <w:gridCol w:w="109"/>
        <w:gridCol w:w="109"/>
        <w:gridCol w:w="109"/>
        <w:gridCol w:w="226"/>
        <w:gridCol w:w="112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46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2023</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50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2022</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Audit fees</w:t>
            </w:r>
            <w:r>
              <w:rPr>
                <w:rFonts w:ascii="Lato;sans-serif" w:hAnsi="Lato;sans-serif"/>
                <w:b w:val="false"/>
                <w:color w:val="000000"/>
                <w:sz w:val="10"/>
              </w:rPr>
              <w:t>(1)</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2,667,498 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1,799,131 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Audit-related fees</w:t>
            </w:r>
            <w:r>
              <w:rPr>
                <w:rFonts w:ascii="Lato;sans-serif" w:hAnsi="Lato;sans-serif"/>
                <w:b w:val="false"/>
                <w:color w:val="000000"/>
                <w:sz w:val="10"/>
              </w:rPr>
              <w:t>(2)</w:t>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Lato;sans-serif" w:hAnsi="Lato;sans-serif"/>
                <w:b w:val="false"/>
                <w:color w:val="000000"/>
                <w:sz w:val="20"/>
              </w:rPr>
              <w:t>Tax fees</w:t>
            </w:r>
            <w:r>
              <w:rPr>
                <w:rFonts w:ascii="Lato;sans-serif" w:hAnsi="Lato;sans-serif"/>
                <w:b w:val="false"/>
                <w:color w:val="000000"/>
                <w:sz w:val="10"/>
              </w:rPr>
              <w:t>(3)</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782,880 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All other fees</w:t>
            </w:r>
          </w:p>
        </w:tc>
        <w:tc>
          <w:tcPr>
            <w:tcW w:w="14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2,970,910 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2,582,011 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ind w:left="0" w:right="0" w:hanging="360"/>
        <w:jc w:val="both"/>
        <w:rPr>
          <w:rFonts w:ascii="Lato;sans-serif" w:hAnsi="Lato;sans-serif"/>
          <w:b w:val="false"/>
          <w:color w:val="000000"/>
          <w:sz w:val="18"/>
        </w:rPr>
      </w:pPr>
      <w:r>
        <w:rPr>
          <w:rFonts w:ascii="Lato;sans-serif" w:hAnsi="Lato;sans-serif"/>
          <w:b w:val="false"/>
          <w:color w:val="000000"/>
          <w:sz w:val="18"/>
        </w:rPr>
        <w:t>(1)Includes the aggregate fees recognized in each of the last two fiscal years for professional services rendered for the audit of the Company’s annual financial statements, reviews of financial statements, comfort letters and other services related to SEC matters. The fees are for services that are normally provided in connection with statutory or regulatory filings or engagements.</w:t>
      </w:r>
    </w:p>
    <w:p>
      <w:pPr>
        <w:pStyle w:val="TextBody"/>
        <w:bidi w:val="0"/>
        <w:spacing w:lineRule="auto" w:line="288" w:before="0" w:after="0"/>
        <w:ind w:left="0" w:right="0" w:hanging="360"/>
        <w:jc w:val="both"/>
        <w:rPr>
          <w:rFonts w:ascii="Lato;sans-serif" w:hAnsi="Lato;sans-serif"/>
          <w:b w:val="false"/>
          <w:color w:val="000000"/>
          <w:sz w:val="18"/>
        </w:rPr>
      </w:pPr>
      <w:r>
        <w:rPr>
          <w:rFonts w:ascii="Lato;sans-serif" w:hAnsi="Lato;sans-serif"/>
          <w:b w:val="false"/>
          <w:color w:val="000000"/>
          <w:sz w:val="18"/>
        </w:rPr>
        <w:t>(2)Includes fees billed for services performed that are related to the Company’s SEC filings (including costs relating to preparation of the Company’s registration statement filings) and other research and consultation services.</w:t>
      </w:r>
    </w:p>
    <w:p>
      <w:pPr>
        <w:pStyle w:val="TextBody"/>
        <w:bidi w:val="0"/>
        <w:spacing w:lineRule="auto" w:line="288" w:before="0" w:after="0"/>
        <w:ind w:left="0" w:right="0" w:hanging="360"/>
        <w:jc w:val="both"/>
        <w:rPr>
          <w:rFonts w:ascii="Lato;sans-serif" w:hAnsi="Lato;sans-serif"/>
          <w:b w:val="false"/>
          <w:color w:val="000000"/>
          <w:sz w:val="18"/>
        </w:rPr>
      </w:pPr>
      <w:r>
        <w:rPr>
          <w:rFonts w:ascii="Lato;sans-serif" w:hAnsi="Lato;sans-serif"/>
          <w:b w:val="false"/>
          <w:color w:val="000000"/>
          <w:sz w:val="18"/>
        </w:rPr>
        <w:t>(3)Includes the aggregate fees recognized in each of the last two fiscal years for professional services rendered for tax compliance, tax advice and tax planning.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All of the services shown in this table were pre-approved by the Audit Committee. The Audit Committee considered whether providing the non-audit services shown in this table was compatible with maintaining KPMG LLP’s independence and concluded that it was.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2425"/>
                <wp:effectExtent l="0" t="0" r="0" b="0"/>
                <wp:wrapNone/>
                <wp:docPr id="36" name="Frame3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Pre-Approval Policy for Services of Independent Registered Public Accounting Firm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THE BOARD OF DIRECTORS RECOMMENDS THAT YOU VOTE “FOR” THE RATIFICATION OF KPMG LLP AS OUR INDEPENDENT REGISTERED PUBLIC ACCOUNTING FIRM FOR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2425"/>
                <wp:effectExtent l="0" t="0" r="0" b="0"/>
                <wp:wrapNone/>
                <wp:docPr id="37" name="Frame3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REPORT OF THE AUDIT COMMITTEE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Audit Committee operates pursuant to a charter that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Based upon the review and discussions described in the preceding paragraph, the Audit Committee recommended to the Board that the audited financial statements of the Company be included in the Annual Report on Form 10-K for the fiscal year ended December 31, 2023 filed with the SEC.</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Submitted by the Audit Committee of the Company’s Board of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Mitesh Dhruv, Chair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Keith Enright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Mark Mader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2425"/>
                <wp:effectExtent l="0" t="0" r="0" b="0"/>
                <wp:wrapNone/>
                <wp:docPr id="38" name="Frame3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PROPOSAL NO. 3—ADVISORY NON-BINDING VOTE ON COMPENSATION OF NAMED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 required by Section 14A of the Exchange Act, we are providing our stockholders with the opportunity to cast a non-binding advisory vote to approve the compensation of our named executive officers as described in this proxy statement. This proposal provides our stockholders with the opportunity to express their views on the design and effectiveness of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Advisory Non-Binding Vote on Compensation of Named Executive Officers</w:t>
      </w:r>
    </w:p>
    <w:p>
      <w:pPr>
        <w:pStyle w:val="TextBody"/>
        <w:bidi w:val="0"/>
        <w:spacing w:lineRule="auto" w:line="288" w:before="180" w:after="180"/>
        <w:jc w:val="both"/>
        <w:rPr/>
      </w:pPr>
      <w:r>
        <w:rPr>
          <w:rFonts w:ascii="Lato;sans-serif" w:hAnsi="Lato;sans-serif"/>
          <w:b w:val="false"/>
          <w:color w:val="000000"/>
          <w:sz w:val="20"/>
        </w:rPr>
        <w:t>We believe that our executive compensation philosophy and program, as described below in the “</w:t>
      </w:r>
      <w:hyperlink w:anchor="ibe598ee2c35542eb888ca215dcc0528e_97">
        <w:r>
          <w:rPr>
            <w:rStyle w:val="InternetLink"/>
            <w:rFonts w:ascii="Lato;sans-serif" w:hAnsi="Lato;sans-serif"/>
            <w:b w:val="false"/>
            <w:color w:val="0000FF"/>
            <w:sz w:val="20"/>
            <w:u w:val="single"/>
          </w:rPr>
          <w:t>Executive Compensation Discussion and Analysis</w:t>
        </w:r>
      </w:hyperlink>
      <w:r>
        <w:rPr>
          <w:color w:val="000000"/>
        </w:rPr>
        <w:t xml:space="preserve">” </w:t>
      </w:r>
      <w:r>
        <w:rPr>
          <w:rFonts w:ascii="Lato;sans-serif" w:hAnsi="Lato;sans-serif"/>
          <w:b w:val="false"/>
          <w:color w:val="000000"/>
          <w:sz w:val="20"/>
        </w:rPr>
        <w:t>section of this proxy statement, are effective in achieving our goals, and that the executive compensation reported in this proxy statement is appropriate, competitive, and aligned with both short-term and long-term business strategy and outcomes. The compensation program for our named executive officers is focused on pay-for-performance principles. The program is designed to attract, motivate, and retain executive officers in a highly competitive market for executive talent, reward and align the executive officers’ interests with the interests of our stockholders to create long-term value, while at the same time avoiding the encouragement of excessive risk-taking.</w:t>
      </w:r>
    </w:p>
    <w:p>
      <w:pPr>
        <w:pStyle w:val="TextBody"/>
        <w:bidi w:val="0"/>
        <w:spacing w:lineRule="auto" w:line="288" w:before="180" w:after="180"/>
        <w:jc w:val="both"/>
        <w:rPr/>
      </w:pPr>
      <w:r>
        <w:rPr>
          <w:rFonts w:ascii="Lato;sans-serif" w:hAnsi="Lato;sans-serif"/>
          <w:b w:val="false"/>
          <w:color w:val="000000"/>
          <w:sz w:val="20"/>
        </w:rPr>
        <w:t>For a more detailed discussion of our compensation philosophy, objectives, principles, and programs, we strongly encourage our stockholders to review this proxy statement, and in particular the information contained in “</w:t>
      </w:r>
      <w:hyperlink w:anchor="ibe598ee2c35542eb888ca215dcc0528e_97">
        <w:r>
          <w:rPr>
            <w:rStyle w:val="InternetLink"/>
            <w:rFonts w:ascii="Lato;sans-serif" w:hAnsi="Lato;sans-serif"/>
            <w:b w:val="false"/>
            <w:color w:val="0000FF"/>
            <w:sz w:val="20"/>
            <w:u w:val="single"/>
          </w:rPr>
          <w:t>Executive Compensation Discussion and Analysis</w:t>
        </w:r>
      </w:hyperlink>
      <w:r>
        <w:rPr>
          <w:color w:val="000000"/>
        </w:rPr>
        <w:t xml:space="preserve">” </w:t>
      </w:r>
      <w:r>
        <w:rPr>
          <w:rFonts w:ascii="Lato;sans-serif" w:hAnsi="Lato;sans-serif"/>
          <w:b w:val="false"/>
          <w:color w:val="000000"/>
          <w:sz w:val="20"/>
        </w:rPr>
        <w:t>and in the compensation tables and narrative that follow it in the “</w:t>
      </w:r>
      <w:hyperlink w:anchor="ibe598ee2c35542eb888ca215dcc0528e_124">
        <w:r>
          <w:rPr>
            <w:rStyle w:val="InternetLink"/>
            <w:rFonts w:ascii="Lato;sans-serif" w:hAnsi="Lato;sans-serif"/>
            <w:b w:val="false"/>
            <w:color w:val="0000FF"/>
            <w:sz w:val="20"/>
            <w:u w:val="single"/>
          </w:rPr>
          <w:t>Executive Compensation Tables</w:t>
        </w:r>
      </w:hyperlink>
      <w:r>
        <w:rPr>
          <w:color w:val="000000"/>
        </w:rPr>
        <w:t xml:space="preserve">” </w:t>
      </w:r>
      <w:r>
        <w:rPr>
          <w:rFonts w:ascii="Lato;sans-serif" w:hAnsi="Lato;sans-serif"/>
          <w:b w:val="false"/>
          <w:color w:val="000000"/>
          <w:sz w:val="20"/>
        </w:rPr>
        <w:t>section of this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vote on executive compensation is not intended to address any specific element of compensation or any specific named executive officer, but rather the overall compensation of all of our named executive officers and the philosophy, policies and practices described in this proxy statement.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Because this vote is advisory in nature, it will not affect any compensation already paid to our named executive officers, and will not be binding on us, the Compensation Committee, or the Board, our Compensation Committee. Although the vote is non-binding, the Compensation Committee and the Board value the opinions of our stockholders and will consider the outcome of the vote in making future executive compensation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Vote Required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Approval of the compensation of our named executive officers requires the affirmative vote of the holders of a majority of the voting power of the shares of stock present virtually or represented by proxy and entitled to vote on the proposal. Abstentions will have the effect of a vote “AGAINST” this proposal and broker non-votes will have no effect on this proposal.</w:t>
      </w:r>
    </w:p>
    <w:p>
      <w:pPr>
        <w:pStyle w:val="TextBody"/>
        <w:bidi w:val="0"/>
        <w:spacing w:lineRule="auto" w:line="288" w:before="480" w:after="283"/>
        <w:jc w:val="center"/>
        <w:rPr>
          <w:rFonts w:ascii="Lato;sans-serif" w:hAnsi="Lato;sans-serif"/>
          <w:b/>
          <w:color w:val="000000"/>
          <w:sz w:val="20"/>
        </w:rPr>
      </w:pPr>
      <w:r>
        <w:rPr>
          <w:rFonts w:ascii="Lato;sans-serif" w:hAnsi="Lato;sans-serif"/>
          <w:b/>
          <w:color w:val="000000"/>
          <w:sz w:val="20"/>
        </w:rPr>
        <w:t>THE BOARD OF DIRECTORS RECOMMENDS A VOTE “FOR” THE APPROVAL OF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2425"/>
                <wp:effectExtent l="0" t="0" r="0" b="0"/>
                <wp:wrapNone/>
                <wp:docPr id="39" name="Frame3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29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OFFICERS OF THE COMPANY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each of our executive officers as of the date of this Proxy Statement, including: our Chief Executive Officer, Henry Schuck; our Chief Financial Officer, Peter Cameron Hyzer; and our Chief Technology Officer, Ali Dasdan. Our executive officers are appointed by, and serve at the discretion of, our Board of Directors. There are no family relationships among any of our directors or executive officers.</w:t>
      </w:r>
    </w:p>
    <w:tbl>
      <w:tblPr>
        <w:tblW w:w="10205" w:type="dxa"/>
        <w:jc w:val="left"/>
        <w:tblInd w:w="0" w:type="dxa"/>
        <w:tblLayout w:type="fixed"/>
        <w:tblCellMar>
          <w:top w:w="28" w:type="dxa"/>
          <w:left w:w="28" w:type="dxa"/>
          <w:bottom w:w="28" w:type="dxa"/>
          <w:right w:w="28" w:type="dxa"/>
        </w:tblCellMar>
      </w:tblPr>
      <w:tblGrid>
        <w:gridCol w:w="504"/>
        <w:gridCol w:w="280"/>
        <w:gridCol w:w="283"/>
        <w:gridCol w:w="175"/>
        <w:gridCol w:w="175"/>
        <w:gridCol w:w="176"/>
        <w:gridCol w:w="2970"/>
        <w:gridCol w:w="2330"/>
        <w:gridCol w:w="3312"/>
      </w:tblGrid>
      <w:tr>
        <w:trPr/>
        <w:tc>
          <w:tcPr>
            <w:tcW w:w="5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52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Age</w:t>
            </w:r>
          </w:p>
        </w:tc>
        <w:tc>
          <w:tcPr>
            <w:tcW w:w="861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Principal occupation and other information</w:t>
            </w:r>
          </w:p>
        </w:tc>
      </w:tr>
      <w:tr>
        <w:trPr/>
        <w:tc>
          <w:tcPr>
            <w:tcW w:w="10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Henry Schuck</w:t>
            </w:r>
          </w:p>
        </w:tc>
        <w:tc>
          <w:tcPr>
            <w:tcW w:w="5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40</w:t>
            </w:r>
          </w:p>
        </w:tc>
        <w:tc>
          <w:tcPr>
            <w:tcW w:w="86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Mr. Schuck has served as Chief Executive Officer, Chairman of the Board and a director of ZoomInfo Technologies Inc. since its formation in November 2019 and served as Chief Executive Officer and a director of ZoomInfo Holdings LLC (formerly known as DiscoverOrg Holdings, LLC) since founding it in 2007. Prior to founding ZoomInfo Holdings LLC, Mr. Schuck was VP of Research &amp; Marketing at iProfile, a sales intelligence firm focused on the IT market. Mr. Schuck is a cum laude graduate of the University of Nevada, Las Vegas with a B.S. in Business Administration and a B.S. in Hospitality Management and holds a J.D., cum laude, from The Ohio State University Moritz College of Law. Mr. Schuck serves on the Board of Directors of Tegus.</w:t>
            </w:r>
          </w:p>
          <w:p>
            <w:pPr>
              <w:pStyle w:val="TableContents"/>
              <w:bidi w:val="0"/>
              <w:spacing w:before="0" w:after="0"/>
              <w:jc w:val="both"/>
              <w:rPr/>
            </w:pPr>
            <w:r>
              <w:rPr/>
            </w:r>
          </w:p>
        </w:tc>
      </w:tr>
      <w:tr>
        <w:trPr/>
        <w:tc>
          <w:tcPr>
            <w:tcW w:w="1067" w:type="dxa"/>
            <w:gridSpan w:val="3"/>
            <w:tcBorders/>
            <w:shd w:fill="DBDBDB" w:val="clear"/>
            <w:tcMar>
              <w:top w:w="0" w:type="dxa"/>
              <w:left w:w="0" w:type="dxa"/>
              <w:bottom w:w="0" w:type="dxa"/>
              <w:right w:w="0" w:type="dxa"/>
            </w:tcMar>
            <w:vAlign w:val="center"/>
          </w:tcPr>
          <w:p>
            <w:pPr>
              <w:pStyle w:val="TableContents"/>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Peter Cameron Hyzer</w:t>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49</w:t>
            </w:r>
          </w:p>
        </w:tc>
        <w:tc>
          <w:tcPr>
            <w:tcW w:w="861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Mr. Hyzer has served as Chief Financial Officer of ZoomInfo Holdings LLC since 2018 and as Chief Financial Officer of ZoomInfo Technologies Inc. 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 charterholder.</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Ali Dasdan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54</w:t>
            </w:r>
          </w:p>
        </w:tc>
        <w:tc>
          <w:tcPr>
            <w:tcW w:w="8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Lato;sans-serif" w:hAnsi="Lato;sans-serif"/>
                <w:b w:val="false"/>
                <w:color w:val="000000"/>
                <w:sz w:val="20"/>
              </w:rPr>
            </w:pPr>
            <w:r>
              <w:rPr>
                <w:rFonts w:ascii="Lato;sans-serif" w:hAnsi="Lato;sans-serif"/>
                <w:b w:val="false"/>
                <w:color w:val="000000"/>
                <w:sz w:val="20"/>
              </w:rPr>
              <w:t>Mr. Dasdan has served as our Chief Technology Officer since January 2023. Prior to that, he served as Head of Engineering for Confluence Cloud and, later, Head of Engineering for Work Management at Atlassian, from April 2019 until January 2023. Prior to joining Atlassian, Mr. Dasdan was Head of Engineering and Product at Poynt from 2018 to 2019 and, from 2016 to 2018, he was Head of Engineering, Data and Marketing Automation at Tesco PLC. Prior to his role at Tesco PLC, Mr. Dasdan held various engineering and product management leadership roles at other technology companies, including Turn, eBay, Yahoo, Inc., and Synopsys. Mr. Dasdan holds a PhD in Computer Science from the University of Illinois at Urbana-Champaign, an MSc in Computer Engineering from Bilkent University, and a BSc in Computer Engineering from Bogazici University.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2425"/>
                <wp:effectExtent l="0" t="0" r="0" b="0"/>
                <wp:wrapNone/>
                <wp:docPr id="40" name="Frame3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both"/>
        <w:rPr>
          <w:rFonts w:ascii="Lato;sans-serif" w:hAnsi="Lato;sans-serif"/>
          <w:b/>
          <w:color w:val="000000"/>
          <w:sz w:val="20"/>
        </w:rPr>
      </w:pPr>
      <w:r>
        <w:rPr>
          <w:rFonts w:ascii="Lato;sans-serif" w:hAnsi="Lato;sans-serif"/>
          <w:b/>
          <w:color w:val="000000"/>
          <w:sz w:val="20"/>
        </w:rPr>
        <w:t>Executive Summary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This compensation discussion and analysis describes our compensation philosophy, objectives, and program structure for our named executive officers listed below. It also analyzes how and why our Compensation Committee arrived at specific compensation decisions during 2023 for our named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only named executive officers during 2023 are listed in the table below. We refer to them as our “Named Executive Officers” or “NEOs.”</w:t>
      </w:r>
    </w:p>
    <w:tbl>
      <w:tblPr>
        <w:tblW w:w="10205" w:type="dxa"/>
        <w:jc w:val="left"/>
        <w:tblInd w:w="0" w:type="dxa"/>
        <w:tblLayout w:type="fixed"/>
        <w:tblCellMar>
          <w:top w:w="28" w:type="dxa"/>
          <w:left w:w="28" w:type="dxa"/>
          <w:bottom w:w="28" w:type="dxa"/>
          <w:right w:w="28" w:type="dxa"/>
        </w:tblCellMar>
      </w:tblPr>
      <w:tblGrid>
        <w:gridCol w:w="1428"/>
        <w:gridCol w:w="1192"/>
        <w:gridCol w:w="1200"/>
        <w:gridCol w:w="1905"/>
        <w:gridCol w:w="1842"/>
        <w:gridCol w:w="2638"/>
      </w:tblGrid>
      <w:tr>
        <w:trPr/>
        <w:tc>
          <w:tcPr>
            <w:tcW w:w="142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r>
      <w:tr>
        <w:trPr/>
        <w:tc>
          <w:tcPr>
            <w:tcW w:w="382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638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Position</w:t>
            </w:r>
          </w:p>
        </w:tc>
      </w:tr>
      <w:tr>
        <w:trPr/>
        <w:tc>
          <w:tcPr>
            <w:tcW w:w="38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Henry Schuck</w:t>
            </w:r>
          </w:p>
        </w:tc>
        <w:tc>
          <w:tcPr>
            <w:tcW w:w="63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Chief Executive Officer</w:t>
            </w:r>
          </w:p>
        </w:tc>
      </w:tr>
      <w:tr>
        <w:trPr/>
        <w:tc>
          <w:tcPr>
            <w:tcW w:w="3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Peter Cameron Hyzer</w:t>
            </w:r>
          </w:p>
        </w:tc>
        <w:tc>
          <w:tcPr>
            <w:tcW w:w="6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Chief Financial Officer</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Ali Dasdan</w:t>
            </w:r>
          </w:p>
        </w:tc>
        <w:tc>
          <w:tcPr>
            <w:tcW w:w="6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Chief Technology Officer</w:t>
            </w:r>
          </w:p>
        </w:tc>
      </w:tr>
      <w:tr>
        <w:trPr/>
        <w:tc>
          <w:tcPr>
            <w:tcW w:w="38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Chris Hays*</w:t>
            </w:r>
          </w:p>
        </w:tc>
        <w:tc>
          <w:tcPr>
            <w:tcW w:w="6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President and Chief Operating Officer</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*Mr. Hays transitioned into the role of Executive Vice President, International Expansion and ceased to be an executive officer effective October 1, 2023.</w:t>
            </w:r>
          </w:p>
        </w:tc>
      </w:tr>
    </w:tbl>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Executive Compensation Objectives and Philosophy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operate in a highly competitive and rapidly evolving business environment. We must actively compete with other companies in attracting and retaining a world class, skilled executive management team, particularly in our technology sector, where there are a number of rapidly expanding software and other technology companies competing for a pool of highly qualified candidates. Our executive compensation program is designed to attract, motivate, incentivize and retain talented and seasoned technology leaders to grow our business and enable its success. To that end, we believe that executive compensation should: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Reinforce desired behaviors, with a strong linkage between pay and performance;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Align our Named Executive Officers’ interests with the long-term interests of our stockholders, with a focus on performance that drives value creation for our stockholders;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Be externally competitive and internally fair;</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Support the Company’s structure, values, and culture;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Support and reinforce strong governance practices and organizational accountability;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Adhere to principles of fiscal responsibility.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have implemented compensation practices designed to motivate our employees, including our NEOs, to pursue our corporate objectives while incentivizing them to create long-term value for our stockholders. Our executive compensation program combines short-term and long-term components, including salary, annual cash-based incentive awards, and longer-term equity awards. We believe we have found the proper mix of incentives that attracts, motivates and retains each NEO.</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Our Compensation Committee regularly reviews and, if appropriate, adjusts our executive compensation program to match the size, scale, growth and other components of our business. Because our ability to compete and succeed in this dynamic environment is directly correlated to our ability to recruit, incentivize and retain talented and seasoned technology leaders, we expect to continue to adjust our approach to executive compensation to respond to our needs and market conditions as they evolve.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2425"/>
                <wp:effectExtent l="0" t="0" r="0" b="0"/>
                <wp:wrapNone/>
                <wp:docPr id="41" name="Frame3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2023 Business Highlights</w:t>
      </w:r>
    </w:p>
    <w:p>
      <w:pPr>
        <w:pStyle w:val="TextBody"/>
        <w:bidi w:val="0"/>
        <w:spacing w:lineRule="auto" w:line="333" w:before="180" w:after="180"/>
        <w:jc w:val="both"/>
        <w:rPr>
          <w:rFonts w:ascii="Lato;sans-serif" w:hAnsi="Lato;sans-serif"/>
          <w:b w:val="false"/>
          <w:color w:val="000000"/>
          <w:sz w:val="20"/>
        </w:rPr>
      </w:pPr>
      <w:r>
        <w:rPr>
          <w:rFonts w:ascii="Lato;sans-serif" w:hAnsi="Lato;sans-serif"/>
          <w:b w:val="false"/>
          <w:color w:val="000000"/>
          <w:sz w:val="20"/>
        </w:rPr>
        <w:t>Our fiscal year 2023 business highlights included:</w:t>
      </w:r>
    </w:p>
    <w:p>
      <w:pPr>
        <w:pStyle w:val="TextBody"/>
        <w:bidi w:val="0"/>
        <w:spacing w:lineRule="auto" w:line="288" w:before="0" w:after="0"/>
        <w:ind w:left="0" w:right="0" w:firstLine="360"/>
        <w:jc w:val="left"/>
        <w:rPr/>
      </w:pPr>
      <w:r>
        <w:rPr>
          <w:color w:val="000000"/>
        </w:rPr>
        <w:t>•</w:t>
      </w:r>
      <w:r>
        <w:rPr>
          <w:rFonts w:ascii="Lato;sans-serif" w:hAnsi="Lato;sans-serif"/>
          <w:b w:val="false"/>
          <w:color w:val="000000"/>
          <w:sz w:val="20"/>
        </w:rPr>
        <w:t>Revenue of $1,239.5 million, an increase of 13% year-over-year.</w:t>
      </w:r>
    </w:p>
    <w:p>
      <w:pPr>
        <w:pStyle w:val="TextBody"/>
        <w:bidi w:val="0"/>
        <w:spacing w:lineRule="auto" w:line="288" w:before="0" w:after="0"/>
        <w:ind w:left="0" w:right="0" w:firstLine="360"/>
        <w:jc w:val="left"/>
        <w:rPr/>
      </w:pPr>
      <w:r>
        <w:rPr>
          <w:color w:val="000000"/>
        </w:rPr>
        <w:t>•</w:t>
      </w:r>
      <w:r>
        <w:rPr>
          <w:rFonts w:ascii="Lato;sans-serif" w:hAnsi="Lato;sans-serif"/>
          <w:b w:val="false"/>
          <w:color w:val="000000"/>
          <w:sz w:val="20"/>
        </w:rPr>
        <w:t>Operating income of $259.5 million and adjusted operating income of $498.6 million.</w:t>
      </w:r>
    </w:p>
    <w:p>
      <w:pPr>
        <w:pStyle w:val="TextBody"/>
        <w:bidi w:val="0"/>
        <w:spacing w:lineRule="auto" w:line="288" w:before="0" w:after="0"/>
        <w:ind w:left="0" w:right="0" w:firstLine="360"/>
        <w:jc w:val="left"/>
        <w:rPr/>
      </w:pPr>
      <w:r>
        <w:rPr>
          <w:color w:val="000000"/>
        </w:rPr>
        <w:t>•</w:t>
      </w:r>
      <w:r>
        <w:rPr>
          <w:rFonts w:ascii="Lato;sans-serif" w:hAnsi="Lato;sans-serif"/>
          <w:b w:val="false"/>
          <w:color w:val="000000"/>
          <w:sz w:val="20"/>
        </w:rPr>
        <w:t>GAAP operating income margin of 21% and adjusted operating income margin of 40%.</w:t>
      </w:r>
    </w:p>
    <w:p>
      <w:pPr>
        <w:pStyle w:val="TextBody"/>
        <w:bidi w:val="0"/>
        <w:spacing w:lineRule="auto" w:line="288" w:before="0" w:after="0"/>
        <w:ind w:left="0" w:right="0" w:firstLine="360"/>
        <w:jc w:val="left"/>
        <w:rPr/>
      </w:pPr>
      <w:r>
        <w:rPr>
          <w:color w:val="000000"/>
        </w:rPr>
        <w:t>•</w:t>
      </w:r>
      <w:r>
        <w:rPr>
          <w:rFonts w:ascii="Lato;sans-serif" w:hAnsi="Lato;sans-serif"/>
          <w:b w:val="false"/>
          <w:color w:val="000000"/>
          <w:sz w:val="20"/>
        </w:rPr>
        <w:t>Cash flow from operations of $434.9 million, and unlevered free cash flow of $463.5 million.</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Annual net revenue retention rate for 2023 was 87%.</w:t>
      </w:r>
      <w:r>
        <w:rPr>
          <w:rFonts w:ascii="Lato;sans-serif" w:hAnsi="Lato;sans-serif"/>
          <w:b w:val="false"/>
          <w:color w:val="000000"/>
          <w:sz w:val="13"/>
        </w:rPr>
        <w:t>1</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Closed the year with 1,820 customers with $100,000 or greater in annual contract value.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Please see Appendix A for information about our non-GAAP financial measurements, including reconciliations to the most directly comparable GAAP-based financial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Executive Compensation Policies and Practices</w:t>
      </w:r>
    </w:p>
    <w:p>
      <w:pPr>
        <w:pStyle w:val="TextBody"/>
        <w:bidi w:val="0"/>
        <w:spacing w:lineRule="auto" w:line="333" w:before="180" w:after="180"/>
        <w:jc w:val="both"/>
        <w:rPr>
          <w:rFonts w:ascii="Lato;sans-serif" w:hAnsi="Lato;sans-serif"/>
          <w:b w:val="false"/>
          <w:color w:val="000000"/>
          <w:sz w:val="20"/>
        </w:rPr>
      </w:pPr>
      <w:r>
        <w:rPr>
          <w:rFonts w:ascii="Lato;sans-serif" w:hAnsi="Lato;sans-serif"/>
          <w:b w:val="false"/>
          <w:color w:val="000000"/>
          <w:sz w:val="20"/>
        </w:rPr>
        <w:t>Our executive compensation program adheres to the following practices:</w:t>
      </w:r>
    </w:p>
    <w:tbl>
      <w:tblPr>
        <w:tblW w:w="10205" w:type="dxa"/>
        <w:jc w:val="left"/>
        <w:tblInd w:w="0" w:type="dxa"/>
        <w:tblLayout w:type="fixed"/>
        <w:tblCellMar>
          <w:top w:w="28" w:type="dxa"/>
          <w:left w:w="28" w:type="dxa"/>
          <w:bottom w:w="28" w:type="dxa"/>
          <w:right w:w="28" w:type="dxa"/>
        </w:tblCellMar>
      </w:tblPr>
      <w:tblGrid>
        <w:gridCol w:w="2276"/>
        <w:gridCol w:w="2006"/>
        <w:gridCol w:w="2018"/>
        <w:gridCol w:w="1259"/>
        <w:gridCol w:w="1259"/>
        <w:gridCol w:w="1387"/>
      </w:tblGrid>
      <w:tr>
        <w:trPr/>
        <w:tc>
          <w:tcPr>
            <w:tcW w:w="227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What We Do</w:t>
            </w:r>
          </w:p>
        </w:tc>
        <w:tc>
          <w:tcPr>
            <w:tcW w:w="390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What We Don’t Do</w:t>
            </w:r>
          </w:p>
        </w:tc>
      </w:tr>
      <w:tr>
        <w:trPr/>
        <w:tc>
          <w:tcPr>
            <w:tcW w:w="63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120" w:after="283"/>
              <w:jc w:val="both"/>
              <w:rPr>
                <w:color w:val="000000"/>
              </w:rPr>
            </w:pPr>
            <w:r>
              <w:rPr>
                <w:color w:val="000000"/>
              </w:rPr>
              <w:t xml:space="preserve">☑ </w:t>
            </w:r>
            <w:r>
              <w:rPr>
                <w:rFonts w:ascii="Lato;sans-serif" w:hAnsi="Lato;sans-serif"/>
                <w:b w:val="false"/>
                <w:color w:val="000000"/>
                <w:sz w:val="20"/>
              </w:rPr>
              <w:t>Emphasize long-term equity incentives consisting of both time-based and performance-based awards</w:t>
            </w:r>
          </w:p>
        </w:tc>
        <w:tc>
          <w:tcPr>
            <w:tcW w:w="39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guaranteed “single-trigger” change in control payments</w:t>
            </w:r>
          </w:p>
        </w:tc>
      </w:tr>
      <w:tr>
        <w:trPr/>
        <w:tc>
          <w:tcPr>
            <w:tcW w:w="6300" w:type="dxa"/>
            <w:gridSpan w:val="3"/>
            <w:tcBorders/>
            <w:shd w:fill="DBDBDB" w:val="clear"/>
            <w:tcMar>
              <w:top w:w="0" w:type="dxa"/>
              <w:left w:w="0" w:type="dxa"/>
              <w:bottom w:w="0" w:type="dxa"/>
              <w:right w:w="0" w:type="dxa"/>
            </w:tcMar>
            <w:vAlign w:val="center"/>
          </w:tcPr>
          <w:p>
            <w:pPr>
              <w:pStyle w:val="TableContents"/>
              <w:bidi w:val="0"/>
              <w:spacing w:lineRule="auto" w:line="288" w:before="120" w:after="283"/>
              <w:jc w:val="both"/>
              <w:rPr>
                <w:color w:val="000000"/>
              </w:rPr>
            </w:pPr>
            <w:r>
              <w:rPr>
                <w:color w:val="000000"/>
              </w:rPr>
              <w:t xml:space="preserve">☑ </w:t>
            </w:r>
            <w:r>
              <w:rPr>
                <w:rFonts w:ascii="Lato;sans-serif" w:hAnsi="Lato;sans-serif"/>
                <w:b w:val="false"/>
                <w:color w:val="000000"/>
                <w:sz w:val="20"/>
              </w:rPr>
              <w:t>Tie performance cash incentive opportunities to well-defined business objectives</w:t>
            </w:r>
          </w:p>
        </w:tc>
        <w:tc>
          <w:tcPr>
            <w:tcW w:w="3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tax reimbursement or tax gross-ups on severance or change in control payments</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Provide transparent disclosure of performance incentive targets and payout structure</w:t>
            </w:r>
          </w:p>
        </w:tc>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special executive welfare or health benefits, or retirement plans not available to our employees generally</w:t>
            </w:r>
          </w:p>
        </w:tc>
      </w:tr>
      <w:tr>
        <w:trPr/>
        <w:tc>
          <w:tcPr>
            <w:tcW w:w="6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Structure equity award acceleration linked to a change in control for post-IPO grants as “double triggered” requiring both a change in control and involuntary termination for accelerated vesting to apply</w:t>
            </w:r>
          </w:p>
        </w:tc>
        <w:tc>
          <w:tcPr>
            <w:tcW w:w="3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guaranteed compensation increases</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Lato;sans-serif" w:hAnsi="Lato;sans-serif"/>
                <w:b w:val="false"/>
                <w:color w:val="000000"/>
                <w:sz w:val="20"/>
              </w:rPr>
              <w:t>Provide for clawback of awards in the event of fraud, conduct contributing to a financial restatement or irregularity or other detrimental activities</w:t>
            </w:r>
          </w:p>
        </w:tc>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hedging of our stock</w:t>
            </w:r>
          </w:p>
        </w:tc>
      </w:tr>
      <w:tr>
        <w:trPr/>
        <w:tc>
          <w:tcPr>
            <w:tcW w:w="6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Assess risks of our executive compensation program</w:t>
            </w:r>
          </w:p>
        </w:tc>
        <w:tc>
          <w:tcPr>
            <w:tcW w:w="3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pledging of our stock</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Maintain a Compensation Committee comprised entirely of independent directors</w:t>
            </w:r>
          </w:p>
        </w:tc>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No strict benchmarking of compensation to a specific percentile or our peer group</w:t>
            </w:r>
          </w:p>
        </w:tc>
      </w:tr>
      <w:tr>
        <w:trPr/>
        <w:tc>
          <w:tcPr>
            <w:tcW w:w="6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Lato;sans-serif" w:hAnsi="Lato;sans-serif"/>
                <w:b w:val="false"/>
                <w:color w:val="000000"/>
                <w:sz w:val="20"/>
              </w:rPr>
              <w:t>Retain an independent compensation advisor</w:t>
            </w:r>
          </w:p>
        </w:tc>
        <w:tc>
          <w:tcPr>
            <w:tcW w:w="39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Lato;sans-serif" w:hAnsi="Lato;sans-serif"/>
          <w:b w:val="false"/>
          <w:color w:val="000000"/>
          <w:sz w:val="12"/>
        </w:rPr>
        <w:t>1</w:t>
      </w:r>
      <w:r>
        <w:rPr>
          <w:color w:val="000000"/>
        </w:rPr>
        <w:t xml:space="preserve"> </w:t>
      </w:r>
      <w:r>
        <w:rPr>
          <w:rFonts w:ascii="Lato;sans-serif" w:hAnsi="Lato;sans-serif"/>
          <w:b w:val="false"/>
          <w:color w:val="000000"/>
          <w:sz w:val="18"/>
        </w:rPr>
        <w:t>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2425"/>
                <wp:effectExtent l="0" t="0" r="0" b="0"/>
                <wp:wrapNone/>
                <wp:docPr id="42" name="Frame3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Process</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Role of Shareholder Say on Pay Vote</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We provide our shareholders with the opportunity to cast an annual advisory vote on executive compensation (a “say-on-pay vote”). At our 2023 annual meeting of the shareholders held in May 2023, approximately 76% of the votes cast approved of our executive compensation program on an advisory basis. While the Compensation Committee believes this outcome reflects that there is strong alignment between the goals of our executive compensation program and the interests of our shareholders, the Compensation Committee also determined that there were opportunities to update the program to be responsive to investor guidelines and proxy advisory firm recommendations. Based on this feedback, the Compensation Committee added performance-based vesting restricted stock units as a component of the long-term incentive compensation for our CEO and other executives in 2023 and adopted robust stock ownership guidelines. The Compensation Committee will continue to seriously consider the outcome of say-on-pay votes in its design of our executive compensation program.</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Role of Our Compensation Committee, Management and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is appointed by our Board of Directors to assist with the Board’s oversight responsibilities with respect to the Company’s compensation and benefit plans, policies and programs, administration of Company equity plans and its responsibilities related to the compensation of the Company’s executive officers, directors, and senior management, as appropriate.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is primarily responsible for establishing and reviewing our general compensation strategy. The Compensation Committee meets periodically throughout the year to, among other responsibilities, manage and evaluate our executive compensation program, and generally determines, which may be subject to final Board of Directors approval, the principal components of compensation (base salary, cash performance incentives, and equity awards) for our executive officers on an annual basis; however, decisions may occur at other times for new hires, promotions or other special circumstances as our Compensation Committee determines appropriate. Since our IPO, our Compensation Committee and, in certain circumstances, our full Board, has been responsible for making all executive compensation determinations. The Compensation Committee does not delegate authority to approve executive officer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 Mr. Schuck, as our Chief Executive Officer, works closely with the Compensation Committee in managing the executive compensation program and attends some meetings of the Compensation Committee. He does not participate in the determination of his own compensation and is not present during decisions regarding his compensation.</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Role of Compensation Consultant</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Compensation Committee has retained Aon's Human Capital Solutions, a nationally recognized compensation consulting firm, formerly known as Radford (“Aon”), to advise the Compensation Committee with respect to executive officer and director compensation, equity compensation program design, and company-wide equity strategy. Aon does not provide any services to the Company other than advising on executive officer and non-employee director compensation. The Compensation Committee has determined that Aon is independent from management and that Aon’s work has not raised any conflicts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2425"/>
                <wp:effectExtent l="0" t="0" r="0" b="0"/>
                <wp:wrapNone/>
                <wp:docPr id="43" name="Frame3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Benchmarking and Peer Group</w:t>
      </w:r>
    </w:p>
    <w:p>
      <w:pPr>
        <w:pStyle w:val="TextBody"/>
        <w:bidi w:val="0"/>
        <w:spacing w:lineRule="auto" w:line="288" w:before="180" w:after="180"/>
        <w:jc w:val="both"/>
        <w:rPr/>
      </w:pPr>
      <w:r>
        <w:rPr>
          <w:rFonts w:ascii="Lato;sans-serif" w:hAnsi="Lato;sans-serif"/>
          <w:b w:val="false"/>
          <w:color w:val="000000"/>
          <w:sz w:val="20"/>
        </w:rPr>
        <w:t xml:space="preserve">In 2023, the Compensation Committee, in consultation with Aon, reviewed the Company’s peer group for purposes of benchmarking executive compensation, and making compensation decisions </w:t>
      </w:r>
      <w:r>
        <w:rPr>
          <w:rFonts w:ascii="Lato;sans-serif" w:hAnsi="Lato;sans-serif"/>
          <w:b w:val="false"/>
          <w:color w:val="000000"/>
          <w:sz w:val="20"/>
          <w:shd w:fill="FFFFFF" w:val="clear"/>
        </w:rPr>
        <w:t xml:space="preserve">in light of the Company’s growth and other factors. </w:t>
      </w:r>
      <w:r>
        <w:rPr>
          <w:rFonts w:ascii="Lato;sans-serif" w:hAnsi="Lato;sans-serif"/>
          <w:b w:val="false"/>
          <w:color w:val="000000"/>
          <w:sz w:val="20"/>
        </w:rPr>
        <w:t>Based on Aon’s review and recommendations, the Compensation Committee approved the following list of companies as an appropriate peer group for benchmarking executive compensation, and making compensation decisions, in 2023 (the “2023 Peer Group”). The Compensation Committee considered this 2023 Peer Group to align with the Company’s levels of headcount, revenue, revenue multiples, and market capitalization.</w:t>
      </w:r>
    </w:p>
    <w:tbl>
      <w:tblPr>
        <w:tblW w:w="8337" w:type="dxa"/>
        <w:jc w:val="left"/>
        <w:tblInd w:w="0" w:type="dxa"/>
        <w:tblLayout w:type="fixed"/>
        <w:tblCellMar>
          <w:top w:w="28" w:type="dxa"/>
          <w:left w:w="28" w:type="dxa"/>
          <w:bottom w:w="28" w:type="dxa"/>
          <w:right w:w="28" w:type="dxa"/>
        </w:tblCellMar>
      </w:tblPr>
      <w:tblGrid>
        <w:gridCol w:w="814"/>
        <w:gridCol w:w="715"/>
        <w:gridCol w:w="720"/>
        <w:gridCol w:w="759"/>
        <w:gridCol w:w="759"/>
        <w:gridCol w:w="761"/>
        <w:gridCol w:w="604"/>
        <w:gridCol w:w="604"/>
        <w:gridCol w:w="606"/>
        <w:gridCol w:w="583"/>
        <w:gridCol w:w="583"/>
        <w:gridCol w:w="8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Alteryx</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Crowdstrike Holdings</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Morningstar</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Smartsheet</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ANSYS</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Datadog</w:t>
            </w:r>
          </w:p>
        </w:tc>
        <w:tc>
          <w:tcPr>
            <w:tcW w:w="1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MSCI</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The Trade Desk</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Ceridian HCM Holding</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Fair Isaac</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Okta</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Tradeweb Markets</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CoStar Group</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HubSpot</w:t>
            </w:r>
          </w:p>
        </w:tc>
        <w:tc>
          <w:tcPr>
            <w:tcW w:w="1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Paycom Software</w:t>
            </w:r>
          </w:p>
        </w:tc>
        <w:tc>
          <w:tcPr>
            <w:tcW w:w="1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Tyler Technologies</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Coupa Software</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MarketAxess Holdings</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Paylocity Holding</w:t>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Lato;sans-serif" w:hAnsi="Lato;sans-serif"/>
          <w:b w:val="false"/>
          <w:color w:val="000000"/>
          <w:sz w:val="20"/>
        </w:rPr>
        <w:t>The Compensation Committee determined that target total direct compensation and target annual and long-term incentive compensation were within a competitive range for each NE</w:t>
      </w:r>
      <w:r>
        <w:rPr>
          <w:rFonts w:ascii="Lato;sans-serif" w:hAnsi="Lato;sans-serif"/>
          <w:b w:val="false"/>
          <w:color w:val="000000"/>
          <w:sz w:val="20"/>
          <w:shd w:fill="FFFFFF" w:val="clear"/>
        </w:rPr>
        <w:t xml:space="preserve">O. </w:t>
      </w:r>
      <w:r>
        <w:rPr>
          <w:rFonts w:ascii="Lato;sans-serif" w:hAnsi="Lato;sans-serif"/>
          <w:b w:val="false"/>
          <w:color w:val="000000"/>
          <w:sz w:val="20"/>
        </w:rPr>
        <w:t>This determination took into account the base salary levels, cash bonus targets, and equity awards for each NEO described below. The Compensation Committee intends to continue to strive to provide compensation opportunities that generally align each NEO’s target total direct compensation within a competitive range of the market median and expects that a significant portion of each NEOs total compensation package will continue to be focused on rewarding long-term future performance through a combination of at-risk cash and long-term equity incentive awards.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2024, the Compensation Committee has adjusted 2023 Peer Group as a result of changes at certain peer group companies and to further align with the Company’s levels of headcount, revenue, revenue multiples, and market capitalization. The peer group for 2024 is set forth below.</w:t>
      </w:r>
    </w:p>
    <w:tbl>
      <w:tblPr>
        <w:tblW w:w="9207" w:type="dxa"/>
        <w:jc w:val="left"/>
        <w:tblInd w:w="0" w:type="dxa"/>
        <w:tblLayout w:type="fixed"/>
        <w:tblCellMar>
          <w:top w:w="28" w:type="dxa"/>
          <w:left w:w="28" w:type="dxa"/>
          <w:bottom w:w="28" w:type="dxa"/>
          <w:right w:w="28" w:type="dxa"/>
        </w:tblCellMar>
      </w:tblPr>
      <w:tblGrid>
        <w:gridCol w:w="812"/>
        <w:gridCol w:w="715"/>
        <w:gridCol w:w="722"/>
        <w:gridCol w:w="894"/>
        <w:gridCol w:w="894"/>
        <w:gridCol w:w="897"/>
        <w:gridCol w:w="759"/>
        <w:gridCol w:w="759"/>
        <w:gridCol w:w="761"/>
        <w:gridCol w:w="582"/>
        <w:gridCol w:w="582"/>
        <w:gridCol w:w="830"/>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ANSYS</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FactSet Research Systems</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MarketAxess Holdings</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Paylocity Holding</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Appfolio</w:t>
            </w:r>
          </w:p>
        </w:tc>
        <w:tc>
          <w:tcPr>
            <w:tcW w:w="26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Fair Isaac</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Morningstar</w:t>
            </w:r>
          </w:p>
        </w:tc>
        <w:tc>
          <w:tcPr>
            <w:tcW w:w="199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Smartsheet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Ceridian HCM Holding</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HubSpot</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MSCI</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The Trade Desk</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CoStar Group</w:t>
            </w:r>
          </w:p>
        </w:tc>
        <w:tc>
          <w:tcPr>
            <w:tcW w:w="26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Informatica</w:t>
            </w:r>
          </w:p>
        </w:tc>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Okta</w:t>
            </w:r>
          </w:p>
        </w:tc>
        <w:tc>
          <w:tcPr>
            <w:tcW w:w="1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Tradeweb Markets</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DoubleVerify</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LiveRamp</w:t>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Paycom Software</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Tyler Technologies</w:t>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Dun &amp; Bradstreet</w:t>
            </w:r>
          </w:p>
        </w:tc>
        <w:tc>
          <w:tcPr>
            <w:tcW w:w="26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Components of our Compensation Program and 2023 Compensation</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2023 Executive Compensation Components</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Our executive compensation program consists of the following primary components: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Base salary;</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Cash-based incentive awards;</w:t>
      </w:r>
    </w:p>
    <w:p>
      <w:pPr>
        <w:pStyle w:val="TextBody"/>
        <w:bidi w:val="0"/>
        <w:spacing w:lineRule="auto" w:line="288" w:before="0" w:after="0"/>
        <w:ind w:left="0" w:right="0" w:hanging="360"/>
        <w:jc w:val="left"/>
        <w:rPr/>
      </w:pPr>
      <w:r>
        <w:rPr>
          <w:color w:val="000000"/>
        </w:rPr>
        <w:t>•</w:t>
      </w:r>
      <w:r>
        <w:rPr>
          <w:rFonts w:ascii="Lato;sans-serif" w:hAnsi="Lato;sans-serif"/>
          <w:b w:val="false"/>
          <w:color w:val="000000"/>
          <w:sz w:val="20"/>
        </w:rPr>
        <w:t>Long-term equity compensation, comprised of performance-based RSUs tied to financial performance metrics and, in the case of NEOs other than Mr. Schuck, time-based RSUs; and</w:t>
      </w:r>
    </w:p>
    <w:p>
      <w:pPr>
        <w:pStyle w:val="TextBody"/>
        <w:bidi w:val="0"/>
        <w:spacing w:lineRule="auto" w:line="288" w:before="0" w:after="180"/>
        <w:ind w:left="0" w:right="0" w:hanging="360"/>
        <w:jc w:val="left"/>
        <w:rPr/>
      </w:pPr>
      <w:r>
        <w:rPr>
          <w:color w:val="000000"/>
        </w:rPr>
        <w:t>•</w:t>
      </w:r>
      <w:r>
        <w:rPr>
          <w:rFonts w:ascii="Lato;sans-serif" w:hAnsi="Lato;sans-serif"/>
          <w:b w:val="false"/>
          <w:color w:val="000000"/>
          <w:sz w:val="20"/>
        </w:rPr>
        <w:t>Severance and change in control-related payments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2425"/>
                <wp:effectExtent l="0" t="0" r="0" b="0"/>
                <wp:wrapNone/>
                <wp:docPr id="44" name="Frame4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also provide our NEOs with comprehensive employee benefit programs such as medical, dental and vision insurance, a 401(k) plan, life and disability insurance, flexible spending accounts and other plans and programs made available to our eligible employees.</w:t>
      </w:r>
    </w:p>
    <w:p>
      <w:pPr>
        <w:pStyle w:val="TextBody"/>
        <w:bidi w:val="0"/>
        <w:spacing w:lineRule="auto" w:line="288" w:before="0" w:after="180"/>
        <w:jc w:val="both"/>
        <w:rPr/>
      </w:pPr>
      <w:r>
        <w:rPr>
          <w:rFonts w:ascii="Lato;sans-serif" w:hAnsi="Lato;sans-serif"/>
          <w:b w:val="false"/>
          <w:color w:val="000000"/>
          <w:sz w:val="20"/>
        </w:rPr>
        <w:t>We believe all these elements provide a compensation package that attracts and retains qualified individuals, links individual performance to Company performance, focuses the efforts of our NEOs on the achievement of both our short-term and long-term objectives and aligns the interests of our NEOs with those of our stockholders. Our 2023 executive compensation program continued to reflect our ongoing transition from a late-stage private company to a publicly traded SaaS company with over a billion dollars in annual revenue, as we continued to emphasize long-term equity compensation as the most significant component of each NEO’s compensation. We introduced performance-based RSUs for Mr. Schuck and certain other executives as described below under “</w:t>
      </w:r>
      <w:r>
        <w:rPr>
          <w:rFonts w:ascii="Lato;sans-serif" w:hAnsi="Lato;sans-serif"/>
          <w:b w:val="false"/>
          <w:i/>
          <w:color w:val="000000"/>
          <w:sz w:val="20"/>
        </w:rPr>
        <w:t>-Long-Term Equity Compensation</w:t>
      </w:r>
      <w:r>
        <w:rPr>
          <w:rFonts w:ascii="Lato;sans-serif" w:hAnsi="Lato;sans-serif"/>
          <w:b w:val="false"/>
          <w:color w:val="000000"/>
          <w:sz w:val="20"/>
        </w:rPr>
        <w:t>.”</w:t>
      </w:r>
      <w:r>
        <w:rPr>
          <w:color w:val="000000"/>
        </w:rPr>
        <w:t xml:space="preserve"> </w:t>
      </w:r>
      <w:r>
        <w:rPr>
          <w:rFonts w:ascii="Lato;sans-serif" w:hAnsi="Lato;sans-serif"/>
          <w:b w:val="false"/>
          <w:color w:val="000000"/>
          <w:sz w:val="20"/>
        </w:rPr>
        <w:t>The charts below show the pay mix of our CEO and other NEOs and the components of their pay for 2023, specifically the base salary and cash bonus amounts earned and the grant date fair value of equity awards granted in 2023.</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Base Salary</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provide each NEO with a base salary for the services that the NEO performs for us. This compensation component constitutes a stable element of compensation while other compensation elements are variable. Base salaries may be increased based on the individual performance of the NEO, company performance, any change in the NEO’s position within our business, the scope of the NEO’s responsibilities and any changes thereto. Base salaries may also be increased under the terms of an NEO’s employment agreement, but in the case of Mr. Schuck, such salary may not be decreased below $512,000 without his consent. Base salaries typically reflect each NEO’s experience, skills, knowledge and responsibilities, although market data may also play a role in setting salary levels. We do not apply specific formulas to determine changes in salaries. Instead, the salaries of our NEOs are reviewed on an annual basis by the Compensation Committee based on our compensation philosophy and objectives.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Effective April 1, 2023, the Compensation Committee reviewed the base salaries and cash bonus targets for our NEOs and determined not to make any changes. Mr. Dasdan’s base salary was determined at the beginning of his employment with the Company effective January 30, 2023. The table below sets forth the annual base salaries for our NEOs for 2023:</w:t>
      </w:r>
    </w:p>
    <w:tbl>
      <w:tblPr>
        <w:tblW w:w="10205" w:type="dxa"/>
        <w:jc w:val="left"/>
        <w:tblInd w:w="0" w:type="dxa"/>
        <w:tblLayout w:type="fixed"/>
        <w:tblCellMar>
          <w:top w:w="28" w:type="dxa"/>
          <w:left w:w="28" w:type="dxa"/>
          <w:bottom w:w="28" w:type="dxa"/>
          <w:right w:w="28" w:type="dxa"/>
        </w:tblCellMar>
      </w:tblPr>
      <w:tblGrid>
        <w:gridCol w:w="715"/>
        <w:gridCol w:w="602"/>
        <w:gridCol w:w="609"/>
        <w:gridCol w:w="698"/>
        <w:gridCol w:w="674"/>
        <w:gridCol w:w="676"/>
        <w:gridCol w:w="698"/>
        <w:gridCol w:w="674"/>
        <w:gridCol w:w="676"/>
        <w:gridCol w:w="1222"/>
        <w:gridCol w:w="1222"/>
        <w:gridCol w:w="1739"/>
      </w:tblGrid>
      <w:tr>
        <w:trPr/>
        <w:tc>
          <w:tcPr>
            <w:tcW w:w="71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204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2022 Base Salary ($)</w:t>
            </w:r>
          </w:p>
        </w:tc>
        <w:tc>
          <w:tcPr>
            <w:tcW w:w="204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 Base Salary ($)</w:t>
            </w:r>
          </w:p>
        </w:tc>
        <w:tc>
          <w:tcPr>
            <w:tcW w:w="418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Percentage Increase from 2022 Base Salary</w:t>
            </w:r>
          </w:p>
        </w:tc>
      </w:tr>
      <w:tr>
        <w:trPr/>
        <w:tc>
          <w:tcPr>
            <w:tcW w:w="19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Henry Schuck</w:t>
            </w:r>
            <w:r>
              <w:rPr>
                <w:rFonts w:ascii="Lato;sans-serif" w:hAnsi="Lato;sans-serif"/>
                <w:b w:val="false"/>
                <w:color w:val="000000"/>
                <w:sz w:val="13"/>
              </w:rPr>
              <w:t>(1)</w:t>
            </w:r>
          </w:p>
        </w:tc>
        <w:tc>
          <w:tcPr>
            <w:tcW w:w="20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550,000</w:t>
            </w:r>
          </w:p>
        </w:tc>
        <w:tc>
          <w:tcPr>
            <w:tcW w:w="20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550,000</w:t>
            </w:r>
          </w:p>
        </w:tc>
        <w:tc>
          <w:tcPr>
            <w:tcW w:w="418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19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Peter Cameron Hyzer</w:t>
            </w:r>
          </w:p>
        </w:tc>
        <w:tc>
          <w:tcPr>
            <w:tcW w:w="20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562,000</w:t>
            </w:r>
          </w:p>
        </w:tc>
        <w:tc>
          <w:tcPr>
            <w:tcW w:w="20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562,000</w:t>
            </w:r>
          </w:p>
        </w:tc>
        <w:tc>
          <w:tcPr>
            <w:tcW w:w="41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Ali Dasdan</w:t>
            </w:r>
          </w:p>
        </w:tc>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000000"/>
                <w:sz w:val="20"/>
              </w:rPr>
            </w:pPr>
            <w:r>
              <w:rPr>
                <w:rFonts w:ascii="Lato;sans-serif" w:hAnsi="Lato;sans-serif"/>
                <w:b w:val="false"/>
                <w:color w:val="000000"/>
                <w:sz w:val="20"/>
              </w:rPr>
              <w:t>N/A</w:t>
            </w:r>
          </w:p>
        </w:tc>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450,000</w:t>
            </w:r>
          </w:p>
        </w:tc>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N/A</w:t>
            </w:r>
          </w:p>
        </w:tc>
      </w:tr>
      <w:tr>
        <w:trPr/>
        <w:tc>
          <w:tcPr>
            <w:tcW w:w="19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Chris Hays</w:t>
            </w:r>
          </w:p>
        </w:tc>
        <w:tc>
          <w:tcPr>
            <w:tcW w:w="20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423,720</w:t>
            </w:r>
          </w:p>
        </w:tc>
        <w:tc>
          <w:tcPr>
            <w:tcW w:w="20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423,720</w:t>
            </w:r>
          </w:p>
        </w:tc>
        <w:tc>
          <w:tcPr>
            <w:tcW w:w="41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w:t>
      </w:r>
    </w:p>
    <w:p>
      <w:pPr>
        <w:pStyle w:val="TextBody"/>
        <w:bidi w:val="0"/>
        <w:spacing w:lineRule="auto" w:line="288" w:before="0" w:after="180"/>
        <w:ind w:left="0" w:right="0" w:hanging="360"/>
        <w:jc w:val="both"/>
        <w:rPr>
          <w:rFonts w:ascii="Lato;sans-serif" w:hAnsi="Lato;sans-serif"/>
          <w:b w:val="false"/>
          <w:color w:val="000000"/>
          <w:sz w:val="16"/>
        </w:rPr>
      </w:pPr>
      <w:r>
        <w:rPr>
          <w:rFonts w:ascii="Lato;sans-serif" w:hAnsi="Lato;sans-serif"/>
          <w:b w:val="false"/>
          <w:color w:val="000000"/>
          <w:sz w:val="16"/>
        </w:rPr>
        <w:t>(1)Pursuant to the terms of his employment agreement, Mr. Schuck is entitled to a base salary of $512,000, which may be increased, but not decreased without his consent.</w:t>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Annual Cash Incentive Awards — 2023 Cash Incentive Bonus Plan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 key objective of our compensation philosophy is to tie a significant portion of each NEO’s compensation to our performance. To help accomplish this objective, we provide annual performance-based cash bonus incentive opportunities for our NEOs, which are earned based on our achievement against corporate performance objectives established at the beginning of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2425"/>
                <wp:effectExtent l="0" t="0" r="0" b="0"/>
                <wp:wrapNone/>
                <wp:docPr id="45" name="Frame4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shows the target annual cash bonus opportunity for each NEO as a percentage of their base salary and as a corresponding dollar amount for 2023:</w:t>
      </w:r>
    </w:p>
    <w:tbl>
      <w:tblPr>
        <w:tblW w:w="10205" w:type="dxa"/>
        <w:jc w:val="left"/>
        <w:tblInd w:w="0" w:type="dxa"/>
        <w:tblLayout w:type="fixed"/>
        <w:tblCellMar>
          <w:top w:w="28" w:type="dxa"/>
          <w:left w:w="28" w:type="dxa"/>
          <w:bottom w:w="28" w:type="dxa"/>
          <w:right w:w="28" w:type="dxa"/>
        </w:tblCellMar>
      </w:tblPr>
      <w:tblGrid>
        <w:gridCol w:w="595"/>
        <w:gridCol w:w="412"/>
        <w:gridCol w:w="415"/>
        <w:gridCol w:w="962"/>
        <w:gridCol w:w="962"/>
        <w:gridCol w:w="964"/>
        <w:gridCol w:w="818"/>
        <w:gridCol w:w="788"/>
        <w:gridCol w:w="791"/>
        <w:gridCol w:w="1022"/>
        <w:gridCol w:w="1022"/>
        <w:gridCol w:w="1454"/>
      </w:tblGrid>
      <w:tr>
        <w:trPr/>
        <w:tc>
          <w:tcPr>
            <w:tcW w:w="59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288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 Target Cash Bonus as a Percentage of Salary</w:t>
            </w:r>
          </w:p>
        </w:tc>
        <w:tc>
          <w:tcPr>
            <w:tcW w:w="239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2023 Target Cash Bonus as a Dollar Amount</w:t>
            </w:r>
          </w:p>
        </w:tc>
        <w:tc>
          <w:tcPr>
            <w:tcW w:w="349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Percentage Increase from 2022 Target Bonus as a Dollar Amount</w:t>
            </w:r>
          </w:p>
        </w:tc>
      </w:tr>
      <w:tr>
        <w:trPr/>
        <w:tc>
          <w:tcPr>
            <w:tcW w:w="14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Henry Schuck</w:t>
            </w:r>
          </w:p>
        </w:tc>
        <w:tc>
          <w:tcPr>
            <w:tcW w:w="28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100%</w:t>
            </w:r>
          </w:p>
        </w:tc>
        <w:tc>
          <w:tcPr>
            <w:tcW w:w="23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$550,000</w:t>
            </w:r>
          </w:p>
        </w:tc>
        <w:tc>
          <w:tcPr>
            <w:tcW w:w="34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Peter Cameron Hyzer</w:t>
            </w:r>
          </w:p>
        </w:tc>
        <w:tc>
          <w:tcPr>
            <w:tcW w:w="2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60%</w:t>
            </w:r>
          </w:p>
        </w:tc>
        <w:tc>
          <w:tcPr>
            <w:tcW w:w="23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$337,000</w:t>
            </w:r>
          </w:p>
        </w:tc>
        <w:tc>
          <w:tcPr>
            <w:tcW w:w="34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Ali Dasdan</w:t>
            </w:r>
          </w:p>
        </w:tc>
        <w:tc>
          <w:tcPr>
            <w:tcW w:w="2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w:t>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$225,000</w:t>
            </w:r>
          </w:p>
        </w:tc>
        <w:tc>
          <w:tcPr>
            <w:tcW w:w="3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N/A</w:t>
            </w:r>
          </w:p>
        </w:tc>
      </w:tr>
      <w:tr>
        <w:trPr/>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Chris Hays</w:t>
            </w:r>
          </w:p>
        </w:tc>
        <w:tc>
          <w:tcPr>
            <w:tcW w:w="28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56%</w:t>
            </w:r>
          </w:p>
        </w:tc>
        <w:tc>
          <w:tcPr>
            <w:tcW w:w="23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$235,400</w:t>
            </w:r>
          </w:p>
        </w:tc>
        <w:tc>
          <w:tcPr>
            <w:tcW w:w="34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bl>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At the beginning of 2023, our Board approved our annual operating plan, which included performance objectives that the Compensation Committee used to design an annual cash incentive bonus plan for our NEOs and other employees (the “2023 Cash Incentive Bonus Plan”). The Compensation Committee considered a number of factors in selecting the performance objectives applicable to our NEOs’ annual cash bonus opportunities, including performance objectives that tie to our business strategy and support our short-term and long-term plans to profitably grow our business. The Compensation Committee determined that two key performance metrics - net new annual recurring revenue (“Net New ARR”) and fiscal year adjusted operating income (“AOI”) - are aligned with the key drivers of success during this phase of our business growth.</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Each NEO’s 2023 cash bonus opportunity was based equally on Net New ARR and AOI and capped at 200% maximum achievement. Bonus achievement was approved at 0% for each of Net New ARR and AOI.</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charts present the bonus payout formula relative to the target bonus opportunity based on 2023 Net New ARR and AOI achievement. The Net New ARR metric was based on targeted Net New ARR of $310.3 million and the AOI metric was based on targeted AOI of $561.3 million.</w:t>
      </w:r>
    </w:p>
    <w:tbl>
      <w:tblPr>
        <w:tblW w:w="10205" w:type="dxa"/>
        <w:jc w:val="left"/>
        <w:tblInd w:w="0" w:type="dxa"/>
        <w:tblLayout w:type="fixed"/>
        <w:tblCellMar>
          <w:top w:w="28" w:type="dxa"/>
          <w:left w:w="28" w:type="dxa"/>
          <w:bottom w:w="28" w:type="dxa"/>
          <w:right w:w="28" w:type="dxa"/>
        </w:tblCellMar>
      </w:tblPr>
      <w:tblGrid>
        <w:gridCol w:w="388"/>
        <w:gridCol w:w="340"/>
        <w:gridCol w:w="341"/>
        <w:gridCol w:w="2371"/>
        <w:gridCol w:w="2371"/>
        <w:gridCol w:w="2378"/>
        <w:gridCol w:w="290"/>
        <w:gridCol w:w="290"/>
        <w:gridCol w:w="291"/>
        <w:gridCol w:w="334"/>
        <w:gridCol w:w="334"/>
        <w:gridCol w:w="477"/>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06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Metric</w:t>
            </w:r>
          </w:p>
        </w:tc>
        <w:tc>
          <w:tcPr>
            <w:tcW w:w="7120"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Payout Formula Under 2023 Cash Incentive Bonus Plan</w:t>
            </w:r>
          </w:p>
        </w:tc>
        <w:tc>
          <w:tcPr>
            <w:tcW w:w="87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Weight</w:t>
            </w:r>
          </w:p>
        </w:tc>
        <w:tc>
          <w:tcPr>
            <w:tcW w:w="114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Achieved</w:t>
            </w:r>
          </w:p>
        </w:tc>
      </w:tr>
      <w:tr>
        <w:trPr/>
        <w:tc>
          <w:tcPr>
            <w:tcW w:w="10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Net New ARR</w:t>
            </w:r>
            <w:r>
              <w:rPr>
                <w:rFonts w:ascii="Lato;sans-serif" w:hAnsi="Lato;sans-serif"/>
                <w:b w:val="false"/>
                <w:color w:val="000000"/>
                <w:sz w:val="13"/>
              </w:rPr>
              <w:t>(1)</w:t>
            </w:r>
          </w:p>
        </w:tc>
        <w:tc>
          <w:tcPr>
            <w:tcW w:w="71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At target: 100% payout, increased or decreased as follows:</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If above target, increased by 1% per $2.00 million above target, up to 150% achievement, then increased by another 1% per additional $1.00 million above 150% achievement, up to 200% maximum</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If below target, decreased by 1% per $2.00 million below target, down to 50% achievement, then decreased by an additional 1% per additional $1.00 million below 50% achievement threshold, down to 0%</w:t>
            </w:r>
          </w:p>
        </w:tc>
        <w:tc>
          <w:tcPr>
            <w:tcW w:w="8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w:t>
            </w:r>
          </w:p>
        </w:tc>
        <w:tc>
          <w:tcPr>
            <w:tcW w:w="11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106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AOI</w:t>
            </w:r>
            <w:r>
              <w:rPr>
                <w:rFonts w:ascii="Lato;sans-serif" w:hAnsi="Lato;sans-serif"/>
                <w:b w:val="false"/>
                <w:color w:val="000000"/>
                <w:sz w:val="13"/>
              </w:rPr>
              <w:t>(2)</w:t>
            </w:r>
          </w:p>
        </w:tc>
        <w:tc>
          <w:tcPr>
            <w:tcW w:w="7120"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Lato;sans-serif" w:hAnsi="Lato;sans-serif"/>
                <w:b w:val="false"/>
                <w:color w:val="000000"/>
                <w:sz w:val="20"/>
              </w:rPr>
            </w:pPr>
            <w:r>
              <w:rPr>
                <w:rFonts w:ascii="Lato;sans-serif" w:hAnsi="Lato;sans-serif"/>
                <w:b w:val="false"/>
                <w:color w:val="000000"/>
                <w:sz w:val="20"/>
              </w:rPr>
              <w:t>At target: 100% payout, increased or decreased as follows:</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If above target, increased by 1% per $0.50 million above target, up to 150% achievement, then increased by another 1% per additional $0.25 million above 150% achievement, up to 200% maximum</w:t>
            </w:r>
          </w:p>
          <w:p>
            <w:pPr>
              <w:pStyle w:val="TableContents"/>
              <w:bidi w:val="0"/>
              <w:spacing w:lineRule="auto" w:line="240" w:before="0" w:after="0"/>
              <w:ind w:left="0" w:right="0" w:hanging="180"/>
              <w:jc w:val="left"/>
              <w:rPr/>
            </w:pPr>
            <w:r>
              <w:rPr>
                <w:color w:val="000000"/>
              </w:rPr>
              <w:t>•</w:t>
            </w:r>
            <w:r>
              <w:rPr>
                <w:rFonts w:ascii="Lato;sans-serif" w:hAnsi="Lato;sans-serif"/>
                <w:b w:val="false"/>
                <w:color w:val="000000"/>
                <w:sz w:val="20"/>
              </w:rPr>
              <w:t>If below target, decreased by 1% per $0.50 million below target, down to 50% achievement, then decreased by an additional 1% per additional $0.25 million below 50% achievement threshold, down to 0%</w:t>
            </w:r>
          </w:p>
        </w:tc>
        <w:tc>
          <w:tcPr>
            <w:tcW w:w="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50%</w:t>
            </w:r>
          </w:p>
        </w:tc>
        <w:tc>
          <w:tcPr>
            <w:tcW w:w="1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val="false"/>
                <w:color w:val="000000"/>
                <w:sz w:val="20"/>
              </w:rPr>
              <w:t>%</w:t>
            </w:r>
          </w:p>
        </w:tc>
      </w:tr>
      <w:tr>
        <w:trPr/>
        <w:tc>
          <w:tcPr>
            <w:tcW w:w="906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Total Blended Achievement</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Lato;sans-serif" w:hAnsi="Lato;sans-serif"/>
                <w:b/>
                <w:color w:val="000000"/>
                <w:sz w:val="20"/>
              </w:rPr>
              <w:t>%</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(1)Net New ARR is calculated based on the difference between annual recurring revenue at the end of the year and the beginning of the year. The calculation is adjusted for any acquisitions made during the year, if applicable.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(2)AOI is defined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expenses. For purposes of our cash incentive bonus plan determination only, AOI achievement is also adjusted to exclude additional or reduced bonus driven by the cash incentive bonus plan relative to target bonuses. The calculation is also adjusted for any acquisitions made during the year, if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2425"/>
                <wp:effectExtent l="0" t="0" r="0" b="0"/>
                <wp:wrapNone/>
                <wp:docPr id="46" name="Frame4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Long-Term Equity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During 2023, we granted equity compensation to our executives in the form of both time-based and performance-based RSUs, as follows: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Prior to 2023, Mr. Schuck did not receive any long-term equity compensation.</w:t>
      </w:r>
      <w:r>
        <w:rPr>
          <w:color w:val="000000"/>
          <w:shd w:fill="FFFFFF" w:val="clear"/>
        </w:rPr>
        <w:t xml:space="preserve"> </w:t>
      </w:r>
      <w:r>
        <w:rPr>
          <w:rFonts w:ascii="Lato;sans-serif" w:hAnsi="Lato;sans-serif"/>
          <w:b w:val="false"/>
          <w:color w:val="000000"/>
          <w:sz w:val="20"/>
          <w:shd w:fill="FFFFFF" w:val="clear"/>
        </w:rPr>
        <w:t xml:space="preserve">Instead, upon Mr. Schuck’s request, and with the approval of the Compensation Committee, the Company allocated additional equity awards to non-executive officer employees for recognition and retention purposes. In April </w:t>
      </w:r>
      <w:r>
        <w:rPr>
          <w:rFonts w:ascii="Lato;sans-serif" w:hAnsi="Lato;sans-serif"/>
          <w:b w:val="false"/>
          <w:color w:val="000000"/>
          <w:sz w:val="20"/>
        </w:rPr>
        <w:t>2023, Mr. Schuck received a three-year performance-based restricted stock unit award as described below. Mr. Schuck did not receive any time-based RSUs.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Mr. Hyzer was awarded additional RSUs outside of the normal executive compensation cycle on December 30, 2022 for retention purposes. As a result of that off-cycle award, the Compensation Committee did not recommend, and the Board did not grant, any RSUs to Mr. Hyzer as part of the 2023 annual executive compensation process.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We granted time-based RSUs to Mr. Dasdan in April 2023 as part of his compensation as a newly hired executive.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We granted a mix of time-based and performance-based RSUs to Mr. Hays in April 2023 as part of the annual executive compensation process, as described below.</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believes that both time-based and performance-based RSUs align our NEOs’ interests with those of our stockholders by providing a return directly in line with our stock price and minimize incentive for short-term risk-taking at the expense of realizing long-term value. RSUs encourage retention through vesting over the recipient’s continued employment with us over a multi-year period, cover fewer shares than stock options, minimize dilution to stockholders, and are the predominant type of equity award utilized by the peer companies with whom we compete for talent.</w:t>
      </w:r>
    </w:p>
    <w:p>
      <w:pPr>
        <w:pStyle w:val="TextBody"/>
        <w:bidi w:val="0"/>
        <w:spacing w:lineRule="auto" w:line="288" w:before="180" w:after="180"/>
        <w:jc w:val="both"/>
        <w:rPr/>
      </w:pPr>
      <w:r>
        <w:rPr>
          <w:rFonts w:ascii="Lato;sans-serif" w:hAnsi="Lato;sans-serif"/>
          <w:b w:val="false"/>
          <w:color w:val="000000"/>
          <w:sz w:val="20"/>
        </w:rPr>
        <w:t>The RSUs granted to NEOs prior to 2023 are subject solely to time-based vesting requirements. We received feedback as noted above under “</w:t>
      </w:r>
      <w:r>
        <w:rPr>
          <w:rFonts w:ascii="Lato;sans-serif" w:hAnsi="Lato;sans-serif"/>
          <w:b w:val="false"/>
          <w:i/>
          <w:color w:val="000000"/>
          <w:sz w:val="20"/>
        </w:rPr>
        <w:t>Role of Shareholder Say on Pay Vote</w:t>
      </w:r>
      <w:r>
        <w:rPr>
          <w:color w:val="000000"/>
        </w:rPr>
        <w:t xml:space="preserve">” </w:t>
      </w:r>
      <w:r>
        <w:rPr>
          <w:rFonts w:ascii="Lato;sans-serif" w:hAnsi="Lato;sans-serif"/>
          <w:b w:val="false"/>
          <w:color w:val="000000"/>
          <w:sz w:val="20"/>
        </w:rPr>
        <w:t>indicating a preference for performance-based equity awards. The Compensation Committee considered this feedback and, in consultation with our Compensation Consultant, determined that a mix of performance-based RSUs tied to financial metrics (“PRSUs”) and time-based RSUs best aligned with the interests of our shareholders by creating an appropriate balance between our goals of business performance, long-term growth, and NEO retention. Accordingly, in 2023 we established a PRSU program measured based on annual and cumulative growth in free cash flow per share over a three-year performance period, and made initial PRSU grants to Mr. Schuck, Mr. Hays, and certain non-NEOs based on these performance metrics. We also awarded a PRSU to Mr. Hays based on 2023 net revenue retention.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Compensation Committee believes that this mix of RSUs and PRSUs aligns our NEOs’ interests with those of our stockholders by providing a return directly in line with both our stock price and a key financial metric that is important to maintain our long-term growth and sustainability. Our Compensation Committee ultimately determined to use free cash flow per share as the primary performance metric for the fiscal 2023 PRSUs due to its important role in measuring the overall financial performance and operating activities of our business.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case of Mr. Schuck, no time-based RSUs were awarded. Instead, Mr. Schuck’s 2023 equity grant consisted of a three-year PRSU award with vesting contingent on annual, cumulative achievement of free cash flow per share growth targets. Mr. Hays received a mix of time-based RSUs and PRSUs. The PRSUs awarded to Mr. Hays consisted of a three-year PRSU award with vesting contingent on annual, cumulative achievement of free cash flow per share growth targets, and a one-year PRSU award with vesting contingent on achievement of net revenue retention goals. In each case, PRSU vesting is also subject to the recipient’s continued status as service provider to us or our affiliate at the time the Compensation Committee determines achievement.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2425"/>
                <wp:effectExtent l="0" t="0" r="0" b="0"/>
                <wp:wrapNone/>
                <wp:docPr id="47" name="Frame4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 xml:space="preserve">As noted above, Mr. Hyzer received a grant of RSUs in December 2022 with respect to the 2023 fiscal year, and did not receive any additional equity awards in 2023. Mr. Dasdan, who joined the Company after the beginning of the 2023 fiscal year, was not eligible to receive PRSUs in 2023. Mr. Dasdan received a new-hire award of time-based RSUs.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Messrs. Schuck, Hyzer, and Dasdan will be eligible to receive a mix of RSUs and PRSUs in 2024, subject to the recommendation and approval of our Compensation Committee. As part of the PRSU program in 2024, the Compensation Committee has considered a number of performance metrics to utilize in measuring overall financial performance and operating activities including, but not limited to, free cash flow, free cash flow per share, net cash provided by operating activities, stock price, total stockholder return, revenue, profit margins or earnings/loss before interest, taxes, depreciation and amortization, or EBITDA. These metrics may be expressed in terms of attaining a specified performance level, increase or decrease in a particular area and may be on an individual, business unit, division or company-wide basis, and in absolute terms or relative to the performance of comparable companies or peer groups or indexes.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table below sets forth the equity award grants to our NEOs in 2023:</w:t>
      </w:r>
    </w:p>
    <w:tbl>
      <w:tblPr>
        <w:tblW w:w="10205" w:type="dxa"/>
        <w:jc w:val="left"/>
        <w:tblInd w:w="0" w:type="dxa"/>
        <w:tblLayout w:type="fixed"/>
        <w:tblCellMar>
          <w:top w:w="28" w:type="dxa"/>
          <w:left w:w="28" w:type="dxa"/>
          <w:bottom w:w="28" w:type="dxa"/>
          <w:right w:w="28" w:type="dxa"/>
        </w:tblCellMar>
      </w:tblPr>
      <w:tblGrid>
        <w:gridCol w:w="397"/>
        <w:gridCol w:w="322"/>
        <w:gridCol w:w="325"/>
        <w:gridCol w:w="552"/>
        <w:gridCol w:w="429"/>
        <w:gridCol w:w="430"/>
        <w:gridCol w:w="760"/>
        <w:gridCol w:w="760"/>
        <w:gridCol w:w="762"/>
        <w:gridCol w:w="1722"/>
        <w:gridCol w:w="1557"/>
        <w:gridCol w:w="2189"/>
      </w:tblGrid>
      <w:tr>
        <w:trPr/>
        <w:tc>
          <w:tcPr>
            <w:tcW w:w="39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w:t>
            </w:r>
          </w:p>
        </w:tc>
        <w:tc>
          <w:tcPr>
            <w:tcW w:w="141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Award Type</w:t>
            </w:r>
          </w:p>
        </w:tc>
        <w:tc>
          <w:tcPr>
            <w:tcW w:w="228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Approximate Grant Date Fair Value</w:t>
            </w:r>
          </w:p>
        </w:tc>
        <w:tc>
          <w:tcPr>
            <w:tcW w:w="546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Vesting Schedule</w:t>
            </w:r>
          </w:p>
        </w:tc>
      </w:tr>
      <w:tr>
        <w:trPr/>
        <w:tc>
          <w:tcPr>
            <w:tcW w:w="10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Henry Schuck</w:t>
            </w:r>
          </w:p>
        </w:tc>
        <w:tc>
          <w:tcPr>
            <w:tcW w:w="14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PRSU</w:t>
            </w:r>
            <w:r>
              <w:rPr>
                <w:rFonts w:ascii="Lato;sans-serif" w:hAnsi="Lato;sans-serif"/>
                <w:b w:val="false"/>
                <w:color w:val="000000"/>
                <w:sz w:val="13"/>
              </w:rPr>
              <w:t>(1)</w:t>
            </w:r>
          </w:p>
        </w:tc>
        <w:tc>
          <w:tcPr>
            <w:tcW w:w="22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$4,412,514</w:t>
            </w:r>
          </w:p>
        </w:tc>
        <w:tc>
          <w:tcPr>
            <w:tcW w:w="54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 vesting in year 1, 30% vesting in year 2, and 50% vesting in year 3, in each case subject to achievement of performance targets</w:t>
            </w:r>
          </w:p>
        </w:tc>
      </w:tr>
      <w:tr>
        <w:trPr/>
        <w:tc>
          <w:tcPr>
            <w:tcW w:w="10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Ali Dasdan</w:t>
            </w:r>
          </w:p>
        </w:tc>
        <w:tc>
          <w:tcPr>
            <w:tcW w:w="141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(2)</w:t>
            </w:r>
          </w:p>
        </w:tc>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$11,756,944</w:t>
            </w:r>
          </w:p>
        </w:tc>
        <w:tc>
          <w:tcPr>
            <w:tcW w:w="54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16.5% vesting September 1, 2023; and the remainder vesting in equal quarterly installments during the 30 months following September 1, 2023</w:t>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Chris Hays</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HSKB Phantom Units</w:t>
            </w:r>
            <w:r>
              <w:rPr>
                <w:rFonts w:ascii="Lato;sans-serif" w:hAnsi="Lato;sans-serif"/>
                <w:b w:val="false"/>
                <w:color w:val="000000"/>
                <w:sz w:val="13"/>
              </w:rPr>
              <w:t>(1)</w:t>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$441,271</w:t>
            </w:r>
          </w:p>
        </w:tc>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Equal quarterly vesting beginning July 1, 2023, over 1 year term</w:t>
            </w:r>
          </w:p>
        </w:tc>
      </w:tr>
      <w:tr>
        <w:trPr/>
        <w:tc>
          <w:tcPr>
            <w:tcW w:w="1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Chris Hays</w:t>
            </w:r>
          </w:p>
        </w:tc>
        <w:tc>
          <w:tcPr>
            <w:tcW w:w="141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RSU</w:t>
            </w:r>
            <w:r>
              <w:rPr>
                <w:rFonts w:ascii="Lato;sans-serif" w:hAnsi="Lato;sans-serif"/>
                <w:b w:val="false"/>
                <w:color w:val="000000"/>
                <w:sz w:val="13"/>
              </w:rPr>
              <w:t>(1)</w:t>
            </w:r>
          </w:p>
        </w:tc>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$3,088,750</w:t>
            </w:r>
          </w:p>
        </w:tc>
        <w:tc>
          <w:tcPr>
            <w:tcW w:w="54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Equal quarterly vesting beginning July 1, 2023, over 2 year term</w:t>
            </w:r>
          </w:p>
        </w:tc>
      </w:tr>
      <w:tr>
        <w:trPr/>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Chris Hays</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PRSU</w:t>
            </w:r>
            <w:r>
              <w:rPr>
                <w:rFonts w:ascii="Lato;sans-serif" w:hAnsi="Lato;sans-serif"/>
                <w:b w:val="false"/>
                <w:color w:val="000000"/>
                <w:sz w:val="13"/>
              </w:rPr>
              <w:t>(1)(3)</w:t>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$3,088,750</w:t>
            </w:r>
          </w:p>
        </w:tc>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20% vesting in year 1, 30% vesting in year 2, and 50% vesting in year 3, in each case subject to achievement of performance targets</w:t>
            </w:r>
          </w:p>
        </w:tc>
      </w:tr>
      <w:tr>
        <w:trPr/>
        <w:tc>
          <w:tcPr>
            <w:tcW w:w="10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color w:val="000000"/>
                <w:sz w:val="20"/>
              </w:rPr>
            </w:pPr>
            <w:r>
              <w:rPr>
                <w:rFonts w:ascii="Lato;sans-serif" w:hAnsi="Lato;sans-serif"/>
                <w:b w:val="false"/>
                <w:color w:val="000000"/>
                <w:sz w:val="20"/>
              </w:rPr>
              <w:t>Chris Hays</w:t>
            </w:r>
          </w:p>
        </w:tc>
        <w:tc>
          <w:tcPr>
            <w:tcW w:w="141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20"/>
              </w:rPr>
              <w:t>PRSU</w:t>
            </w:r>
            <w:r>
              <w:rPr>
                <w:rFonts w:ascii="Lato;sans-serif" w:hAnsi="Lato;sans-serif"/>
                <w:b w:val="false"/>
                <w:color w:val="000000"/>
                <w:sz w:val="13"/>
              </w:rPr>
              <w:t>(1)(4)</w:t>
            </w:r>
          </w:p>
        </w:tc>
        <w:tc>
          <w:tcPr>
            <w:tcW w:w="22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$2,779,875</w:t>
            </w:r>
          </w:p>
        </w:tc>
        <w:tc>
          <w:tcPr>
            <w:tcW w:w="54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100% vesting upon achievement performance target</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(1)Awarded on April 3, 2023 as part of the annual executive compensation process, with vesting commencement date of April 1, 2023.</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(2)New hire grant awarded to Mr. Dasdan on April 3, 2023, with vesting commencement date of March 1, 2023.</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(3)Awarded on April 3, 2023 as part of the annual executive compensation process; vesting subject to determination of achievement of performance targets in each performance year based on cumulative free cash flow growth per share.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(4)Awarded on April 3, 2023 as part of the annual executive compensation process; vesting subject to determination of achievement of performance target based on 2023 net revenue retention.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2425"/>
                <wp:effectExtent l="0" t="0" r="0" b="0"/>
                <wp:wrapNone/>
                <wp:docPr id="48" name="Frame4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i/>
          <w:color w:val="000000"/>
          <w:sz w:val="20"/>
        </w:rPr>
      </w:pPr>
      <w:r>
        <w:rPr>
          <w:rFonts w:ascii="Lato;sans-serif" w:hAnsi="Lato;sans-serif"/>
          <w:b/>
          <w:i/>
          <w:color w:val="000000"/>
          <w:sz w:val="20"/>
        </w:rPr>
        <w:t>Severance and Change in Control Benefits</w:t>
      </w:r>
    </w:p>
    <w:p>
      <w:pPr>
        <w:pStyle w:val="TextBody"/>
        <w:bidi w:val="0"/>
        <w:spacing w:lineRule="auto" w:line="288" w:before="180" w:after="180"/>
        <w:jc w:val="both"/>
        <w:rPr/>
      </w:pPr>
      <w:r>
        <w:rPr>
          <w:rFonts w:ascii="Lato;sans-serif" w:hAnsi="Lato;sans-serif"/>
          <w:b w:val="false"/>
          <w:color w:val="000000"/>
          <w:sz w:val="20"/>
        </w:rPr>
        <w:t>Our NEOs are provided certain protections in the event of their termination of employment under specified circumstances, including following a change in control of the Company, as described in more detail in “</w:t>
      </w:r>
      <w:hyperlink w:anchor="ibe598ee2c35542eb888ca215dcc0528e_142">
        <w:r>
          <w:rPr>
            <w:rStyle w:val="InternetLink"/>
            <w:rFonts w:ascii="Lato;sans-serif" w:hAnsi="Lato;sans-serif"/>
            <w:b w:val="false"/>
            <w:color w:val="0000FF"/>
            <w:sz w:val="20"/>
            <w:u w:val="single"/>
          </w:rPr>
          <w:t>Potential Payments upon Termination or Change in Control</w:t>
        </w:r>
      </w:hyperlink>
      <w:r>
        <w:rPr>
          <w:color w:val="000000"/>
        </w:rPr>
        <w:t xml:space="preserve">” </w:t>
      </w:r>
      <w:r>
        <w:rPr>
          <w:rFonts w:ascii="Lato;sans-serif" w:hAnsi="Lato;sans-serif"/>
          <w:b w:val="false"/>
          <w:color w:val="000000"/>
          <w:sz w:val="20"/>
        </w:rPr>
        <w:t>below. We believe that these protections serve our retention objectives by helping our NEOs maintain continued focus and dedication to their responsibilities to maximize stockholder value, including in the event of a transaction that could result in a change in control of the Company. The chart below describes the material terms of these benefits for our NEOs.</w:t>
      </w:r>
    </w:p>
    <w:tbl>
      <w:tblPr>
        <w:tblW w:w="10205" w:type="dxa"/>
        <w:jc w:val="left"/>
        <w:tblInd w:w="0" w:type="dxa"/>
        <w:tblLayout w:type="fixed"/>
        <w:tblCellMar>
          <w:top w:w="28" w:type="dxa"/>
          <w:left w:w="28" w:type="dxa"/>
          <w:bottom w:w="28" w:type="dxa"/>
          <w:right w:w="28" w:type="dxa"/>
        </w:tblCellMar>
      </w:tblPr>
      <w:tblGrid>
        <w:gridCol w:w="1143"/>
        <w:gridCol w:w="904"/>
        <w:gridCol w:w="907"/>
        <w:gridCol w:w="2182"/>
        <w:gridCol w:w="2093"/>
        <w:gridCol w:w="2976"/>
      </w:tblGrid>
      <w:tr>
        <w:trPr/>
        <w:tc>
          <w:tcPr>
            <w:tcW w:w="114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Triggering Event(s)</w:t>
            </w:r>
          </w:p>
        </w:tc>
        <w:tc>
          <w:tcPr>
            <w:tcW w:w="725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Benefits</w:t>
            </w:r>
          </w:p>
        </w:tc>
      </w:tr>
      <w:tr>
        <w:trPr/>
        <w:tc>
          <w:tcPr>
            <w:tcW w:w="29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without cause or NEO resigns for good reason in connection with a change in control</w:t>
            </w:r>
          </w:p>
        </w:tc>
        <w:tc>
          <w:tcPr>
            <w:tcW w:w="72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lump sum payment equal to 18 months, in the case of Mr. Schuck or Mr. Hays, and 12 months, in the case of Mr. Hyzer, plus 100% of NEO’s annual target cash bonus for the year of termination, less any amounts already paid for such year, and for Mr. Dasdan only a lump sum payment equal to 6 months of his then-current base salary;</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Any earned but unpaid bonus for the prior fiscal year, in the case of Messrs. Schuck, Hyzer, and Hays;</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In the case of Mr. Schuck and Mr. Hays, continuation for 18 months following the termination date of any health insurance benefits to which NEO was entitled as of the termination date; and</w:t>
            </w:r>
          </w:p>
          <w:p>
            <w:pPr>
              <w:pStyle w:val="TableContents"/>
              <w:bidi w:val="0"/>
              <w:spacing w:lineRule="auto" w:line="240" w:before="0" w:after="180"/>
              <w:ind w:left="0" w:right="0" w:hanging="180"/>
              <w:jc w:val="both"/>
              <w:rPr/>
            </w:pPr>
            <w:r>
              <w:rPr>
                <w:color w:val="000000"/>
              </w:rPr>
              <w:t>•</w:t>
            </w:r>
            <w:r>
              <w:rPr>
                <w:rFonts w:ascii="Lato;sans-serif" w:hAnsi="Lato;sans-serif"/>
                <w:b w:val="false"/>
                <w:color w:val="000000"/>
                <w:sz w:val="20"/>
              </w:rPr>
              <w:t>100% accelerated vesting of NEO’s outstanding equity awards subject to time-based vesting.</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In each case subject to NEO timely signing a release of claims that becomes effective and continued compliance with NEO’s restrictive covenants.</w:t>
            </w:r>
          </w:p>
        </w:tc>
      </w:tr>
      <w:tr>
        <w:trPr/>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without cause or resigns for good reason (other than in connection with a change in control)</w:t>
            </w:r>
          </w:p>
        </w:tc>
        <w:tc>
          <w:tcPr>
            <w:tcW w:w="725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lump sum payment equal to 12 months, in the case of Messrs. Schuck, Hyzer, and Hays, of NEO’s then-current base salary, plus, in the case of Messrs. Schuck, Hyzer, and Dasdan, a pro-rated portion of NEO’s expected annual bonus for the year of termination, less any amounts already paid for such year, and for Mr. Dasdan only a lump sum payment equal to 6 months of his then-current base salary;</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In the case of Mr. Schuck or Mr. Hays, continuation for 12 months following the termination date of any health insurance benefits to which NEO was entitled as of the termination date; and</w:t>
            </w:r>
          </w:p>
          <w:p>
            <w:pPr>
              <w:pStyle w:val="TableContents"/>
              <w:bidi w:val="0"/>
              <w:spacing w:lineRule="auto" w:line="240" w:before="0" w:after="180"/>
              <w:ind w:left="0" w:right="0" w:hanging="180"/>
              <w:jc w:val="both"/>
              <w:rPr/>
            </w:pPr>
            <w:r>
              <w:rPr>
                <w:color w:val="000000"/>
              </w:rPr>
              <w:t>•</w:t>
            </w:r>
            <w:r>
              <w:rPr>
                <w:rFonts w:ascii="Lato;sans-serif" w:hAnsi="Lato;sans-serif"/>
                <w:b w:val="false"/>
                <w:color w:val="000000"/>
                <w:sz w:val="20"/>
              </w:rPr>
              <w:t>In the case of Mr. Schuck and Mr. Hays, accelerated vesting of the portion of NEO’s then-unvested equity awards subject to time-based vesting scheduled to vest within 12 months following the termination date.</w:t>
            </w:r>
          </w:p>
          <w:p>
            <w:pPr>
              <w:pStyle w:val="TableContents"/>
              <w:bidi w:val="0"/>
              <w:spacing w:lineRule="auto" w:line="240" w:before="0" w:after="0"/>
              <w:jc w:val="both"/>
              <w:rPr>
                <w:rFonts w:ascii="Lato;sans-serif" w:hAnsi="Lato;sans-serif"/>
                <w:b w:val="false"/>
                <w:color w:val="000000"/>
                <w:sz w:val="20"/>
              </w:rPr>
            </w:pPr>
            <w:r>
              <w:rPr>
                <w:rFonts w:ascii="Lato;sans-serif" w:hAnsi="Lato;sans-serif"/>
                <w:b w:val="false"/>
                <w:color w:val="000000"/>
                <w:sz w:val="20"/>
              </w:rPr>
              <w:t>In each case subject to NEO timely signing a release of claims that becomes effective and continued compliance with NEO’s restrictive covenants.</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Employment is terminated due to death or disability</w:t>
            </w:r>
          </w:p>
        </w:tc>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A pro-rated portion of NEO’s expected annual bonus for the year of termination, less any amounts already paid for such year.</w:t>
            </w:r>
          </w:p>
          <w:p>
            <w:pPr>
              <w:pStyle w:val="TableContents"/>
              <w:bidi w:val="0"/>
              <w:spacing w:lineRule="auto" w:line="240" w:before="0" w:after="0"/>
              <w:ind w:left="0" w:right="0" w:hanging="180"/>
              <w:jc w:val="both"/>
              <w:rPr/>
            </w:pPr>
            <w:r>
              <w:rPr>
                <w:color w:val="000000"/>
              </w:rPr>
              <w:t>•</w:t>
            </w:r>
            <w:r>
              <w:rPr>
                <w:rFonts w:ascii="Lato;sans-serif" w:hAnsi="Lato;sans-serif"/>
                <w:b w:val="false"/>
                <w:color w:val="000000"/>
                <w:sz w:val="20"/>
              </w:rPr>
              <w:t>Up to 5,000 RSUs or RSAs vest, subject to certain exceptions.</w:t>
            </w:r>
          </w:p>
        </w:tc>
      </w:tr>
    </w:tbl>
    <w:p>
      <w:pPr>
        <w:pStyle w:val="TextBody"/>
        <w:bidi w:val="0"/>
        <w:spacing w:lineRule="auto" w:line="288" w:before="180" w:after="180"/>
        <w:ind w:left="0" w:right="0" w:hanging="360"/>
        <w:jc w:val="both"/>
        <w:rPr>
          <w:rFonts w:ascii="Lato;sans-serif" w:hAnsi="Lato;sans-serif"/>
          <w:b w:val="false"/>
          <w:color w:val="000000"/>
          <w:sz w:val="20"/>
        </w:rPr>
      </w:pPr>
      <w:r>
        <w:rPr>
          <w:rFonts w:ascii="Lato;sans-serif" w:hAnsi="Lato;sans-serif"/>
          <w:b w:val="false"/>
          <w:color w:val="000000"/>
          <w:sz w:val="20"/>
        </w:rPr>
        <w:t>In addition, in the event any of the payments provided for under the executive employment agreements, or otherwise payable to the NEO, would constitute “parachute payments” within the meaning of Section 280G of the Internal Revenue Code and could be subject to the related excise tax under Section 4999 of the Internal Revenue Code, the NEO would be entitled to receive either full payment of benefits or such lesser amount which would result in no portion of the benefits being subject to the excise tax, whichever results in the greater amount of after-tax benefits to such executive. No employment letter with any of our NEOs provides for any tax gross-up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2425"/>
                <wp:effectExtent l="0" t="0" r="0" b="0"/>
                <wp:wrapNone/>
                <wp:docPr id="49" name="Frame4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39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Other Compensation</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Employee Benefits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provide various employee benefit programs to our NEOs, including medical, vision, and dental benefits. These benefit programs are generally available to all of our employees with certain variations based on jurisdictions and seniority. These benefits are provided to the NEOs to eliminate potential distractions from performing their regular job duties. We believe the cost of these programs is counterbalanced by an increase in productivity by the executives receiving access to them.</w:t>
      </w:r>
    </w:p>
    <w:p>
      <w:pPr>
        <w:pStyle w:val="TextBody"/>
        <w:bidi w:val="0"/>
        <w:spacing w:lineRule="auto" w:line="333" w:before="300" w:after="120"/>
        <w:jc w:val="both"/>
        <w:rPr>
          <w:rFonts w:ascii="Lato;sans-serif" w:hAnsi="Lato;sans-serif"/>
          <w:b w:val="false"/>
          <w:i/>
          <w:color w:val="000000"/>
          <w:sz w:val="20"/>
        </w:rPr>
      </w:pPr>
      <w:r>
        <w:rPr>
          <w:rFonts w:ascii="Lato;sans-serif" w:hAnsi="Lato;sans-serif"/>
          <w:b w:val="false"/>
          <w:i/>
          <w:color w:val="000000"/>
          <w:sz w:val="20"/>
        </w:rPr>
        <w:t>No Executive Perquisites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Executive perquisites are not part of our general compensation philosophy.</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Retirement Plan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NEOs are eligible to participate in the defined contribution pension plan (the “401(k) Plan”) we maintain for all full-time U.S. employees. The 401(k) Plan is intended to qualify as a tax-qualified plan under Section 401(k) of the Code. The 401(k) Plan provides that each participant may contribute up to 90% of such participant’s compensation pursuant to certain restrictions. In 2023, we matched 50% of the employee’s contribution to the 401(k) plan up to the first 7% of their contribution. We may also make discretionary profit-sharing contributions to eligible participants. We do not have a defined benefit plan or any non-qualified deferred compensation arrangements.</w:t>
      </w:r>
    </w:p>
    <w:p>
      <w:pPr>
        <w:pStyle w:val="TextBody"/>
        <w:bidi w:val="0"/>
        <w:spacing w:lineRule="auto" w:line="288" w:before="180" w:after="180"/>
        <w:jc w:val="both"/>
        <w:rPr/>
      </w:pPr>
      <w:r>
        <w:rPr>
          <w:rFonts w:ascii="Lato;sans-serif" w:hAnsi="Lato;sans-serif"/>
          <w:b w:val="false"/>
          <w:color w:val="000000"/>
          <w:sz w:val="20"/>
        </w:rPr>
        <w:t>The value of perquisites and other personal benefits provided to the NEOs is reflected in the “All Other Compensation” column of the “</w:t>
      </w:r>
      <w:hyperlink w:anchor="ibe598ee2c35542eb888ca215dcc0528e_127">
        <w:r>
          <w:rPr>
            <w:rStyle w:val="InternetLink"/>
            <w:rFonts w:ascii="Lato;sans-serif" w:hAnsi="Lato;sans-serif"/>
            <w:b w:val="false"/>
            <w:color w:val="0000FF"/>
            <w:sz w:val="20"/>
            <w:u w:val="single"/>
          </w:rPr>
          <w:t>Summary Compensation Table</w:t>
        </w:r>
      </w:hyperlink>
      <w:r>
        <w:rPr>
          <w:color w:val="000000"/>
        </w:rPr>
        <w:t xml:space="preserve">” </w:t>
      </w:r>
      <w:r>
        <w:rPr>
          <w:rFonts w:ascii="Lato;sans-serif" w:hAnsi="Lato;sans-serif"/>
          <w:b w:val="false"/>
          <w:color w:val="000000"/>
          <w:sz w:val="20"/>
        </w:rPr>
        <w:t>and the accompanying footnote.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Other Compensation Policies and Practices</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Clawback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accordance with the ZoomInfo Technologies Inc. Clawback Policy effective October 2, 2023, the Board will seek reimbursement from covered executive officers (which includes our NEOs) for the amount of erroneously awarded compensation (i.e., the amount of incentive-based compensation received that exceeds the amount of incentive-based compensation that otherwise would have been received had it been determined based on restated amounts) resulting from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under the terms of our 2020 Omnibus Incentive Plan (the “Plan”), if an incentive award recipient, including any of our NEOs, engages in any Detrimental Activity (as defined under the Plan), our Compensation Committee has the authority and discretion to cancel all or part of the recipient’s outstanding awards, or require full or partial forfeiture and/or repayment of any gain that the recipient realized upon the vesting or exercise of awards. “Detrimental Activity” includes unauthorized disclosure of confidential or proprietary information, any activity that would be grounds to terminate the recipient for cause, a breach of any restrictive covenant such as a non-competition agreement, or fraud or conduct contributing to any financial restatements or irregularities.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2425"/>
                <wp:effectExtent l="0" t="0" r="0" b="0"/>
                <wp:wrapNone/>
                <wp:docPr id="50" name="Frame4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Stock Ownership Guidelines for Non-Employee Directors and Executive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2023, in an effort to further align management and shareholder interests, the Board adopted stock ownership guidelines pursuant to which our non-employee directors and executive officers are required to own shares of the Company’s common stock that have a fair market value equal to the following multiple of the individual’s base salary (or, in the case of a non-employee director, a multiple of the cash annual retainer paid to the non-employee director by the Company):</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Chief Executive Officer: Six times annual base salary;</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Other Executive Officers: Three times annual base salary;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Non-Employee Directors: Five times annual cash retainer.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Shares counted to determine ownership include shares: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Owned directly by the individual (including through open market purchases, ESPP, or acquired and held upon vesting of Company equity awards);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Owned by immediate family members residing in the same household;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Held in trust for the benefit of the individual or immediate family members residing in the same household; and</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Shares owned by a partnership, limited liability company or other entity to the extent of the individual’s interest therein (or the interest therein of their immediate family members residing in the same household), provided the individual has or shares power to vote or dispose of the shares.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Vested but unexercised options and unearned RSUs and PRSUs are not be used in determining share ownership for purposes of these stock ownership guidelines.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Compliance with the stock ownership guidelines is measured as of April 1 of each year. The applicable share ownership threshold for each covered individual is determined by multiplying the then-current base salary or annual cash retainer by the applicable multiple as of April 1 (the “Calculation Date”) and dividing by the 90-day trailing average of the Company’s common stock, resulting in a fixed number of shares for each individual’s target ownership. This fixed number is then compared to the actual number of shares beneficially owned. The applicable guideline level of Company stock ownership is expected to be satisfied within five years after an individual first becomes subject to the stock ownership guidelines and maintained thereafter for as long as the individual remains an executive officer subject to the guidelines or a non-employee director of the Company. Until a required threshold is not met, the individual will be required to retain at least 50% of the net shares delivered pursuant to awards under the Plan and/or other applicable plan until the guidelines are satisfied.</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Policy Prohibiting Hedging and Pledging of Our Equity Securities</w:t>
      </w:r>
    </w:p>
    <w:p>
      <w:pPr>
        <w:pStyle w:val="TextBody"/>
        <w:bidi w:val="0"/>
        <w:spacing w:lineRule="auto" w:line="288" w:before="120" w:after="120"/>
        <w:jc w:val="both"/>
        <w:rPr/>
      </w:pPr>
      <w:r>
        <w:rPr>
          <w:rFonts w:ascii="Lato;sans-serif" w:hAnsi="Lato;sans-serif"/>
          <w:b w:val="false"/>
          <w:color w:val="000000"/>
          <w:sz w:val="20"/>
        </w:rPr>
        <w:t xml:space="preserve">Our securities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w:t>
      </w:r>
      <w:r>
        <w:rPr>
          <w:rFonts w:ascii="Lato;sans-serif" w:hAnsi="Lato;sans-serif"/>
          <w:b w:val="false"/>
          <w:color w:val="000000"/>
          <w:sz w:val="20"/>
          <w:shd w:fill="FFFFFF" w:val="clear"/>
        </w:rPr>
        <w:t>No shares of the Company beneficially owned by any director or NEO are pledged or held in a margin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2425"/>
                <wp:effectExtent l="0" t="0" r="0" b="0"/>
                <wp:wrapNone/>
                <wp:docPr id="51" name="Frame4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Tax and Accounting Considerations</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Taxation of “Parachute” Payments and Deferred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do not provide, and have no obligation to provide, any of our NEOs with a “gross-up” or other reimbursement payment for any tax liability the NEO might owe because of the application of Sections 280G, 4999 or 409A of the Internal Revenue Code of 1986, as amended (the “Code”). If any of the payments or benefits provided for under the change of control and severance agreements or otherwise payable to an NEO would constitute “parachute payments” within the meaning of Section 280G of the Code and could be subject to the related excise tax, the NEO would receive either full payment of such payments and benefits or such lesser amount that would cause no portion of the payments and benefits being subject to the excise tax, whichever results in the greater after-tax benefits to the NEO.</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Deductibility of Executive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Section 162(m) of the Code generally limits the amount we may deduct from our federal income taxes for compensation paid to our Chief Executive Officer and other U.S.-based executive officers to $1 million per executive officer per year, subject to certain exceptions. We have not previously taken the deductibility limit imposed by Section 162(m) into consideration in setting compensation for our executive officers and do not currently have any immediate plans to do so. The Compensation Committee has authorized, and may in the future, in its judgment, authorize, compensation payments that are not fully tax deductible when it believes that such payments are appropriate to attract and retain executive talent or meet other business objectives. The Compensation Committee intends to continue to compensate our current and former executive officers in a manner consistent with our best interests and the best interests of our stockholders.</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Accounting for Stock-Based Compensation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Under Financial Accounting Standard Board ASC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the Compensation Committee considers in determining the structure and size of our executive compensation programs.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ASC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below, even though the recipient may never realize any value from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Risk Assessment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consultation with management, our Compensation Committee has assessed our compensation plans, policies and practices for all employees, including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do not encourage our employees to take inappropriate risks and overall target total direct compensation to ensure an appropriate balance between fixed and variable pay components. Our Compensation Committee conducts this assessment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2425"/>
                <wp:effectExtent l="0" t="0" r="0" b="0"/>
                <wp:wrapNone/>
                <wp:docPr id="52" name="Frame4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Compensation Committee Report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Compensation Committee has reviewed and discussed with the Company’s management the executive compensation discussion and analysis (the “CD&amp;A”) contained in this Proxy Statement. Based on this review and discussion, the Compensation Committee has recommended to our Board of Directors that the CD&amp;A be included in this Proxy Statement and incorporated into our Annual Report on Form 10-K for the fiscal year ended December 31, 2023.</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Respectfully submitted by the members of the Compensation Committee of the Board.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Randall Winn, Chair</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Ashley Evans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Patrick McCarter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2425"/>
                <wp:effectExtent l="0" t="0" r="0" b="0"/>
                <wp:wrapNone/>
                <wp:docPr id="53" name="Frame4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Summary Compensation Table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presents summary information regarding the total compensation awarded to, earned by, or paid to each of our Named Executive Officers, for their service for the fiscal years indicated.</w:t>
      </w:r>
    </w:p>
    <w:tbl>
      <w:tblPr>
        <w:tblW w:w="10382" w:type="dxa"/>
        <w:jc w:val="left"/>
        <w:tblInd w:w="0" w:type="dxa"/>
        <w:tblLayout w:type="fixed"/>
        <w:tblCellMar>
          <w:top w:w="28" w:type="dxa"/>
          <w:left w:w="28" w:type="dxa"/>
          <w:bottom w:w="28" w:type="dxa"/>
          <w:right w:w="28" w:type="dxa"/>
        </w:tblCellMar>
      </w:tblPr>
      <w:tblGrid>
        <w:gridCol w:w="435"/>
        <w:gridCol w:w="330"/>
        <w:gridCol w:w="331"/>
        <w:gridCol w:w="109"/>
        <w:gridCol w:w="109"/>
        <w:gridCol w:w="109"/>
        <w:gridCol w:w="174"/>
        <w:gridCol w:w="174"/>
        <w:gridCol w:w="178"/>
        <w:gridCol w:w="109"/>
        <w:gridCol w:w="109"/>
        <w:gridCol w:w="109"/>
        <w:gridCol w:w="330"/>
        <w:gridCol w:w="225"/>
        <w:gridCol w:w="226"/>
        <w:gridCol w:w="109"/>
        <w:gridCol w:w="109"/>
        <w:gridCol w:w="109"/>
        <w:gridCol w:w="230"/>
        <w:gridCol w:w="230"/>
        <w:gridCol w:w="231"/>
        <w:gridCol w:w="109"/>
        <w:gridCol w:w="109"/>
        <w:gridCol w:w="109"/>
        <w:gridCol w:w="505"/>
        <w:gridCol w:w="265"/>
        <w:gridCol w:w="266"/>
        <w:gridCol w:w="109"/>
        <w:gridCol w:w="109"/>
        <w:gridCol w:w="109"/>
        <w:gridCol w:w="480"/>
        <w:gridCol w:w="480"/>
        <w:gridCol w:w="481"/>
        <w:gridCol w:w="109"/>
        <w:gridCol w:w="109"/>
        <w:gridCol w:w="109"/>
        <w:gridCol w:w="480"/>
        <w:gridCol w:w="480"/>
        <w:gridCol w:w="481"/>
        <w:gridCol w:w="109"/>
        <w:gridCol w:w="109"/>
        <w:gridCol w:w="109"/>
        <w:gridCol w:w="314"/>
        <w:gridCol w:w="314"/>
        <w:gridCol w:w="453"/>
      </w:tblGrid>
      <w:tr>
        <w:trPr/>
        <w:tc>
          <w:tcPr>
            <w:tcW w:w="4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 and Principal Position</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Year</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Salary ($)</w:t>
            </w:r>
            <w:r>
              <w:rPr>
                <w:rFonts w:ascii="Lato;sans-serif" w:hAnsi="Lato;sans-serif"/>
                <w:b/>
                <w:color w:val="FFFFFF"/>
                <w:sz w:val="10"/>
                <w:shd w:fill="F44238" w:val="clear"/>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Bonus ($)</w:t>
            </w:r>
            <w:r>
              <w:rPr>
                <w:rFonts w:ascii="Lato;sans-serif" w:hAnsi="Lato;sans-serif"/>
                <w:b/>
                <w:color w:val="FFFFFF"/>
                <w:sz w:val="10"/>
                <w:shd w:fill="F44238" w:val="clear"/>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Stock Awards ($) </w:t>
            </w:r>
            <w:r>
              <w:rPr>
                <w:rFonts w:ascii="Lato;sans-serif" w:hAnsi="Lato;sans-serif"/>
                <w:b/>
                <w:color w:val="FFFFFF"/>
                <w:sz w:val="10"/>
                <w:shd w:fill="F44238" w:val="clear"/>
              </w:rPr>
              <w:t>(3)</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Non-Equity Incentive Plan Compensation ($)</w:t>
            </w:r>
            <w:r>
              <w:rPr>
                <w:rFonts w:ascii="Lato;sans-serif" w:hAnsi="Lato;sans-serif"/>
                <w:b/>
                <w:color w:val="FFFFFF"/>
                <w:sz w:val="10"/>
                <w:shd w:fill="F44238" w:val="clear"/>
              </w:rPr>
              <w:t>(4)</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pPr>
            <w:r>
              <w:rPr>
                <w:rFonts w:ascii="Lato;sans-serif" w:hAnsi="Lato;sans-serif"/>
                <w:b/>
                <w:color w:val="FFFFFF"/>
                <w:sz w:val="16"/>
                <w:shd w:fill="F44238" w:val="clear"/>
              </w:rPr>
              <w:t>All Other Compensation ($)</w:t>
            </w:r>
            <w:r>
              <w:rPr>
                <w:rFonts w:ascii="Lato;sans-serif" w:hAnsi="Lato;sans-serif"/>
                <w:b/>
                <w:color w:val="FFFFFF"/>
                <w:sz w:val="10"/>
                <w:shd w:fill="F44238" w:val="clear"/>
              </w:rPr>
              <w:t>(5)</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Total ($)</w:t>
            </w:r>
          </w:p>
        </w:tc>
      </w:tr>
      <w:tr>
        <w:trPr/>
        <w:tc>
          <w:tcPr>
            <w:tcW w:w="109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Henry Schuck    </w:t>
            </w:r>
          </w:p>
          <w:p>
            <w:pPr>
              <w:pStyle w:val="TableContents"/>
              <w:bidi w:val="0"/>
              <w:spacing w:lineRule="auto" w:line="288" w:before="0" w:after="30"/>
              <w:jc w:val="left"/>
              <w:rPr>
                <w:rFonts w:ascii="Lato;sans-serif" w:hAnsi="Lato;sans-serif"/>
                <w:b w:val="false"/>
                <w:i/>
                <w:color w:val="000000"/>
                <w:sz w:val="16"/>
              </w:rPr>
            </w:pPr>
            <w:r>
              <w:rPr>
                <w:rFonts w:ascii="Lato;sans-serif" w:hAnsi="Lato;sans-serif"/>
                <w:b w:val="false"/>
                <w:i/>
                <w:color w:val="000000"/>
                <w:sz w:val="16"/>
              </w:rPr>
              <w:t xml:space="preserve">Chief Executive Officer and Chairman of the Board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4,412,514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11,250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4,973,764</w:t>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549,460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275,261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834,971</w:t>
            </w:r>
          </w:p>
        </w:tc>
      </w:tr>
      <w:tr>
        <w:trPr/>
        <w:tc>
          <w:tcPr>
            <w:tcW w:w="109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538,880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760,604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1,309,234</w:t>
            </w:r>
          </w:p>
        </w:tc>
      </w:tr>
      <w:tr>
        <w:trPr/>
        <w:tc>
          <w:tcPr>
            <w:tcW w:w="1096"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33" w:after="283"/>
              <w:jc w:val="left"/>
              <w:rPr>
                <w:rFonts w:ascii="Lato;sans-serif" w:hAnsi="Lato;sans-serif"/>
                <w:b w:val="false"/>
                <w:color w:val="000000"/>
                <w:sz w:val="16"/>
              </w:rPr>
            </w:pPr>
            <w:r>
              <w:rPr>
                <w:rFonts w:ascii="Lato;sans-serif" w:hAnsi="Lato;sans-serif"/>
                <w:b w:val="false"/>
                <w:color w:val="000000"/>
                <w:sz w:val="16"/>
              </w:rPr>
              <w:t>Peter Cameron Hyzer    </w:t>
            </w:r>
          </w:p>
          <w:p>
            <w:pPr>
              <w:pStyle w:val="TableContents"/>
              <w:bidi w:val="0"/>
              <w:spacing w:lineRule="auto" w:line="240" w:before="0" w:after="0"/>
              <w:jc w:val="left"/>
              <w:rPr>
                <w:rFonts w:ascii="Lato;sans-serif" w:hAnsi="Lato;sans-serif"/>
                <w:b w:val="false"/>
                <w:i/>
                <w:color w:val="000000"/>
                <w:sz w:val="16"/>
              </w:rPr>
            </w:pPr>
            <w:r>
              <w:rPr>
                <w:rFonts w:ascii="Lato;sans-serif" w:hAnsi="Lato;sans-serif"/>
                <w:b w:val="false"/>
                <w:i/>
                <w:color w:val="000000"/>
                <w:sz w:val="16"/>
              </w:rPr>
              <w:t>Chief Financial Officer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562,000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573,250</w:t>
            </w:r>
          </w:p>
        </w:tc>
      </w:tr>
      <w:tr>
        <w:trPr/>
        <w:tc>
          <w:tcPr>
            <w:tcW w:w="109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552,750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17,200,052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173,347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17,936,399</w:t>
            </w:r>
          </w:p>
        </w:tc>
      </w:tr>
      <w:tr>
        <w:trPr/>
        <w:tc>
          <w:tcPr>
            <w:tcW w:w="109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518,750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3,000,049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529,212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9,750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4,057,761</w:t>
            </w:r>
          </w:p>
        </w:tc>
      </w:tr>
      <w:tr>
        <w:trPr/>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53" w:after="283"/>
              <w:jc w:val="left"/>
              <w:rPr>
                <w:rFonts w:ascii="Lato;sans-serif" w:hAnsi="Lato;sans-serif"/>
                <w:b w:val="false"/>
                <w:color w:val="000000"/>
                <w:sz w:val="16"/>
              </w:rPr>
            </w:pPr>
            <w:r>
              <w:rPr>
                <w:rFonts w:ascii="Lato;sans-serif" w:hAnsi="Lato;sans-serif"/>
                <w:b w:val="false"/>
                <w:color w:val="000000"/>
                <w:sz w:val="16"/>
              </w:rPr>
              <w:t>Chris Hays    </w:t>
            </w:r>
          </w:p>
          <w:p>
            <w:pPr>
              <w:pStyle w:val="TableContents"/>
              <w:bidi w:val="0"/>
              <w:spacing w:lineRule="auto" w:line="288" w:before="0" w:after="30"/>
              <w:jc w:val="left"/>
              <w:rPr>
                <w:rFonts w:ascii="Lato;sans-serif" w:hAnsi="Lato;sans-serif"/>
                <w:b w:val="false"/>
                <w:i/>
                <w:color w:val="000000"/>
                <w:sz w:val="16"/>
              </w:rPr>
            </w:pPr>
            <w:r>
              <w:rPr>
                <w:rFonts w:ascii="Lato;sans-serif" w:hAnsi="Lato;sans-serif"/>
                <w:b w:val="false"/>
                <w:i/>
                <w:color w:val="000000"/>
                <w:sz w:val="16"/>
              </w:rPr>
              <w:t xml:space="preserve">President and Chief Operating Officer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423,720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9,398,646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9,829,049</w:t>
            </w:r>
          </w:p>
        </w:tc>
      </w:tr>
      <w:tr>
        <w:trPr/>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414,090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12,750,044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13,295,213</w:t>
            </w:r>
          </w:p>
        </w:tc>
      </w:tr>
      <w:tr>
        <w:trPr/>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378,900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48,426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6,700,010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309,500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7,448,561</w:t>
            </w:r>
          </w:p>
        </w:tc>
      </w:tr>
      <w:tr>
        <w:trPr/>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53" w:after="283"/>
              <w:jc w:val="left"/>
              <w:rPr>
                <w:rFonts w:ascii="Lato;sans-serif" w:hAnsi="Lato;sans-serif"/>
                <w:b w:val="false"/>
                <w:color w:val="000000"/>
                <w:sz w:val="16"/>
              </w:rPr>
            </w:pPr>
            <w:r>
              <w:rPr>
                <w:rFonts w:ascii="Lato;sans-serif" w:hAnsi="Lato;sans-serif"/>
                <w:b w:val="false"/>
                <w:color w:val="000000"/>
                <w:sz w:val="16"/>
              </w:rPr>
              <w:t>Ali Dasdan    </w:t>
            </w:r>
          </w:p>
          <w:p>
            <w:pPr>
              <w:pStyle w:val="TableContents"/>
              <w:bidi w:val="0"/>
              <w:spacing w:lineRule="auto" w:line="240" w:before="0" w:after="30"/>
              <w:jc w:val="left"/>
              <w:rPr>
                <w:rFonts w:ascii="Lato;sans-serif" w:hAnsi="Lato;sans-serif"/>
                <w:b w:val="false"/>
                <w:i/>
                <w:color w:val="000000"/>
                <w:sz w:val="16"/>
              </w:rPr>
            </w:pPr>
            <w:r>
              <w:rPr>
                <w:rFonts w:ascii="Lato;sans-serif" w:hAnsi="Lato;sans-serif"/>
                <w:b w:val="false"/>
                <w:i/>
                <w:color w:val="000000"/>
                <w:sz w:val="16"/>
              </w:rPr>
              <w:t xml:space="preserve">Executive Vice President and Chief Technology Officer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415,961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11,756,944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10,500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12,183,405</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amounts reported represent the named executive officer’s base salary earned during the fiscal year covered.</w:t>
      </w:r>
    </w:p>
    <w:p>
      <w:pPr>
        <w:pStyle w:val="TextBody"/>
        <w:bidi w:val="0"/>
        <w:spacing w:lineRule="auto" w:line="288" w:before="0" w:after="0"/>
        <w:ind w:left="0" w:right="0" w:hanging="360"/>
        <w:jc w:val="both"/>
        <w:rPr/>
      </w:pPr>
      <w:r>
        <w:rPr>
          <w:rFonts w:ascii="Lato;sans-serif" w:hAnsi="Lato;sans-serif"/>
          <w:b w:val="false"/>
          <w:color w:val="000000"/>
          <w:sz w:val="16"/>
        </w:rPr>
        <w:t>(2)The amount reported in this column for Mr. Hays represents a discretionary cash bonus award based on achievement of company performance objectives. See “</w:t>
      </w:r>
      <w:hyperlink w:anchor="ibe598ee2c35542eb888ca215dcc0528e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w:t>
      </w:r>
    </w:p>
    <w:p>
      <w:pPr>
        <w:pStyle w:val="TextBody"/>
        <w:bidi w:val="0"/>
        <w:spacing w:lineRule="auto" w:line="268" w:before="0" w:after="0"/>
        <w:ind w:left="0" w:right="0" w:hanging="360"/>
        <w:jc w:val="both"/>
        <w:rPr>
          <w:rFonts w:ascii="Lato;sans-serif" w:hAnsi="Lato;sans-serif"/>
          <w:b w:val="false"/>
          <w:color w:val="000000"/>
          <w:sz w:val="16"/>
        </w:rPr>
      </w:pPr>
      <w:r>
        <w:rPr>
          <w:rFonts w:ascii="Lato;sans-serif" w:hAnsi="Lato;sans-serif"/>
          <w:b w:val="false"/>
          <w:color w:val="000000"/>
          <w:sz w:val="16"/>
        </w:rPr>
        <w:t>(3)Represents the aggregate grant date fair value of stock awards granted, computed in accordance with Financial Accounting Standards Board Accounting Standards Codification Topic 718, Compensation—Stock Compensation (“Topic 718”), without taking into account estimated forfeitures. The fiscal 2021 stock awards consist of grants of time-vesting Class P Units, LTIP Units and restricted stock units issued under the ZoomInfo Technologies Inc. 2020 Omnibus Incentive Plan (the “2020 Omnibus Incentive Plan”). As noted in Note 1: “Organization and Background” and Note 16: “Equity-based Compensation” to our audited consolidated financial statements included in Part II, Item 8 of our Annual Report on Form 10-K for the fiscal year ended December 31, 2021, during the year ended December 31, 2021, the Company issued shares of unvested restricted stock in exchange for all unvested Class P Units and LTIP Units owned directly by the NEOs and other employees of the Company. Those exchanged shares of restricted stock (“RSAs”) remain subject to the same service vesting requirements of the original units and, upon fulfillment of the original employment service conditions, the restrictions will be lifted and the restricted stock will convert to unrestricted shares of the Company’s common stock. The fiscal 2022 and 2023 stock awards consist of grants of restricted stock units and HSKB phantom units issued under the 2020 Omnibus Incentive Plan. The stock awards granted to Mr. Hyzer in fiscal 2022 include an award granted December 30, 2022 with grant date fair value of $9,200,001, which was intended to be in lieu of Mr. Hyzer’s annual equity grant for 2023. Terms of the stock awards are summarized in “Executive Compensation Discussion and Analysis” above. The assumptions made when calculating the amounts are found in Note 15: “Equity-based Compensation” to our audited consolidated financial statements included in Part II, Item 8 of our 2023 10-K. For purposes of these calculations we determined that the probable outcome of the applicable performance-based conditions for the PRSUs was “target.” Accordingly, the value for the PRSUs included for the NEOs is based on the target number of shares subject to such awards which results in an award value of $4,412,514 for Mr. Schuck and $5,868,625 for Mr. Hays. Assuming that the highest level of performance for each such award was achieved, the grant date fair value would be $8,825,028 for Mr. Schuck and $11,737,250 for Mr. Hays.</w:t>
      </w:r>
    </w:p>
    <w:p>
      <w:pPr>
        <w:pStyle w:val="TextBody"/>
        <w:bidi w:val="0"/>
        <w:spacing w:lineRule="auto" w:line="288" w:before="0" w:after="0"/>
        <w:ind w:left="0" w:right="0" w:hanging="360"/>
        <w:jc w:val="both"/>
        <w:rPr/>
      </w:pPr>
      <w:r>
        <w:rPr>
          <w:rFonts w:ascii="Lato;sans-serif" w:hAnsi="Lato;sans-serif"/>
          <w:b w:val="false"/>
          <w:color w:val="000000"/>
          <w:sz w:val="16"/>
        </w:rPr>
        <w:t>(4)Amounts in this column include cash incentive bonuses earned by our NEOs in the fiscal years referenced. See “</w:t>
      </w:r>
      <w:hyperlink w:anchor="ibe598ee2c35542eb888ca215dcc0528e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w:t>
      </w:r>
    </w:p>
    <w:p>
      <w:pPr>
        <w:pStyle w:val="TextBody"/>
        <w:bidi w:val="0"/>
        <w:spacing w:lineRule="auto" w:line="288" w:before="0" w:after="180"/>
        <w:ind w:left="0" w:right="0" w:hanging="360"/>
        <w:jc w:val="both"/>
        <w:rPr/>
      </w:pPr>
      <w:r>
        <w:rPr>
          <w:rFonts w:ascii="Lato;sans-serif" w:hAnsi="Lato;sans-serif"/>
          <w:b w:val="false"/>
          <w:color w:val="000000"/>
          <w:sz w:val="16"/>
        </w:rPr>
        <w:t>(5)The amounts reported represent our 401(k) Plan (as defined below) matching contributions. For a description of our 401(k) Plan, see “</w:t>
      </w:r>
      <w:hyperlink w:anchor="ibe598ee2c35542eb888ca215dcc0528e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2425"/>
                <wp:effectExtent l="0" t="0" r="0" b="0"/>
                <wp:wrapNone/>
                <wp:docPr id="54" name="Frame5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Grants of Plan-Based Awards in Fiscal 2023</w:t>
      </w:r>
    </w:p>
    <w:p>
      <w:pPr>
        <w:pStyle w:val="TextBody"/>
        <w:bidi w:val="0"/>
        <w:spacing w:lineRule="auto" w:line="288" w:before="0" w:after="120"/>
        <w:jc w:val="both"/>
        <w:rPr/>
      </w:pPr>
      <w:r>
        <w:rPr>
          <w:rFonts w:ascii="Lato;sans-serif" w:hAnsi="Lato;sans-serif"/>
          <w:b w:val="false"/>
          <w:color w:val="000000"/>
          <w:sz w:val="20"/>
        </w:rPr>
        <w:t>The following table presents information regarding grants of plan-based awards during 2023 to our NEOs. The non-equity incentive plan awards were granted under our 2023</w:t>
      </w:r>
      <w:r>
        <w:rPr>
          <w:color w:val="000000"/>
          <w:shd w:fill="FFFFFF" w:val="clear"/>
        </w:rPr>
        <w:t xml:space="preserve"> </w:t>
      </w:r>
      <w:r>
        <w:rPr>
          <w:rFonts w:ascii="Lato;sans-serif" w:hAnsi="Lato;sans-serif"/>
          <w:b w:val="false"/>
          <w:color w:val="000000"/>
          <w:sz w:val="20"/>
          <w:shd w:fill="FFFFFF" w:val="clear"/>
        </w:rPr>
        <w:t>Cash Incentive Bonus Plan, as described in greater detail in “</w:t>
      </w:r>
      <w:hyperlink w:anchor="ibe598ee2c35542eb888ca215dcc0528e_97">
        <w:r>
          <w:rPr>
            <w:rStyle w:val="InternetLink"/>
            <w:rFonts w:ascii="Lato;sans-serif" w:hAnsi="Lato;sans-serif"/>
            <w:b w:val="false"/>
            <w:color w:val="0000FF"/>
            <w:sz w:val="20"/>
            <w:u w:val="single"/>
            <w:shd w:fill="FFFFFF" w:val="clear"/>
          </w:rPr>
          <w:t>Executive Compensation Discussion and Analysis</w:t>
        </w:r>
      </w:hyperlink>
      <w:r>
        <w:rPr>
          <w:color w:val="000000"/>
          <w:shd w:fill="FFFFFF" w:val="clear"/>
        </w:rPr>
        <w:t xml:space="preserve">” </w:t>
      </w:r>
      <w:r>
        <w:rPr>
          <w:rFonts w:ascii="Lato;sans-serif" w:hAnsi="Lato;sans-serif"/>
          <w:b w:val="false"/>
          <w:color w:val="000000"/>
          <w:sz w:val="20"/>
          <w:shd w:fill="FFFFFF" w:val="clear"/>
        </w:rPr>
        <w:t>above.</w:t>
      </w:r>
      <w:r>
        <w:rPr>
          <w:color w:val="000000"/>
        </w:rPr>
        <w:t xml:space="preserve"> </w:t>
      </w:r>
      <w:r>
        <w:rPr>
          <w:rFonts w:ascii="Lato;sans-serif" w:hAnsi="Lato;sans-serif"/>
          <w:b w:val="false"/>
          <w:color w:val="000000"/>
          <w:sz w:val="20"/>
        </w:rPr>
        <w:t>The equity incentive plan awards were granted under our 2020 Omnibus Incentive Plan. The vesting schedule for the awards is set forth below in the table “Outstanding Equity Awards at 2023 Fiscal Year-End.”</w:t>
      </w:r>
    </w:p>
    <w:tbl>
      <w:tblPr>
        <w:tblW w:w="10205" w:type="dxa"/>
        <w:jc w:val="left"/>
        <w:tblInd w:w="0" w:type="dxa"/>
        <w:tblLayout w:type="fixed"/>
        <w:tblCellMar>
          <w:top w:w="28" w:type="dxa"/>
          <w:left w:w="28" w:type="dxa"/>
          <w:bottom w:w="28" w:type="dxa"/>
          <w:right w:w="28" w:type="dxa"/>
        </w:tblCellMar>
      </w:tblPr>
      <w:tblGrid>
        <w:gridCol w:w="463"/>
        <w:gridCol w:w="241"/>
        <w:gridCol w:w="245"/>
        <w:gridCol w:w="109"/>
        <w:gridCol w:w="109"/>
        <w:gridCol w:w="109"/>
        <w:gridCol w:w="240"/>
        <w:gridCol w:w="240"/>
        <w:gridCol w:w="241"/>
        <w:gridCol w:w="109"/>
        <w:gridCol w:w="109"/>
        <w:gridCol w:w="109"/>
        <w:gridCol w:w="303"/>
        <w:gridCol w:w="303"/>
        <w:gridCol w:w="304"/>
        <w:gridCol w:w="109"/>
        <w:gridCol w:w="109"/>
        <w:gridCol w:w="109"/>
        <w:gridCol w:w="439"/>
        <w:gridCol w:w="439"/>
        <w:gridCol w:w="192"/>
        <w:gridCol w:w="123"/>
        <w:gridCol w:w="123"/>
        <w:gridCol w:w="123"/>
        <w:gridCol w:w="438"/>
        <w:gridCol w:w="245"/>
        <w:gridCol w:w="123"/>
        <w:gridCol w:w="123"/>
        <w:gridCol w:w="123"/>
        <w:gridCol w:w="123"/>
        <w:gridCol w:w="438"/>
        <w:gridCol w:w="438"/>
        <w:gridCol w:w="133"/>
        <w:gridCol w:w="109"/>
        <w:gridCol w:w="109"/>
        <w:gridCol w:w="109"/>
        <w:gridCol w:w="360"/>
        <w:gridCol w:w="360"/>
        <w:gridCol w:w="361"/>
        <w:gridCol w:w="109"/>
        <w:gridCol w:w="109"/>
        <w:gridCol w:w="109"/>
        <w:gridCol w:w="532"/>
        <w:gridCol w:w="301"/>
        <w:gridCol w:w="453"/>
      </w:tblGrid>
      <w:tr>
        <w:trPr/>
        <w:tc>
          <w:tcPr>
            <w:tcW w:w="4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15"/>
            <w:tcBorders/>
            <w:shd w:fill="F44238"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FFFFFF"/>
                <w:sz w:val="16"/>
              </w:rPr>
              <w:t>Estimated Future Payouts Under Non-Equity Incentive Plan Awards</w:t>
            </w:r>
            <w:r>
              <w:rPr>
                <w:rFonts w:ascii="Lato;sans-serif" w:hAnsi="Lato;sans-serif"/>
                <w:b/>
                <w:color w:val="FFFFFF"/>
                <w:sz w:val="10"/>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All Other Stock Awards: Number of Shares of Stock or Units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Grant Date Fair Value of Stock and Option Awards ($)</w:t>
            </w:r>
          </w:p>
        </w:tc>
      </w:tr>
      <w:tr>
        <w:trPr/>
        <w:tc>
          <w:tcPr>
            <w:tcW w:w="94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Award Type</w:t>
            </w:r>
            <w:r>
              <w:rPr>
                <w:rFonts w:ascii="Lato;sans-serif" w:hAnsi="Lato;sans-serif"/>
                <w:b/>
                <w:color w:val="FFFFFF"/>
                <w:sz w:val="10"/>
              </w:rPr>
              <w:t>(2)</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44238" w:val="clear"/>
            <w:tcMar>
              <w:top w:w="0" w:type="dxa"/>
              <w:left w:w="0" w:type="dxa"/>
              <w:bottom w:w="0" w:type="dxa"/>
              <w:right w:w="0" w:type="dxa"/>
            </w:tcMar>
            <w:vAlign w:val="center"/>
          </w:tcPr>
          <w:p>
            <w:pPr>
              <w:pStyle w:val="TableContents"/>
              <w:bidi w:val="0"/>
              <w:spacing w:lineRule="auto" w:line="288" w:before="53" w:after="30"/>
              <w:ind w:left="0" w:right="0" w:firstLine="270"/>
              <w:jc w:val="center"/>
              <w:rPr>
                <w:rFonts w:ascii="Lato;sans-serif" w:hAnsi="Lato;sans-serif"/>
                <w:b/>
                <w:color w:val="FFFFFF"/>
                <w:sz w:val="16"/>
              </w:rPr>
            </w:pPr>
            <w:r>
              <w:rPr>
                <w:rFonts w:ascii="Lato;sans-serif" w:hAnsi="Lato;sans-serif"/>
                <w:b/>
                <w:color w:val="FFFFFF"/>
                <w:sz w:val="16"/>
              </w:rPr>
              <w:t>Grant Date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Threshold ($)</w:t>
            </w:r>
          </w:p>
        </w:tc>
        <w:tc>
          <w:tcPr>
            <w:tcW w:w="36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Target ($)</w:t>
            </w:r>
          </w:p>
        </w:tc>
        <w:tc>
          <w:tcPr>
            <w:tcW w:w="36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44238" w:val="clear"/>
            <w:tcMar>
              <w:top w:w="0" w:type="dxa"/>
              <w:left w:w="0" w:type="dxa"/>
              <w:bottom w:w="0" w:type="dxa"/>
              <w:right w:w="0" w:type="dxa"/>
            </w:tcMar>
            <w:vAlign w:val="center"/>
          </w:tcPr>
          <w:p>
            <w:pPr>
              <w:pStyle w:val="TableContents"/>
              <w:bidi w:val="0"/>
              <w:spacing w:lineRule="auto" w:line="288" w:before="53" w:after="30"/>
              <w:jc w:val="center"/>
              <w:rPr>
                <w:rFonts w:ascii="Lato;sans-serif" w:hAnsi="Lato;sans-serif"/>
                <w:b/>
                <w:color w:val="FFFFFF"/>
                <w:sz w:val="16"/>
                <w:shd w:fill="F44238" w:val="clear"/>
              </w:rPr>
            </w:pPr>
            <w:r>
              <w:rPr>
                <w:rFonts w:ascii="Lato;sans-serif" w:hAnsi="Lato;sans-serif"/>
                <w:b/>
                <w:color w:val="FFFFFF"/>
                <w:sz w:val="16"/>
                <w:shd w:fill="F44238" w:val="clear"/>
              </w:rPr>
              <w:t>Maximum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r>
      <w:tr>
        <w:trPr/>
        <w:tc>
          <w:tcPr>
            <w:tcW w:w="9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Henry Schuck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36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1,100,000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178,572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4,412,514</w:t>
            </w:r>
          </w:p>
        </w:tc>
      </w:tr>
      <w:tr>
        <w:trPr/>
        <w:tc>
          <w:tcPr>
            <w:tcW w:w="9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Peter Cameron Hyzer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337,000</w:t>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674,000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Chris Hays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235,400</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470,800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HSKB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441,271</w:t>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3,088,750</w:t>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3,088,750</w:t>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2,779,875</w:t>
            </w:r>
          </w:p>
        </w:tc>
      </w:tr>
      <w:tr>
        <w:trPr/>
        <w:tc>
          <w:tcPr>
            <w:tcW w:w="9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450,000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RSU</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4/3/2023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475,797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11,756,944</w:t>
            </w:r>
          </w:p>
        </w:tc>
      </w:tr>
      <w:tr>
        <w:trPr/>
        <w:tc>
          <w:tcPr>
            <w:tcW w:w="10205" w:type="dxa"/>
            <w:gridSpan w:val="45"/>
            <w:tcBorders/>
            <w:tcMar>
              <w:top w:w="0" w:type="dxa"/>
              <w:left w:w="0" w:type="dxa"/>
              <w:bottom w:w="0" w:type="dxa"/>
              <w:right w:w="0" w:type="dxa"/>
            </w:tcMar>
            <w:vAlign w:val="center"/>
          </w:tcPr>
          <w:p>
            <w:pPr>
              <w:pStyle w:val="TableContents"/>
              <w:bidi w:val="0"/>
              <w:spacing w:lineRule="auto" w:line="288" w:before="0" w:after="0"/>
              <w:jc w:val="both"/>
              <w:rPr/>
            </w:pPr>
            <w:r>
              <w:rPr>
                <w:rFonts w:ascii="Lato;sans-serif" w:hAnsi="Lato;sans-serif"/>
                <w:b w:val="false"/>
                <w:color w:val="000000"/>
                <w:sz w:val="10"/>
              </w:rPr>
              <w:t xml:space="preserve">(1) </w:t>
            </w:r>
            <w:r>
              <w:rPr>
                <w:rFonts w:ascii="Lato;sans-serif" w:hAnsi="Lato;sans-serif"/>
                <w:b w:val="false"/>
                <w:color w:val="000000"/>
                <w:sz w:val="16"/>
              </w:rPr>
              <w:t>Represents the range of possible payouts to our NEOs under the 2023 Cash Bonus Incentive Plan, which range between no payout at 0% achievement and payout at the maximum capped at 200% of the applicable target annual bonus opportunity, as further described above under “</w:t>
            </w:r>
            <w:hyperlink w:anchor="ibe598ee2c35542eb888ca215dcc0528e_97">
              <w:r>
                <w:rPr>
                  <w:rStyle w:val="InternetLink"/>
                  <w:rFonts w:ascii="Lato;sans-serif" w:hAnsi="Lato;sans-serif"/>
                  <w:b w:val="false"/>
                  <w:color w:val="0000FF"/>
                  <w:sz w:val="16"/>
                  <w:u w:val="single"/>
                </w:rPr>
                <w:t>Executive Compensation Discussion &amp; Analysis</w:t>
              </w:r>
            </w:hyperlink>
            <w:r>
              <w:rPr>
                <w:rFonts w:ascii="Lato;sans-serif" w:hAnsi="Lato;sans-serif"/>
                <w:b w:val="false"/>
                <w:color w:val="000000"/>
                <w:sz w:val="16"/>
              </w:rPr>
              <w:t>.”</w:t>
            </w:r>
          </w:p>
        </w:tc>
      </w:tr>
      <w:tr>
        <w:trPr/>
        <w:tc>
          <w:tcPr>
            <w:tcW w:w="10205" w:type="dxa"/>
            <w:gridSpan w:val="45"/>
            <w:tcBorders/>
            <w:tcMar>
              <w:top w:w="0" w:type="dxa"/>
              <w:left w:w="0" w:type="dxa"/>
              <w:bottom w:w="0" w:type="dxa"/>
              <w:right w:w="0" w:type="dxa"/>
            </w:tcMar>
            <w:vAlign w:val="center"/>
          </w:tcPr>
          <w:p>
            <w:pPr>
              <w:pStyle w:val="TableContents"/>
              <w:bidi w:val="0"/>
              <w:spacing w:lineRule="auto" w:line="288" w:before="0" w:after="0"/>
              <w:jc w:val="both"/>
              <w:rPr/>
            </w:pPr>
            <w:r>
              <w:rPr>
                <w:rFonts w:ascii="Lato;sans-serif" w:hAnsi="Lato;sans-serif"/>
                <w:b w:val="false"/>
                <w:color w:val="000000"/>
                <w:sz w:val="10"/>
              </w:rPr>
              <w:t xml:space="preserve">(2) </w:t>
            </w:r>
            <w:r>
              <w:rPr>
                <w:rFonts w:ascii="Lato;sans-serif" w:hAnsi="Lato;sans-serif"/>
                <w:b w:val="false"/>
                <w:color w:val="000000"/>
                <w:sz w:val="16"/>
              </w:rPr>
              <w:t>Terms of the stock awards are summarized in “</w:t>
            </w:r>
            <w:hyperlink w:anchor="ibe598ee2c35542eb888ca215dcc0528e_97">
              <w:r>
                <w:rPr>
                  <w:rStyle w:val="InternetLink"/>
                  <w:rFonts w:ascii="Lato;sans-serif" w:hAnsi="Lato;sans-serif"/>
                  <w:b w:val="false"/>
                  <w:color w:val="0000FF"/>
                  <w:sz w:val="16"/>
                  <w:u w:val="single"/>
                </w:rPr>
                <w:t>Executive Compensation Discussion and Analysis</w:t>
              </w:r>
            </w:hyperlink>
            <w:r>
              <w:rPr>
                <w:color w:val="000000"/>
              </w:rPr>
              <w:t xml:space="preserve">” </w:t>
            </w:r>
            <w:r>
              <w:rPr>
                <w:rFonts w:ascii="Lato;sans-serif" w:hAnsi="Lato;sans-serif"/>
                <w:b w:val="false"/>
                <w:color w:val="000000"/>
                <w:sz w:val="16"/>
              </w:rPr>
              <w:t>above. The assumptions made when calculating the amounts are found in Note 15: “Equity-based Compensation” to our audited consolidated financial statements included in Part II, Item 8 of our 2023 10-K.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2425"/>
                <wp:effectExtent l="0" t="0" r="0" b="0"/>
                <wp:wrapNone/>
                <wp:docPr id="55" name="Frame5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20"/>
        <w:jc w:val="left"/>
        <w:rPr>
          <w:rFonts w:ascii="Lato;sans-serif" w:hAnsi="Lato;sans-serif"/>
          <w:b/>
          <w:color w:val="000000"/>
          <w:sz w:val="20"/>
        </w:rPr>
      </w:pPr>
      <w:r>
        <w:rPr>
          <w:rFonts w:ascii="Lato;sans-serif" w:hAnsi="Lato;sans-serif"/>
          <w:b/>
          <w:color w:val="000000"/>
          <w:sz w:val="20"/>
        </w:rPr>
        <w:t>Outstanding Equity Awards at 2023 Fiscal Year-End</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The following table sets forth information regarding outstanding equity awards made to the NEOs as of December 31, 2023.</w:t>
      </w:r>
    </w:p>
    <w:tbl>
      <w:tblPr>
        <w:tblW w:w="10205" w:type="dxa"/>
        <w:jc w:val="left"/>
        <w:tblInd w:w="0" w:type="dxa"/>
        <w:tblLayout w:type="fixed"/>
        <w:tblCellMar>
          <w:top w:w="28" w:type="dxa"/>
          <w:left w:w="28" w:type="dxa"/>
          <w:bottom w:w="28" w:type="dxa"/>
          <w:right w:w="28" w:type="dxa"/>
        </w:tblCellMar>
      </w:tblPr>
      <w:tblGrid>
        <w:gridCol w:w="467"/>
        <w:gridCol w:w="251"/>
        <w:gridCol w:w="254"/>
        <w:gridCol w:w="109"/>
        <w:gridCol w:w="109"/>
        <w:gridCol w:w="109"/>
        <w:gridCol w:w="216"/>
        <w:gridCol w:w="216"/>
        <w:gridCol w:w="217"/>
        <w:gridCol w:w="109"/>
        <w:gridCol w:w="109"/>
        <w:gridCol w:w="109"/>
        <w:gridCol w:w="414"/>
        <w:gridCol w:w="261"/>
        <w:gridCol w:w="262"/>
        <w:gridCol w:w="109"/>
        <w:gridCol w:w="109"/>
        <w:gridCol w:w="109"/>
        <w:gridCol w:w="391"/>
        <w:gridCol w:w="391"/>
        <w:gridCol w:w="393"/>
        <w:gridCol w:w="109"/>
        <w:gridCol w:w="109"/>
        <w:gridCol w:w="109"/>
        <w:gridCol w:w="550"/>
        <w:gridCol w:w="383"/>
        <w:gridCol w:w="385"/>
        <w:gridCol w:w="109"/>
        <w:gridCol w:w="109"/>
        <w:gridCol w:w="109"/>
        <w:gridCol w:w="531"/>
        <w:gridCol w:w="531"/>
        <w:gridCol w:w="532"/>
        <w:gridCol w:w="109"/>
        <w:gridCol w:w="109"/>
        <w:gridCol w:w="109"/>
        <w:gridCol w:w="465"/>
        <w:gridCol w:w="465"/>
        <w:gridCol w:w="668"/>
      </w:tblGrid>
      <w:tr>
        <w:trPr/>
        <w:tc>
          <w:tcPr>
            <w:tcW w:w="4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21"/>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Stock Awards</w:t>
            </w:r>
          </w:p>
        </w:tc>
      </w:tr>
      <w:tr>
        <w:trPr/>
        <w:tc>
          <w:tcPr>
            <w:tcW w:w="97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Grant Date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Award Type</w:t>
            </w:r>
            <w:r>
              <w:rPr>
                <w:rFonts w:ascii="Lato;sans-serif" w:hAnsi="Lato;sans-serif"/>
                <w:b/>
                <w:color w:val="FFFFFF"/>
                <w:sz w:val="10"/>
              </w:rPr>
              <w:t>(1)</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Number of Shares or Units of Stock That Have Not Vested (#)</w:t>
            </w:r>
          </w:p>
        </w:tc>
        <w:tc>
          <w:tcPr>
            <w:tcW w:w="327" w:type="dxa"/>
            <w:gridSpan w:val="3"/>
            <w:tcBorders>
              <w:top w:val="single" w:sz="4" w:space="0" w:color="000000"/>
            </w:tcBorders>
            <w:shd w:fill="F4423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88" w:before="33" w:after="30"/>
              <w:jc w:val="center"/>
              <w:rPr/>
            </w:pPr>
            <w:r>
              <w:rPr>
                <w:rFonts w:ascii="Lato;sans-serif" w:hAnsi="Lato;sans-serif"/>
                <w:b/>
                <w:color w:val="FFFFFF"/>
                <w:sz w:val="16"/>
                <w:shd w:fill="F44238" w:val="clear"/>
              </w:rPr>
              <w:t>Market Value of Shares or Units of Stock That Have Not Vested ($)</w:t>
            </w:r>
            <w:r>
              <w:rPr>
                <w:rFonts w:ascii="Lato;sans-serif" w:hAnsi="Lato;sans-serif"/>
                <w:b/>
                <w:color w:val="FFFFFF"/>
                <w:sz w:val="10"/>
                <w:shd w:fill="F44238" w:val="clear"/>
              </w:rPr>
              <w:t>(2)</w:t>
            </w:r>
          </w:p>
        </w:tc>
        <w:tc>
          <w:tcPr>
            <w:tcW w:w="327" w:type="dxa"/>
            <w:gridSpan w:val="3"/>
            <w:tcBorders>
              <w:top w:val="single" w:sz="4" w:space="0" w:color="000000"/>
            </w:tcBorders>
            <w:shd w:fill="F4423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Equity Incentive Plan Awards: Number of Unearned Shares or Units of Stock That Have Not Vested (#)</w:t>
            </w:r>
          </w:p>
        </w:tc>
        <w:tc>
          <w:tcPr>
            <w:tcW w:w="327" w:type="dxa"/>
            <w:gridSpan w:val="3"/>
            <w:tcBorders>
              <w:top w:val="single" w:sz="4" w:space="0" w:color="000000"/>
            </w:tcBorders>
            <w:shd w:fill="F4423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shd w:fill="F44238" w:val="clear"/>
            <w:tcMar>
              <w:top w:w="30" w:type="dxa"/>
              <w:left w:w="0" w:type="dxa"/>
              <w:bottom w:w="0" w:type="dxa"/>
              <w:right w:w="0" w:type="dxa"/>
            </w:tcMar>
            <w:vAlign w:val="center"/>
          </w:tcPr>
          <w:p>
            <w:pPr>
              <w:pStyle w:val="TableContents"/>
              <w:bidi w:val="0"/>
              <w:spacing w:lineRule="auto" w:line="288" w:before="33" w:after="30"/>
              <w:jc w:val="center"/>
              <w:rPr/>
            </w:pPr>
            <w:r>
              <w:rPr>
                <w:rFonts w:ascii="Lato;sans-serif" w:hAnsi="Lato;sans-serif"/>
                <w:b/>
                <w:color w:val="FFFFFF"/>
                <w:sz w:val="16"/>
                <w:shd w:fill="F44238" w:val="clear"/>
              </w:rPr>
              <w:t>Equity Incentive Plan Awards: Market Value of Shares or Units of Stock That Have Not Vested ($)</w:t>
            </w:r>
            <w:r>
              <w:rPr>
                <w:rFonts w:ascii="Lato;sans-serif" w:hAnsi="Lato;sans-serif"/>
                <w:b/>
                <w:color w:val="FFFFFF"/>
                <w:sz w:val="10"/>
                <w:shd w:fill="F44238" w:val="clear"/>
              </w:rPr>
              <w:t>(2)</w:t>
            </w:r>
          </w:p>
        </w:tc>
      </w:tr>
      <w:tr>
        <w:trPr/>
        <w:tc>
          <w:tcPr>
            <w:tcW w:w="9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Henry Schuck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06/03/2020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RSA</w:t>
            </w:r>
            <w:r>
              <w:rPr>
                <w:rFonts w:ascii="Lato;sans-serif" w:hAnsi="Lato;sans-serif"/>
                <w:b w:val="false"/>
                <w:color w:val="000000"/>
                <w:sz w:val="10"/>
              </w:rPr>
              <w:t>(3)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102,004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1,886,054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04/03/2023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PRSU</w:t>
            </w:r>
            <w:r>
              <w:rPr>
                <w:rFonts w:ascii="Lato;sans-serif" w:hAnsi="Lato;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178,572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3,301,796</w:t>
            </w:r>
          </w:p>
        </w:tc>
      </w:tr>
      <w:tr>
        <w:trPr/>
        <w:tc>
          <w:tcPr>
            <w:tcW w:w="972"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Peter Cameron Hyzer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06/03/2020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RSA</w:t>
            </w:r>
            <w:r>
              <w:rPr>
                <w:rFonts w:ascii="Lato;sans-serif" w:hAnsi="Lato;sans-serif"/>
                <w:b w:val="false"/>
                <w:color w:val="000000"/>
                <w:sz w:val="10"/>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20,412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377,418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03/01/2021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RSA</w:t>
            </w:r>
            <w:r>
              <w:rPr>
                <w:rFonts w:ascii="Lato;sans-serif" w:hAnsi="Lato;sans-serif"/>
                <w:b w:val="false"/>
                <w:color w:val="000000"/>
                <w:sz w:val="10"/>
              </w:rPr>
              <w:t>(6)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37,773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698,423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03/01/2022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77,140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1,426,319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09/01/2022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HSKB Phantom Units</w:t>
            </w:r>
            <w:r>
              <w:rPr>
                <w:rFonts w:ascii="Lato;sans-serif" w:hAnsi="Lato;sans-serif"/>
                <w:b w:val="false"/>
                <w:color w:val="000000"/>
                <w:sz w:val="10"/>
              </w:rPr>
              <w:t>(8)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7,569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139,951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12/30/2022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190,714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3,526,302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Chris Hays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06/03/2020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RSA</w:t>
            </w:r>
            <w:r>
              <w:rPr>
                <w:rFonts w:ascii="Lato;sans-serif" w:hAnsi="Lato;sans-serif"/>
                <w:b w:val="false"/>
                <w:color w:val="000000"/>
                <w:sz w:val="1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377,418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06/03/2020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RSA</w:t>
            </w:r>
            <w:r>
              <w:rPr>
                <w:rFonts w:ascii="Lato;sans-serif" w:hAnsi="Lato;sans-serif"/>
                <w:b w:val="false"/>
                <w:color w:val="000000"/>
                <w:sz w:val="1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15,715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290,570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16"/>
              </w:rPr>
            </w:pPr>
            <w:r>
              <w:rPr>
                <w:rFonts w:ascii="Lato;sans-serif" w:hAnsi="Lato;sans-serif"/>
                <w:b w:val="false"/>
                <w:color w:val="000000"/>
                <w:sz w:val="16"/>
              </w:rPr>
              <w:t>03/01/2021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RSA</w:t>
            </w:r>
            <w:r>
              <w:rPr>
                <w:rFonts w:ascii="Lato;sans-serif" w:hAnsi="Lato;sans-serif"/>
                <w:b w:val="false"/>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127,814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2,363,281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03/01/2022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179,200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3,313,408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04/03/2023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HSKB Phantom Units</w:t>
            </w:r>
            <w:r>
              <w:rPr>
                <w:rFonts w:ascii="Lato;sans-serif" w:hAnsi="Lato;sans-serif"/>
                <w:b w:val="false"/>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8,929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165,097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16"/>
              </w:rPr>
            </w:pPr>
            <w:r>
              <w:rPr>
                <w:rFonts w:ascii="Lato;sans-serif" w:hAnsi="Lato;sans-serif"/>
                <w:b w:val="false"/>
                <w:color w:val="000000"/>
                <w:sz w:val="16"/>
              </w:rPr>
              <w:t>04/03/2023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1,733,438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16"/>
              </w:rPr>
            </w:pPr>
            <w:r>
              <w:rPr>
                <w:rFonts w:ascii="Lato;sans-serif" w:hAnsi="Lato;sans-serif"/>
                <w:b w:val="false"/>
                <w:color w:val="000000"/>
                <w:sz w:val="16"/>
              </w:rPr>
              <w:t>04/03/2023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PRSU</w:t>
            </w:r>
            <w:r>
              <w:rPr>
                <w:rFonts w:ascii="Lato;sans-serif" w:hAnsi="Lato;sans-serif"/>
                <w:b w:val="false"/>
                <w:color w:val="000000"/>
                <w:sz w:val="1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2,080,125</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val="false"/>
                <w:color w:val="000000"/>
                <w:sz w:val="16"/>
              </w:rPr>
            </w:pPr>
            <w:r>
              <w:rPr>
                <w:rFonts w:ascii="Lato;sans-serif" w:hAnsi="Lato;sans-serif"/>
                <w:b w:val="false"/>
                <w:color w:val="000000"/>
                <w:sz w:val="16"/>
              </w:rPr>
              <w:t>04/03/2023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PRSU</w:t>
            </w:r>
            <w:r>
              <w:rPr>
                <w:rFonts w:ascii="Lato;sans-serif" w:hAnsi="Lato;sans-serif"/>
                <w:b w:val="false"/>
                <w:color w:val="000000"/>
                <w:sz w:val="1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2,311,250</w:t>
            </w:r>
          </w:p>
        </w:tc>
      </w:tr>
      <w:tr>
        <w:trPr/>
        <w:tc>
          <w:tcPr>
            <w:tcW w:w="972"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04/03/2023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6"/>
              </w:rPr>
              <w:t>RSU</w:t>
            </w:r>
            <w:r>
              <w:rPr>
                <w:rFonts w:ascii="Lato;sans-serif" w:hAnsi="Lato;sans-serif"/>
                <w:b w:val="false"/>
                <w:color w:val="000000"/>
                <w:sz w:val="10"/>
              </w:rPr>
              <w:t>(18)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357,562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6,611,321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(1)As noted in Note 1: “Organization and Background” and Note 15: “Equity-based Compensation” to our audited consolidated financial statements included in Part II, Item 8 of our 2023 10-K, during the year ended December 31, 2021, the Company issued shares of restricted stock in exchange for all unvested Class P Units and LTIP Units owned directly by the NEOs and other employees of the Company. Those exchanged shares of restricted stock, which are denoted as RSAs, remain subject to the same service vesting requirements of the original units and, upon fulfillment of the original employment service conditions, the restrictions will be lifted and the restricted stock will convert to unrestricted shares of the Company’s common stock. The grant dates reflect the grant dates of the original awards.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(2)Values determined based on the December 29, 2023 closing market price of our common stock (the last trading day of 2023), which was $18.49 per share. In the case of PRSUs, the actual payout values depend upon, among other things, achievement of performance goals, the Company’s closing stock price at the end of the applicable performance period, and continued service by the participant through the date of determination of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(3)Originally granted as Class P Units and exchanged for RSAs on September 3, 2021, subject to the same vesting terms. Vests in in three equal installments on each of the second, third and fourth anniversaries of the original grant date.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(4)Vests as follows: 20% vests following December 31, 2023, 30% vests following December 31, 2024, and 50% vests following December 31, 2025, in each case subject to achievement of specified performance targets and continued service through the determination date. Amount represents target number of shares, and actual achievement may vary from 0% to 200% of target depending on performance in the applicable performance year.</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(5)Originally granted as Class P Units and exchanged for RSAs on October 29, 2021, subject to the same vesting terms as the original grant. Vests in installments of 34%, 33%, and 33% on the dates that are two and a half, three and a half, and four and a half years following the grant date, respectively.</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(6)Originally granted as LTIP Units and exchanged for RSAs on October 29, 2021, subject to the same vesting terms. One-third of the award vests on the second anniversary of the grant date, and the remaining two-thirds vest on the third anniversary of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2425"/>
                <wp:effectExtent l="0" t="0" r="0" b="0"/>
                <wp:wrapNone/>
                <wp:docPr id="56" name="Frame5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(7)Vests as follows: 25% of the award vested on March 1, 2023 and the remaining 75% of the award vests in equal quarterly amounts for the following three years.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(8)Vests as follows: 25% of the award vested on September 1, 2023 and the remaining 75% of the award vests in equal quarterly amounts for the following three years.</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(9)Vests in equal quarterly amounts, over a two-year term, with the first quarterly vesting occurring April 1, 2023.</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(10)Originally granted as Class P Units and exchanged for RSAs on October 29, 2021, subject to the same vesting terms as the original grant. Vests in installments of 34%, 33%, and 33% on the dates that are two and a half, three and a half, and four and a half years following the grant date, respectively.</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(11)Originally granted as LTIP Units and exchanged for RSAs on October 29, 2021, subject to the same vesting terms. Vests in three installments of 34%, 33%, and 33% on the dates that are two and a half, three and a half, and four and a half years following the grant date, respectively.</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(12)Originally granted as LTIP Units and exchanged for RSAs on October 29, 2021, subject to the same vesting terms. Vests in full on March 1, 2024.</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(13)Vests as follows: 18.33% of the award vested on March 1, 2023, 7.5% of the award vests on March 1, 2024, and the remaining 74.17% of the award vests on March 1, 2025.</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(14)Vests in equal quarterly amounts over a one-year term, with the first quarterly vesting occurring July 1, 2023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(15)Vests in equal quarterly amounts over a two-year term, with the first quarterly vesting occurring July 1, 2023.</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(16)Vests as follows: 100% vests following December 31, 2023, subject to achievement of specified performance target and continued service through the determination date. Amount represents target number of shares, and actual achievement may vary from 0% to 200% of target depending on performance.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(17)Vests as follows: 20% vests following December 31, 2023, 30% vests following December 31, 2024, and 50% vests following December 31, 2025, in each case subject to achievement of specified performance targets and continued service through the determination date. Amount represents target number of shares, and actual achievement may vary from 0% to 200% of target depending on performance in the applicable performance year.</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(18)Vests as follows: 16.5% of the award vested on September 1, 2023, and the remainder of the award vests in equal quarterly amounts during the 30 months following September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Option Exercises and Stock Vested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shows for the fiscal year ended December 31, 2023, certain information regarding option exercises and stock vested during the fiscal year with respect to our NEOs:</w:t>
      </w:r>
    </w:p>
    <w:tbl>
      <w:tblPr>
        <w:tblW w:w="10205" w:type="dxa"/>
        <w:jc w:val="left"/>
        <w:tblInd w:w="0" w:type="dxa"/>
        <w:tblLayout w:type="fixed"/>
        <w:tblCellMar>
          <w:top w:w="28" w:type="dxa"/>
          <w:left w:w="28" w:type="dxa"/>
          <w:bottom w:w="28" w:type="dxa"/>
          <w:right w:w="28" w:type="dxa"/>
        </w:tblCellMar>
      </w:tblPr>
      <w:tblGrid>
        <w:gridCol w:w="686"/>
        <w:gridCol w:w="594"/>
        <w:gridCol w:w="602"/>
        <w:gridCol w:w="109"/>
        <w:gridCol w:w="109"/>
        <w:gridCol w:w="109"/>
        <w:gridCol w:w="109"/>
        <w:gridCol w:w="109"/>
        <w:gridCol w:w="269"/>
        <w:gridCol w:w="269"/>
        <w:gridCol w:w="1307"/>
        <w:gridCol w:w="1307"/>
        <w:gridCol w:w="1324"/>
        <w:gridCol w:w="109"/>
        <w:gridCol w:w="109"/>
        <w:gridCol w:w="109"/>
        <w:gridCol w:w="870"/>
        <w:gridCol w:w="867"/>
        <w:gridCol w:w="1238"/>
      </w:tblGrid>
      <w:tr>
        <w:trPr/>
        <w:tc>
          <w:tcPr>
            <w:tcW w:w="6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6" w:type="dxa"/>
            <w:gridSpan w:val="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Stock Awards</w:t>
            </w:r>
          </w:p>
        </w:tc>
        <w:tc>
          <w:tcPr>
            <w:tcW w:w="3302" w:type="dxa"/>
            <w:gridSpan w:val="6"/>
            <w:tcBorders/>
          </w:tcPr>
          <w:p>
            <w:pPr>
              <w:pStyle w:val="TableContents"/>
              <w:bidi w:val="0"/>
              <w:spacing w:before="0" w:after="283"/>
              <w:jc w:val="left"/>
              <w:rPr>
                <w:sz w:val="4"/>
                <w:szCs w:val="4"/>
              </w:rPr>
            </w:pPr>
            <w:r>
              <w:rPr>
                <w:sz w:val="4"/>
                <w:szCs w:val="4"/>
              </w:rPr>
            </w:r>
          </w:p>
        </w:tc>
      </w:tr>
      <w:tr>
        <w:trPr/>
        <w:tc>
          <w:tcPr>
            <w:tcW w:w="188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8" w:type="dxa"/>
            <w:gridSpan w:val="3"/>
            <w:tcBorders/>
            <w:shd w:fill="F44238" w:val="clear"/>
            <w:tcMar>
              <w:top w:w="0" w:type="dxa"/>
              <w:left w:w="0" w:type="dxa"/>
              <w:bottom w:w="0" w:type="dxa"/>
              <w:right w:w="0" w:type="dxa"/>
            </w:tcMar>
            <w:vAlign w:val="center"/>
          </w:tcPr>
          <w:p>
            <w:pPr>
              <w:pStyle w:val="TableContents"/>
              <w:bidi w:val="0"/>
              <w:spacing w:lineRule="auto" w:line="333" w:before="0" w:after="283"/>
              <w:jc w:val="center"/>
              <w:rPr>
                <w:rFonts w:ascii="Lato;sans-serif" w:hAnsi="Lato;sans-serif"/>
                <w:b/>
                <w:color w:val="FFFFFF"/>
                <w:sz w:val="16"/>
              </w:rPr>
            </w:pPr>
            <w:r>
              <w:rPr>
                <w:rFonts w:ascii="Lato;sans-serif" w:hAnsi="Lato;sans-serif"/>
                <w:b/>
                <w:color w:val="FFFFFF"/>
                <w:sz w:val="16"/>
              </w:rPr>
              <w:t>Number of Shares Acquired on Vesting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44238" w:val="clear"/>
            <w:tcMar>
              <w:top w:w="0" w:type="dxa"/>
              <w:left w:w="0" w:type="dxa"/>
              <w:bottom w:w="0" w:type="dxa"/>
              <w:right w:w="0" w:type="dxa"/>
            </w:tcMar>
            <w:vAlign w:val="center"/>
          </w:tcPr>
          <w:p>
            <w:pPr>
              <w:pStyle w:val="TableContents"/>
              <w:bidi w:val="0"/>
              <w:spacing w:lineRule="auto" w:line="333" w:before="0" w:after="0"/>
              <w:jc w:val="center"/>
              <w:rPr/>
            </w:pPr>
            <w:r>
              <w:rPr>
                <w:rFonts w:ascii="Lato;sans-serif" w:hAnsi="Lato;sans-serif"/>
                <w:b/>
                <w:color w:val="FFFFFF"/>
                <w:sz w:val="16"/>
              </w:rPr>
              <w:t>Value Realized on Vesting ($)</w:t>
            </w:r>
            <w:r>
              <w:rPr>
                <w:rFonts w:ascii="Lato;sans-serif" w:hAnsi="Lato;sans-serif"/>
                <w:b/>
                <w:color w:val="FFFFFF"/>
                <w:sz w:val="10"/>
              </w:rPr>
              <w:t>(1)</w:t>
            </w:r>
          </w:p>
        </w:tc>
      </w:tr>
      <w:tr>
        <w:trPr/>
        <w:tc>
          <w:tcPr>
            <w:tcW w:w="18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102,003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2,697,979</w:t>
            </w:r>
          </w:p>
        </w:tc>
      </w:tr>
      <w:tr>
        <w:trPr/>
        <w:tc>
          <w:tcPr>
            <w:tcW w:w="1882"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Peter Cameron Hyzer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217,734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4,691,666</w:t>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Chris Hays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165,929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3,682,341</w:t>
            </w:r>
          </w:p>
        </w:tc>
      </w:tr>
      <w:tr>
        <w:trPr/>
        <w:tc>
          <w:tcPr>
            <w:tcW w:w="1882"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118,235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1,985,584</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180"/>
        <w:ind w:left="0" w:right="0" w:hanging="360"/>
        <w:jc w:val="both"/>
        <w:rPr>
          <w:rFonts w:ascii="Lato;sans-serif" w:hAnsi="Lato;sans-serif"/>
          <w:b w:val="false"/>
          <w:color w:val="000000"/>
          <w:sz w:val="16"/>
        </w:rPr>
      </w:pPr>
      <w:r>
        <w:rPr>
          <w:rFonts w:ascii="Lato;sans-serif" w:hAnsi="Lato;sans-serif"/>
          <w:b w:val="false"/>
          <w:color w:val="000000"/>
          <w:sz w:val="16"/>
        </w:rPr>
        <w:t>(1)The value realized on vesting is determined by multiplying the number of vested RSAs and RSUs by the closing price of our common stock on the vesting date. In the case of RSUs, the value realized on vesting does not reflect the actual value received by the NEO because a portion of the shares reflected in the table above were withheld by us to satisfy the NEO’s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Employment Agreements and Offer Letter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Company entered into an employment agreement with each of Messrs. Schuck, Hyzer, Dasdan, and Hays that governs the terms of employment of each such NEO.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2425"/>
                <wp:effectExtent l="0" t="0" r="0" b="0"/>
                <wp:wrapNone/>
                <wp:docPr id="57" name="Frame5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Schuck’s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12 months following the termination date, and (iv) mutual non-disparagement for the longest period legally enforceable.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Schuck is entitled in the event of a qualifying termination of his employment.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Hyzer’s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entered into an employment agreement with Mr. Hyzer on November 12, 2018, pursuant to which he serves as the Chief Financial Officer of the Company. Mr. Hyzer’s employment agreement provided for a base salary of $500,000 as of January 1, 2020, subject to adjustment from time to time to reflect amounts approved by the Company. Mr. Hyzer is eligible for an annual cash incentive bonus, based upon performance metrics determined to be appropriate in light of his position.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Hyzer is also entitled to participate in all employment benefit plans, practices, and programs available for the benefit of senior executives of the Company generally. Additionally, Mr. Hyzer’s employment agreement provides for reimbursement for reasonable out-of-pocket expenses incurred by him in the furtherance of the Company’s business.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Hyzer’s employment may be terminated at any time and for any reason by either the Company or Mr. Hyzer, provided that either party is required to give 30 days’ advance written notice of any termination of employment.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Hyzer is subject to the following restrictive covenants: (i) confidentiality during employment and for three years following termination, (ii) non-solicitation of customers and non-solicitation of employees for 12 months following termination, and (iii) non-competition during employment and for 12 months following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Hyzer is entitled in the event of a qualifying termination of his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2425"/>
                <wp:effectExtent l="0" t="0" r="0" b="0"/>
                <wp:wrapNone/>
                <wp:docPr id="58" name="Frame5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Dasdan’s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entered into an employment agreement with Mr. Dasdan effective April 21, 2023, pursuant to which he serves as the Chief Technology Officer of the Company. Mr. Dasdan’s employment agreement provided for a base salary of $450,000 as of April 21, 2023, subject to adjustment from time to time to reflect amounts approved by the Company. Mr. Dasdan is eligible for an annual cash incentive bonus, targeted to 50% of his base salary, based upon performance metrics approved by the Compensation Committee of our Board of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Dasdan is also entitled to participate in all employment benefit plans, practices, and programs available for the benefit of senior executives of the Company generally. Additionally, Mr. Dasdan’s employment agreement provides for reimbursement for reasonable out-of-pocket expenses incurred by him in the furtherance of the Company’s business.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Dasdan’s employment may be terminated at any time and for any reason by either the Company or Mr. Dasdan, provided that either party is required to give 30 days’ advance written notice of any termination of employment (provided that the Company is entitled to pay the executive base salary payments in lieu of such notice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Dasdan is subject to the following restrictive covenants: (i) confidentiality during employment and for three years following termination, and (ii) non-solicitation of employees for 24 months following termination.</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Dasdan is entitled in the event of a qualifying termination of his employment.</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Mr. Hays’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entered into a new employment agreement with Mr. Hays on August 10, 2020, superseding his prior employment agreement, pursuant to which he served as the Chief Operating Officer of the Company. The terms of this employment agreement continued to apply following his promotion to President and Chief Operating Officer of the Company in February 2021, and his change in position to become the Company’s Executive Vice President, International Expansion, which he held from October 1, 2023 until his departure on January 3, 2024.</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Hays’ employment agreement provided that he was entitled to a base salary of at least $360,000. Mr. Hays was eligible for an annual cash incentive bonus, a target bonus of at least $200,000 and a maximum bonus amount of $1 million based upon the achievement of specific performance for each fiscal year, as approved by the Compensation Committee of our Board of Directors.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Hays was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Hays’ employment provided for termination at any time and for any reason by either the Company or Mr. Hays, provided that either party was required to give 30 days’ advance written notice of any termination of employment (provided that the Company was entitled to pay the executive base salary payments in lieu of such notice period).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2425"/>
                <wp:effectExtent l="0" t="0" r="0" b="0"/>
                <wp:wrapNone/>
                <wp:docPr id="59" name="Frame5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49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See “—Termination and Change in Control Provisions” for a description of the severance benefits to which Mr. Hays is entitled in the event of a qualifying termination of his employment.</w:t>
      </w:r>
    </w:p>
    <w:p>
      <w:pPr>
        <w:pStyle w:val="TextBody"/>
        <w:bidi w:val="0"/>
        <w:spacing w:lineRule="auto" w:line="333" w:before="300" w:after="180"/>
        <w:jc w:val="both"/>
        <w:rPr>
          <w:rFonts w:ascii="Lato;sans-serif" w:hAnsi="Lato;sans-serif"/>
          <w:b/>
          <w:i/>
          <w:color w:val="000000"/>
          <w:sz w:val="20"/>
        </w:rPr>
      </w:pPr>
      <w:r>
        <w:rPr>
          <w:rFonts w:ascii="Lato;sans-serif" w:hAnsi="Lato;sans-serif"/>
          <w:b/>
          <w:i/>
          <w:color w:val="000000"/>
          <w:sz w:val="20"/>
        </w:rPr>
        <w:t>Termination and Change in Control Provisions</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Schuck’s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Hyzer’s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Mr. Hyzer’s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(or without pro-ration, if such termination occurs in connection with a change in control), payable in a single lump sum; and (ii) payment of any earned but unpaid annual bonus for the fiscal year prior to the year in which the termination date occurs, payable in a single lump sum.</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Hyzer’s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2425"/>
                <wp:effectExtent l="0" t="0" r="0" b="0"/>
                <wp:wrapNone/>
                <wp:docPr id="60" name="Frame5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Hays’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Mr. Hays’ employment agreement, upon termination of his employment by the Company without cause or his resignation with good reason, he was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of a termination of Mr. Hays’ employment by the Company without cause or his resignation with good reason, which in either case occurs during the period beginning three months prior to, and ending 12 months following, a “change in control” of the Company, he would have been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Mr. Hays’ employment agreement further provided that upon termination of his employment due to death or disability, he would have been entitled to a severance payment equal to the expected amount of his annual performance bonus for the year in which the termination occurs, prorated through the termination date.</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Mr. Dasdan’s Employment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Mr. Dasdan’s employment agreement, upon termination of his employment by the Company without cause or his resignation with good reason, he is entitled to a severance payment (subject to his execution of a general release of claims against the Company) equal to six months of his then-current base salary payable in a lump sum within the 60 day period following his termination date.</w:t>
      </w:r>
    </w:p>
    <w:p>
      <w:pPr>
        <w:pStyle w:val="TextBody"/>
        <w:bidi w:val="0"/>
        <w:spacing w:lineRule="auto" w:line="333" w:before="300" w:after="180"/>
        <w:jc w:val="left"/>
        <w:rPr>
          <w:rFonts w:ascii="Lato;sans-serif" w:hAnsi="Lato;sans-serif"/>
          <w:b/>
          <w:i/>
          <w:color w:val="000000"/>
          <w:sz w:val="20"/>
        </w:rPr>
      </w:pPr>
      <w:r>
        <w:rPr>
          <w:rFonts w:ascii="Lato;sans-serif" w:hAnsi="Lato;sans-serif"/>
          <w:b/>
          <w:i/>
          <w:color w:val="000000"/>
          <w:sz w:val="20"/>
        </w:rPr>
        <w:t>Equity Awards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Each of the NEOs holds equity awards pursuant to award agreements that provide for accelerated vesting upon certain qualifying terminations of employment. Below is a description of the accelerated vesting of such equity awards upon certain qualifying terminations of employment.</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RSAs that relate to Class P Units Awarded Prior to the IPO</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the event of an involuntary termination of the executive officer’s employment without cause or, in the case of Mr. Schuck, the executive officer’s resignation for good reason, in each case, during the 12-month period following a “liquidity event” (which includes a change of control or a liquidation of ZoomInfo OpCo, but did not include the IPO), all of the RSAs issued in respect of previously granted Class P Units will be deemed vested in full. Any RSAs which do not vest on or prior to the date of the holder’s termination of employment will be forfeited for no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2425"/>
                <wp:effectExtent l="0" t="0" r="0" b="0"/>
                <wp:wrapNone/>
                <wp:docPr id="61" name="Frame5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original award agreement applicable to the RSAs for each executive officer contains a non-competition covenant during employment and the 24-month period following termination of employment; upon breach of this covenant, all vested awards will be forfeited and canceled.</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LLC Units of HSKB Funds, LLC</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Pursuant to the LLC Agreement governing HSKB Funds, LLC,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LLC Units.</w:t>
      </w:r>
    </w:p>
    <w:p>
      <w:pPr>
        <w:pStyle w:val="TextBody"/>
        <w:bidi w:val="0"/>
        <w:spacing w:lineRule="auto" w:line="333" w:before="300" w:after="180"/>
        <w:jc w:val="both"/>
        <w:rPr>
          <w:rFonts w:ascii="Lato;sans-serif" w:hAnsi="Lato;sans-serif"/>
          <w:b w:val="false"/>
          <w:i/>
          <w:color w:val="000000"/>
          <w:sz w:val="20"/>
        </w:rPr>
      </w:pPr>
      <w:r>
        <w:rPr>
          <w:rFonts w:ascii="Lato;sans-serif" w:hAnsi="Lato;sans-serif"/>
          <w:b w:val="false"/>
          <w:i/>
          <w:color w:val="000000"/>
          <w:sz w:val="20"/>
        </w:rPr>
        <w:t>Equity Awards in Connection with the IPO</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Class P Unit and LTIP Unit awards (subsequently converted into RSAs) and RSU awards granted in connection with the IPO are subject to “double trigger” vesting protection, such that vesting will accelerate in the event of a termination without “cause” or a termination for “good reason,” in each case, occurring within 12 months following a change in control. Additionally, Mr. Schuck’s RSA award issued in respect of his Class P Unit award is subject to potential accelerated vesting upon certain additional employment termination events pursuant to the terms of his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Potential Payments upon Termination or Change in Control</w:t>
      </w:r>
    </w:p>
    <w:p>
      <w:pPr>
        <w:pStyle w:val="TextBody"/>
        <w:bidi w:val="0"/>
        <w:spacing w:lineRule="auto" w:line="288" w:before="180" w:after="180"/>
        <w:jc w:val="both"/>
        <w:rPr/>
      </w:pPr>
      <w:r>
        <w:rPr>
          <w:rFonts w:ascii="Lato;sans-serif" w:hAnsi="Lato;sans-serif"/>
          <w:b w:val="false"/>
          <w:color w:val="000000"/>
          <w:sz w:val="20"/>
        </w:rPr>
        <w:t>The following tables provide information concerning the estimated payments and benefits that would be provided in the circumstances described above, assuming that the triggering event took place on December 31, 2023, the last day of our fiscal year. For purposes of valuing accelerated vesting, the values indicated in the tables below are calculated as $18.49</w:t>
      </w:r>
      <w:r>
        <w:rPr>
          <w:rFonts w:ascii="Lato;sans-serif" w:hAnsi="Lato;sans-serif"/>
          <w:b w:val="false"/>
          <w:color w:val="000000"/>
          <w:sz w:val="20"/>
          <w:shd w:fill="FFFFFF" w:val="clear"/>
        </w:rPr>
        <w:t>,</w:t>
      </w:r>
      <w:r>
        <w:rPr>
          <w:color w:val="000000"/>
        </w:rPr>
        <w:t xml:space="preserve"> </w:t>
      </w:r>
      <w:r>
        <w:rPr>
          <w:rFonts w:ascii="Lato;sans-serif" w:hAnsi="Lato;sans-serif"/>
          <w:b w:val="false"/>
          <w:color w:val="000000"/>
          <w:sz w:val="20"/>
        </w:rPr>
        <w:t>the closing price of a share of our common stock on December 29, 2023 (the last trading day of 2023), multiplied by the number of unvested shares subject to the award as of December 31, 2023 that are being accelerated. The disclosures provided below reflect the actual amounts paid to Mr. Hays, who departed the Company on January 3, 2024, as set forth under “Involuntary Termination without a Change in Control.”</w:t>
      </w:r>
    </w:p>
    <w:tbl>
      <w:tblPr>
        <w:tblW w:w="10205" w:type="dxa"/>
        <w:jc w:val="left"/>
        <w:tblInd w:w="0" w:type="dxa"/>
        <w:tblLayout w:type="fixed"/>
        <w:tblCellMar>
          <w:top w:w="28" w:type="dxa"/>
          <w:left w:w="28" w:type="dxa"/>
          <w:bottom w:w="28" w:type="dxa"/>
          <w:right w:w="28" w:type="dxa"/>
        </w:tblCellMar>
      </w:tblPr>
      <w:tblGrid>
        <w:gridCol w:w="559"/>
        <w:gridCol w:w="395"/>
        <w:gridCol w:w="400"/>
        <w:gridCol w:w="109"/>
        <w:gridCol w:w="109"/>
        <w:gridCol w:w="109"/>
        <w:gridCol w:w="608"/>
        <w:gridCol w:w="608"/>
        <w:gridCol w:w="610"/>
        <w:gridCol w:w="190"/>
        <w:gridCol w:w="190"/>
        <w:gridCol w:w="190"/>
        <w:gridCol w:w="610"/>
        <w:gridCol w:w="610"/>
        <w:gridCol w:w="612"/>
        <w:gridCol w:w="190"/>
        <w:gridCol w:w="190"/>
        <w:gridCol w:w="190"/>
        <w:gridCol w:w="445"/>
        <w:gridCol w:w="445"/>
        <w:gridCol w:w="431"/>
        <w:gridCol w:w="190"/>
        <w:gridCol w:w="190"/>
        <w:gridCol w:w="190"/>
        <w:gridCol w:w="535"/>
        <w:gridCol w:w="535"/>
        <w:gridCol w:w="765"/>
      </w:tblGrid>
      <w:tr>
        <w:trPr/>
        <w:tc>
          <w:tcPr>
            <w:tcW w:w="5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21"/>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Involuntary Termination in Connection with a Change in Control</w:t>
            </w:r>
            <w:r>
              <w:rPr>
                <w:rFonts w:ascii="Lato;sans-serif" w:hAnsi="Lato;sans-serif"/>
                <w:b/>
                <w:color w:val="FFFFFF"/>
                <w:sz w:val="10"/>
              </w:rPr>
              <w:t>(1)</w:t>
            </w:r>
          </w:p>
        </w:tc>
      </w:tr>
      <w:tr>
        <w:trPr/>
        <w:tc>
          <w:tcPr>
            <w:tcW w:w="1354"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Salary ($)</w:t>
            </w:r>
            <w:r>
              <w:rPr>
                <w:rFonts w:ascii="Lato;sans-serif" w:hAnsi="Lato;sans-serif"/>
                <w:b/>
                <w:color w:val="FFFFFF"/>
                <w:sz w:val="10"/>
              </w:rPr>
              <w:t>(2)</w:t>
            </w:r>
          </w:p>
        </w:tc>
        <w:tc>
          <w:tcPr>
            <w:tcW w:w="57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(3)</w:t>
            </w:r>
          </w:p>
        </w:tc>
        <w:tc>
          <w:tcPr>
            <w:tcW w:w="57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Other Benefits ($)</w:t>
            </w:r>
            <w:r>
              <w:rPr>
                <w:rFonts w:ascii="Lato;sans-serif" w:hAnsi="Lato;sans-serif"/>
                <w:b/>
                <w:color w:val="FFFFFF"/>
                <w:sz w:val="10"/>
              </w:rPr>
              <w:t>(4)</w:t>
            </w:r>
          </w:p>
        </w:tc>
        <w:tc>
          <w:tcPr>
            <w:tcW w:w="57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(5)</w:t>
            </w:r>
          </w:p>
        </w:tc>
      </w:tr>
      <w:tr>
        <w:trPr/>
        <w:tc>
          <w:tcPr>
            <w:tcW w:w="13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825,000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25,051</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1,886,054</w:t>
            </w:r>
          </w:p>
        </w:tc>
      </w:tr>
      <w:tr>
        <w:trPr/>
        <w:tc>
          <w:tcPr>
            <w:tcW w:w="1354"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Peter Cameron Hyzer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562,000</w:t>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337,000</w:t>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6,168,412</w:t>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6,611,321</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(1)An “involuntary termination” means a termination without cause or a resignation for good reason, and other than due to death or disability. An involuntary termination that occurs within the 3 months prior to or the 12 months following a change in control, in the case of Messrs. Schuck and Hyzer, and within the 12 months following a change of control, in the case of Mr. Dasdan, is considered occurring “in connection with” such change in control for purposes of each NEO’s severance benefits listed above.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18 months of the NEO’s annual base salary for Mr. Schuck, 12 months of annual base salary for Mr. Hyzer, and 6 months of annual base salary for Mr. Dasdan.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(3)Represents the NEO’s target annual bonus at 100%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 the case of Mr. Schuck, represents the value of 18 months of COBRA premium reimbursement.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(5)For purposes of valuing accelerated vesting, the values are calculated as $18.49, the closing price of a share of our common stock on December 29, 2023 (the last trading day of 2023), multiplied by the number of unvested shares subject to the award as of December 29, 2023 that are being accelerated. Includes accelerated vesting of all time-based RSUs and no accelerated vesting of PRSUs. Accelerated vesting of PRSUs only occurs if the closing price payable per share of the Company’s common stock upon the change of control is at least 50% higher than the closing price of the Company’s common stock on the date of grant, in which case 100% of the unvested PRSUs through and including the current performance year (as defined in Exhibit A) vest. If the price payable per share of the Company common stock upon the change of control is less than 50% higher than the closing price of the Company’s common stock on the date of grant for the PRSUs, then all unvested PRSUs would be cancelled upon the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2425"/>
                <wp:effectExtent l="0" t="0" r="0" b="0"/>
                <wp:wrapNone/>
                <wp:docPr id="62" name="Frame5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565"/>
        <w:gridCol w:w="404"/>
        <w:gridCol w:w="409"/>
        <w:gridCol w:w="109"/>
        <w:gridCol w:w="109"/>
        <w:gridCol w:w="109"/>
        <w:gridCol w:w="622"/>
        <w:gridCol w:w="622"/>
        <w:gridCol w:w="624"/>
        <w:gridCol w:w="171"/>
        <w:gridCol w:w="171"/>
        <w:gridCol w:w="171"/>
        <w:gridCol w:w="625"/>
        <w:gridCol w:w="625"/>
        <w:gridCol w:w="626"/>
        <w:gridCol w:w="171"/>
        <w:gridCol w:w="171"/>
        <w:gridCol w:w="171"/>
        <w:gridCol w:w="448"/>
        <w:gridCol w:w="448"/>
        <w:gridCol w:w="450"/>
        <w:gridCol w:w="171"/>
        <w:gridCol w:w="171"/>
        <w:gridCol w:w="171"/>
        <w:gridCol w:w="543"/>
        <w:gridCol w:w="543"/>
        <w:gridCol w:w="785"/>
      </w:tblGrid>
      <w:tr>
        <w:trPr/>
        <w:tc>
          <w:tcPr>
            <w:tcW w:w="5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0" w:type="dxa"/>
            <w:gridSpan w:val="21"/>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Involuntary Termination without a Change in Control</w:t>
            </w:r>
            <w:r>
              <w:rPr>
                <w:rFonts w:ascii="Lato;sans-serif" w:hAnsi="Lato;sans-serif"/>
                <w:b/>
                <w:color w:val="FFFFFF"/>
                <w:sz w:val="10"/>
              </w:rPr>
              <w:t>(1)</w:t>
            </w:r>
          </w:p>
        </w:tc>
      </w:tr>
      <w:tr>
        <w:trPr/>
        <w:tc>
          <w:tcPr>
            <w:tcW w:w="1378"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Salary ($)</w:t>
            </w:r>
            <w:r>
              <w:rPr>
                <w:rFonts w:ascii="Lato;sans-serif" w:hAnsi="Lato;sans-serif"/>
                <w:b/>
                <w:color w:val="FFFFFF"/>
                <w:sz w:val="10"/>
              </w:rPr>
              <w:t>(2)</w:t>
            </w:r>
          </w:p>
        </w:tc>
        <w:tc>
          <w:tcPr>
            <w:tcW w:w="513"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(3)</w:t>
            </w:r>
          </w:p>
        </w:tc>
        <w:tc>
          <w:tcPr>
            <w:tcW w:w="513"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Other Benefits ($)</w:t>
            </w:r>
            <w:r>
              <w:rPr>
                <w:rFonts w:ascii="Lato;sans-serif" w:hAnsi="Lato;sans-serif"/>
                <w:b/>
                <w:color w:val="FFFFFF"/>
                <w:sz w:val="10"/>
              </w:rPr>
              <w:t>(4)</w:t>
            </w:r>
          </w:p>
        </w:tc>
        <w:tc>
          <w:tcPr>
            <w:tcW w:w="513"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(5)</w:t>
            </w:r>
          </w:p>
        </w:tc>
      </w:tr>
      <w:tr>
        <w:trPr/>
        <w:tc>
          <w:tcPr>
            <w:tcW w:w="13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16,701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1,886,054</w:t>
            </w:r>
          </w:p>
        </w:tc>
      </w:tr>
      <w:tr>
        <w:trPr/>
        <w:tc>
          <w:tcPr>
            <w:tcW w:w="1378"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Peter Cameron Hyzer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562,000</w:t>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337,000</w:t>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pPr>
            <w:r>
              <w:rPr>
                <w:rFonts w:ascii="Lato;sans-serif" w:hAnsi="Lato;sans-serif"/>
                <w:b w:val="false"/>
                <w:color w:val="000000"/>
                <w:sz w:val="16"/>
              </w:rPr>
              <w:t xml:space="preserve">Chris Hays </w:t>
            </w:r>
            <w:r>
              <w:rPr>
                <w:rFonts w:ascii="Lato;sans-serif" w:hAnsi="Lato;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423,720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19,849</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4,945,169</w:t>
            </w:r>
          </w:p>
        </w:tc>
      </w:tr>
      <w:tr>
        <w:trPr/>
        <w:tc>
          <w:tcPr>
            <w:tcW w:w="13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(1)An “involuntary termination” means a termination without cause or a resignation for good reason and other than due to death or disability.</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12 months of the NEO’s annual base salary, in the case of Messrs. Schuck and Hyzer, and 6 months annual base salary, in the case of Mr. Dasdan.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(3)In the case of Mr. Schuck, represents the NEO’s target annual bonus at 100%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 the case of Messrs. Schuck, and Hays, represents the value of 12 months of COBRA premium reimbursement.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(5)In the case of Mr. Schuck, represents value of accelerated vesting of unvested time-based equity awards held as of December 31, 2023 which were scheduled to vest within the following 12 months. For purposes of valuing accelerated vesting, the values are calculated as $18.49, the closing price of a share of our common stock on December 29, 2023 (the last trading day of 2023), multiplied by the number of unvested shares subject to the award as of December 31, 2023 that are being accelerated.</w:t>
      </w:r>
    </w:p>
    <w:p>
      <w:pPr>
        <w:pStyle w:val="TextBody"/>
        <w:bidi w:val="0"/>
        <w:spacing w:lineRule="auto" w:line="288" w:before="0" w:after="180"/>
        <w:ind w:left="0" w:right="0" w:hanging="360"/>
        <w:jc w:val="left"/>
        <w:rPr>
          <w:rFonts w:ascii="Lato;sans-serif" w:hAnsi="Lato;sans-serif"/>
          <w:b w:val="false"/>
          <w:color w:val="000000"/>
          <w:sz w:val="16"/>
        </w:rPr>
      </w:pPr>
      <w:r>
        <w:rPr>
          <w:rFonts w:ascii="Lato;sans-serif" w:hAnsi="Lato;sans-serif"/>
          <w:b w:val="false"/>
          <w:color w:val="000000"/>
          <w:sz w:val="16"/>
        </w:rPr>
        <w:t>(6)Represents actual amounts paid to Mr. Hays based on termination as of January 3, 2024.</w:t>
      </w:r>
    </w:p>
    <w:tbl>
      <w:tblPr>
        <w:tblW w:w="8981" w:type="dxa"/>
        <w:jc w:val="left"/>
        <w:tblInd w:w="0" w:type="dxa"/>
        <w:tblLayout w:type="fixed"/>
        <w:tblCellMar>
          <w:top w:w="28" w:type="dxa"/>
          <w:left w:w="28" w:type="dxa"/>
          <w:bottom w:w="28" w:type="dxa"/>
          <w:right w:w="28" w:type="dxa"/>
        </w:tblCellMar>
      </w:tblPr>
      <w:tblGrid>
        <w:gridCol w:w="699"/>
        <w:gridCol w:w="614"/>
        <w:gridCol w:w="622"/>
        <w:gridCol w:w="109"/>
        <w:gridCol w:w="109"/>
        <w:gridCol w:w="109"/>
        <w:gridCol w:w="945"/>
        <w:gridCol w:w="945"/>
        <w:gridCol w:w="945"/>
        <w:gridCol w:w="470"/>
        <w:gridCol w:w="470"/>
        <w:gridCol w:w="470"/>
        <w:gridCol w:w="713"/>
        <w:gridCol w:w="713"/>
        <w:gridCol w:w="1048"/>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9"/>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16"/>
              </w:rPr>
            </w:pPr>
            <w:r>
              <w:rPr>
                <w:rFonts w:ascii="Lato;sans-serif" w:hAnsi="Lato;sans-serif"/>
                <w:b/>
                <w:color w:val="FFFFFF"/>
                <w:sz w:val="16"/>
              </w:rPr>
              <w:t>Death or Disability of Named Executive Officer</w:t>
            </w:r>
          </w:p>
        </w:tc>
      </w:tr>
      <w:tr>
        <w:trPr/>
        <w:tc>
          <w:tcPr>
            <w:tcW w:w="193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Name</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Cash Severance - Bonus ($)</w:t>
            </w:r>
            <w:r>
              <w:rPr>
                <w:rFonts w:ascii="Lato;sans-serif" w:hAnsi="Lato;sans-serif"/>
                <w:b/>
                <w:color w:val="FFFFFF"/>
                <w:sz w:val="10"/>
              </w:rPr>
              <w:t>(1)</w:t>
            </w:r>
          </w:p>
        </w:tc>
        <w:tc>
          <w:tcPr>
            <w:tcW w:w="1410"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16"/>
              </w:rPr>
              <w:t>Equity Acceleration ($)</w:t>
            </w:r>
            <w:r>
              <w:rPr>
                <w:rFonts w:ascii="Lato;sans-serif" w:hAnsi="Lato;sans-serif"/>
                <w:b/>
                <w:color w:val="FFFFFF"/>
                <w:sz w:val="10"/>
              </w:rPr>
              <w:t>(2)</w:t>
            </w:r>
          </w:p>
        </w:tc>
      </w:tr>
      <w:tr>
        <w:trPr/>
        <w:tc>
          <w:tcPr>
            <w:tcW w:w="19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Henry Schuck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550,000</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92,450</w:t>
            </w:r>
          </w:p>
        </w:tc>
      </w:tr>
      <w:tr>
        <w:trPr/>
        <w:tc>
          <w:tcPr>
            <w:tcW w:w="1935"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Peter Cameron Hyzer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337,000</w:t>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92,450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Chris Hays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235,400</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92,450</w:t>
            </w:r>
          </w:p>
        </w:tc>
      </w:tr>
      <w:tr>
        <w:trPr/>
        <w:tc>
          <w:tcPr>
            <w:tcW w:w="19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Ali Dasdan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225,000</w:t>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92,450</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(1)Represents the NEO’s target annual bonus at 100% achievement.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(2)Represents value of accelerated vesting of 5,000 RSA or RSU awards upon death or disability of an NEO, pursuant to the terms of the award agreements provided to NEOs under the 2020 Omnibus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CEO Pay Ratio Disclosure</w:t>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 xml:space="preserve">Pay Ratio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 required by SEC rules, we are providing the following information about the ratio of the annual total compensation of our median employee and the annual total compensation of our CEO, Mr. Schuck on December 31, 2023, the last day of our 2023 fiscal year.</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For 2023, the annual total compensation for Mr. Schuck, from the Summary Compensation Table above, was $4,973,764, and the annual total compensation for our median-compensated employee was $123,192, resulting in an estimated pay ratio of 40:1.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2425"/>
                <wp:effectExtent l="0" t="0" r="0" b="0"/>
                <wp:wrapNone/>
                <wp:docPr id="63" name="Frame5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both"/>
        <w:rPr>
          <w:rFonts w:ascii="Lato;sans-serif" w:hAnsi="Lato;sans-serif"/>
          <w:b w:val="false"/>
          <w:i/>
          <w:color w:val="000000"/>
          <w:sz w:val="20"/>
        </w:rPr>
      </w:pPr>
      <w:r>
        <w:rPr>
          <w:rFonts w:ascii="Lato;sans-serif" w:hAnsi="Lato;sans-serif"/>
          <w:b w:val="false"/>
          <w:i/>
          <w:color w:val="000000"/>
          <w:sz w:val="20"/>
        </w:rPr>
        <w:t>Identification of Median Employee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 xml:space="preserve">Our median employee was identified from all full-time and part-time employees employed as of December 31, 2023. As of December 31, 2023, we employed approximately 3,516 individuals. We did not include any contractors or other non-employee workers in our employee population. To identify our median employee from our employee population, we calculated the aggregate amount of each employee’s (i) annualized base salary, (ii) targeted annual company bonus amount or targeted commission amount, (iii) the 90 day trailing fair market value of equity awards granted as set at the start of the quarter the award was granted, with the exception of awards granted prior to April 1 for which we used fair market value at time of grant, in each case during the period from January 1, 2023 through December 31, 2023. We selected the foregoing compensation elements because they represented our principal broad-based compensation elements. Compensation not paid in U.S. dollars was converted to U.S. dollars using the foreign exchange rates in effect as of December 31, 2023. We did not include employees who terminated employment on December 31, 2023. We also made a partial modification to the method by which the value of equity awards is calculated, for purposes of determining the median employee, compared to our prior year. This change in methodology provides administrative efficiency as it leverages existing payroll processes and reflects the way that we determine and communicate compensation elements to our employees.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00" w:after="180"/>
        <w:jc w:val="left"/>
        <w:rPr>
          <w:rFonts w:ascii="Lato;sans-serif" w:hAnsi="Lato;sans-serif"/>
          <w:b/>
          <w:color w:val="000000"/>
          <w:sz w:val="20"/>
        </w:rPr>
      </w:pPr>
      <w:r>
        <w:rPr>
          <w:rFonts w:ascii="Lato;sans-serif" w:hAnsi="Lato;sans-serif"/>
          <w:b/>
          <w:color w:val="000000"/>
          <w:sz w:val="20"/>
        </w:rPr>
        <w:t>Pay Versus Performance</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The Executive Compensation Discussion and Analysis section of this Proxy Statement sets forth the financial and other factors considered by the Compensation Committee when reviewing and setting the compensation of our NEOs for fiscal 2023. The following section has been prepared in accordance with the “pay versus performance” rules set forth in Item 402(v) (the “Rule”) of Regulation S-K and sets forth information regarding compensation of our CEO, as our principal executive officer (“PEO”), and our other non-PEO named executive officers. In accordance with the Rule, the table below and the discussion that follows includes an amount referred to as “compensation actually paid” as defined in the Rule (“CAP”). The calculation of CAP includes, among other things, the revaluation of unvested and outstanding equity awards. In accordance with the Rule, the revaluation of equity awards includes, as applicable:</w:t>
      </w:r>
    </w:p>
    <w:p>
      <w:pPr>
        <w:pStyle w:val="TextBody"/>
        <w:bidi w:val="0"/>
        <w:spacing w:lineRule="auto" w:line="254" w:before="0" w:after="0"/>
        <w:ind w:left="0" w:right="0" w:hanging="360"/>
        <w:jc w:val="both"/>
        <w:rPr/>
      </w:pPr>
      <w:r>
        <w:rPr>
          <w:color w:val="000000"/>
        </w:rPr>
        <w:t>•</w:t>
      </w:r>
      <w:r>
        <w:rPr>
          <w:rFonts w:ascii="Lato;sans-serif" w:hAnsi="Lato;sans-serif"/>
          <w:b w:val="false"/>
          <w:color w:val="000000"/>
          <w:sz w:val="20"/>
        </w:rPr>
        <w:t>The year-end fair value of the awards granted in the covered fiscal year (e.g., 2023) that are outstanding and unvested as of the end of the covered fiscal year;</w:t>
      </w:r>
    </w:p>
    <w:p>
      <w:pPr>
        <w:pStyle w:val="TextBody"/>
        <w:bidi w:val="0"/>
        <w:spacing w:lineRule="auto" w:line="254" w:before="0" w:after="0"/>
        <w:ind w:left="0" w:right="0" w:hanging="360"/>
        <w:jc w:val="both"/>
        <w:rPr/>
      </w:pPr>
      <w:r>
        <w:rPr>
          <w:color w:val="000000"/>
        </w:rPr>
        <w:t>•</w:t>
      </w:r>
      <w:r>
        <w:rPr>
          <w:rFonts w:ascii="Lato;sans-serif" w:hAnsi="Lato;sans-serif"/>
          <w:b w:val="false"/>
          <w:color w:val="000000"/>
          <w:sz w:val="20"/>
        </w:rPr>
        <w:t>The change in fair value from the end of the prior fiscal year (e.g., 2022) to the end of the covered fiscal year with respect to any awards granted in prior years that are outstanding and unvested as of the end of the covered fiscal year;</w:t>
      </w:r>
    </w:p>
    <w:p>
      <w:pPr>
        <w:pStyle w:val="TextBody"/>
        <w:bidi w:val="0"/>
        <w:spacing w:lineRule="auto" w:line="254" w:before="0" w:after="0"/>
        <w:ind w:left="0" w:right="0" w:hanging="360"/>
        <w:jc w:val="both"/>
        <w:rPr/>
      </w:pPr>
      <w:r>
        <w:rPr>
          <w:color w:val="000000"/>
        </w:rPr>
        <w:t>•</w:t>
      </w:r>
      <w:r>
        <w:rPr>
          <w:rFonts w:ascii="Lato;sans-serif" w:hAnsi="Lato;sans-serif"/>
          <w:b w:val="false"/>
          <w:color w:val="000000"/>
          <w:sz w:val="20"/>
        </w:rPr>
        <w:t>The fair value, as of the vesting date, of any awards that were granted and vested in the same covered year;</w:t>
      </w:r>
    </w:p>
    <w:p>
      <w:pPr>
        <w:pStyle w:val="TextBody"/>
        <w:bidi w:val="0"/>
        <w:spacing w:lineRule="auto" w:line="254" w:before="0" w:after="0"/>
        <w:ind w:left="0" w:right="0" w:hanging="360"/>
        <w:jc w:val="both"/>
        <w:rPr/>
      </w:pPr>
      <w:r>
        <w:rPr>
          <w:color w:val="000000"/>
        </w:rPr>
        <w:t>•</w:t>
      </w:r>
      <w:r>
        <w:rPr>
          <w:rFonts w:ascii="Lato;sans-serif" w:hAnsi="Lato;sans-serif"/>
          <w:b w:val="false"/>
          <w:color w:val="000000"/>
          <w:sz w:val="20"/>
        </w:rPr>
        <w:t>The change in fair value from the end of the prior fiscal year to the vesting date or forfeiture date with respect to any awards granted in prior years that vested or failed to vest, as applicable, in the covered fiscal year; and</w:t>
      </w:r>
    </w:p>
    <w:p>
      <w:pPr>
        <w:pStyle w:val="TextBody"/>
        <w:bidi w:val="0"/>
        <w:spacing w:lineRule="auto" w:line="268" w:before="0" w:after="0"/>
        <w:ind w:left="0" w:right="0" w:hanging="360"/>
        <w:jc w:val="both"/>
        <w:rPr/>
      </w:pPr>
      <w:r>
        <w:rPr>
          <w:color w:val="000000"/>
        </w:rPr>
        <w:t>•</w:t>
      </w:r>
      <w:r>
        <w:rPr>
          <w:rFonts w:ascii="Lato;sans-serif" w:hAnsi="Lato;sans-serif"/>
          <w:b w:val="false"/>
          <w:color w:val="000000"/>
          <w:sz w:val="20"/>
        </w:rPr>
        <w:t>The value of dividends or other earnings paid on stock or option awards not otherwise reflected in fair value or total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2425"/>
                <wp:effectExtent l="0" t="0" r="0" b="0"/>
                <wp:wrapNone/>
                <wp:docPr id="64" name="Frame6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300" w:after="120"/>
        <w:jc w:val="both"/>
        <w:rPr>
          <w:rFonts w:ascii="Lato;sans-serif" w:hAnsi="Lato;sans-serif"/>
          <w:b/>
          <w:i/>
          <w:color w:val="000000"/>
          <w:sz w:val="20"/>
        </w:rPr>
      </w:pPr>
      <w:r>
        <w:rPr>
          <w:rFonts w:ascii="Lato;sans-serif" w:hAnsi="Lato;sans-serif"/>
          <w:b/>
          <w:i/>
          <w:color w:val="000000"/>
          <w:sz w:val="20"/>
        </w:rPr>
        <w:t>Pay Versus Performance</w:t>
      </w:r>
    </w:p>
    <w:tbl>
      <w:tblPr>
        <w:tblW w:w="10205" w:type="dxa"/>
        <w:jc w:val="left"/>
        <w:tblInd w:w="0" w:type="dxa"/>
        <w:tblLayout w:type="fixed"/>
        <w:tblCellMar>
          <w:top w:w="28" w:type="dxa"/>
          <w:left w:w="28" w:type="dxa"/>
          <w:bottom w:w="28" w:type="dxa"/>
          <w:right w:w="28" w:type="dxa"/>
        </w:tblCellMar>
      </w:tblPr>
      <w:tblGrid>
        <w:gridCol w:w="195"/>
        <w:gridCol w:w="171"/>
        <w:gridCol w:w="175"/>
        <w:gridCol w:w="454"/>
        <w:gridCol w:w="454"/>
        <w:gridCol w:w="455"/>
        <w:gridCol w:w="451"/>
        <w:gridCol w:w="451"/>
        <w:gridCol w:w="452"/>
        <w:gridCol w:w="471"/>
        <w:gridCol w:w="471"/>
        <w:gridCol w:w="472"/>
        <w:gridCol w:w="468"/>
        <w:gridCol w:w="468"/>
        <w:gridCol w:w="469"/>
        <w:gridCol w:w="702"/>
        <w:gridCol w:w="273"/>
        <w:gridCol w:w="184"/>
        <w:gridCol w:w="708"/>
        <w:gridCol w:w="278"/>
        <w:gridCol w:w="191"/>
        <w:gridCol w:w="259"/>
        <w:gridCol w:w="259"/>
        <w:gridCol w:w="260"/>
        <w:gridCol w:w="293"/>
        <w:gridCol w:w="293"/>
        <w:gridCol w:w="428"/>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16"/>
              </w:rPr>
            </w:pPr>
            <w:r>
              <w:rPr>
                <w:rFonts w:ascii="Lato;sans-serif" w:hAnsi="Lato;sans-serif"/>
                <w:b/>
                <w:color w:val="FFFFFF"/>
                <w:sz w:val="16"/>
              </w:rPr>
              <w:t>Year</w:t>
            </w:r>
          </w:p>
        </w:tc>
        <w:tc>
          <w:tcPr>
            <w:tcW w:w="1363"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FFFFFF"/>
                <w:sz w:val="16"/>
              </w:rPr>
              <w:t>Summary Compensation Table Total for PEO ($)</w:t>
            </w:r>
            <w:r>
              <w:rPr>
                <w:rFonts w:ascii="Lato;sans-serif" w:hAnsi="Lato;sans-serif"/>
                <w:b w:val="false"/>
                <w:color w:val="FFFFFF"/>
                <w:sz w:val="10"/>
              </w:rPr>
              <w:t>(1)</w:t>
            </w:r>
          </w:p>
        </w:tc>
        <w:tc>
          <w:tcPr>
            <w:tcW w:w="1354"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Compensation Actually Paid to PEO ($)</w:t>
            </w:r>
            <w:r>
              <w:rPr>
                <w:rFonts w:ascii="Lato;sans-serif" w:hAnsi="Lato;sans-serif"/>
                <w:b w:val="false"/>
                <w:color w:val="FFFFFF"/>
                <w:sz w:val="10"/>
              </w:rPr>
              <w:t>(2)(5)</w:t>
            </w:r>
          </w:p>
        </w:tc>
        <w:tc>
          <w:tcPr>
            <w:tcW w:w="1414"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Average Summary Compensation Table Total for Non-PEO Named Executive Officers ($)</w:t>
            </w:r>
            <w:r>
              <w:rPr>
                <w:rFonts w:ascii="Lato;sans-serif" w:hAnsi="Lato;sans-serif"/>
                <w:b w:val="false"/>
                <w:color w:val="FFFFFF"/>
                <w:sz w:val="10"/>
              </w:rPr>
              <w:t>(3)</w:t>
            </w:r>
          </w:p>
        </w:tc>
        <w:tc>
          <w:tcPr>
            <w:tcW w:w="1405"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Average Compensation Actually Paid to Non-PEO Named Executive Officers ($)</w:t>
            </w:r>
            <w:r>
              <w:rPr>
                <w:rFonts w:ascii="Lato;sans-serif" w:hAnsi="Lato;sans-serif"/>
                <w:b w:val="false"/>
                <w:color w:val="FFFFFF"/>
                <w:sz w:val="10"/>
              </w:rPr>
              <w:t>(4)(5)</w:t>
            </w:r>
          </w:p>
        </w:tc>
        <w:tc>
          <w:tcPr>
            <w:tcW w:w="2336" w:type="dxa"/>
            <w:gridSpan w:val="6"/>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Value of Initial Fixed $100 Investment Based on</w:t>
            </w:r>
            <w:r>
              <w:rPr>
                <w:rFonts w:ascii="Lato;sans-serif" w:hAnsi="Lato;sans-serif"/>
                <w:b w:val="false"/>
                <w:color w:val="FFFFFF"/>
                <w:sz w:val="10"/>
              </w:rPr>
              <w:t>(6)</w:t>
            </w:r>
          </w:p>
        </w:tc>
        <w:tc>
          <w:tcPr>
            <w:tcW w:w="778"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val="false"/>
                <w:color w:val="FFFFFF"/>
                <w:sz w:val="16"/>
              </w:rPr>
            </w:pPr>
            <w:r>
              <w:rPr>
                <w:rFonts w:ascii="Lato;sans-serif" w:hAnsi="Lato;sans-serif"/>
                <w:b w:val="false"/>
                <w:color w:val="FFFFFF"/>
                <w:sz w:val="16"/>
              </w:rPr>
              <w:t>Net Income (Loss) ($ in millions)</w:t>
            </w:r>
          </w:p>
        </w:tc>
        <w:tc>
          <w:tcPr>
            <w:tcW w:w="1014" w:type="dxa"/>
            <w:gridSpan w:val="3"/>
            <w:vMerge w:val="restart"/>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Company Selected Measure ($ in millions)</w:t>
            </w:r>
            <w:r>
              <w:rPr>
                <w:rFonts w:ascii="Lato;sans-serif" w:hAnsi="Lato;sans-serif"/>
                <w:b w:val="false"/>
                <w:color w:val="FFFFFF"/>
                <w:sz w:val="10"/>
              </w:rPr>
              <w:t>(8)</w:t>
            </w:r>
          </w:p>
        </w:tc>
      </w:tr>
      <w:tr>
        <w:trPr/>
        <w:tc>
          <w:tcPr>
            <w:tcW w:w="541"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363"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354"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414"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405"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159"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FFFFFF"/>
                <w:sz w:val="16"/>
              </w:rPr>
            </w:pPr>
            <w:r>
              <w:rPr>
                <w:rFonts w:ascii="Lato;sans-serif" w:hAnsi="Lato;sans-serif"/>
                <w:b w:val="false"/>
                <w:color w:val="FFFFFF"/>
                <w:sz w:val="16"/>
              </w:rPr>
              <w:t>Total Shareholder Return ($)</w:t>
            </w:r>
          </w:p>
        </w:tc>
        <w:tc>
          <w:tcPr>
            <w:tcW w:w="1177"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FFFFFF"/>
                <w:sz w:val="16"/>
              </w:rPr>
              <w:t>Peer Group Total Shareholder Return ($)</w:t>
            </w:r>
            <w:r>
              <w:rPr>
                <w:rFonts w:ascii="Lato;sans-serif" w:hAnsi="Lato;sans-serif"/>
                <w:b w:val="false"/>
                <w:color w:val="FFFFFF"/>
                <w:sz w:val="10"/>
              </w:rPr>
              <w:t>(7)</w:t>
            </w:r>
          </w:p>
        </w:tc>
        <w:tc>
          <w:tcPr>
            <w:tcW w:w="778"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c>
          <w:tcPr>
            <w:tcW w:w="1014" w:type="dxa"/>
            <w:gridSpan w:val="3"/>
            <w:vMerge w:val="continue"/>
            <w:tcBorders/>
            <w:shd w:fill="F44238" w:val="clear"/>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2023</w:t>
            </w:r>
          </w:p>
        </w:tc>
        <w:tc>
          <w:tcPr>
            <w:tcW w:w="13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4,973,764</w:t>
            </w:r>
          </w:p>
        </w:tc>
        <w:tc>
          <w:tcPr>
            <w:tcW w:w="13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c>
          <w:tcPr>
            <w:tcW w:w="14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7,528,568</w:t>
            </w:r>
          </w:p>
        </w:tc>
        <w:tc>
          <w:tcPr>
            <w:tcW w:w="14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c>
          <w:tcPr>
            <w:tcW w:w="11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c>
          <w:tcPr>
            <w:tcW w:w="11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c>
          <w:tcPr>
            <w:tcW w:w="77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w:t>
            </w:r>
          </w:p>
        </w:tc>
        <w:tc>
          <w:tcPr>
            <w:tcW w:w="10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2022</w:t>
            </w:r>
          </w:p>
        </w:tc>
        <w:tc>
          <w:tcPr>
            <w:tcW w:w="13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834,971</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13,992,890</w:t>
            </w:r>
          </w:p>
        </w:tc>
        <w:tc>
          <w:tcPr>
            <w:tcW w:w="1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1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7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w:t>
            </w:r>
          </w:p>
        </w:tc>
        <w:tc>
          <w:tcPr>
            <w:tcW w:w="10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2021</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1,309,234</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9,189,778</w:t>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w:t>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w:t>
            </w:r>
          </w:p>
        </w:tc>
      </w:tr>
      <w:tr>
        <w:trPr/>
        <w:tc>
          <w:tcPr>
            <w:tcW w:w="541" w:type="dxa"/>
            <w:gridSpan w:val="3"/>
            <w:tcBorders/>
            <w:shd w:fill="DBDBDB" w:val="clear"/>
            <w:tcMar>
              <w:top w:w="0" w:type="dxa"/>
              <w:left w:w="0" w:type="dxa"/>
              <w:bottom w:w="0" w:type="dxa"/>
              <w:right w:w="0" w:type="dxa"/>
            </w:tcMar>
            <w:vAlign w:val="center"/>
          </w:tcPr>
          <w:p>
            <w:pPr>
              <w:pStyle w:val="TableContents"/>
              <w:bidi w:val="0"/>
              <w:spacing w:lineRule="auto" w:line="333" w:before="0" w:after="283"/>
              <w:jc w:val="left"/>
              <w:rPr>
                <w:rFonts w:ascii="Lato;sans-serif" w:hAnsi="Lato;sans-serif"/>
                <w:b w:val="false"/>
                <w:color w:val="000000"/>
                <w:sz w:val="16"/>
              </w:rPr>
            </w:pPr>
            <w:r>
              <w:rPr>
                <w:rFonts w:ascii="Lato;sans-serif" w:hAnsi="Lato;sans-serif"/>
                <w:b w:val="false"/>
                <w:color w:val="000000"/>
                <w:sz w:val="16"/>
              </w:rPr>
              <w:t>2020</w:t>
            </w:r>
          </w:p>
        </w:tc>
        <w:tc>
          <w:tcPr>
            <w:tcW w:w="13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4,853,682</w:t>
            </w:r>
          </w:p>
        </w:tc>
        <w:tc>
          <w:tcPr>
            <w:tcW w:w="13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3,984,402</w:t>
            </w:r>
          </w:p>
        </w:tc>
        <w:tc>
          <w:tcPr>
            <w:tcW w:w="1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141.85</w:t>
            </w:r>
          </w:p>
        </w:tc>
        <w:tc>
          <w:tcPr>
            <w:tcW w:w="11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135.92</w:t>
            </w:r>
          </w:p>
        </w:tc>
        <w:tc>
          <w:tcPr>
            <w:tcW w:w="7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(36.4)</w:t>
            </w:r>
          </w:p>
        </w:tc>
        <w:tc>
          <w:tcPr>
            <w:tcW w:w="10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226.0</w:t>
            </w:r>
          </w:p>
        </w:tc>
      </w:tr>
    </w:tbl>
    <w:p>
      <w:pPr>
        <w:pStyle w:val="TextBody"/>
        <w:bidi w:val="0"/>
        <w:spacing w:lineRule="auto" w:line="333" w:before="0" w:after="0"/>
        <w:ind w:left="0" w:right="0" w:hanging="360"/>
        <w:jc w:val="both"/>
        <w:rPr>
          <w:rFonts w:ascii="Lato;sans-serif" w:hAnsi="Lato;sans-serif"/>
          <w:b w:val="false"/>
          <w:color w:val="000000"/>
          <w:sz w:val="16"/>
        </w:rPr>
      </w:pPr>
      <w:r>
        <w:rPr>
          <w:rFonts w:ascii="Lato;sans-serif" w:hAnsi="Lato;sans-serif"/>
          <w:b w:val="false"/>
          <w:color w:val="000000"/>
          <w:sz w:val="16"/>
        </w:rPr>
        <w:t>__________________</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(1)The dollar amounts reported in this column are the amounts of total compensation reported for Mr. Schuck, our CEO, for each corresponding year as reported in the “Total” column of the “Summary Compensation Table” in this Proxy Statement.</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(2)In accordance with the requirements of Item 402(v)(2)(iii) of Regulation S-K, the following adjustments were made to the amounts reported for Mr. Schuck in the Summary Compensation Table. Importantly, the dollar amounts do not reflect the actual amount of compensation earned by, or paid to, Mr. Schuck during the applicable year. Note the “Year over Year change in Fair Value of Outstanding and Unvested Equity Awards” for 2021 and 2022 and “Year over Year Change in Fair Value of Equity Awards Granted in the Prior Years that Vested in the Year” for 2022 was incorrectly calculated in the corresponding table of adjustments in Company’s proxy statement for the fiscal year ended December 31, 2022 and has been corrected in the table below.</w:t>
      </w:r>
    </w:p>
    <w:tbl>
      <w:tblPr>
        <w:tblW w:w="10205" w:type="dxa"/>
        <w:jc w:val="left"/>
        <w:tblInd w:w="0" w:type="dxa"/>
        <w:tblLayout w:type="fixed"/>
        <w:tblCellMar>
          <w:top w:w="28" w:type="dxa"/>
          <w:left w:w="28" w:type="dxa"/>
          <w:bottom w:w="28" w:type="dxa"/>
          <w:right w:w="28" w:type="dxa"/>
        </w:tblCellMar>
      </w:tblPr>
      <w:tblGrid>
        <w:gridCol w:w="2196"/>
        <w:gridCol w:w="1866"/>
        <w:gridCol w:w="1876"/>
        <w:gridCol w:w="348"/>
        <w:gridCol w:w="348"/>
        <w:gridCol w:w="346"/>
        <w:gridCol w:w="344"/>
        <w:gridCol w:w="344"/>
        <w:gridCol w:w="348"/>
        <w:gridCol w:w="373"/>
        <w:gridCol w:w="373"/>
        <w:gridCol w:w="377"/>
        <w:gridCol w:w="310"/>
        <w:gridCol w:w="310"/>
        <w:gridCol w:w="446"/>
      </w:tblGrid>
      <w:tr>
        <w:trPr/>
        <w:tc>
          <w:tcPr>
            <w:tcW w:w="219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5938"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Description</w:t>
            </w:r>
          </w:p>
        </w:tc>
        <w:tc>
          <w:tcPr>
            <w:tcW w:w="104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2020</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36"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2021</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12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2022</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66"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2023</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r>
      <w:tr>
        <w:trPr/>
        <w:tc>
          <w:tcPr>
            <w:tcW w:w="5938"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Change in Pension Value Deduction</w:t>
            </w:r>
          </w:p>
        </w:tc>
        <w:tc>
          <w:tcPr>
            <w:tcW w:w="104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Pension Service Cost Addition</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Prior Pension Service Cost Addition</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Deductions from SCT “Stock Awards” Column Value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(3,765,600)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(4,412,514)</w:t>
            </w:r>
          </w:p>
        </w:tc>
      </w:tr>
      <w:tr>
        <w:trPr/>
        <w:tc>
          <w:tcPr>
            <w:tcW w:w="5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Stock and Option Awards Adjustment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41,047,096</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10,864,347</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(10,142,736)</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1,743,179</w:t>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Year End Fair Value of Unvested Equity Awards Granted in the Year</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13,448,622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3,301,796</w:t>
            </w:r>
          </w:p>
        </w:tc>
      </w:tr>
      <w:tr>
        <w:trPr/>
        <w:tc>
          <w:tcPr>
            <w:tcW w:w="5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Year over Year Change in Fair Value of Outstanding and Unvested Equity Awards</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20,213,448</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7,599,443</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(6,954,599)</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(1,185,286)</w:t>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Fair Value as of Vesting Date of Equity Awards Granted and Vested in the Year</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Year over Year Change in Fair Value of Equity Awards Granted in Prior Years that Vested in the Year</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7,385,026</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3,264,904</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(3,188,137)</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(373,331)</w:t>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Fair Value at the End of the Prior Year of Equity Awards that Faired to Meet Vesting Conditions in the Year</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8"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Value of Dividends or other Earnings Paid on Stock or Option Awards not Otherwise Reflected in Fair Value or Total Compensation</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3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Total Added (or Deducted)</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37,281,496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10,864,347</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(10,142,736)</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(2,669,335)</w:t>
            </w:r>
          </w:p>
        </w:tc>
      </w:tr>
    </w:tbl>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(3)The dollar amounts reported in this column represent the average of the total amounts reported for our other named executive officers, for each corresponding year in the “Total” column of the “Summary Compensation Table” in of the Proxy Statement. The individuals comprising the Non-PEO NEOs for each presented year are listed below:</w:t>
      </w:r>
    </w:p>
    <w:p>
      <w:pPr>
        <w:pStyle w:val="TextBody"/>
        <w:bidi w:val="0"/>
        <w:spacing w:lineRule="auto" w:line="288" w:before="0" w:after="0"/>
        <w:ind w:left="0" w:right="0" w:firstLine="720"/>
        <w:jc w:val="left"/>
        <w:rPr>
          <w:rFonts w:ascii="Lato;sans-serif" w:hAnsi="Lato;sans-serif"/>
          <w:b w:val="false"/>
          <w:color w:val="000000"/>
          <w:sz w:val="16"/>
        </w:rPr>
      </w:pPr>
      <w:r>
        <w:rPr>
          <w:rFonts w:ascii="Lato;sans-serif" w:hAnsi="Lato;sans-serif"/>
          <w:b w:val="false"/>
          <w:color w:val="000000"/>
          <w:sz w:val="16"/>
        </w:rPr>
        <w:t>2023 - Messrs. Hyzer, Hays, and Dasdan</w:t>
      </w:r>
    </w:p>
    <w:p>
      <w:pPr>
        <w:pStyle w:val="TextBody"/>
        <w:bidi w:val="0"/>
        <w:spacing w:lineRule="auto" w:line="288" w:before="0" w:after="0"/>
        <w:ind w:left="0" w:right="0" w:firstLine="720"/>
        <w:jc w:val="left"/>
        <w:rPr>
          <w:rFonts w:ascii="Lato;sans-serif" w:hAnsi="Lato;sans-serif"/>
          <w:b w:val="false"/>
          <w:color w:val="000000"/>
          <w:sz w:val="16"/>
        </w:rPr>
      </w:pPr>
      <w:r>
        <w:rPr>
          <w:rFonts w:ascii="Lato;sans-serif" w:hAnsi="Lato;sans-serif"/>
          <w:b w:val="false"/>
          <w:color w:val="000000"/>
          <w:sz w:val="16"/>
        </w:rPr>
        <w:t>2022 and 2021 – Messrs. Hyzer and Hays and our former Chief Technology Officer, Nir Keren</w:t>
      </w:r>
    </w:p>
    <w:p>
      <w:pPr>
        <w:pStyle w:val="TextBody"/>
        <w:bidi w:val="0"/>
        <w:spacing w:lineRule="auto" w:line="288" w:before="0" w:after="0"/>
        <w:ind w:left="0" w:right="0" w:firstLine="720"/>
        <w:jc w:val="left"/>
        <w:rPr>
          <w:rFonts w:ascii="Lato;sans-serif" w:hAnsi="Lato;sans-serif"/>
          <w:b w:val="false"/>
          <w:color w:val="000000"/>
          <w:sz w:val="16"/>
        </w:rPr>
      </w:pPr>
      <w:r>
        <w:rPr>
          <w:rFonts w:ascii="Lato;sans-serif" w:hAnsi="Lato;sans-serif"/>
          <w:b w:val="false"/>
          <w:color w:val="000000"/>
          <w:sz w:val="16"/>
        </w:rPr>
        <w:t xml:space="preserve">2020 – Messrs. Hays and Keren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2425"/>
                <wp:effectExtent l="0" t="0" r="0" b="0"/>
                <wp:wrapNone/>
                <wp:docPr id="65" name="Frame6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(4)In accordance with the requirements of Item 402(v)(2)(iii) of Regulation S-K, when calculating the “average compensation actually paid” for the Non-PEO NEOs the following adjustments were made to the amounts reported in the Summary Compensation Table. Importantly, the dollar amounts do not reflect the actual average amount of compensation earned by, or paid to, our other named executive officers as a group during the applicable year. Note the “Year over Year change in Fair Value of Outstanding and Unvested Equity Awards” for 2020, 2021 and 2022 and “Year over Year Change in Fair Value of Equity Awards Granted in the Prior Years that Vested in the Year” for 2021 and 2022 was incorrectly calculated in the corresponding table of adjustments in Company’s proxy statement for the fiscal year ended December 31, 2022 and has been corrected in the table below.</w:t>
      </w:r>
    </w:p>
    <w:tbl>
      <w:tblPr>
        <w:tblW w:w="10205" w:type="dxa"/>
        <w:jc w:val="left"/>
        <w:tblInd w:w="0" w:type="dxa"/>
        <w:tblLayout w:type="fixed"/>
        <w:tblCellMar>
          <w:top w:w="28" w:type="dxa"/>
          <w:left w:w="28" w:type="dxa"/>
          <w:bottom w:w="28" w:type="dxa"/>
          <w:right w:w="28" w:type="dxa"/>
        </w:tblCellMar>
      </w:tblPr>
      <w:tblGrid>
        <w:gridCol w:w="2194"/>
        <w:gridCol w:w="1864"/>
        <w:gridCol w:w="1874"/>
        <w:gridCol w:w="348"/>
        <w:gridCol w:w="348"/>
        <w:gridCol w:w="346"/>
        <w:gridCol w:w="348"/>
        <w:gridCol w:w="348"/>
        <w:gridCol w:w="346"/>
        <w:gridCol w:w="373"/>
        <w:gridCol w:w="373"/>
        <w:gridCol w:w="377"/>
        <w:gridCol w:w="310"/>
        <w:gridCol w:w="310"/>
        <w:gridCol w:w="446"/>
      </w:tblGrid>
      <w:tr>
        <w:trPr/>
        <w:tc>
          <w:tcPr>
            <w:tcW w:w="219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Description</w:t>
            </w:r>
          </w:p>
        </w:tc>
        <w:tc>
          <w:tcPr>
            <w:tcW w:w="104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2020</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42"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2021</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123"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2022</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c>
          <w:tcPr>
            <w:tcW w:w="1066" w:type="dxa"/>
            <w:gridSpan w:val="3"/>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2023</w:t>
            </w:r>
          </w:p>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w:t>
            </w:r>
          </w:p>
        </w:tc>
      </w:tr>
      <w:tr>
        <w:trPr/>
        <w:tc>
          <w:tcPr>
            <w:tcW w:w="593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Change in Pension Value Deduction</w:t>
            </w:r>
          </w:p>
        </w:tc>
        <w:tc>
          <w:tcPr>
            <w:tcW w:w="104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Pension Service Cost Addition</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Prior Pension Service Cost Addition</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Deductions from SCT “Stock Awards” Column Value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(2,883,104)</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(8,233,367)</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(13,316,703)</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(7,051,863)</w:t>
            </w:r>
          </w:p>
        </w:tc>
      </w:tr>
      <w:tr>
        <w:trPr/>
        <w:tc>
          <w:tcPr>
            <w:tcW w:w="593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Stock and Option Awards Adjustment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51,445,458</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17,477,374</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(4,040,474)</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1,778,565</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val="false"/>
                <w:i/>
                <w:color w:val="000000"/>
                <w:sz w:val="16"/>
              </w:rPr>
            </w:pPr>
            <w:r>
              <w:rPr>
                <w:rFonts w:ascii="Lato;sans-serif" w:hAnsi="Lato;sans-serif"/>
                <w:b w:val="false"/>
                <w:i/>
                <w:color w:val="000000"/>
                <w:sz w:val="16"/>
              </w:rPr>
              <w:t>Year End Fair Value of Unvested Equity Awards Granted in the Year</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7,086,571</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10,006,426</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8,586,920</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4,300,410</w:t>
            </w:r>
          </w:p>
        </w:tc>
      </w:tr>
      <w:tr>
        <w:trPr/>
        <w:tc>
          <w:tcPr>
            <w:tcW w:w="593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Year over Year Change in Fair Value of Outstanding and Unvested Equity Awards</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20,219,116</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5,498,770</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(7,522,254)</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(2,621,274)</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Fair Value as of Vesting Date of Equity Awards Granted and Vested in the Year</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184,636</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1,012,114</w:t>
            </w:r>
          </w:p>
        </w:tc>
      </w:tr>
      <w:tr>
        <w:trPr/>
        <w:tc>
          <w:tcPr>
            <w:tcW w:w="593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Year over Year Change in Fair Value of Equity Awards Granted in Prior Years that Vested in the Year</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24,139,771</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1,972,178</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(5,289,776)</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(912,685)</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i/>
                <w:color w:val="000000"/>
                <w:sz w:val="16"/>
              </w:rPr>
            </w:pPr>
            <w:r>
              <w:rPr>
                <w:rFonts w:ascii="Lato;sans-serif" w:hAnsi="Lato;sans-serif"/>
                <w:b w:val="false"/>
                <w:i/>
                <w:color w:val="000000"/>
                <w:sz w:val="16"/>
              </w:rPr>
              <w:t>Fair Value at the End of the Prior Year of Equity Awards that Faired to Meet Vesting Conditions in the Year</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Value of Dividends or other Earnings Paid on Stock or Option Awards not Otherwise Reflected in Fair Value or Total Compensation</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23"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Total Added (or Deducted)</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48,562,354</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9,244,007</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(17,357,177)</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(5,273,298)</w:t>
            </w:r>
          </w:p>
        </w:tc>
      </w:tr>
    </w:tbl>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(5)When calculating amounts of “compensation actually paid” for purposes of this table, the fair value of each equity award was estimated as of the relevant valuation date in accordance with FASB ASC Topic 718 as described in Note 2 to our financial statements for the fiscal year ended December 31, 2023 included in the Company’s Annual Report on Form 10-K filed with the SEC on February 16, 2024. The assumptions used were not materially changed from those described in Note 2 but were updated at each valuation date to reflect the then-current value of each variable.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(6)Total shareholder return as calculated based on a fixed investment of one hundred dollars measured at the market close on June 4, 2020, the date our stock commenced trading on the Nasdaq Global Select Market through and including the end of the fiscal year for each year reported in the table as required by the Rule.</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(7)The Peer Group Total Shareholder Return set forth in this table utilizes the Nasdaq Computer Index (^IXCO).</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(8)For purposes of the Rule, we have identified AOI as our Company-Selected Measure. See Appendix A for a reconciliation of AOI to its most directly comparable GAAP financial measure.</w:t>
      </w:r>
    </w:p>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Relationships Between Pay and Performance</w:t>
      </w:r>
    </w:p>
    <w:p>
      <w:pPr>
        <w:pStyle w:val="TextBody"/>
        <w:bidi w:val="0"/>
        <w:spacing w:lineRule="auto" w:line="288" w:before="0" w:after="180"/>
        <w:jc w:val="left"/>
        <w:rPr>
          <w:rFonts w:ascii="Lato;sans-serif" w:hAnsi="Lato;sans-serif"/>
          <w:b w:val="false"/>
          <w:i/>
          <w:color w:val="000000"/>
          <w:sz w:val="20"/>
        </w:rPr>
      </w:pPr>
      <w:r>
        <w:rPr>
          <w:rFonts w:ascii="Lato;sans-serif" w:hAnsi="Lato;sans-serif"/>
          <w:b w:val="false"/>
          <w:i/>
          <w:color w:val="000000"/>
          <w:sz w:val="20"/>
        </w:rPr>
        <w:t>Total Shareholder Return</w:t>
      </w:r>
    </w:p>
    <w:p>
      <w:pPr>
        <w:pStyle w:val="TextBody"/>
        <w:bidi w:val="0"/>
        <w:spacing w:lineRule="auto" w:line="256" w:before="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average non-PEO named executive officer CAP (each as calculated pursuant to the Rule) and (2) the cumulative total shareholder return of the Company for its last three completed fiscal (calendar) years. The charts also provide a comparison of the Company’s total shareholder return to the Compensation Comparison Group (“CCG”) total shareholder return for the four-year period. The Company uses the Nasdaq Computer Index (^IXCO) as its CCG.</w:t>
      </w:r>
    </w:p>
    <w:tbl>
      <w:tblPr>
        <w:tblW w:w="6310" w:type="dxa"/>
        <w:jc w:val="left"/>
        <w:tblInd w:w="0" w:type="dxa"/>
        <w:tblLayout w:type="fixed"/>
        <w:tblCellMar>
          <w:top w:w="28" w:type="dxa"/>
          <w:left w:w="28" w:type="dxa"/>
          <w:bottom w:w="28" w:type="dxa"/>
          <w:right w:w="28" w:type="dxa"/>
        </w:tblCellMar>
      </w:tblPr>
      <w:tblGrid>
        <w:gridCol w:w="684"/>
        <w:gridCol w:w="602"/>
        <w:gridCol w:w="603"/>
        <w:gridCol w:w="354"/>
        <w:gridCol w:w="354"/>
        <w:gridCol w:w="354"/>
        <w:gridCol w:w="354"/>
        <w:gridCol w:w="354"/>
        <w:gridCol w:w="354"/>
        <w:gridCol w:w="354"/>
        <w:gridCol w:w="354"/>
        <w:gridCol w:w="354"/>
        <w:gridCol w:w="354"/>
        <w:gridCol w:w="354"/>
        <w:gridCol w:w="527"/>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12"/>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PEO Compensation vs. Company and CCG TSR</w:t>
            </w:r>
          </w:p>
        </w:tc>
      </w:tr>
      <w:tr>
        <w:trPr/>
        <w:tc>
          <w:tcPr>
            <w:tcW w:w="188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06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62"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23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PEO Compensation</w:t>
            </w:r>
          </w:p>
        </w:tc>
        <w:tc>
          <w:tcPr>
            <w:tcW w:w="106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06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06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235"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color w:val="000000"/>
                <w:sz w:val="16"/>
              </w:rPr>
            </w:pPr>
            <w:r>
              <w:rPr>
                <w:rFonts w:ascii="Lato;sans-serif" w:hAnsi="Lato;sans-serif"/>
                <w:b w:val="false"/>
                <w:color w:val="000000"/>
                <w:sz w:val="16"/>
              </w:rPr>
              <w:t>2,304,429</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Company TSR</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141.85</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CCG TSR</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135.92</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10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12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2425"/>
                <wp:effectExtent l="0" t="0" r="0" b="0"/>
                <wp:wrapNone/>
                <wp:docPr id="66" name="Frame6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tbl>
      <w:tblPr>
        <w:tblW w:w="7148" w:type="dxa"/>
        <w:jc w:val="left"/>
        <w:tblInd w:w="0" w:type="dxa"/>
        <w:tblLayout w:type="fixed"/>
        <w:tblCellMar>
          <w:top w:w="28" w:type="dxa"/>
          <w:left w:w="28" w:type="dxa"/>
          <w:bottom w:w="28" w:type="dxa"/>
          <w:right w:w="28" w:type="dxa"/>
        </w:tblCellMar>
      </w:tblPr>
      <w:tblGrid>
        <w:gridCol w:w="983"/>
        <w:gridCol w:w="865"/>
        <w:gridCol w:w="867"/>
        <w:gridCol w:w="355"/>
        <w:gridCol w:w="355"/>
        <w:gridCol w:w="355"/>
        <w:gridCol w:w="355"/>
        <w:gridCol w:w="355"/>
        <w:gridCol w:w="355"/>
        <w:gridCol w:w="355"/>
        <w:gridCol w:w="355"/>
        <w:gridCol w:w="355"/>
        <w:gridCol w:w="355"/>
        <w:gridCol w:w="355"/>
        <w:gridCol w:w="528"/>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12"/>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NEO Compensation vs. Company and CCG TSR</w:t>
            </w:r>
          </w:p>
        </w:tc>
      </w:tr>
      <w:tr>
        <w:trPr/>
        <w:tc>
          <w:tcPr>
            <w:tcW w:w="271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06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06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238"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NEO Average Compensation</w:t>
            </w:r>
          </w:p>
        </w:tc>
        <w:tc>
          <w:tcPr>
            <w:tcW w:w="1065"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065"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065"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238"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Company TSR</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141.85</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188.82</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88.56</w:t>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54.38</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CCG TSR</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135.92</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187.38</w:t>
            </w:r>
          </w:p>
        </w:tc>
        <w:tc>
          <w:tcPr>
            <w:tcW w:w="10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120.35</w:t>
            </w:r>
          </w:p>
        </w:tc>
        <w:tc>
          <w:tcPr>
            <w:tcW w:w="1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200.34</w:t>
            </w:r>
          </w:p>
        </w:tc>
      </w:tr>
    </w:tbl>
    <w:p>
      <w:pPr>
        <w:pStyle w:val="TextBody"/>
        <w:bidi w:val="0"/>
        <w:spacing w:lineRule="auto" w:line="276" w:before="300" w:after="180"/>
        <w:jc w:val="left"/>
        <w:rPr>
          <w:rFonts w:ascii="Lato;sans-serif" w:hAnsi="Lato;sans-serif"/>
          <w:b w:val="false"/>
          <w:i/>
          <w:color w:val="000000"/>
          <w:sz w:val="20"/>
        </w:rPr>
      </w:pPr>
      <w:r>
        <w:rPr>
          <w:rFonts w:ascii="Lato;sans-serif" w:hAnsi="Lato;sans-serif"/>
          <w:b w:val="false"/>
          <w:i/>
          <w:color w:val="000000"/>
          <w:sz w:val="20"/>
        </w:rPr>
        <w:t>Net Income (Loss)</w:t>
      </w:r>
    </w:p>
    <w:p>
      <w:pPr>
        <w:pStyle w:val="TextBody"/>
        <w:bidi w:val="0"/>
        <w:spacing w:lineRule="auto" w:line="256" w:before="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the average non-PEO named executive officer CAP (each as calculated pursuant to the Rule) and (2) the net income (loss) of the Company for the last four fiscal years.</w:t>
      </w:r>
    </w:p>
    <w:tbl>
      <w:tblPr>
        <w:tblW w:w="6733" w:type="dxa"/>
        <w:jc w:val="left"/>
        <w:tblInd w:w="0" w:type="dxa"/>
        <w:tblLayout w:type="fixed"/>
        <w:tblCellMar>
          <w:top w:w="28" w:type="dxa"/>
          <w:left w:w="28" w:type="dxa"/>
          <w:bottom w:w="28" w:type="dxa"/>
          <w:right w:w="28" w:type="dxa"/>
        </w:tblCellMar>
      </w:tblPr>
      <w:tblGrid>
        <w:gridCol w:w="684"/>
        <w:gridCol w:w="602"/>
        <w:gridCol w:w="603"/>
        <w:gridCol w:w="565"/>
        <w:gridCol w:w="320"/>
        <w:gridCol w:w="320"/>
        <w:gridCol w:w="565"/>
        <w:gridCol w:w="320"/>
        <w:gridCol w:w="320"/>
        <w:gridCol w:w="541"/>
        <w:gridCol w:w="320"/>
        <w:gridCol w:w="320"/>
        <w:gridCol w:w="388"/>
        <w:gridCol w:w="388"/>
        <w:gridCol w:w="477"/>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12"/>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PEO Compensation vs. Net Income (Loss)</w:t>
            </w:r>
          </w:p>
        </w:tc>
      </w:tr>
      <w:tr>
        <w:trPr/>
        <w:tc>
          <w:tcPr>
            <w:tcW w:w="188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205"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8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25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PEO Compensation</w:t>
            </w:r>
          </w:p>
        </w:tc>
        <w:tc>
          <w:tcPr>
            <w:tcW w:w="1205"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205"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18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25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Lato;sans-serif" w:hAnsi="Lato;sans-serif"/>
                <w:b/>
                <w:color w:val="000000"/>
                <w:sz w:val="16"/>
              </w:rPr>
            </w:pPr>
            <w:r>
              <w:rPr>
                <w:rFonts w:ascii="Lato;sans-serif" w:hAnsi="Lato;sans-serif"/>
                <w:b/>
                <w:color w:val="000000"/>
                <w:sz w:val="16"/>
              </w:rPr>
              <w:t>Net Income (Loss)</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(36,400,000)</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94,900,000</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63,200,000</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107,300,000</w:t>
            </w:r>
          </w:p>
        </w:tc>
      </w:tr>
    </w:tbl>
    <w:tbl>
      <w:tblPr>
        <w:tblW w:w="7589" w:type="dxa"/>
        <w:jc w:val="left"/>
        <w:tblInd w:w="0" w:type="dxa"/>
        <w:tblLayout w:type="fixed"/>
        <w:tblCellMar>
          <w:top w:w="28" w:type="dxa"/>
          <w:left w:w="28" w:type="dxa"/>
          <w:bottom w:w="28" w:type="dxa"/>
          <w:right w:w="28" w:type="dxa"/>
        </w:tblCellMar>
      </w:tblPr>
      <w:tblGrid>
        <w:gridCol w:w="983"/>
        <w:gridCol w:w="865"/>
        <w:gridCol w:w="867"/>
        <w:gridCol w:w="569"/>
        <w:gridCol w:w="322"/>
        <w:gridCol w:w="322"/>
        <w:gridCol w:w="569"/>
        <w:gridCol w:w="322"/>
        <w:gridCol w:w="322"/>
        <w:gridCol w:w="544"/>
        <w:gridCol w:w="322"/>
        <w:gridCol w:w="322"/>
        <w:gridCol w:w="391"/>
        <w:gridCol w:w="391"/>
        <w:gridCol w:w="478"/>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12"/>
            <w:tcBorders/>
            <w:shd w:fill="F44238" w:val="clear"/>
            <w:tcMar>
              <w:top w:w="0" w:type="dxa"/>
              <w:left w:w="0" w:type="dxa"/>
              <w:bottom w:w="0" w:type="dxa"/>
              <w:right w:w="0" w:type="dxa"/>
            </w:tcMar>
            <w:vAlign w:val="center"/>
          </w:tcPr>
          <w:p>
            <w:pPr>
              <w:pStyle w:val="TableContents"/>
              <w:bidi w:val="0"/>
              <w:spacing w:lineRule="auto" w:line="268" w:before="0" w:after="0"/>
              <w:jc w:val="center"/>
              <w:rPr>
                <w:rFonts w:ascii="Lato;sans-serif" w:hAnsi="Lato;sans-serif"/>
                <w:b/>
                <w:color w:val="FFFFFF"/>
                <w:sz w:val="16"/>
              </w:rPr>
            </w:pPr>
            <w:r>
              <w:rPr>
                <w:rFonts w:ascii="Lato;sans-serif" w:hAnsi="Lato;sans-serif"/>
                <w:b/>
                <w:color w:val="FFFFFF"/>
                <w:sz w:val="16"/>
              </w:rPr>
              <w:t>NEO Compensation vs. Net Income (Loss)</w:t>
            </w:r>
          </w:p>
        </w:tc>
      </w:tr>
      <w:tr>
        <w:trPr/>
        <w:tc>
          <w:tcPr>
            <w:tcW w:w="271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213"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88"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260"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NEO Average Compensation</w:t>
            </w:r>
          </w:p>
        </w:tc>
        <w:tc>
          <w:tcPr>
            <w:tcW w:w="121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213"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188"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26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Net Income (Loss)</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(36,400,000)</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94,900,000</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63,200,000</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107,300,000</w:t>
            </w:r>
          </w:p>
        </w:tc>
      </w:tr>
    </w:tbl>
    <w:p>
      <w:pPr>
        <w:pStyle w:val="TextBody"/>
        <w:bidi w:val="0"/>
        <w:spacing w:before="0" w:after="0"/>
        <w:jc w:val="both"/>
        <w:rPr/>
      </w:pPr>
      <w:r>
        <w:rPr/>
      </w:r>
    </w:p>
    <w:p>
      <w:pPr>
        <w:pStyle w:val="TextBody"/>
        <w:bidi w:val="0"/>
        <w:spacing w:lineRule="auto" w:line="288" w:before="0" w:after="180"/>
        <w:jc w:val="left"/>
        <w:rPr>
          <w:rFonts w:ascii="Lato;sans-serif" w:hAnsi="Lato;sans-serif"/>
          <w:b w:val="false"/>
          <w:i/>
          <w:color w:val="000000"/>
          <w:sz w:val="20"/>
        </w:rPr>
      </w:pPr>
      <w:r>
        <w:rPr>
          <w:rFonts w:ascii="Lato;sans-serif" w:hAnsi="Lato;sans-serif"/>
          <w:b w:val="false"/>
          <w:i/>
          <w:color w:val="000000"/>
          <w:sz w:val="20"/>
        </w:rPr>
        <w:t>AOI</w:t>
      </w:r>
    </w:p>
    <w:p>
      <w:pPr>
        <w:pStyle w:val="TextBody"/>
        <w:bidi w:val="0"/>
        <w:spacing w:lineRule="auto" w:line="256" w:before="180" w:after="180"/>
        <w:jc w:val="both"/>
        <w:rPr>
          <w:rFonts w:ascii="Lato;sans-serif" w:hAnsi="Lato;sans-serif"/>
          <w:b w:val="false"/>
          <w:color w:val="000000"/>
          <w:sz w:val="20"/>
        </w:rPr>
      </w:pPr>
      <w:r>
        <w:rPr>
          <w:rFonts w:ascii="Lato;sans-serif" w:hAnsi="Lato;sans-serif"/>
          <w:b w:val="false"/>
          <w:color w:val="000000"/>
          <w:sz w:val="20"/>
        </w:rPr>
        <w:t>The following charts show the relationship between (1) PEO CAP and the average non-PEO named executive officer CAP (each as calculated pursuant to the Rule) and (2) AOI for the last four fiscal years.</w:t>
      </w:r>
    </w:p>
    <w:tbl>
      <w:tblPr>
        <w:tblW w:w="6498" w:type="dxa"/>
        <w:jc w:val="left"/>
        <w:tblInd w:w="0" w:type="dxa"/>
        <w:tblLayout w:type="fixed"/>
        <w:tblCellMar>
          <w:top w:w="28" w:type="dxa"/>
          <w:left w:w="28" w:type="dxa"/>
          <w:bottom w:w="28" w:type="dxa"/>
          <w:right w:w="28" w:type="dxa"/>
        </w:tblCellMar>
      </w:tblPr>
      <w:tblGrid>
        <w:gridCol w:w="684"/>
        <w:gridCol w:w="602"/>
        <w:gridCol w:w="603"/>
        <w:gridCol w:w="410"/>
        <w:gridCol w:w="410"/>
        <w:gridCol w:w="321"/>
        <w:gridCol w:w="410"/>
        <w:gridCol w:w="410"/>
        <w:gridCol w:w="321"/>
        <w:gridCol w:w="409"/>
        <w:gridCol w:w="409"/>
        <w:gridCol w:w="323"/>
        <w:gridCol w:w="396"/>
        <w:gridCol w:w="396"/>
        <w:gridCol w:w="39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12"/>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PEO Compensation vs. AOI</w:t>
            </w:r>
          </w:p>
        </w:tc>
      </w:tr>
      <w:tr>
        <w:trPr/>
        <w:tc>
          <w:tcPr>
            <w:tcW w:w="1889"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PEO Compensation</w:t>
            </w:r>
          </w:p>
        </w:tc>
        <w:tc>
          <w:tcPr>
            <w:tcW w:w="11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42,135,178</w:t>
            </w:r>
          </w:p>
        </w:tc>
        <w:tc>
          <w:tcPr>
            <w:tcW w:w="11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12,173,581</w:t>
            </w:r>
          </w:p>
        </w:tc>
        <w:tc>
          <w:tcPr>
            <w:tcW w:w="11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(9,307,765)</w:t>
            </w:r>
          </w:p>
        </w:tc>
        <w:tc>
          <w:tcPr>
            <w:tcW w:w="118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2,304,429</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AOI</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226,000,000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447,800,000</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498,600,000</w:t>
            </w:r>
          </w:p>
        </w:tc>
      </w:tr>
    </w:tbl>
    <w:tbl>
      <w:tblPr>
        <w:tblW w:w="7324" w:type="dxa"/>
        <w:jc w:val="left"/>
        <w:tblInd w:w="0" w:type="dxa"/>
        <w:tblLayout w:type="fixed"/>
        <w:tblCellMar>
          <w:top w:w="28" w:type="dxa"/>
          <w:left w:w="28" w:type="dxa"/>
          <w:bottom w:w="28" w:type="dxa"/>
          <w:right w:w="28" w:type="dxa"/>
        </w:tblCellMar>
      </w:tblPr>
      <w:tblGrid>
        <w:gridCol w:w="983"/>
        <w:gridCol w:w="865"/>
        <w:gridCol w:w="867"/>
        <w:gridCol w:w="411"/>
        <w:gridCol w:w="411"/>
        <w:gridCol w:w="319"/>
        <w:gridCol w:w="411"/>
        <w:gridCol w:w="411"/>
        <w:gridCol w:w="319"/>
        <w:gridCol w:w="412"/>
        <w:gridCol w:w="412"/>
        <w:gridCol w:w="317"/>
        <w:gridCol w:w="397"/>
        <w:gridCol w:w="397"/>
        <w:gridCol w:w="392"/>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12"/>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NEO Compensation vs. AOI</w:t>
            </w:r>
          </w:p>
        </w:tc>
      </w:tr>
      <w:tr>
        <w:trPr/>
        <w:tc>
          <w:tcPr>
            <w:tcW w:w="2715"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2020</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2021</w:t>
            </w:r>
          </w:p>
        </w:tc>
        <w:tc>
          <w:tcPr>
            <w:tcW w:w="1141"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2022</w:t>
            </w:r>
          </w:p>
        </w:tc>
        <w:tc>
          <w:tcPr>
            <w:tcW w:w="1186" w:type="dxa"/>
            <w:gridSpan w:val="3"/>
            <w:tcBorders/>
            <w:shd w:fill="F44238" w:val="clear"/>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FFFFFF"/>
                <w:sz w:val="16"/>
              </w:rPr>
            </w:pPr>
            <w:r>
              <w:rPr>
                <w:rFonts w:ascii="Lato;sans-serif" w:hAnsi="Lato;sans-serif"/>
                <w:b/>
                <w:color w:val="FFFFFF"/>
                <w:sz w:val="16"/>
              </w:rPr>
              <w:t>2023</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NEO Average Compensation</w:t>
            </w:r>
          </w:p>
        </w:tc>
        <w:tc>
          <w:tcPr>
            <w:tcW w:w="11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52,546,756</w:t>
            </w:r>
          </w:p>
        </w:tc>
        <w:tc>
          <w:tcPr>
            <w:tcW w:w="11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18,433,785</w:t>
            </w:r>
          </w:p>
        </w:tc>
        <w:tc>
          <w:tcPr>
            <w:tcW w:w="1141"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(3,364,287)</w:t>
            </w:r>
          </w:p>
        </w:tc>
        <w:tc>
          <w:tcPr>
            <w:tcW w:w="118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2,255,270</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6"/>
              </w:rPr>
            </w:pPr>
            <w:r>
              <w:rPr>
                <w:rFonts w:ascii="Lato;sans-serif" w:hAnsi="Lato;sans-serif"/>
                <w:b/>
                <w:color w:val="000000"/>
                <w:sz w:val="16"/>
              </w:rPr>
              <w:t>AOI</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226,000,000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306,600,000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447,800,000</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498,600,000</w:t>
            </w:r>
          </w:p>
        </w:tc>
      </w:tr>
    </w:tbl>
    <w:p>
      <w:pPr>
        <w:pStyle w:val="TextBody"/>
        <w:bidi w:val="0"/>
        <w:spacing w:lineRule="auto" w:line="288" w:before="300" w:after="180"/>
        <w:jc w:val="left"/>
        <w:rPr>
          <w:rFonts w:ascii="Lato;sans-serif" w:hAnsi="Lato;sans-serif"/>
          <w:b/>
          <w:i/>
          <w:color w:val="000000"/>
          <w:sz w:val="20"/>
        </w:rPr>
      </w:pPr>
      <w:r>
        <w:rPr>
          <w:rFonts w:ascii="Lato;sans-serif" w:hAnsi="Lato;sans-serif"/>
          <w:b/>
          <w:i/>
          <w:color w:val="000000"/>
          <w:sz w:val="20"/>
        </w:rPr>
        <w:t>Financial Performance Measures Used to Link Executive Compensation to Performance</w:t>
      </w:r>
    </w:p>
    <w:p>
      <w:pPr>
        <w:pStyle w:val="TextBody"/>
        <w:bidi w:val="0"/>
        <w:spacing w:lineRule="auto" w:line="252" w:before="180" w:after="180"/>
        <w:jc w:val="both"/>
        <w:rPr>
          <w:rFonts w:ascii="Lato;sans-serif" w:hAnsi="Lato;sans-serif"/>
          <w:b w:val="false"/>
          <w:color w:val="000000"/>
          <w:sz w:val="20"/>
        </w:rPr>
      </w:pPr>
      <w:r>
        <w:rPr>
          <w:rFonts w:ascii="Lato;sans-serif" w:hAnsi="Lato;sans-serif"/>
          <w:b w:val="false"/>
          <w:color w:val="000000"/>
          <w:sz w:val="20"/>
        </w:rPr>
        <w:t>For purposes of the Rule, we have identified the following performance measures as the most important in setting compensation for our NEOs for fiscal year ended December 31, 2023, in response to the Tabular List disclosure requirement pursuant to Item 402(v)(6) of Regulation S-K. These performance measures were used in setting performance goals under our 2023 Cash Incentive Bonus Plan, in the case of AOI and Net New ARR, and in setting longer term performance goals for the PRSUs awarded to PEO and certain other NEOs, in the case of free cash flow per share growth.</w:t>
      </w:r>
    </w:p>
    <w:p>
      <w:pPr>
        <w:pStyle w:val="TextBody"/>
        <w:bidi w:val="0"/>
        <w:spacing w:lineRule="auto" w:line="252" w:before="0" w:after="0"/>
        <w:ind w:left="0" w:right="0" w:hanging="360"/>
        <w:jc w:val="both"/>
        <w:rPr/>
      </w:pPr>
      <w:r>
        <w:rPr>
          <w:color w:val="000000"/>
        </w:rPr>
        <w:t>•</w:t>
      </w:r>
      <w:r>
        <w:rPr>
          <w:rFonts w:ascii="Lato;sans-serif" w:hAnsi="Lato;sans-serif"/>
          <w:b w:val="false"/>
          <w:color w:val="000000"/>
          <w:sz w:val="20"/>
        </w:rPr>
        <w:t>AOI</w:t>
      </w:r>
    </w:p>
    <w:p>
      <w:pPr>
        <w:pStyle w:val="TextBody"/>
        <w:bidi w:val="0"/>
        <w:spacing w:lineRule="auto" w:line="252" w:before="0" w:after="0"/>
        <w:ind w:left="0" w:right="0" w:hanging="360"/>
        <w:jc w:val="both"/>
        <w:rPr/>
      </w:pPr>
      <w:r>
        <w:rPr>
          <w:color w:val="000000"/>
        </w:rPr>
        <w:t>•</w:t>
      </w:r>
      <w:r>
        <w:rPr>
          <w:rFonts w:ascii="Lato;sans-serif" w:hAnsi="Lato;sans-serif"/>
          <w:b w:val="false"/>
          <w:color w:val="000000"/>
          <w:sz w:val="20"/>
        </w:rPr>
        <w:t>Net New ARR</w:t>
      </w:r>
    </w:p>
    <w:p>
      <w:pPr>
        <w:pStyle w:val="TextBody"/>
        <w:bidi w:val="0"/>
        <w:spacing w:lineRule="auto" w:line="252" w:before="0" w:after="0"/>
        <w:ind w:left="0" w:right="0" w:hanging="360"/>
        <w:jc w:val="both"/>
        <w:rPr/>
      </w:pPr>
      <w:r>
        <w:rPr>
          <w:color w:val="000000"/>
        </w:rPr>
        <w:t>•</w:t>
      </w:r>
      <w:r>
        <w:rPr>
          <w:rFonts w:ascii="Lato;sans-serif" w:hAnsi="Lato;sans-serif"/>
          <w:b w:val="false"/>
          <w:color w:val="000000"/>
          <w:sz w:val="20"/>
        </w:rPr>
        <w:t>Free Cash Flow Per Share Growth</w:t>
      </w:r>
    </w:p>
    <w:p>
      <w:pPr>
        <w:pStyle w:val="TextBody"/>
        <w:bidi w:val="0"/>
        <w:spacing w:lineRule="auto" w:line="252" w:before="0" w:after="180"/>
        <w:ind w:left="0" w:right="0" w:hanging="360"/>
        <w:jc w:val="both"/>
        <w:rPr/>
      </w:pPr>
      <w:r>
        <w:rPr>
          <w:color w:val="000000"/>
        </w:rPr>
        <w:t>•</w:t>
      </w:r>
      <w:r>
        <w:rPr>
          <w:rFonts w:ascii="Lato;sans-serif" w:hAnsi="Lato;sans-serif"/>
          <w:b w:val="false"/>
          <w:color w:val="000000"/>
          <w:sz w:val="20"/>
        </w:rPr>
        <w:t>Net Revenue Retention</w:t>
      </w:r>
    </w:p>
    <w:p>
      <w:pPr>
        <w:pStyle w:val="TextBody"/>
        <w:bidi w:val="0"/>
        <w:spacing w:lineRule="auto" w:line="252" w:before="180" w:after="180"/>
        <w:jc w:val="both"/>
        <w:rPr>
          <w:rFonts w:ascii="Lato;sans-serif" w:hAnsi="Lato;sans-serif"/>
          <w:b w:val="false"/>
          <w:color w:val="000000"/>
          <w:sz w:val="20"/>
        </w:rPr>
      </w:pPr>
      <w:r>
        <w:rPr>
          <w:rFonts w:ascii="Lato;sans-serif" w:hAnsi="Lato;sans-serif"/>
          <w:b w:val="false"/>
          <w:color w:val="000000"/>
          <w:sz w:val="20"/>
        </w:rPr>
        <w:t>For additional disclosure on these performance measures, see “Executive Compensation Discussion and Analysis – 2023 Cash Incentive Bonus Plan”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2425"/>
                <wp:effectExtent l="0" t="0" r="0" b="0"/>
                <wp:wrapNone/>
                <wp:docPr id="67" name="Frame6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shd w:fill="FFFFFF" w:val="clear"/>
        </w:rPr>
      </w:pPr>
      <w:r>
        <w:rPr>
          <w:rFonts w:ascii="Lato;sans-serif" w:hAnsi="Lato;sans-serif"/>
          <w:b/>
          <w:color w:val="000000"/>
          <w:sz w:val="20"/>
          <w:shd w:fill="FFFFFF" w:val="clear"/>
        </w:rPr>
        <w:t>EQUITY COMPENSATION PLAN INFORMATION</w:t>
      </w:r>
    </w:p>
    <w:p>
      <w:pPr>
        <w:pStyle w:val="TextBody"/>
        <w:bidi w:val="0"/>
        <w:spacing w:lineRule="auto" w:line="276" w:before="120" w:after="180"/>
        <w:jc w:val="both"/>
        <w:rPr>
          <w:rFonts w:ascii="Lato;sans-serif" w:hAnsi="Lato;sans-serif"/>
          <w:b w:val="false"/>
          <w:color w:val="000000"/>
          <w:sz w:val="20"/>
        </w:rPr>
      </w:pPr>
      <w:r>
        <w:rPr>
          <w:rFonts w:ascii="Lato;sans-serif" w:hAnsi="Lato;sans-serif"/>
          <w:b w:val="false"/>
          <w:color w:val="000000"/>
          <w:sz w:val="20"/>
        </w:rPr>
        <w:t>The following table sets forth, as of December 31, 2023, certain information related to our compensation plans under which shares of our common stock may be issued.</w:t>
      </w:r>
    </w:p>
    <w:tbl>
      <w:tblPr>
        <w:tblW w:w="10205" w:type="dxa"/>
        <w:jc w:val="left"/>
        <w:tblInd w:w="0" w:type="dxa"/>
        <w:tblLayout w:type="fixed"/>
        <w:tblCellMar>
          <w:top w:w="28" w:type="dxa"/>
          <w:left w:w="28" w:type="dxa"/>
          <w:bottom w:w="28" w:type="dxa"/>
          <w:right w:w="28" w:type="dxa"/>
        </w:tblCellMar>
      </w:tblPr>
      <w:tblGrid>
        <w:gridCol w:w="609"/>
        <w:gridCol w:w="535"/>
        <w:gridCol w:w="538"/>
        <w:gridCol w:w="109"/>
        <w:gridCol w:w="109"/>
        <w:gridCol w:w="109"/>
        <w:gridCol w:w="1005"/>
        <w:gridCol w:w="792"/>
        <w:gridCol w:w="794"/>
        <w:gridCol w:w="109"/>
        <w:gridCol w:w="109"/>
        <w:gridCol w:w="109"/>
        <w:gridCol w:w="720"/>
        <w:gridCol w:w="720"/>
        <w:gridCol w:w="722"/>
        <w:gridCol w:w="109"/>
        <w:gridCol w:w="109"/>
        <w:gridCol w:w="109"/>
        <w:gridCol w:w="947"/>
        <w:gridCol w:w="761"/>
        <w:gridCol w:w="1081"/>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Number of securities to be issued upon exercise of outstanding options, warrants and rights</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162"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Weighted- average exercise price of outstanding options, warrants and rights</w:t>
            </w:r>
          </w:p>
        </w:tc>
        <w:tc>
          <w:tcPr>
            <w:tcW w:w="32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789" w:type="dxa"/>
            <w:gridSpan w:val="3"/>
            <w:tcBorders/>
            <w:shd w:fill="F44238" w:val="clear"/>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color w:val="FFFFFF"/>
                <w:sz w:val="16"/>
              </w:rPr>
            </w:pPr>
            <w:r>
              <w:rPr>
                <w:rFonts w:ascii="Lato;sans-serif" w:hAnsi="Lato;sans-serif"/>
                <w:b/>
                <w:color w:val="FFFFFF"/>
                <w:sz w:val="16"/>
              </w:rPr>
              <w:t>Number of securities remaining available for future issuance under equity compensation plans</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Lato;sans-serif" w:hAnsi="Lato;sans-serif"/>
                <w:b w:val="false"/>
                <w:color w:val="000000"/>
                <w:sz w:val="16"/>
              </w:rPr>
              <w:t>Equity compensation plans approved by security holders</w:t>
            </w:r>
            <w:r>
              <w:rPr>
                <w:rFonts w:ascii="Lato;sans-serif" w:hAnsi="Lato;sans-serif"/>
                <w:b w:val="false"/>
                <w:color w:val="000000"/>
                <w:sz w:val="10"/>
              </w:rPr>
              <w:t>(1)</w:t>
            </w:r>
            <w:r>
              <w:rPr>
                <w:rFonts w:ascii="Lato;sans-serif" w:hAnsi="Lat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2020 Omnibus Incentive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12,916,013</w:t>
            </w:r>
            <w:r>
              <w:rPr>
                <w:rFonts w:ascii="Lato;sans-serif" w:hAnsi="Lato;sans-serif"/>
                <w:b w:val="false"/>
                <w:color w:val="000000"/>
                <w:sz w:val="1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$21.00</w:t>
            </w:r>
            <w:r>
              <w:rPr>
                <w:rFonts w:ascii="Lato;sans-serif" w:hAnsi="Lato;sans-serif"/>
                <w:b w:val="false"/>
                <w:color w:val="000000"/>
                <w:sz w:val="10"/>
              </w:rPr>
              <w:t>(3)</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Lato;sans-serif" w:hAnsi="Lato;sans-serif"/>
                <w:b w:val="false"/>
                <w:color w:val="000000"/>
                <w:sz w:val="16"/>
              </w:rPr>
              <w:t>13,688,677</w:t>
            </w:r>
            <w:r>
              <w:rPr>
                <w:rFonts w:ascii="Lato;sans-serif" w:hAnsi="Lato;sans-serif"/>
                <w:b w:val="false"/>
                <w:color w:val="000000"/>
                <w:sz w:val="10"/>
              </w:rPr>
              <w:t>(4)</w:t>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2020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7,005,119 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241"/>
              <w:jc w:val="left"/>
              <w:rPr>
                <w:rFonts w:ascii="Lato;sans-serif" w:hAnsi="Lato;sans-serif"/>
                <w:b w:val="false"/>
                <w:color w:val="000000"/>
                <w:sz w:val="16"/>
              </w:rPr>
            </w:pPr>
            <w:r>
              <w:rPr>
                <w:rFonts w:ascii="Lato;sans-serif" w:hAnsi="Lato;sans-serif"/>
                <w:b w:val="false"/>
                <w:color w:val="000000"/>
                <w:sz w:val="16"/>
              </w:rPr>
              <w:t>Equity compensation plans not approved by security 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N/A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12,916,013 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20,693,796 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(1)We have two equity compensation plans that have been approved by our stockholders: the 2020 Omnibus Incentive Plan and the 2020 Employee Stock Purchase Plan (the “ESPP”).</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(2)Consists of 12,636,460 shares of our common stock issuable upon the settlement of RSUs and 279,553 shares of our common stock issuable upon the exercise of stock options. </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(3)The weighted average exercise price relates only to stock options. The calculation of the weighted average exercise price does not include outstanding equity awards that are received or exercised for no consideration.</w:t>
      </w:r>
    </w:p>
    <w:p>
      <w:pPr>
        <w:pStyle w:val="TextBody"/>
        <w:bidi w:val="0"/>
        <w:spacing w:lineRule="auto" w:line="288" w:before="0" w:after="0"/>
        <w:ind w:left="0" w:right="0" w:hanging="360"/>
        <w:jc w:val="both"/>
        <w:rPr>
          <w:rFonts w:ascii="Lato;sans-serif" w:hAnsi="Lato;sans-serif"/>
          <w:b w:val="false"/>
          <w:color w:val="000000"/>
          <w:sz w:val="16"/>
        </w:rPr>
      </w:pPr>
      <w:r>
        <w:rPr>
          <w:rFonts w:ascii="Lato;sans-serif" w:hAnsi="Lato;sans-serif"/>
          <w:b w:val="false"/>
          <w:color w:val="000000"/>
          <w:sz w:val="16"/>
        </w:rPr>
        <w:t>(4)Consists of shares of our common stock available for future stock-based awards under our 2020 Omnibus Incentive Plan which may include, at the discretion of our Compensation Committee or Board of Directors, non-qualified stock options, incentive stock options, stock appreciation rights, restricted stock units, restricted stock, limited liability company interests in our primary operating company (ZoomInfo Holdings LLC), performance-based awards and other equity-based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2425"/>
                <wp:effectExtent l="0" t="0" r="0" b="0"/>
                <wp:wrapNone/>
                <wp:docPr id="68" name="Frame6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OWNERSHIP OF SECURITIES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table sets forth information regarding the beneficial ownership of shares of our common stock as of March 15, 2024 by (1) each person known to us to beneficially own more than 5% of our outstanding common stock, (2) each of our directors and Named Executive Officers, and (3) all of our directors and executive officers as a group. Such information (other than with respect to our directors and executive officers) is based on a review of statements filed with the SEC pursuant to Sections 13(d), 13(f) and 13(g) of the Exchange Act with respect to our common stock.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percentage of beneficial ownership of shares of our common stock is based on 377,481,238 shares of common stock outstanding as of March 15, 2024. Unless otherwise noted, the address for each of the beneficial owners listed below is 805 Broadway Street, Suite 900, Vancouver, Washington 98660.</w:t>
      </w:r>
    </w:p>
    <w:tbl>
      <w:tblPr>
        <w:tblW w:w="10205" w:type="dxa"/>
        <w:jc w:val="left"/>
        <w:tblInd w:w="0" w:type="dxa"/>
        <w:tblLayout w:type="fixed"/>
        <w:tblCellMar>
          <w:top w:w="28" w:type="dxa"/>
          <w:left w:w="28" w:type="dxa"/>
          <w:bottom w:w="28" w:type="dxa"/>
          <w:right w:w="28" w:type="dxa"/>
        </w:tblCellMar>
      </w:tblPr>
      <w:tblGrid>
        <w:gridCol w:w="1452"/>
        <w:gridCol w:w="1198"/>
        <w:gridCol w:w="1205"/>
        <w:gridCol w:w="1014"/>
        <w:gridCol w:w="1014"/>
        <w:gridCol w:w="1016"/>
        <w:gridCol w:w="966"/>
        <w:gridCol w:w="966"/>
        <w:gridCol w:w="1374"/>
      </w:tblGrid>
      <w:tr>
        <w:trPr/>
        <w:tc>
          <w:tcPr>
            <w:tcW w:w="145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FFFFFF"/>
                <w:sz w:val="20"/>
              </w:rPr>
            </w:pPr>
            <w:r>
              <w:rPr>
                <w:rFonts w:ascii="Lato;sans-serif" w:hAnsi="Lato;sans-serif"/>
                <w:b/>
                <w:color w:val="FFFFFF"/>
                <w:sz w:val="20"/>
              </w:rPr>
              <w:t>Name of Beneficial Owner</w:t>
            </w:r>
          </w:p>
        </w:tc>
        <w:tc>
          <w:tcPr>
            <w:tcW w:w="304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Number of Shares Beneficially Owned</w:t>
            </w:r>
            <w:r>
              <w:rPr>
                <w:rFonts w:ascii="Lato;sans-serif" w:hAnsi="Lato;sans-serif"/>
                <w:b/>
                <w:color w:val="FFFFFF"/>
                <w:sz w:val="10"/>
              </w:rPr>
              <w:t>(1)</w:t>
            </w:r>
          </w:p>
        </w:tc>
        <w:tc>
          <w:tcPr>
            <w:tcW w:w="3306"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FFFFFF"/>
                <w:sz w:val="20"/>
              </w:rPr>
              <w:t>Percentage of Shares Beneficially Owned</w:t>
            </w:r>
            <w:r>
              <w:rPr>
                <w:rFonts w:ascii="Lato;sans-serif" w:hAnsi="Lato;sans-serif"/>
                <w:b/>
                <w:color w:val="FFFFFF"/>
                <w:sz w:val="10"/>
              </w:rPr>
              <w:t>(1)</w:t>
            </w:r>
          </w:p>
        </w:tc>
      </w:tr>
      <w:tr>
        <w:trPr/>
        <w:tc>
          <w:tcPr>
            <w:tcW w:w="3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Investment Funds affiliated with Carlyle</w:t>
            </w:r>
            <w:r>
              <w:rPr>
                <w:rFonts w:ascii="Lato;sans-serif" w:hAnsi="Lato;sans-serif"/>
                <w:b w:val="false"/>
                <w:color w:val="000000"/>
                <w:sz w:val="13"/>
              </w:rPr>
              <w:t>(2)(9)</w:t>
            </w:r>
          </w:p>
        </w:tc>
        <w:tc>
          <w:tcPr>
            <w:tcW w:w="30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35,244,474</w:t>
            </w:r>
          </w:p>
        </w:tc>
        <w:tc>
          <w:tcPr>
            <w:tcW w:w="3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9.3%</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Vanguard Group Inc.</w:t>
            </w:r>
            <w:r>
              <w:rPr>
                <w:rFonts w:ascii="Lato;sans-serif" w:hAnsi="Lato;sans-serif"/>
                <w:b w:val="false"/>
                <w:color w:val="000000"/>
                <w:sz w:val="13"/>
              </w:rPr>
              <w:t>(3)</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33,287,433</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8.8%</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Blackrock, Inc.</w:t>
            </w:r>
            <w:r>
              <w:rPr>
                <w:rFonts w:ascii="Lato;sans-serif" w:hAnsi="Lato;sans-serif"/>
                <w:b w:val="false"/>
                <w:color w:val="000000"/>
                <w:sz w:val="13"/>
              </w:rPr>
              <w:t>(4)</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27,182,630</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7.2%</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Wellington Management Group LLP</w:t>
            </w:r>
            <w:r>
              <w:rPr>
                <w:rFonts w:ascii="Lato;sans-serif" w:hAnsi="Lato;sans-serif"/>
                <w:b w:val="false"/>
                <w:color w:val="000000"/>
                <w:sz w:val="13"/>
              </w:rPr>
              <w:t>(5)</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25,794,536</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6.8%</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Entities affiliated with Dragoneer</w:t>
            </w:r>
            <w:r>
              <w:rPr>
                <w:rFonts w:ascii="Lato;sans-serif" w:hAnsi="Lato;sans-serif"/>
                <w:b w:val="false"/>
                <w:color w:val="000000"/>
                <w:sz w:val="13"/>
              </w:rPr>
              <w:t>(6)</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22,120,065</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5.9%</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Kirk Brown</w:t>
            </w:r>
            <w:r>
              <w:rPr>
                <w:rFonts w:ascii="Lato;sans-serif" w:hAnsi="Lato;sans-serif"/>
                <w:b w:val="false"/>
                <w:color w:val="000000"/>
                <w:sz w:val="13"/>
              </w:rPr>
              <w:t>(7)(9)</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20,993,943</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5.6%</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Henry Schuck</w:t>
            </w:r>
            <w:r>
              <w:rPr>
                <w:rFonts w:ascii="Lato;sans-serif" w:hAnsi="Lato;sans-serif"/>
                <w:b w:val="false"/>
                <w:color w:val="000000"/>
                <w:sz w:val="13"/>
              </w:rPr>
              <w:t>(8)(9)</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26,999,547</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7.2%</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Peter Cameron Hyzer</w:t>
            </w:r>
            <w:r>
              <w:rPr>
                <w:rFonts w:ascii="Lato;sans-serif" w:hAnsi="Lato;sans-serif"/>
                <w:b w:val="false"/>
                <w:color w:val="000000"/>
                <w:sz w:val="13"/>
              </w:rPr>
              <w:t>(10)</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1,294,887</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Ali Dasdan</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69,954</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Chris Hays</w:t>
            </w:r>
            <w:r>
              <w:rPr>
                <w:rFonts w:ascii="Lato;sans-serif" w:hAnsi="Lato;sans-serif"/>
                <w:b w:val="false"/>
                <w:color w:val="000000"/>
                <w:sz w:val="13"/>
              </w:rPr>
              <w:t>(11)</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649,573</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Todd Crockett</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408,093</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Mitesh Dhruv</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30,847</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Keith Enright</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20,535</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Ashley Evans</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4,499</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Alison Gleeson</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5,516</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Mark Mader</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11,841</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Patrick McCarter</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Lato;sans-serif" w:hAnsi="Lato;sans-serif"/>
                <w:b w:val="false"/>
                <w:color w:val="000000"/>
                <w:sz w:val="20"/>
              </w:rPr>
            </w:pPr>
            <w:r>
              <w:rPr>
                <w:rFonts w:ascii="Lato;sans-serif" w:hAnsi="Lato;sans-serif"/>
                <w:b w:val="false"/>
                <w:color w:val="000000"/>
                <w:sz w:val="20"/>
              </w:rPr>
              <w:t>D. Randall Winn</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1,548,455</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w:t>
            </w:r>
          </w:p>
        </w:tc>
      </w:tr>
      <w:tr>
        <w:trPr/>
        <w:tc>
          <w:tcPr>
            <w:tcW w:w="38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Lato;sans-serif" w:hAnsi="Lato;sans-serif"/>
                <w:b w:val="false"/>
                <w:color w:val="000000"/>
                <w:sz w:val="20"/>
              </w:rPr>
              <w:t>Directors and executive officers as a group (12 persons)</w:t>
            </w:r>
            <w:r>
              <w:rPr>
                <w:rFonts w:ascii="Lato;sans-serif" w:hAnsi="Lato;sans-serif"/>
                <w:b w:val="false"/>
                <w:color w:val="000000"/>
                <w:sz w:val="13"/>
              </w:rPr>
              <w:t>(10)</w:t>
            </w:r>
          </w:p>
        </w:tc>
        <w:tc>
          <w:tcPr>
            <w:tcW w:w="3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31,043,747</w:t>
            </w:r>
          </w:p>
        </w:tc>
        <w:tc>
          <w:tcPr>
            <w:tcW w:w="33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Lato;sans-serif" w:hAnsi="Lato;sans-serif"/>
                <w:b w:val="false"/>
                <w:color w:val="000000"/>
                <w:sz w:val="20"/>
              </w:rPr>
            </w:pPr>
            <w:r>
              <w:rPr>
                <w:rFonts w:ascii="Lato;sans-serif" w:hAnsi="Lato;sans-serif"/>
                <w:b w:val="false"/>
                <w:color w:val="000000"/>
                <w:sz w:val="20"/>
              </w:rPr>
              <w:t>8.2%</w:t>
            </w:r>
          </w:p>
        </w:tc>
      </w:tr>
    </w:tbl>
    <w:p>
      <w:pPr>
        <w:pStyle w:val="TextBody"/>
        <w:bidi w:val="0"/>
        <w:spacing w:lineRule="auto" w:line="288" w:before="20" w:after="180"/>
        <w:jc w:val="left"/>
        <w:rPr>
          <w:rFonts w:ascii="Lato;sans-serif" w:hAnsi="Lato;sans-serif"/>
          <w:b w:val="false"/>
          <w:color w:val="000000"/>
          <w:sz w:val="16"/>
        </w:rPr>
      </w:pPr>
      <w:r>
        <w:rPr>
          <w:rFonts w:ascii="Lato;sans-serif" w:hAnsi="Lato;sans-serif"/>
          <w:b w:val="false"/>
          <w:color w:val="000000"/>
          <w:sz w:val="16"/>
        </w:rPr>
        <w:t>*Represents less than 1%.</w:t>
      </w:r>
    </w:p>
    <w:p>
      <w:pPr>
        <w:pStyle w:val="TextBody"/>
        <w:bidi w:val="0"/>
        <w:spacing w:lineRule="auto" w:line="288" w:before="0" w:after="0"/>
        <w:ind w:left="0" w:right="0" w:hanging="900"/>
        <w:jc w:val="both"/>
        <w:rPr>
          <w:rFonts w:ascii="Lato;sans-serif" w:hAnsi="Lato;sans-serif"/>
          <w:b w:val="false"/>
          <w:color w:val="000000"/>
          <w:sz w:val="16"/>
        </w:rPr>
      </w:pPr>
      <w:r>
        <w:rPr>
          <w:rFonts w:ascii="Lato;sans-serif" w:hAnsi="Lato;sans-serif"/>
          <w:b w:val="false"/>
          <w:color w:val="000000"/>
          <w:sz w:val="16"/>
        </w:rPr>
        <w:t>(1)The number of shares are those beneficially owned, as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March 15,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2425"/>
                <wp:effectExtent l="0" t="0" r="0" b="0"/>
                <wp:wrapNone/>
                <wp:docPr id="69" name="Frame6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59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900"/>
        <w:jc w:val="both"/>
        <w:rPr>
          <w:rFonts w:ascii="Lato;sans-serif" w:hAnsi="Lato;sans-serif"/>
          <w:b w:val="false"/>
          <w:color w:val="000000"/>
          <w:sz w:val="16"/>
        </w:rPr>
      </w:pPr>
      <w:r>
        <w:rPr>
          <w:rFonts w:ascii="Lato;sans-serif" w:hAnsi="Lato;sans-serif"/>
          <w:b w:val="false"/>
          <w:color w:val="000000"/>
          <w:sz w:val="16"/>
        </w:rPr>
        <w:t>(2)Based solely on information contained in a Schedule 13G/A filed with the SEC on February 12, 2024 by certain entities affiliated with The Carlyle Group Inc. Carlyle Partners VI Evergreen Holdings, L.P. (“Carlyle Evergreen”) is the record holder of 14,768,376 shares of common stock. CP VI Evergreen Holdings, L.P. (“CP VI Evergreen” ) is the record holder of 14,476,098 shares of common stock. CP Cayman Opportunities Holdings, L.P. (“CP Cayman Opportunities” and, together with Carlyle Evergreen and CP VI Evergreen, the “Carlyle Investors”) is the record holder of 6,000,000 shares of common stock. The Carlyle Group Inc., which is a publicly traded entity listed on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 Accordingly, each of these entities may be deemed to share beneficial ownership of the securities held of record by Carlyle Evergreen and CP VI Evergreen. Each of them disclaims beneficial ownership of such securities. The Carlyle Group Inc. is also the sole member of Carlyle Holdings II GP L.L.C., which is the managing member of Carlyle Holdings II L.L.C., which, with respect to the securities held of record by CP Cayman Opportunities,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managing member of Flex Credit Acquisition Company, LLC, which is the general partner of CP Cayman Opportunities. Accordingly, each of these entities may be deemed to share beneficial ownership of the shares of common stock held of record by CP Cayman Opportunities. Each of them disclaims beneficial ownership of such securities. The principal business office address for each of TC Group Cayman Investment Holdings, L.P., TC Group Cayman Investment Holdings Sub L.P. and CP Cayman Opportunities is c/o Walkers Corporate Limited, 190 Elgin Avenue, George Town, Grand Cayman KY1-9008. The address of each of the remaining entities named in this footnote is c/o The Carlyle Group Inc., 1001 Pennsylvania Avenue, NW, Suite 220 South, Washington, D.C. 20004-2505.</w:t>
      </w:r>
    </w:p>
    <w:p>
      <w:pPr>
        <w:pStyle w:val="TextBody"/>
        <w:bidi w:val="0"/>
        <w:spacing w:lineRule="auto" w:line="268" w:before="0" w:after="0"/>
        <w:ind w:left="0" w:right="0" w:hanging="900"/>
        <w:jc w:val="both"/>
        <w:rPr>
          <w:rFonts w:ascii="Lato;sans-serif" w:hAnsi="Lato;sans-serif"/>
          <w:b w:val="false"/>
          <w:color w:val="000000"/>
          <w:sz w:val="16"/>
        </w:rPr>
      </w:pPr>
      <w:r>
        <w:rPr>
          <w:rFonts w:ascii="Lato;sans-serif" w:hAnsi="Lato;sans-serif"/>
          <w:b w:val="false"/>
          <w:color w:val="000000"/>
          <w:sz w:val="16"/>
        </w:rPr>
        <w:t>(3)Based solely on information contained in a Schedule 13G/A filed with the SEC on February 13, 2024 by The Vanguard Group in which The Vanguard Group reported that it had shared voting power over 150,807 shares of common stock, sole dispositive power over 32,614,490 shares of common stock, and shared dispositive power over 672,943 shares of common stock. The principal business address of The Vanguard Group is 100 Vanguard Blvd., Malvern, PA 19355.</w:t>
      </w:r>
    </w:p>
    <w:p>
      <w:pPr>
        <w:pStyle w:val="TextBody"/>
        <w:bidi w:val="0"/>
        <w:spacing w:lineRule="auto" w:line="268" w:before="0" w:after="0"/>
        <w:ind w:left="0" w:right="0" w:hanging="900"/>
        <w:jc w:val="both"/>
        <w:rPr>
          <w:rFonts w:ascii="Lato;sans-serif" w:hAnsi="Lato;sans-serif"/>
          <w:b w:val="false"/>
          <w:color w:val="000000"/>
          <w:sz w:val="16"/>
        </w:rPr>
      </w:pPr>
      <w:r>
        <w:rPr>
          <w:rFonts w:ascii="Lato;sans-serif" w:hAnsi="Lato;sans-serif"/>
          <w:b w:val="false"/>
          <w:color w:val="000000"/>
          <w:sz w:val="16"/>
        </w:rPr>
        <w:t>(4)Based solely on information contained in a Schedule 13G filed with the SEC on January 26, 2024 by BlackRock, Inc. in which BlackRock, Inc. reported that it had sole voting power over 26,204,554 shares of common stock and sole dispositive power over 27,182,630 shares of common stock. The principal business address of BlackRock, Inc. is 50 Hudson Yards, New York, NY 10001.</w:t>
      </w:r>
    </w:p>
    <w:p>
      <w:pPr>
        <w:pStyle w:val="TextBody"/>
        <w:bidi w:val="0"/>
        <w:spacing w:lineRule="auto" w:line="268" w:before="0" w:after="0"/>
        <w:ind w:left="0" w:right="0" w:hanging="900"/>
        <w:jc w:val="both"/>
        <w:rPr>
          <w:rFonts w:ascii="Lato;sans-serif" w:hAnsi="Lato;sans-serif"/>
          <w:b w:val="false"/>
          <w:color w:val="000000"/>
          <w:sz w:val="16"/>
        </w:rPr>
      </w:pPr>
      <w:r>
        <w:rPr>
          <w:rFonts w:ascii="Lato;sans-serif" w:hAnsi="Lato;sans-serif"/>
          <w:b w:val="false"/>
          <w:color w:val="000000"/>
          <w:sz w:val="16"/>
        </w:rPr>
        <w:t>(5)Based solely on information contained in a Schedule 13G jointly filed with the SEC on February 14, 2024 by Wellington Management Group LLP, Wellington Group Holdings LLP, Wellington Investment Advisors Holdings LLP, and Wellington Management Company LLP in which Wellington Management Group LLP (“Wellington”) reported that it had shared voting power over 22,532,283 shares of common stock and shared dispositive power over 25,794,536 shares of common stock. The securities reported as beneficially owned by Wellington, as parent holding company of certain holding companies and of Wellington Management Company LLP - IA, Wellington Management Canada LLC - IA, Wellington Management Singapore Pte LTD - IA, Wellington Management Hong Kong Ltd - IA, Wellington Management International Ltd - IA, Wellington Management Japan Pte Ltd - IA, and Wellington Management Australia Pty Ltd - IA (collectively,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The principal business address of Wellington and its related entities is c/o Wellington Management Company LLP, 280 Congress Street, Boston, MA, 02210.</w:t>
      </w:r>
    </w:p>
    <w:p>
      <w:pPr>
        <w:pStyle w:val="TextBody"/>
        <w:bidi w:val="0"/>
        <w:spacing w:lineRule="auto" w:line="268" w:before="0" w:after="0"/>
        <w:ind w:left="0" w:right="0" w:hanging="900"/>
        <w:jc w:val="both"/>
        <w:rPr>
          <w:rFonts w:ascii="Lato;sans-serif" w:hAnsi="Lato;sans-serif"/>
          <w:b w:val="false"/>
          <w:color w:val="000000"/>
          <w:sz w:val="16"/>
        </w:rPr>
      </w:pPr>
      <w:r>
        <w:rPr>
          <w:rFonts w:ascii="Lato;sans-serif" w:hAnsi="Lato;sans-serif"/>
          <w:b w:val="false"/>
          <w:color w:val="000000"/>
          <w:sz w:val="16"/>
        </w:rPr>
        <w:t>(6)Based solely on information contained in a Schedule 13G jointly filed with the SEC on February 14, 2024 by Marc Stad (“Stad”) and Dragoneer Investment Group, LLP (“Dragoneer”) in which each of Stad and Dragoneer reported shared voting power with respect to 22,120,065 shares of common stock and shared dispositive power with respect to 22,120,065 shares of common stock. Dragoneer is a registered investment adviser under the Investment Advisers Act of 1940, as amended. As the managing member of Dragoneer, Cardinal DIG CC, LLC may also be deemed to share voting and dispositive power with respect to the Common Stock. Stad is the sole member of Cardinal DIG CC, LLC. By virtue of these relationships, each of Stad and Dragoneer may be deemed to share beneficial ownership of the Company’s common stock. The principal business address of each of Stad and Dragoneer is One Letterman Dr., Bldg D, Ste M500, San Francisco, CA 94129.</w:t>
      </w:r>
    </w:p>
    <w:p>
      <w:pPr>
        <w:pStyle w:val="TextBody"/>
        <w:bidi w:val="0"/>
        <w:spacing w:lineRule="auto" w:line="288" w:before="0" w:after="0"/>
        <w:ind w:left="0" w:right="0" w:hanging="900"/>
        <w:jc w:val="both"/>
        <w:rPr>
          <w:rFonts w:ascii="Lato;sans-serif" w:hAnsi="Lato;sans-serif"/>
          <w:b w:val="false"/>
          <w:color w:val="000000"/>
          <w:sz w:val="16"/>
        </w:rPr>
      </w:pPr>
      <w:r>
        <w:rPr>
          <w:rFonts w:ascii="Lato;sans-serif" w:hAnsi="Lato;sans-serif"/>
          <w:b w:val="false"/>
          <w:color w:val="000000"/>
          <w:sz w:val="16"/>
        </w:rPr>
        <w:t>(7)Based solely on information contained in a Schedule 13G/A filed with the SEC on February 12, 2024. Amount beneficially owned reflects 13,377,329 shares of common stock held directly by DO Holdings (WA), LLC and 7,616,614 shares of common stock held directly by Mr. Brown. DO Holdings (WA), LLC is owned by Messrs. Schuck and Brown. Mr. Brown may be deemed to share voting and dispositive power over the securities held by DO Holdings (WA), LLC. The principal business address of Mr. Brown is c/o Wildwood Law Group, 3915 NE 15th Ave, #362, Portland, OR 97212.</w:t>
      </w:r>
    </w:p>
    <w:p>
      <w:pPr>
        <w:pStyle w:val="TextBody"/>
        <w:bidi w:val="0"/>
        <w:spacing w:lineRule="auto" w:line="288" w:before="0" w:after="0"/>
        <w:ind w:left="0" w:right="0" w:hanging="900"/>
        <w:jc w:val="both"/>
        <w:rPr>
          <w:rFonts w:ascii="Lato;sans-serif" w:hAnsi="Lato;sans-serif"/>
          <w:b w:val="false"/>
          <w:color w:val="000000"/>
          <w:sz w:val="16"/>
        </w:rPr>
      </w:pPr>
      <w:r>
        <w:rPr>
          <w:rFonts w:ascii="Lato;sans-serif" w:hAnsi="Lato;sans-serif"/>
          <w:b w:val="false"/>
          <w:color w:val="000000"/>
          <w:sz w:val="16"/>
        </w:rPr>
        <w:t>(8)Amount beneficially owned reflects (i) 10,288,001 shares of our common stock held directly by Mr. Schuck, (ii) 2,224,173 shares of common stock held directly by HSKB Funds, LLC (“HSKB”), (iii) 872,668 shares of common stock held directly by HSKB Funds II, LLC (“HSKB II”), (iv) 237,376 shares of common stock held by a grantor trust, and (v) 13,377,329 shares of common stock (based solely on information contained in a Schedule 13G/A filed with the SEC on February 12, 2024) held directly by DO Holdings (WA), LLC. HSKB Funds, LLC and HSKB Funds II, LLC are managed by HLS Management, LLC. Mr. Schuck is the sole member of HLS Management, LLC. Mr. Schuck only has an economic interest in 1,848,514 shares of common stock held by HSKB and no economic interest in shares of common stock held by HSKB II. DO Holdings (WA), LLC is substantially owned by Messrs. Schuck and Brown. Mr. Schuck may be deemed to share voting and dispositive power over the securities held by DO Holdings (WA),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2425"/>
                <wp:effectExtent l="0" t="0" r="0" b="0"/>
                <wp:wrapNone/>
                <wp:docPr id="70" name="Frame6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900"/>
        <w:jc w:val="both"/>
        <w:rPr>
          <w:rFonts w:ascii="Lato;sans-serif" w:hAnsi="Lato;sans-serif"/>
          <w:b w:val="false"/>
          <w:color w:val="000000"/>
          <w:sz w:val="16"/>
        </w:rPr>
      </w:pPr>
      <w:r>
        <w:rPr>
          <w:rFonts w:ascii="Lato;sans-serif" w:hAnsi="Lato;sans-serif"/>
          <w:b w:val="false"/>
          <w:color w:val="000000"/>
          <w:sz w:val="16"/>
        </w:rPr>
        <w:t>(9)On June 3, 2020, 22C Capital granted an irrevocable proxy in favor of Carlyle, TA Associates, DO Holdings (WA), LLC, HSKB Funds, LLC, and HSKB Funds II, LLC (each a “Proxyholder”) pursuant to which the shares of our common stock held of record by investment funds affiliated with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 though the Proxyholders have disclaimed beneficial ownership.</w:t>
      </w:r>
    </w:p>
    <w:p>
      <w:pPr>
        <w:pStyle w:val="TextBody"/>
        <w:bidi w:val="0"/>
        <w:spacing w:lineRule="auto" w:line="288" w:before="0" w:after="0"/>
        <w:ind w:left="0" w:right="0" w:hanging="900"/>
        <w:jc w:val="both"/>
        <w:rPr>
          <w:rFonts w:ascii="Lato;sans-serif" w:hAnsi="Lato;sans-serif"/>
          <w:b w:val="false"/>
          <w:color w:val="000000"/>
          <w:sz w:val="16"/>
        </w:rPr>
      </w:pPr>
      <w:r>
        <w:rPr>
          <w:rFonts w:ascii="Lato;sans-serif" w:hAnsi="Lato;sans-serif"/>
          <w:b w:val="false"/>
          <w:color w:val="000000"/>
          <w:sz w:val="16"/>
        </w:rPr>
        <w:t>(10)Amount beneficially owned reflects 38,143 shares of our common stock underlying RSUs that vest within 60 days of March 15, 2024.</w:t>
      </w:r>
    </w:p>
    <w:p>
      <w:pPr>
        <w:pStyle w:val="TextBody"/>
        <w:bidi w:val="0"/>
        <w:spacing w:lineRule="auto" w:line="288" w:before="0" w:after="0"/>
        <w:ind w:left="0" w:right="0" w:hanging="900"/>
        <w:jc w:val="both"/>
        <w:rPr>
          <w:rFonts w:ascii="Lato;sans-serif" w:hAnsi="Lato;sans-serif"/>
          <w:b w:val="false"/>
          <w:color w:val="000000"/>
          <w:sz w:val="16"/>
        </w:rPr>
      </w:pPr>
      <w:r>
        <w:rPr>
          <w:rFonts w:ascii="Lato;sans-serif" w:hAnsi="Lato;sans-serif"/>
          <w:b w:val="false"/>
          <w:color w:val="000000"/>
          <w:sz w:val="16"/>
        </w:rPr>
        <w:t>(11)Amount beneficially owned reflects ownership as of February 14,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2425"/>
                <wp:effectExtent l="0" t="0" r="0" b="0"/>
                <wp:wrapNone/>
                <wp:docPr id="71" name="Frame6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61</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DELINQUENT SECTION 16(a) REPORTS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Based solely on our review of copies of such reports and written representations from our executive officers, directors, and other beneficial owners of more than ten percent of any class of our equity securities registered pursuant to Section 12 of the Exchange Act, in each case at any time during the prior fiscal year, we believe that such persons or beneficial owners complied with all Section 16(a) filing requirements during 2023, except that (i) Sriprasadh Cadambi, who served as our Chief Accounting Officer and Senior Vice President, Finance, until February 26, 2024, did not timely file two Forms 4 to reflect sales that occurred on May 25, 2023 and June 13, 2023; and (ii) HSKB Funds II, LLC filed an amended Form 4 on March 3, 2023 to correct the shares of common stock distributed to one or more employees of the Company or its subsidiaries, as reported in a prior timely filed Form 4. These late Form 4 filings and Form 4 amendment were the result of administrative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2425"/>
                <wp:effectExtent l="0" t="0" r="0" b="0"/>
                <wp:wrapNone/>
                <wp:docPr id="72" name="Frame6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TRANSACTIONS WITH RELATED PERSONS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would be reportable by us under Item 404(a) of Regulation S-K in which we were or are to be a participant and the amount involved exceeds $120,000 and in which any “related person” (as defined in Item 404(a) of Regulation S-K) had or will have a direct or indirect material interest) proposed to be entered into by the Company must be reported to the Company’s General Counsel. The General Counsel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policy also contains a standing approval for transactions with and payments to or from TA Associates, Carlyle and investment funds associated with 22C Capital LLC (“22C Capital”) and/or their respective affiliates (including portfolio companies) (each, a “Sponsor” and, collectively, the “Sponsors”) pursuant to agreements that were in effect at the time of the IPO and certain transactions with or related to the Sponsors, including, without limitation: (1) transactions involving the Company’s securities in which any Sponsor serves as an underwrite,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pStyle w:val="TextBody"/>
        <w:bidi w:val="0"/>
        <w:spacing w:lineRule="auto" w:line="288" w:before="180" w:after="180"/>
        <w:ind w:left="0" w:right="0" w:firstLine="720"/>
        <w:jc w:val="both"/>
        <w:rPr>
          <w:rFonts w:ascii="Lato;sans-serif" w:hAnsi="Lato;sans-serif"/>
          <w:b w:val="false"/>
          <w:color w:val="000000"/>
          <w:sz w:val="20"/>
        </w:rPr>
      </w:pPr>
      <w:r>
        <w:rPr>
          <w:rFonts w:ascii="Lato;sans-serif" w:hAnsi="Lato;sans-serif"/>
          <w:b w:val="false"/>
          <w:color w:val="000000"/>
          <w:sz w:val="20"/>
        </w:rPr>
        <w:t>As used herein, unless otherwise noted or the context requires otherwise:</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HoldCo Units” refers to the class of units of ZoomInfo HoldCo.</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OpCo Units” refers to the class of units of ZoomInfo OpCo and does not include Class P Units.</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Pre-IPO HoldCo Unitholders” refers to the pre-IPO owners that held HoldCo Units immediately prior to the consummation of the IPO.</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pre-IPO owners” refers, collectively, to the Sponsors, the Founders, and the management and other equity holders who were the owners of ZoomInfo OpCo immediately prior to the Reorganization Transactions (as defined below).</w:t>
      </w:r>
    </w:p>
    <w:p>
      <w:pPr>
        <w:pStyle w:val="TextBody"/>
        <w:bidi w:val="0"/>
        <w:spacing w:lineRule="auto" w:line="288" w:before="0" w:after="0"/>
        <w:ind w:left="0" w:right="0" w:hanging="360"/>
        <w:jc w:val="both"/>
        <w:rPr/>
      </w:pPr>
      <w:r>
        <w:rPr>
          <w:color w:val="000000"/>
        </w:rPr>
        <w:t>•“</w:t>
      </w:r>
      <w:r>
        <w:rPr>
          <w:rFonts w:ascii="Lato;sans-serif" w:hAnsi="Lato;sans-serif"/>
          <w:b w:val="false"/>
          <w:color w:val="000000"/>
          <w:sz w:val="20"/>
        </w:rPr>
        <w:t>Pre-IPO OpCo Unitholders” refers to the pre-IPO owners that held OpCo Units immediately prior to the consummation of the IPO.</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following is a summary of such related person transactions since January 1, 2023 in which the amount involved exceeded or will exceed $120,000.</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Stockholders Agreement</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2425"/>
                <wp:effectExtent l="0" t="0" r="0" b="0"/>
                <wp:wrapNone/>
                <wp:docPr id="73" name="Frame6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120"/>
        <w:jc w:val="both"/>
        <w:rPr>
          <w:rFonts w:ascii="Lato;sans-serif" w:hAnsi="Lato;sans-serif"/>
          <w:b w:val="false"/>
          <w:color w:val="000000"/>
          <w:sz w:val="20"/>
        </w:rPr>
      </w:pPr>
      <w:r>
        <w:rPr>
          <w:rFonts w:ascii="Lato;sans-serif" w:hAnsi="Lato;sans-serif"/>
          <w:b w:val="false"/>
          <w:color w:val="000000"/>
          <w:sz w:val="20"/>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beneficially owns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beneficially owns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pStyle w:val="TextBody"/>
        <w:bidi w:val="0"/>
        <w:spacing w:lineRule="auto" w:line="288" w:before="300" w:after="120"/>
        <w:jc w:val="left"/>
        <w:rPr>
          <w:rFonts w:ascii="Lato;sans-serif" w:hAnsi="Lato;sans-serif"/>
          <w:b/>
          <w:color w:val="000000"/>
          <w:sz w:val="20"/>
        </w:rPr>
      </w:pPr>
      <w:r>
        <w:rPr>
          <w:rFonts w:ascii="Lato;sans-serif" w:hAnsi="Lato;sans-serif"/>
          <w:b/>
          <w:color w:val="000000"/>
          <w:sz w:val="20"/>
        </w:rPr>
        <w:t>Registration Rights Agreement</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 xml:space="preserve">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common stock. Pursuant to the registration rights agreement, affiliates of TA Associates, Carlyle, and 22C Capital that are party to the registration rights agreement are entitled to certain demand registration rights, which require us to register shares of our common stock under the Securities Act held by participating holders and, if requested, to maintain a shelf registration statement effective with respect to such shares. In addition, if we propose to register the offer and sale of our common stock under the Securities Act following the consummation of the IPO, in connection with the public offering of such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have participation rights to participate in any sale by affiliates of Carlyle under certain circumstances. The registration rights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2425"/>
                <wp:effectExtent l="0" t="0" r="0" b="0"/>
                <wp:wrapNone/>
                <wp:docPr id="74" name="Frame7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64</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also provides that we will pay certain expenses relating to such registrations and indemnify certain parties against certain liabilities which may arise under the Securities Act.</w:t>
      </w:r>
    </w:p>
    <w:p>
      <w:pPr>
        <w:pStyle w:val="TextBody"/>
        <w:bidi w:val="0"/>
        <w:spacing w:lineRule="auto" w:line="288" w:before="300" w:after="120"/>
        <w:jc w:val="left"/>
        <w:rPr>
          <w:rFonts w:ascii="Lato;sans-serif" w:hAnsi="Lato;sans-serif"/>
          <w:b/>
          <w:color w:val="000000"/>
          <w:sz w:val="20"/>
        </w:rPr>
      </w:pPr>
      <w:r>
        <w:rPr>
          <w:rFonts w:ascii="Lato;sans-serif" w:hAnsi="Lato;sans-serif"/>
          <w:b/>
          <w:color w:val="000000"/>
          <w:sz w:val="20"/>
        </w:rPr>
        <w:t>Tax Receivable Agreements</w:t>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ZoomInfo Intermediate Inc. (formerly known as ZoomInfo Technologies Inc.) entered into two tax receivable agreements. ZoomInfo Intermediate Inc. entered into (i) the Exchange Tax Receivable Agreement with the certain of our Pre-IPO OpCo Unitholders and (ii) the Reorganization Tax Receivable Agreement with the pre-IPO owners that held their interest in us through certain of our Pre-IPO OpCo Unitholders that are taxable as corporations for U.S. federal income tax purposes (the “Blocker Companies”) immediately prior to the consummation of the IPO (such pre-IPO owners, the “Pre-IPO Blocker Holders”). These tax receivable agreements provide for the payment by ZoomInfo Intermediate Inc. or any member of its affiliated, consolidated, combined, or unitary tax group (collectively,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Note that all exchanges of OpCo Units for shares of common stock have been completed to date and no future exchanges will occur.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“Reorganization Transactions”), and certain other tax benefits, including tax benefits attributable to payments under the Reorganization Tax Receivable Agreement. The ZoomInfo Tax Group expects to benefit from the remaining 15% of realized cash tax benefits. Estimating the amount of payments made under the tax receivable agreements is by its nature imprecise, insofar as the calculation of amounts payable depends on a variety of factors. The increase in the ZoomInfo Tax Group’s allocable share of existing tax basis and the tax basis adjustments from the exchanges of OpCo Units for shares of common stock, as well as the amount and timing of any payments under the tax receivable agreements, vary depending upon a number of factors, including the timing of the exchanges, the price of shares of our common stock at the time of the exchange, the extent to which such exchanges are taxable, the amount of tax attributes, and the amount and timing of our income.</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Note that all exchanges of OpCo Units for shares of common stock have been completed to date and no future exchanges will occur. As of December 31, 2023, the ZoomInfo Tax Group had a liability of $2,818.0 million related to its projected obligations under the Tax Receivable Agreements. This liability, or portion thereof, becomes payable once the tax attributes under the Tax Receivable Agreements reduces the ZoomInfo Tax Group’s current income tax liability which would have been otherwise due absent such tax attributes. The liability will be reduced to the extent the tax attributes are expected to expire or otherwise cannot be applied to reduce the ZoomInfo Tax Group’s tax liabilities. During the year ended December 31, 2023, no payment was made in pursuant to the Tax Receivable Agreements. For additional information about the Tax Receivable Agreements, see Note 17 - Tax Receivable Agreements to our audited consolidated financial statements included in the 2023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2425"/>
                <wp:effectExtent l="0" t="0" r="0" b="0"/>
                <wp:wrapNone/>
                <wp:docPr id="75" name="Frame7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65</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Other Related Person Transactions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Michelle Milner, our Vice President, Human Resources, is the sister-in-law of Henry Schuck, our Chief Executive Officer. Total compensation paid by the Company to Ms. Milner, including salary, bonus, and equity compensation, for the year ended December 31, 2023 was approximately $0.3 million.</w:t>
      </w:r>
    </w:p>
    <w:p>
      <w:pPr>
        <w:pStyle w:val="TextBody"/>
        <w:bidi w:val="0"/>
        <w:spacing w:lineRule="auto" w:line="288" w:before="300" w:after="180"/>
        <w:jc w:val="left"/>
        <w:rPr>
          <w:rFonts w:ascii="Lato;sans-serif" w:hAnsi="Lato;sans-serif"/>
          <w:b/>
          <w:color w:val="000000"/>
          <w:sz w:val="20"/>
        </w:rPr>
      </w:pPr>
      <w:r>
        <w:rPr>
          <w:rFonts w:ascii="Lato;sans-serif" w:hAnsi="Lato;sans-serif"/>
          <w:b/>
          <w:color w:val="000000"/>
          <w:sz w:val="20"/>
        </w:rPr>
        <w:t>Tax-Related Fees</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We paid ongoing tax, accounting, and other administrative expenses on behalf of HSKB Funds, LLC, HSKB Funds II, LLC and DiscoverOrg Management Holdings, LLC, each of which was formed prior to our IPO to hold employee retention equity and is controlled by Mr. Schuck, in the amount of $137,484, for the year ended December 31, 2023. The Company also approved similar fees to be paid in the year ending December 31, 2024.</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Commercial Transactions with Our Sponsors and Sponsor Portfolio Companies</w:t>
      </w:r>
    </w:p>
    <w:p>
      <w:pPr>
        <w:pStyle w:val="TextBody"/>
        <w:bidi w:val="0"/>
        <w:spacing w:lineRule="auto" w:line="288" w:before="120" w:after="283"/>
        <w:jc w:val="both"/>
        <w:rPr>
          <w:rFonts w:ascii="Lato;sans-serif" w:hAnsi="Lato;sans-serif"/>
          <w:b w:val="false"/>
          <w:color w:val="000000"/>
          <w:sz w:val="20"/>
        </w:rPr>
      </w:pPr>
      <w:r>
        <w:rPr>
          <w:rFonts w:ascii="Lato;sans-serif" w:hAnsi="Lato;sans-serif"/>
          <w:b w:val="false"/>
          <w:color w:val="000000"/>
          <w:sz w:val="20"/>
        </w:rPr>
        <w:t>We provide limited complimentary access to our platform to 22C Capital, Carlyle and TA Associates. We estimate the value of such access provided to each of 22C Capital, Carlyle and TA Associates in 2023 to be approximately $5,300, $5,300 and $10,500, respectively. In addition, we provide our services to TA Associates and the Carlyle Group in the ordinary course of our business. We recorded revenues from TA Associates and The Carlyle Group in 2023 of approximately $415,000 and $364,000, respectively.</w:t>
      </w:r>
    </w:p>
    <w:p>
      <w:pPr>
        <w:pStyle w:val="TextBody"/>
        <w:bidi w:val="0"/>
        <w:spacing w:lineRule="auto" w:line="288" w:before="120" w:after="120"/>
        <w:jc w:val="both"/>
        <w:rPr>
          <w:rFonts w:ascii="Lato;sans-serif" w:hAnsi="Lato;sans-serif"/>
          <w:b w:val="false"/>
          <w:color w:val="000000"/>
          <w:sz w:val="20"/>
        </w:rPr>
      </w:pPr>
      <w:r>
        <w:rPr>
          <w:rFonts w:ascii="Lato;sans-serif" w:hAnsi="Lato;sans-serif"/>
          <w:b w:val="false"/>
          <w:color w:val="000000"/>
          <w:sz w:val="20"/>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pStyle w:val="TextBody"/>
        <w:bidi w:val="0"/>
        <w:spacing w:lineRule="auto" w:line="288" w:before="300" w:after="180"/>
        <w:jc w:val="both"/>
        <w:rPr>
          <w:rFonts w:ascii="Lato;sans-serif" w:hAnsi="Lato;sans-serif"/>
          <w:b/>
          <w:color w:val="000000"/>
          <w:sz w:val="20"/>
        </w:rPr>
      </w:pPr>
      <w:r>
        <w:rPr>
          <w:rFonts w:ascii="Lato;sans-serif" w:hAnsi="Lato;sans-serif"/>
          <w:b/>
          <w:color w:val="000000"/>
          <w:sz w:val="20"/>
        </w:rPr>
        <w:t>Indemnification of Directors and Officers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2425"/>
                <wp:effectExtent l="0" t="0" r="0" b="0"/>
                <wp:wrapNone/>
                <wp:docPr id="76" name="Frame7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66</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20"/>
        <w:jc w:val="center"/>
        <w:rPr>
          <w:rFonts w:ascii="Lato;sans-serif" w:hAnsi="Lato;sans-serif"/>
          <w:b/>
          <w:color w:val="000000"/>
          <w:sz w:val="20"/>
        </w:rPr>
      </w:pPr>
      <w:r>
        <w:rPr>
          <w:rFonts w:ascii="Lato;sans-serif" w:hAnsi="Lato;sans-serif"/>
          <w:b/>
          <w:color w:val="000000"/>
          <w:sz w:val="20"/>
        </w:rPr>
        <w:t>STOCKHOLDER PROPOSALS FOR THE 2025 ANNUAL MEETING</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If any stockholder wishes to propose a matter for consideration at our 2025 Annual Meeting of Stockholders (the “2025 Annual Meeting”), the proposal should be mailed by certified mail return receipt requested, to our Secretary, ZoomInfo Technologies Inc., 805 Broadway Street, Suite 900, Vancouver, Washington 98660. To be eligible under the SEC’s stockholder proposal rule (Rule 14a-8(e) of the Exchange Act) for inclusion in our proxy statement for the 2025 Annual Meeting, a proposal must be received by our Secretary on or before November 29, 2024. Failure to deliver a proposal in accordance with this procedure may result in it not being deemed timely received.</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our Bylaws permit stockholders to nominate candidates for director and present other business for consideration at our annual meeting of stockholders. To make a director nomination or present other business for consideration at the 2025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2025 Annual Meeting, such a proposal must be received on or after January 15, 2025, but not later than February 14, 2025. In the event that the date of the 2025 Annual Meeting is advanced by more than 30 days, or delayed by more than 70 days, from the anniversary date of this year’s Annual Meeting of Stockholders, notice by the stockholder to be timely must be so delivered not earlier than the 120th day prior to the 2025 Annual Meeting and not later than the close of business on the later of the 90th day prior to the 2025 Annual Meeting or the tenth day following the day on which public announcement of the date of the 2025 Annual Meeting is first made. If the number of directors to be elected to the Board of Directors at an annual meeting is increased and there is no public announcement by the Company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Since our Bylaws impose an earlier deadline for such a notice than Rule 14a-19(b)(1), the noticing stockholder’s proposal must be received by the Company in compliance with our Bylaws in order to be timely delivered.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2425"/>
                <wp:effectExtent l="0" t="0" r="0" b="0"/>
                <wp:wrapNone/>
                <wp:docPr id="77" name="Frame7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67</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 xml:space="preserve">OTHER BUSINESS </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The Board does not know of any other matters to be brought before the meeting. If other matters are presented, the proxy holders have discretionary authority to vote all proxies in accordance with their best judgment.</w:t>
      </w:r>
    </w:p>
    <w:tbl>
      <w:tblPr>
        <w:tblW w:w="3867" w:type="dxa"/>
        <w:jc w:val="left"/>
        <w:tblInd w:w="0" w:type="dxa"/>
        <w:tblLayout w:type="fixed"/>
        <w:tblCellMar>
          <w:top w:w="28" w:type="dxa"/>
          <w:left w:w="28" w:type="dxa"/>
          <w:bottom w:w="28" w:type="dxa"/>
          <w:right w:w="28" w:type="dxa"/>
        </w:tblCellMar>
      </w:tblPr>
      <w:tblGrid>
        <w:gridCol w:w="124"/>
        <w:gridCol w:w="109"/>
        <w:gridCol w:w="109"/>
        <w:gridCol w:w="1031"/>
        <w:gridCol w:w="1031"/>
        <w:gridCol w:w="14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762000"/>
                  <wp:effectExtent l="0" t="0" r="0" b="0"/>
                  <wp:docPr id="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 descr=""/>
                          <pic:cNvPicPr>
                            <a:picLocks noChangeAspect="1" noChangeArrowheads="1"/>
                          </pic:cNvPicPr>
                        </pic:nvPicPr>
                        <pic:blipFill>
                          <a:blip r:embed="rId6"/>
                          <a:stretch>
                            <a:fillRect/>
                          </a:stretch>
                        </pic:blipFill>
                        <pic:spPr bwMode="auto">
                          <a:xfrm>
                            <a:off x="0" y="0"/>
                            <a:ext cx="1905000" cy="762000"/>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Anthony Stark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Secretary</w:t>
            </w:r>
          </w:p>
        </w:tc>
      </w:tr>
    </w:tbl>
    <w:p>
      <w:pPr>
        <w:pStyle w:val="TextBody"/>
        <w:bidi w:val="0"/>
        <w:spacing w:lineRule="auto" w:line="288" w:before="180" w:after="180"/>
        <w:jc w:val="both"/>
        <w:rPr/>
      </w:pPr>
      <w:r>
        <w:rPr>
          <w:rFonts w:ascii="Lato;sans-serif" w:hAnsi="Lato;sans-serif"/>
          <w:b/>
          <w:color w:val="000000"/>
          <w:sz w:val="20"/>
        </w:rPr>
        <w:t xml:space="preserve">We make available, free of charge on our website, all of our filings that are made electronically with the SEC, including Forms 10-K, 10-Q and 8-K. To access these filings, go to our website </w:t>
      </w:r>
      <w:r>
        <w:rPr>
          <w:rFonts w:ascii="Lato;sans-serif" w:hAnsi="Lato;sans-serif"/>
          <w:b/>
          <w:i/>
          <w:color w:val="000000"/>
          <w:sz w:val="20"/>
        </w:rPr>
        <w:t>(ir.zoominfo.com)</w:t>
      </w:r>
      <w:r>
        <w:rPr>
          <w:color w:val="000000"/>
        </w:rPr>
        <w:t xml:space="preserve"> </w:t>
      </w:r>
      <w:r>
        <w:rPr>
          <w:rFonts w:ascii="Lato;sans-serif" w:hAnsi="Lato;sans-serif"/>
          <w:b/>
          <w:color w:val="000000"/>
          <w:sz w:val="20"/>
        </w:rPr>
        <w:t>and click on “SEC Filings” under the “Financials” heading. Copies of our Annual Report on Form 10-K for the year ended December 31, 2023, including financial statements and schedules thereto, filed with the SEC, are also available without charge to stockholders upon written request addressed to:</w:t>
      </w:r>
    </w:p>
    <w:p>
      <w:pPr>
        <w:pStyle w:val="TextBody"/>
        <w:bidi w:val="0"/>
        <w:spacing w:lineRule="auto" w:line="288" w:before="900" w:after="283"/>
        <w:jc w:val="center"/>
        <w:rPr>
          <w:rFonts w:ascii="Lato;sans-serif" w:hAnsi="Lato;sans-serif"/>
          <w:b w:val="false"/>
          <w:color w:val="000000"/>
          <w:sz w:val="20"/>
        </w:rPr>
      </w:pPr>
      <w:r>
        <w:rPr>
          <w:rFonts w:ascii="Lato;sans-serif" w:hAnsi="Lato;sans-serif"/>
          <w:b w:val="false"/>
          <w:color w:val="000000"/>
          <w:sz w:val="20"/>
        </w:rPr>
        <w:t>Secretary</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ZoomInfo Technologies Inc.</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805 Broadway Street, Suite 900</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Vancouver, Washington 98660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2425"/>
                <wp:effectExtent l="0" t="0" r="0" b="0"/>
                <wp:wrapNone/>
                <wp:docPr id="79" name="Frame7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68</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300" w:after="180"/>
        <w:jc w:val="center"/>
        <w:rPr>
          <w:rFonts w:ascii="Lato;sans-serif" w:hAnsi="Lato;sans-serif"/>
          <w:b/>
          <w:color w:val="000000"/>
          <w:sz w:val="20"/>
        </w:rPr>
      </w:pPr>
      <w:r>
        <w:rPr>
          <w:rFonts w:ascii="Lato;sans-serif" w:hAnsi="Lato;sans-serif"/>
          <w:b/>
          <w:color w:val="000000"/>
          <w:sz w:val="20"/>
        </w:rPr>
        <w:t>APPENDIX A: NON-GAAP FINANCIAL MEASURES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To supplement our consolidated financial statements presented in accordance with GAAP, this report contains non-GAAP financial measures, including adjusted operating income, adjusted operating income margin, and unlevered free cash flow. We believe these non-GAAP measures are useful to investors in evaluating our operating performance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historical non-GAAP financial measure to the most directly comparable financial measure stated in accordance with GAAP.</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define Adjusted Operating Income Margin as Adjusted Operating Income divided by the sum of revenue and the impact of fair value adjustments to acquired unearned revenue.</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We define Unlevered Free Cash Flow as net cash provided from operating activities less (i) purchases of property and equipment and other assets, plus (ii) cash interest expense, (iii) cash payments related to restructuring and transaction-related expenses, and (iv) cash payments related to integration costs and acquisition-related compensation. Unlevered Free Cash Flow does not represent residual cash flow available for discretionary expenditures since, among other things, we have mandatory debt service requirements.</w:t>
      </w:r>
    </w:p>
    <w:p>
      <w:pPr>
        <w:pStyle w:val="TextBody"/>
        <w:bidi w:val="0"/>
        <w:spacing w:lineRule="auto" w:line="288" w:before="180" w:after="180"/>
        <w:jc w:val="both"/>
        <w:rPr>
          <w:rFonts w:ascii="Lato;sans-serif" w:hAnsi="Lato;sans-serif"/>
          <w:b w:val="false"/>
          <w:color w:val="000000"/>
          <w:sz w:val="20"/>
        </w:rPr>
      </w:pPr>
      <w:r>
        <w:rPr>
          <w:rFonts w:ascii="Lato;sans-serif" w:hAnsi="Lato;sans-serif"/>
          <w:b w:val="false"/>
          <w:color w:val="000000"/>
          <w:sz w:val="20"/>
        </w:rPr>
        <w:t>Net revenue retention is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2425"/>
                <wp:effectExtent l="0" t="0" r="0" b="0"/>
                <wp:wrapNone/>
                <wp:docPr id="80" name="Frame7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69</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69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jc w:val="both"/>
        <w:rPr>
          <w:rFonts w:ascii="Lato;sans-serif" w:hAnsi="Lato;sans-serif"/>
          <w:b/>
          <w:color w:val="000000"/>
          <w:sz w:val="20"/>
        </w:rPr>
      </w:pPr>
      <w:r>
        <w:rPr>
          <w:rFonts w:ascii="Lato;sans-serif" w:hAnsi="Lato;sans-serif"/>
          <w:b/>
          <w:color w:val="000000"/>
          <w:sz w:val="20"/>
        </w:rPr>
        <w:t>Reconciliation from GAAP Income from Operations to Non-GAAP Adjusted Operating Income (Fiscal Years 2023, 2022, and 2021)</w:t>
      </w:r>
    </w:p>
    <w:tbl>
      <w:tblPr>
        <w:tblW w:w="10205" w:type="dxa"/>
        <w:jc w:val="left"/>
        <w:tblInd w:w="0" w:type="dxa"/>
        <w:tblLayout w:type="fixed"/>
        <w:tblCellMar>
          <w:top w:w="28" w:type="dxa"/>
          <w:left w:w="28" w:type="dxa"/>
          <w:bottom w:w="28" w:type="dxa"/>
          <w:right w:w="28" w:type="dxa"/>
        </w:tblCellMar>
      </w:tblPr>
      <w:tblGrid>
        <w:gridCol w:w="2201"/>
        <w:gridCol w:w="1901"/>
        <w:gridCol w:w="1915"/>
        <w:gridCol w:w="350"/>
        <w:gridCol w:w="384"/>
        <w:gridCol w:w="337"/>
        <w:gridCol w:w="154"/>
        <w:gridCol w:w="154"/>
        <w:gridCol w:w="154"/>
        <w:gridCol w:w="350"/>
        <w:gridCol w:w="384"/>
        <w:gridCol w:w="337"/>
        <w:gridCol w:w="154"/>
        <w:gridCol w:w="154"/>
        <w:gridCol w:w="154"/>
        <w:gridCol w:w="350"/>
        <w:gridCol w:w="354"/>
        <w:gridCol w:w="418"/>
      </w:tblGrid>
      <w:tr>
        <w:trPr/>
        <w:tc>
          <w:tcPr>
            <w:tcW w:w="22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6017"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Year Ended December 31,</w:t>
            </w:r>
          </w:p>
        </w:tc>
      </w:tr>
      <w:tr>
        <w:trPr/>
        <w:tc>
          <w:tcPr>
            <w:tcW w:w="6017"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FFFFFF"/>
                <w:sz w:val="16"/>
              </w:rPr>
            </w:pPr>
            <w:r>
              <w:rPr>
                <w:rFonts w:ascii="Lato;sans-serif" w:hAnsi="Lato;sans-serif"/>
                <w:b w:val="false"/>
                <w:i/>
                <w:color w:val="FFFFFF"/>
                <w:sz w:val="16"/>
              </w:rPr>
              <w:t>($ in millions)</w:t>
            </w:r>
          </w:p>
        </w:tc>
        <w:tc>
          <w:tcPr>
            <w:tcW w:w="1071"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2023</w:t>
            </w:r>
          </w:p>
        </w:tc>
        <w:tc>
          <w:tcPr>
            <w:tcW w:w="46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2022</w:t>
            </w:r>
          </w:p>
        </w:tc>
        <w:tc>
          <w:tcPr>
            <w:tcW w:w="462"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2021</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Income (loss) from operations (GAAP)</w:t>
            </w:r>
          </w:p>
        </w:tc>
        <w:tc>
          <w:tcPr>
            <w:tcW w:w="350"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259.5</w:t>
            </w:r>
          </w:p>
        </w:tc>
        <w:tc>
          <w:tcPr>
            <w:tcW w:w="46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175.8</w:t>
            </w:r>
          </w:p>
        </w:tc>
        <w:tc>
          <w:tcPr>
            <w:tcW w:w="46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2"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113.3</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Impact of fair value adjustments to acquired unearned revenue</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4.6</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Amortization of acquired technology</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39.1</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48.2</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35.3</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Amortization of other acquired intangibles</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20.3</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Equity-based compensation expense</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167.6</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192.3</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93.0</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 and transaction-related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23.7</w:t>
            </w:r>
          </w:p>
        </w:tc>
      </w:tr>
      <w:tr>
        <w:trPr/>
        <w:tc>
          <w:tcPr>
            <w:tcW w:w="6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Integration costs and acquisition-related expenses</w:t>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3.3</w:t>
            </w:r>
          </w:p>
        </w:tc>
        <w:tc>
          <w:tcPr>
            <w:tcW w:w="4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16.4</w:t>
            </w:r>
          </w:p>
        </w:tc>
      </w:tr>
      <w:tr>
        <w:trPr/>
        <w:tc>
          <w:tcPr>
            <w:tcW w:w="6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i/>
                <w:color w:val="000000"/>
                <w:sz w:val="20"/>
              </w:rPr>
            </w:pPr>
            <w:r>
              <w:rPr>
                <w:rFonts w:ascii="Lato;sans-serif" w:hAnsi="Lato;sans-serif"/>
                <w:b/>
                <w:i/>
                <w:color w:val="000000"/>
                <w:sz w:val="20"/>
              </w:rPr>
              <w:t>Adjusted Operating Income (Non-GAAP)</w:t>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498.6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2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447.8</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306.6</w:t>
            </w:r>
          </w:p>
        </w:tc>
      </w:tr>
    </w:tbl>
    <w:tbl>
      <w:tblPr>
        <w:tblW w:w="10205" w:type="dxa"/>
        <w:jc w:val="left"/>
        <w:tblInd w:w="0" w:type="dxa"/>
        <w:tblLayout w:type="fixed"/>
        <w:tblCellMar>
          <w:top w:w="28" w:type="dxa"/>
          <w:left w:w="28" w:type="dxa"/>
          <w:bottom w:w="28" w:type="dxa"/>
          <w:right w:w="28" w:type="dxa"/>
        </w:tblCellMar>
      </w:tblPr>
      <w:tblGrid>
        <w:gridCol w:w="2191"/>
        <w:gridCol w:w="1919"/>
        <w:gridCol w:w="1914"/>
        <w:gridCol w:w="272"/>
        <w:gridCol w:w="247"/>
        <w:gridCol w:w="684"/>
        <w:gridCol w:w="122"/>
        <w:gridCol w:w="122"/>
        <w:gridCol w:w="122"/>
        <w:gridCol w:w="272"/>
        <w:gridCol w:w="247"/>
        <w:gridCol w:w="684"/>
        <w:gridCol w:w="122"/>
        <w:gridCol w:w="122"/>
        <w:gridCol w:w="122"/>
        <w:gridCol w:w="272"/>
        <w:gridCol w:w="183"/>
        <w:gridCol w:w="588"/>
      </w:tblGrid>
      <w:tr>
        <w:trPr/>
        <w:tc>
          <w:tcPr>
            <w:tcW w:w="219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6024"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Year Ended December 31,</w:t>
            </w:r>
          </w:p>
        </w:tc>
      </w:tr>
      <w:tr>
        <w:trPr/>
        <w:tc>
          <w:tcPr>
            <w:tcW w:w="602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val="false"/>
                <w:i/>
                <w:color w:val="FFFFFF"/>
                <w:sz w:val="16"/>
              </w:rPr>
            </w:pPr>
            <w:r>
              <w:rPr>
                <w:rFonts w:ascii="Lato;sans-serif" w:hAnsi="Lato;sans-serif"/>
                <w:b w:val="false"/>
                <w:i/>
                <w:color w:val="FFFFFF"/>
                <w:sz w:val="16"/>
              </w:rPr>
              <w:t>($ in millions)</w:t>
            </w:r>
          </w:p>
        </w:tc>
        <w:tc>
          <w:tcPr>
            <w:tcW w:w="1203"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FFFFFF"/>
                <w:sz w:val="20"/>
              </w:rPr>
            </w:pPr>
            <w:r>
              <w:rPr>
                <w:rFonts w:ascii="Lato;sans-serif" w:hAnsi="Lato;sans-serif"/>
                <w:b/>
                <w:color w:val="FFFFFF"/>
                <w:sz w:val="20"/>
              </w:rPr>
              <w:t>2023</w:t>
            </w:r>
          </w:p>
        </w:tc>
        <w:tc>
          <w:tcPr>
            <w:tcW w:w="36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2022</w:t>
            </w:r>
          </w:p>
        </w:tc>
        <w:tc>
          <w:tcPr>
            <w:tcW w:w="366" w:type="dxa"/>
            <w:gridSpan w:val="3"/>
            <w:tcBorders/>
            <w:shd w:fill="F442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2021</w:t>
            </w:r>
          </w:p>
        </w:tc>
      </w:tr>
      <w:tr>
        <w:trPr/>
        <w:tc>
          <w:tcPr>
            <w:tcW w:w="6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Revenue (GAAP)</w:t>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1,239.5</w:t>
            </w:r>
          </w:p>
        </w:tc>
        <w:tc>
          <w:tcPr>
            <w:tcW w:w="36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1,098.0</w:t>
            </w:r>
          </w:p>
        </w:tc>
        <w:tc>
          <w:tcPr>
            <w:tcW w:w="36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747.2</w:t>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Impact of fair value adjustments to acquired unearned revenue</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4.6</w:t>
            </w:r>
          </w:p>
        </w:tc>
      </w:tr>
      <w:tr>
        <w:trPr/>
        <w:tc>
          <w:tcPr>
            <w:tcW w:w="6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 for adjusted operating margin calculation (Non-GAAP)</w:t>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3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1,239.7</w:t>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3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1,100.1</w:t>
            </w:r>
          </w:p>
        </w:tc>
        <w:tc>
          <w:tcPr>
            <w:tcW w:w="3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751.8</w:t>
            </w:r>
          </w:p>
        </w:tc>
      </w:tr>
      <w:tr>
        <w:trPr/>
        <w:tc>
          <w:tcPr>
            <w:tcW w:w="6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Operating Income Margin (Non-GAAP)</w:t>
            </w:r>
          </w:p>
        </w:tc>
        <w:tc>
          <w:tcPr>
            <w:tcW w:w="5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40</w:t>
            </w:r>
            <w:r>
              <w:rPr>
                <w:color w:val="000000"/>
              </w:rPr>
              <w:t> </w:t>
            </w:r>
          </w:p>
        </w:tc>
        <w:tc>
          <w:tcPr>
            <w:tcW w:w="6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41</w:t>
            </w:r>
            <w:r>
              <w:rPr>
                <w:color w:val="000000"/>
              </w:rPr>
              <w:t> </w:t>
            </w:r>
          </w:p>
        </w:tc>
        <w:tc>
          <w:tcPr>
            <w:tcW w:w="6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41</w:t>
            </w:r>
            <w:r>
              <w:rPr>
                <w:color w:val="000000"/>
              </w:rPr>
              <w:t> </w:t>
            </w:r>
          </w:p>
        </w:tc>
        <w:tc>
          <w:tcPr>
            <w:tcW w:w="5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r>
    </w:tbl>
    <w:p>
      <w:pPr>
        <w:pStyle w:val="TextBody"/>
        <w:bidi w:val="0"/>
        <w:spacing w:lineRule="auto" w:line="288" w:before="120" w:after="120"/>
        <w:jc w:val="both"/>
        <w:rPr>
          <w:rFonts w:ascii="Lato;sans-serif" w:hAnsi="Lato;sans-serif"/>
          <w:b/>
          <w:color w:val="000000"/>
          <w:sz w:val="20"/>
        </w:rPr>
      </w:pPr>
      <w:r>
        <w:rPr>
          <w:rFonts w:ascii="Lato;sans-serif" w:hAnsi="Lato;sans-serif"/>
          <w:b/>
          <w:color w:val="000000"/>
          <w:sz w:val="20"/>
        </w:rPr>
        <w:t>Reconciliation from GAAP Operating Cash Flow to Unlevered Free Cash Flow (FY 2023)</w:t>
      </w:r>
    </w:p>
    <w:tbl>
      <w:tblPr>
        <w:tblW w:w="7769" w:type="dxa"/>
        <w:jc w:val="left"/>
        <w:tblInd w:w="0" w:type="dxa"/>
        <w:tblLayout w:type="fixed"/>
        <w:tblCellMar>
          <w:top w:w="28" w:type="dxa"/>
          <w:left w:w="28" w:type="dxa"/>
          <w:bottom w:w="28" w:type="dxa"/>
          <w:right w:w="28" w:type="dxa"/>
        </w:tblCellMar>
      </w:tblPr>
      <w:tblGrid>
        <w:gridCol w:w="2436"/>
        <w:gridCol w:w="2147"/>
        <w:gridCol w:w="2152"/>
        <w:gridCol w:w="302"/>
        <w:gridCol w:w="302"/>
        <w:gridCol w:w="430"/>
      </w:tblGrid>
      <w:tr>
        <w:trPr/>
        <w:tc>
          <w:tcPr>
            <w:tcW w:w="2436"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44238"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FFFFFF"/>
                <w:sz w:val="16"/>
              </w:rPr>
            </w:pPr>
            <w:r>
              <w:rPr>
                <w:rFonts w:ascii="Lato;sans-serif" w:hAnsi="Lato;sans-serif"/>
                <w:b w:val="false"/>
                <w:i/>
                <w:color w:val="FFFFFF"/>
                <w:sz w:val="16"/>
              </w:rPr>
              <w:t>in millions ($)</w:t>
            </w:r>
          </w:p>
        </w:tc>
        <w:tc>
          <w:tcPr>
            <w:tcW w:w="1034" w:type="dxa"/>
            <w:gridSpan w:val="3"/>
            <w:tcBorders/>
            <w:shd w:fill="F44238" w:val="clear"/>
            <w:tcMar>
              <w:top w:w="0" w:type="dxa"/>
              <w:left w:w="0" w:type="dxa"/>
              <w:bottom w:w="0" w:type="dxa"/>
              <w:right w:w="0" w:type="dxa"/>
            </w:tcMar>
            <w:vAlign w:val="center"/>
          </w:tcPr>
          <w:p>
            <w:pPr>
              <w:pStyle w:val="TableContents"/>
              <w:bidi w:val="0"/>
              <w:spacing w:lineRule="auto" w:line="240" w:before="0" w:after="0"/>
              <w:jc w:val="center"/>
              <w:rPr>
                <w:rFonts w:ascii="Lato;sans-serif" w:hAnsi="Lato;sans-serif"/>
                <w:b/>
                <w:color w:val="FFFFFF"/>
                <w:sz w:val="20"/>
              </w:rPr>
            </w:pPr>
            <w:r>
              <w:rPr>
                <w:rFonts w:ascii="Lato;sans-serif" w:hAnsi="Lato;sans-serif"/>
                <w:b/>
                <w:color w:val="FFFFFF"/>
                <w:sz w:val="20"/>
              </w:rPr>
              <w:t>FY 2023</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Net cash provided by (used in) operating activities (GAAP)</w:t>
            </w:r>
          </w:p>
        </w:tc>
        <w:tc>
          <w:tcPr>
            <w:tcW w:w="10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$434.9</w:t>
            </w:r>
          </w:p>
        </w:tc>
      </w:tr>
      <w:tr>
        <w:trPr/>
        <w:tc>
          <w:tcPr>
            <w:tcW w:w="6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Purchases of property and equipment and other assets</w:t>
            </w:r>
          </w:p>
        </w:tc>
        <w:tc>
          <w:tcPr>
            <w:tcW w:w="1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(26.5)</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paid in cash</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48.5</w:t>
            </w:r>
          </w:p>
        </w:tc>
      </w:tr>
      <w:tr>
        <w:trPr/>
        <w:tc>
          <w:tcPr>
            <w:tcW w:w="67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 and transaction-related expenses paid in cash</w:t>
            </w:r>
          </w:p>
        </w:tc>
        <w:tc>
          <w:tcPr>
            <w:tcW w:w="1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6.1</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Integration costs and acquisition-related compensation paid in cash</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20"/>
              </w:rPr>
            </w:pPr>
            <w:r>
              <w:rPr>
                <w:rFonts w:ascii="Lato;sans-serif" w:hAnsi="Lato;sans-serif"/>
                <w:b w:val="false"/>
                <w:color w:val="000000"/>
                <w:sz w:val="20"/>
              </w:rPr>
              <w:t>0.5</w:t>
            </w:r>
          </w:p>
        </w:tc>
      </w:tr>
      <w:tr>
        <w:trPr/>
        <w:tc>
          <w:tcPr>
            <w:tcW w:w="67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Lato;sans-serif" w:hAnsi="Lato;sans-serif"/>
                <w:b/>
                <w:color w:val="000000"/>
                <w:sz w:val="20"/>
              </w:rPr>
            </w:pPr>
            <w:r>
              <w:rPr>
                <w:rFonts w:ascii="Lato;sans-serif" w:hAnsi="Lato;sans-serif"/>
                <w:b/>
                <w:color w:val="000000"/>
                <w:sz w:val="20"/>
              </w:rPr>
              <w:t>Unlevered Free Cash Flow (Non-GAAP)</w:t>
            </w:r>
          </w:p>
        </w:tc>
        <w:tc>
          <w:tcPr>
            <w:tcW w:w="1034" w:type="dxa"/>
            <w:gridSpan w:val="3"/>
            <w:tcBorders>
              <w:top w:val="single" w:sz="4"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$463.5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2425"/>
                <wp:effectExtent l="0" t="0" r="0" b="0"/>
                <wp:wrapNone/>
                <wp:docPr id="81" name="Frame7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70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5943600" cy="7658100"/>
            <wp:effectExtent l="0" t="0" r="0" b="0"/>
            <wp:docPr id="8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 descr=""/>
                    <pic:cNvPicPr>
                      <a:picLocks noChangeAspect="1" noChangeArrowheads="1"/>
                    </pic:cNvPicPr>
                  </pic:nvPicPr>
                  <pic:blipFill>
                    <a:blip r:embed="rId7"/>
                    <a:stretch>
                      <a:fillRect/>
                    </a:stretch>
                  </pic:blipFill>
                  <pic:spPr bwMode="auto">
                    <a:xfrm>
                      <a:off x="0" y="0"/>
                      <a:ext cx="5943600" cy="76581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jc w:val="center"/>
        <w:rPr/>
      </w:pPr>
      <w:r>
        <w:rPr/>
        <w:drawing>
          <wp:inline distT="0" distB="0" distL="0" distR="0">
            <wp:extent cx="5943600" cy="7686675"/>
            <wp:effectExtent l="0" t="0" r="0" b="0"/>
            <wp:docPr id="8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 descr=""/>
                    <pic:cNvPicPr>
                      <a:picLocks noChangeAspect="1" noChangeArrowheads="1"/>
                    </pic:cNvPicPr>
                  </pic:nvPicPr>
                  <pic:blipFill>
                    <a:blip r:embed="rId8"/>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ato Black">
    <w:altName w:val="sans-serif"/>
    <w:charset w:val="01"/>
    <w:family w:val="auto"/>
    <w:pitch w:val="default"/>
  </w:font>
  <w:font w:name="Lato">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34732</Words>
  <Characters>190105</Characters>
  <CharactersWithSpaces>223632</CharactersWithSpaces>
  <Paragraphs>2288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