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652780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678180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82550</wp:posOffset>
            </wp:positionV>
            <wp:extent cx="1228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92710</wp:posOffset>
            </wp:positionV>
            <wp:extent cx="1228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254"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(Mark One)</w:t>
      </w:r>
    </w:p>
    <w:p>
      <w:pPr>
        <w:spacing w:after="0" w:line="111" w:lineRule="exact"/>
        <w:rPr>
          <w:sz w:val="24"/>
          <w:szCs w:val="24"/>
          <w:color w:val="auto"/>
        </w:rPr>
      </w:pPr>
    </w:p>
    <w:p>
      <w:pPr>
        <w:ind w:left="680" w:hanging="356"/>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2"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680" w:hanging="356"/>
        <w:spacing w:after="0"/>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190" w:right="339" w:bottom="1440" w:gutter="0" w:footer="0" w:header="0"/>
        </w:sectPr>
      </w:pPr>
    </w:p>
    <w:p>
      <w:pPr>
        <w:spacing w:after="0" w:line="123"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For the transition period from</w:t>
      </w:r>
    </w:p>
    <w:p>
      <w:pPr>
        <w:spacing w:after="0" w:line="22" w:lineRule="exact"/>
        <w:rPr>
          <w:sz w:val="24"/>
          <w:szCs w:val="24"/>
          <w:color w:val="auto"/>
        </w:rPr>
      </w:pPr>
    </w:p>
    <w:p>
      <w:pPr>
        <w:ind w:left="4080"/>
        <w:spacing w:after="0"/>
        <w:rPr>
          <w:sz w:val="20"/>
          <w:szCs w:val="20"/>
          <w:color w:val="auto"/>
        </w:rPr>
      </w:pPr>
      <w:r>
        <w:rPr>
          <w:rFonts w:ascii="Arial" w:cs="Arial" w:eastAsia="Arial" w:hAnsi="Arial"/>
          <w:sz w:val="15"/>
          <w:szCs w:val="15"/>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101600</wp:posOffset>
            </wp:positionV>
            <wp:extent cx="1228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w:t>
      </w:r>
    </w:p>
    <w:p>
      <w:pPr>
        <w:spacing w:after="0" w:line="429" w:lineRule="exact"/>
        <w:rPr>
          <w:sz w:val="24"/>
          <w:szCs w:val="24"/>
          <w:color w:val="auto"/>
        </w:rPr>
      </w:pPr>
    </w:p>
    <w:p>
      <w:pPr>
        <w:sectPr>
          <w:pgSz w:w="11900" w:h="16838" w:orient="portrait"/>
          <w:cols w:equalWidth="0" w:num="2">
            <w:col w:w="6820" w:space="20"/>
            <w:col w:w="4400"/>
          </w:cols>
          <w:pgMar w:left="320" w:top="1190" w:right="339" w:bottom="1440" w:gutter="0" w:footer="0" w:header="0"/>
          <w:type w:val="continuous"/>
        </w:sectPr>
      </w:pPr>
    </w:p>
    <w:p>
      <w:pPr>
        <w:spacing w:after="0" w:line="78" w:lineRule="exact"/>
        <w:rPr>
          <w:sz w:val="24"/>
          <w:szCs w:val="24"/>
          <w:color w:val="auto"/>
        </w:rPr>
      </w:pPr>
    </w:p>
    <w:tbl>
      <w:tblPr>
        <w:tblLayout w:type="fixed"/>
        <w:tblInd w:w="10" w:type="dxa"/>
        <w:tblCellMar>
          <w:top w:w="0" w:type="dxa"/>
          <w:left w:w="0" w:type="dxa"/>
          <w:bottom w:w="0" w:type="dxa"/>
          <w:right w:w="0" w:type="dxa"/>
        </w:tblCellMar>
      </w:tblPr>
      <w:tr>
        <w:trPr>
          <w:trHeight w:val="389"/>
        </w:trPr>
        <w:tc>
          <w:tcPr>
            <w:tcW w:w="3500" w:type="dxa"/>
            <w:vAlign w:val="bottom"/>
          </w:tcPr>
          <w:p>
            <w:pPr>
              <w:spacing w:after="0"/>
              <w:rPr>
                <w:sz w:val="24"/>
                <w:szCs w:val="24"/>
                <w:color w:val="auto"/>
              </w:rPr>
            </w:pPr>
          </w:p>
        </w:tc>
        <w:tc>
          <w:tcPr>
            <w:tcW w:w="4360" w:type="dxa"/>
            <w:vAlign w:val="bottom"/>
            <w:gridSpan w:val="7"/>
          </w:tcPr>
          <w:p>
            <w:pPr>
              <w:jc w:val="center"/>
              <w:ind w:right="100"/>
              <w:spacing w:after="0"/>
              <w:rPr>
                <w:sz w:val="20"/>
                <w:szCs w:val="20"/>
                <w:color w:val="auto"/>
              </w:rPr>
            </w:pPr>
            <w:r>
              <w:rPr>
                <w:rFonts w:ascii="Arial" w:cs="Arial" w:eastAsia="Arial" w:hAnsi="Arial"/>
                <w:sz w:val="32"/>
                <w:szCs w:val="32"/>
                <w:b w:val="1"/>
                <w:bCs w:val="1"/>
                <w:color w:val="auto"/>
                <w:w w:val="88"/>
              </w:rPr>
              <w:t>ZoomInfo Technologies Inc.</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vMerge w:val="restart"/>
          </w:tcPr>
          <w:p>
            <w:pPr>
              <w:jc w:val="center"/>
              <w:ind w:left="190"/>
              <w:spacing w:after="0"/>
              <w:rPr>
                <w:sz w:val="20"/>
                <w:szCs w:val="20"/>
                <w:color w:val="auto"/>
              </w:rPr>
            </w:pPr>
            <w:r>
              <w:rPr>
                <w:rFonts w:ascii="Arial" w:cs="Arial" w:eastAsia="Arial" w:hAnsi="Arial"/>
                <w:sz w:val="14"/>
                <w:szCs w:val="14"/>
                <w:b w:val="1"/>
                <w:bCs w:val="1"/>
                <w:color w:val="auto"/>
                <w:w w:val="91"/>
              </w:rPr>
              <w:t>Delaware</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80" w:type="dxa"/>
            <w:vAlign w:val="bottom"/>
            <w:vMerge w:val="restart"/>
          </w:tcPr>
          <w:p>
            <w:pPr>
              <w:jc w:val="right"/>
              <w:ind w:right="1471"/>
              <w:spacing w:after="0"/>
              <w:rPr>
                <w:sz w:val="20"/>
                <w:szCs w:val="20"/>
                <w:color w:val="auto"/>
              </w:rPr>
            </w:pPr>
            <w:r>
              <w:rPr>
                <w:rFonts w:ascii="Arial" w:cs="Arial" w:eastAsia="Arial" w:hAnsi="Arial"/>
                <w:sz w:val="14"/>
                <w:szCs w:val="14"/>
                <w:b w:val="1"/>
                <w:bCs w:val="1"/>
                <w:color w:val="auto"/>
              </w:rPr>
              <w:t>87-3037521</w:t>
            </w:r>
          </w:p>
        </w:tc>
        <w:tc>
          <w:tcPr>
            <w:tcW w:w="0" w:type="dxa"/>
            <w:vAlign w:val="bottom"/>
          </w:tcPr>
          <w:p>
            <w:pPr>
              <w:spacing w:after="0"/>
              <w:rPr>
                <w:sz w:val="1"/>
                <w:szCs w:val="1"/>
                <w:color w:val="auto"/>
              </w:rPr>
            </w:pPr>
          </w:p>
        </w:tc>
      </w:tr>
      <w:tr>
        <w:trPr>
          <w:trHeight w:val="340"/>
        </w:trPr>
        <w:tc>
          <w:tcPr>
            <w:tcW w:w="3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500" w:type="dxa"/>
            <w:vAlign w:val="bottom"/>
          </w:tcPr>
          <w:p>
            <w:pPr>
              <w:jc w:val="center"/>
              <w:ind w:left="190"/>
              <w:spacing w:after="0"/>
              <w:rPr>
                <w:sz w:val="20"/>
                <w:szCs w:val="20"/>
                <w:color w:val="auto"/>
              </w:rPr>
            </w:pPr>
            <w:r>
              <w:rPr>
                <w:rFonts w:ascii="Arial" w:cs="Arial" w:eastAsia="Arial" w:hAnsi="Arial"/>
                <w:sz w:val="14"/>
                <w:szCs w:val="14"/>
                <w:b w:val="1"/>
                <w:bCs w:val="1"/>
                <w:color w:val="auto"/>
                <w:w w:val="91"/>
              </w:rPr>
              <w:t>(State or other jurisdiction of</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80" w:type="dxa"/>
            <w:vAlign w:val="bottom"/>
          </w:tcPr>
          <w:p>
            <w:pPr>
              <w:jc w:val="center"/>
              <w:ind w:right="291"/>
              <w:spacing w:after="0"/>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4"/>
        </w:trPr>
        <w:tc>
          <w:tcPr>
            <w:tcW w:w="3500" w:type="dxa"/>
            <w:vAlign w:val="bottom"/>
          </w:tcPr>
          <w:p>
            <w:pPr>
              <w:jc w:val="center"/>
              <w:ind w:left="190"/>
              <w:spacing w:after="0"/>
              <w:rPr>
                <w:sz w:val="20"/>
                <w:szCs w:val="20"/>
                <w:color w:val="auto"/>
              </w:rPr>
            </w:pPr>
            <w:r>
              <w:rPr>
                <w:rFonts w:ascii="Arial" w:cs="Arial" w:eastAsia="Arial" w:hAnsi="Arial"/>
                <w:sz w:val="14"/>
                <w:szCs w:val="14"/>
                <w:b w:val="1"/>
                <w:bCs w:val="1"/>
                <w:color w:val="auto"/>
                <w:w w:val="92"/>
              </w:rPr>
              <w:t>incorporation or organization)</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80" w:type="dxa"/>
            <w:vAlign w:val="bottom"/>
          </w:tcPr>
          <w:p>
            <w:pPr>
              <w:jc w:val="center"/>
              <w:ind w:right="291"/>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52"/>
        </w:trPr>
        <w:tc>
          <w:tcPr>
            <w:tcW w:w="3500" w:type="dxa"/>
            <w:vAlign w:val="bottom"/>
          </w:tcPr>
          <w:p>
            <w:pPr>
              <w:jc w:val="center"/>
              <w:ind w:left="510"/>
              <w:spacing w:after="0"/>
              <w:rPr>
                <w:sz w:val="20"/>
                <w:szCs w:val="20"/>
                <w:color w:val="auto"/>
              </w:rPr>
            </w:pPr>
            <w:r>
              <w:rPr>
                <w:rFonts w:ascii="Arial" w:cs="Arial" w:eastAsia="Arial" w:hAnsi="Arial"/>
                <w:sz w:val="14"/>
                <w:szCs w:val="14"/>
                <w:b w:val="1"/>
                <w:bCs w:val="1"/>
                <w:color w:val="auto"/>
                <w:w w:val="90"/>
              </w:rPr>
              <w:t>805 Broadway Street, Suite 900</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4"/>
        </w:trPr>
        <w:tc>
          <w:tcPr>
            <w:tcW w:w="3500" w:type="dxa"/>
            <w:vAlign w:val="bottom"/>
          </w:tcPr>
          <w:p>
            <w:pPr>
              <w:jc w:val="center"/>
              <w:ind w:left="510"/>
              <w:spacing w:after="0"/>
              <w:rPr>
                <w:sz w:val="20"/>
                <w:szCs w:val="20"/>
                <w:color w:val="auto"/>
              </w:rPr>
            </w:pPr>
            <w:r>
              <w:rPr>
                <w:rFonts w:ascii="Arial" w:cs="Arial" w:eastAsia="Arial" w:hAnsi="Arial"/>
                <w:sz w:val="14"/>
                <w:szCs w:val="14"/>
                <w:b w:val="1"/>
                <w:bCs w:val="1"/>
                <w:color w:val="auto"/>
                <w:w w:val="90"/>
              </w:rPr>
              <w:t>Vancouver, Washington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jc w:val="right"/>
              <w:ind w:right="1471"/>
              <w:spacing w:after="0"/>
              <w:rPr>
                <w:sz w:val="20"/>
                <w:szCs w:val="20"/>
                <w:color w:val="auto"/>
              </w:rPr>
            </w:pPr>
            <w:r>
              <w:rPr>
                <w:rFonts w:ascii="Arial" w:cs="Arial" w:eastAsia="Arial" w:hAnsi="Arial"/>
                <w:sz w:val="14"/>
                <w:szCs w:val="14"/>
                <w:b w:val="1"/>
                <w:bCs w:val="1"/>
                <w:color w:val="auto"/>
              </w:rPr>
              <w:t>98660</w:t>
            </w:r>
          </w:p>
        </w:tc>
        <w:tc>
          <w:tcPr>
            <w:tcW w:w="0" w:type="dxa"/>
            <w:vAlign w:val="bottom"/>
          </w:tcPr>
          <w:p>
            <w:pPr>
              <w:spacing w:after="0"/>
              <w:rPr>
                <w:sz w:val="1"/>
                <w:szCs w:val="1"/>
                <w:color w:val="auto"/>
              </w:rPr>
            </w:pPr>
          </w:p>
        </w:tc>
      </w:tr>
      <w:tr>
        <w:trPr>
          <w:trHeight w:val="384"/>
        </w:trPr>
        <w:tc>
          <w:tcPr>
            <w:tcW w:w="3500" w:type="dxa"/>
            <w:vAlign w:val="bottom"/>
          </w:tcPr>
          <w:p>
            <w:pPr>
              <w:jc w:val="center"/>
              <w:ind w:left="510"/>
              <w:spacing w:after="0"/>
              <w:rPr>
                <w:sz w:val="20"/>
                <w:szCs w:val="20"/>
                <w:color w:val="auto"/>
              </w:rPr>
            </w:pPr>
            <w:r>
              <w:rPr>
                <w:rFonts w:ascii="Arial" w:cs="Arial" w:eastAsia="Arial" w:hAnsi="Arial"/>
                <w:sz w:val="14"/>
                <w:szCs w:val="14"/>
                <w:color w:val="auto"/>
                <w:w w:val="93"/>
              </w:rPr>
              <w:t>(Address of principal executive offices)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jc w:val="right"/>
              <w:ind w:right="1331"/>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3100" w:type="dxa"/>
            <w:vAlign w:val="bottom"/>
            <w:gridSpan w:val="4"/>
          </w:tcPr>
          <w:p>
            <w:pPr>
              <w:jc w:val="right"/>
              <w:ind w:right="305"/>
              <w:spacing w:after="0"/>
              <w:rPr>
                <w:sz w:val="20"/>
                <w:szCs w:val="20"/>
                <w:color w:val="auto"/>
              </w:rPr>
            </w:pPr>
            <w:r>
              <w:rPr>
                <w:rFonts w:ascii="Arial" w:cs="Arial" w:eastAsia="Arial" w:hAnsi="Arial"/>
                <w:sz w:val="14"/>
                <w:szCs w:val="14"/>
                <w:b w:val="1"/>
                <w:bCs w:val="1"/>
                <w:color w:val="auto"/>
              </w:rPr>
              <w:t>(800) 914-1220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6"/>
          </w:tcPr>
          <w:p>
            <w:pPr>
              <w:jc w:val="center"/>
              <w:ind w:right="60"/>
              <w:spacing w:after="0"/>
              <w:rPr>
                <w:sz w:val="20"/>
                <w:szCs w:val="20"/>
                <w:color w:val="auto"/>
              </w:rPr>
            </w:pPr>
            <w:r>
              <w:rPr>
                <w:rFonts w:ascii="Arial" w:cs="Arial" w:eastAsia="Arial" w:hAnsi="Arial"/>
                <w:sz w:val="14"/>
                <w:szCs w:val="14"/>
                <w:color w:val="auto"/>
                <w:w w:val="91"/>
              </w:rPr>
              <w:t>(Registrant’s telephone number, including area code)</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500" w:type="dxa"/>
            <w:vAlign w:val="bottom"/>
            <w:vMerge w:val="restart"/>
          </w:tcPr>
          <w:p>
            <w:pPr>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3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2"/>
                <w:szCs w:val="12"/>
                <w:b w:val="1"/>
                <w:bCs w:val="1"/>
                <w:color w:val="auto"/>
              </w:rPr>
              <w:t>Title of Each Class</w:t>
            </w:r>
          </w:p>
        </w:tc>
        <w:tc>
          <w:tcPr>
            <w:tcW w:w="2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Borders>
              <w:right w:val="single" w:sz="8" w:color="auto"/>
            </w:tcBorders>
            <w:gridSpan w:val="3"/>
          </w:tcPr>
          <w:p>
            <w:pPr>
              <w:jc w:val="center"/>
              <w:ind w:right="1080"/>
              <w:spacing w:after="0"/>
              <w:rPr>
                <w:sz w:val="20"/>
                <w:szCs w:val="20"/>
                <w:color w:val="auto"/>
              </w:rPr>
            </w:pPr>
            <w:r>
              <w:rPr>
                <w:rFonts w:ascii="Arial" w:cs="Arial" w:eastAsia="Arial" w:hAnsi="Arial"/>
                <w:sz w:val="12"/>
                <w:szCs w:val="12"/>
                <w:b w:val="1"/>
                <w:bCs w:val="1"/>
                <w:color w:val="auto"/>
                <w:w w:val="92"/>
              </w:rPr>
              <w:t>Trading Symbol(s)</w:t>
            </w:r>
          </w:p>
        </w:tc>
        <w:tc>
          <w:tcPr>
            <w:tcW w:w="340" w:type="dxa"/>
            <w:vAlign w:val="bottom"/>
          </w:tcPr>
          <w:p>
            <w:pPr>
              <w:spacing w:after="0"/>
              <w:rPr>
                <w:sz w:val="14"/>
                <w:szCs w:val="14"/>
                <w:color w:val="auto"/>
              </w:rPr>
            </w:pPr>
          </w:p>
        </w:tc>
        <w:tc>
          <w:tcPr>
            <w:tcW w:w="3380" w:type="dxa"/>
            <w:vAlign w:val="bottom"/>
            <w:tcBorders>
              <w:right w:val="single" w:sz="8" w:color="auto"/>
            </w:tcBorders>
          </w:tcPr>
          <w:p>
            <w:pPr>
              <w:jc w:val="center"/>
              <w:ind w:right="291"/>
              <w:spacing w:after="0"/>
              <w:rPr>
                <w:sz w:val="20"/>
                <w:szCs w:val="20"/>
                <w:color w:val="auto"/>
              </w:rPr>
            </w:pPr>
            <w:r>
              <w:rPr>
                <w:rFonts w:ascii="Arial" w:cs="Arial" w:eastAsia="Arial" w:hAnsi="Arial"/>
                <w:sz w:val="12"/>
                <w:szCs w:val="12"/>
                <w:b w:val="1"/>
                <w:bCs w:val="1"/>
                <w:color w:val="auto"/>
                <w:w w:val="90"/>
              </w:rPr>
              <w:t>Name of each exchange on which registered</w:t>
            </w:r>
          </w:p>
        </w:tc>
        <w:tc>
          <w:tcPr>
            <w:tcW w:w="0" w:type="dxa"/>
            <w:vAlign w:val="bottom"/>
          </w:tcPr>
          <w:p>
            <w:pPr>
              <w:spacing w:after="0"/>
              <w:rPr>
                <w:sz w:val="1"/>
                <w:szCs w:val="1"/>
                <w:color w:val="auto"/>
              </w:rPr>
            </w:pPr>
          </w:p>
        </w:tc>
      </w:tr>
      <w:tr>
        <w:trPr>
          <w:trHeight w:val="30"/>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00" w:type="dxa"/>
            <w:vAlign w:val="bottom"/>
            <w:tcBorders>
              <w:left w:val="single" w:sz="8" w:color="auto"/>
            </w:tcBorders>
          </w:tcPr>
          <w:p>
            <w:pPr>
              <w:jc w:val="center"/>
              <w:ind w:left="210"/>
              <w:spacing w:after="0"/>
              <w:rPr>
                <w:sz w:val="20"/>
                <w:szCs w:val="20"/>
                <w:color w:val="auto"/>
              </w:rPr>
            </w:pPr>
            <w:r>
              <w:rPr>
                <w:rFonts w:ascii="Arial" w:cs="Arial" w:eastAsia="Arial" w:hAnsi="Arial"/>
                <w:sz w:val="14"/>
                <w:szCs w:val="14"/>
                <w:color w:val="auto"/>
                <w:w w:val="90"/>
              </w:rPr>
              <w:t>Common Stock, par value $0.01 per share</w:t>
            </w:r>
          </w:p>
        </w:tc>
        <w:tc>
          <w:tcPr>
            <w:tcW w:w="26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tcBorders>
              <w:right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9"/>
              </w:rPr>
              <w:t>ZI</w:t>
            </w:r>
          </w:p>
        </w:tc>
        <w:tc>
          <w:tcPr>
            <w:tcW w:w="340" w:type="dxa"/>
            <w:vAlign w:val="bottom"/>
          </w:tcPr>
          <w:p>
            <w:pPr>
              <w:spacing w:after="0"/>
              <w:rPr>
                <w:sz w:val="20"/>
                <w:szCs w:val="20"/>
                <w:color w:val="auto"/>
              </w:rPr>
            </w:pPr>
          </w:p>
        </w:tc>
        <w:tc>
          <w:tcPr>
            <w:tcW w:w="3380" w:type="dxa"/>
            <w:vAlign w:val="bottom"/>
            <w:tcBorders>
              <w:right w:val="single" w:sz="8" w:color="auto"/>
            </w:tcBorders>
          </w:tcPr>
          <w:p>
            <w:pPr>
              <w:jc w:val="center"/>
              <w:ind w:right="291"/>
              <w:spacing w:after="0"/>
              <w:rPr>
                <w:sz w:val="20"/>
                <w:szCs w:val="20"/>
                <w:color w:val="auto"/>
              </w:rPr>
            </w:pPr>
            <w:r>
              <w:rPr>
                <w:rFonts w:ascii="Arial" w:cs="Arial" w:eastAsia="Arial" w:hAnsi="Arial"/>
                <w:sz w:val="14"/>
                <w:szCs w:val="14"/>
                <w:color w:val="auto"/>
                <w:w w:val="92"/>
              </w:rPr>
              <w:t>The Nasdaq Stock Market LLC</w:t>
            </w:r>
          </w:p>
        </w:tc>
        <w:tc>
          <w:tcPr>
            <w:tcW w:w="0" w:type="dxa"/>
            <w:vAlign w:val="bottom"/>
          </w:tcPr>
          <w:p>
            <w:pPr>
              <w:spacing w:after="0"/>
              <w:rPr>
                <w:sz w:val="1"/>
                <w:szCs w:val="1"/>
                <w:color w:val="auto"/>
              </w:rPr>
            </w:pPr>
          </w:p>
        </w:tc>
      </w:tr>
      <w:tr>
        <w:trPr>
          <w:trHeight w:val="28"/>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4"/>
          <w:szCs w:val="24"/>
          <w:color w:val="auto"/>
        </w:rPr>
      </w:pPr>
    </w:p>
    <w:p>
      <w:pPr>
        <w:jc w:val="both"/>
        <w:ind w:firstLine="318"/>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7" w:lineRule="exact"/>
        <w:rPr>
          <w:sz w:val="24"/>
          <w:szCs w:val="24"/>
          <w:color w:val="auto"/>
        </w:rPr>
      </w:pPr>
    </w:p>
    <w:p>
      <w:pPr>
        <w:jc w:val="both"/>
        <w:ind w:firstLine="318"/>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0" w:lineRule="exact"/>
        <w:rPr>
          <w:sz w:val="24"/>
          <w:szCs w:val="24"/>
          <w:color w:val="auto"/>
        </w:rPr>
      </w:pPr>
    </w:p>
    <w:p>
      <w:pPr>
        <w:jc w:val="both"/>
        <w:ind w:firstLine="318"/>
        <w:spacing w:after="0" w:line="28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2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38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2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5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80" w:type="dxa"/>
            <w:vAlign w:val="bottom"/>
          </w:tcPr>
          <w:p>
            <w:pPr>
              <w:ind w:left="3520"/>
              <w:spacing w:after="0"/>
              <w:rPr>
                <w:sz w:val="20"/>
                <w:szCs w:val="20"/>
                <w:color w:val="auto"/>
              </w:rPr>
            </w:pPr>
            <w:r>
              <w:rPr>
                <w:rFonts w:ascii="Arial" w:cs="Arial" w:eastAsia="Arial" w:hAnsi="Arial"/>
                <w:sz w:val="14"/>
                <w:szCs w:val="14"/>
                <w:color w:val="auto"/>
              </w:rPr>
              <w:t>Emerging growth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3" w:lineRule="exact"/>
        <w:rPr>
          <w:sz w:val="24"/>
          <w:szCs w:val="24"/>
          <w:color w:val="auto"/>
        </w:rPr>
      </w:pPr>
    </w:p>
    <w:p>
      <w:pPr>
        <w:ind w:firstLine="318"/>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8" w:lineRule="exact"/>
        <w:rPr>
          <w:sz w:val="24"/>
          <w:szCs w:val="24"/>
          <w:color w:val="auto"/>
        </w:rPr>
      </w:pPr>
    </w:p>
    <w:p>
      <w:pPr>
        <w:ind w:left="320"/>
        <w:spacing w:after="0" w:line="150" w:lineRule="exact"/>
        <w:tabs>
          <w:tab w:leader="none" w:pos="7300" w:val="left"/>
        </w:tabs>
        <w:rPr>
          <w:sz w:val="20"/>
          <w:szCs w:val="20"/>
          <w:color w:val="auto"/>
        </w:rPr>
      </w:pPr>
      <w:r>
        <w:rPr>
          <w:rFonts w:ascii="Arial" w:cs="Arial" w:eastAsia="Arial" w:hAnsi="Arial"/>
          <w:sz w:val="13"/>
          <w:szCs w:val="13"/>
          <w:color w:val="auto"/>
        </w:rPr>
        <w:t xml:space="preserve">Indicate by check mark whether the registrant is a shell company (as defined by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116205</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July 21, 2023, there were 401,469,491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982345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633095</wp:posOffset>
            </wp:positionV>
            <wp:extent cx="7000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type w:val="continuous"/>
        </w:sectPr>
      </w:pPr>
    </w:p>
    <w:bookmarkStart w:id="1" w:name="page2"/>
    <w:bookmarkEnd w:id="1"/>
    <w:p>
      <w:pPr>
        <w:ind w:left="4720"/>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Quarterly Report on Form 10-Q</w:t>
      </w:r>
    </w:p>
    <w:p>
      <w:pPr>
        <w:spacing w:after="0" w:line="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8"/>
        </w:trPr>
        <w:tc>
          <w:tcPr>
            <w:tcW w:w="640" w:type="dxa"/>
            <w:vAlign w:val="bottom"/>
            <w:vMerge w:val="restart"/>
          </w:tcPr>
          <w:p>
            <w:pPr>
              <w:spacing w:after="0"/>
              <w:rPr>
                <w:sz w:val="20"/>
                <w:szCs w:val="20"/>
                <w:color w:val="auto"/>
              </w:rPr>
            </w:pPr>
            <w:r>
              <w:rPr>
                <w:rFonts w:ascii="Arial" w:cs="Arial" w:eastAsia="Arial" w:hAnsi="Arial"/>
                <w:sz w:val="18"/>
                <w:szCs w:val="18"/>
                <w:color w:val="0000FF"/>
                <w:w w:val="87"/>
              </w:rPr>
              <w:t>Glossary</w:t>
            </w:r>
          </w:p>
        </w:tc>
        <w:tc>
          <w:tcPr>
            <w:tcW w:w="9780" w:type="dxa"/>
            <w:vAlign w:val="bottom"/>
            <w:gridSpan w:val="22"/>
            <w:vMerge w:val="restart"/>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40" w:type="dxa"/>
            <w:vAlign w:val="bottom"/>
            <w:vMerge w:val="continue"/>
          </w:tcPr>
          <w:p>
            <w:pPr>
              <w:spacing w:after="0"/>
              <w:rPr>
                <w:sz w:val="16"/>
                <w:szCs w:val="16"/>
                <w:color w:val="auto"/>
              </w:rPr>
            </w:pPr>
          </w:p>
        </w:tc>
        <w:tc>
          <w:tcPr>
            <w:tcW w:w="9780" w:type="dxa"/>
            <w:vAlign w:val="bottom"/>
            <w:gridSpan w:val="22"/>
            <w:vMerge w:val="continue"/>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gridSpan w:val="2"/>
          </w:tcPr>
          <w:p>
            <w:pPr>
              <w:jc w:val="center"/>
              <w:ind w:right="360"/>
              <w:spacing w:after="0"/>
              <w:rPr>
                <w:sz w:val="20"/>
                <w:szCs w:val="20"/>
                <w:color w:val="auto"/>
              </w:rPr>
            </w:pPr>
            <w:r>
              <w:rPr>
                <w:rFonts w:ascii="Arial" w:cs="Arial" w:eastAsia="Arial" w:hAnsi="Arial"/>
                <w:sz w:val="14"/>
                <w:szCs w:val="14"/>
                <w:color w:val="0000FF"/>
                <w:w w:val="95"/>
              </w:rPr>
              <w:t>ii</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420" w:type="dxa"/>
            <w:vAlign w:val="bottom"/>
            <w:gridSpan w:val="23"/>
          </w:tcPr>
          <w:p>
            <w:pPr>
              <w:spacing w:after="0"/>
              <w:rPr>
                <w:sz w:val="20"/>
                <w:szCs w:val="20"/>
                <w:color w:val="auto"/>
              </w:rPr>
            </w:pPr>
            <w:r>
              <w:rPr>
                <w:rFonts w:ascii="Arial" w:cs="Arial" w:eastAsia="Arial" w:hAnsi="Arial"/>
                <w:sz w:val="18"/>
                <w:szCs w:val="18"/>
                <w:color w:val="0000FF"/>
              </w:rPr>
              <w:t>Cautionary Statement Regarding Forward-Looking Statements</w:t>
            </w:r>
          </w:p>
        </w:tc>
        <w:tc>
          <w:tcPr>
            <w:tcW w:w="380" w:type="dxa"/>
            <w:vAlign w:val="bottom"/>
          </w:tcPr>
          <w:p>
            <w:pPr>
              <w:spacing w:after="0"/>
              <w:rPr>
                <w:sz w:val="21"/>
                <w:szCs w:val="21"/>
                <w:color w:val="auto"/>
              </w:rPr>
            </w:pPr>
          </w:p>
        </w:tc>
        <w:tc>
          <w:tcPr>
            <w:tcW w:w="420" w:type="dxa"/>
            <w:vAlign w:val="bottom"/>
            <w:gridSpan w:val="2"/>
          </w:tcPr>
          <w:p>
            <w:pPr>
              <w:jc w:val="center"/>
              <w:ind w:right="340"/>
              <w:spacing w:after="0"/>
              <w:rPr>
                <w:sz w:val="20"/>
                <w:szCs w:val="20"/>
                <w:color w:val="auto"/>
              </w:rPr>
            </w:pPr>
            <w:r>
              <w:rPr>
                <w:rFonts w:ascii="Arial" w:cs="Arial" w:eastAsia="Arial" w:hAnsi="Arial"/>
                <w:sz w:val="14"/>
                <w:szCs w:val="14"/>
                <w:color w:val="0000FF"/>
                <w:w w:val="78"/>
              </w:rPr>
              <w:t>iv</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8"/>
          </w:tcPr>
          <w:p>
            <w:pPr>
              <w:jc w:val="center"/>
              <w:ind w:right="3380"/>
              <w:spacing w:after="0"/>
              <w:rPr>
                <w:sz w:val="20"/>
                <w:szCs w:val="20"/>
                <w:color w:val="auto"/>
              </w:rPr>
            </w:pPr>
            <w:r>
              <w:rPr>
                <w:rFonts w:ascii="Arial" w:cs="Arial" w:eastAsia="Arial" w:hAnsi="Arial"/>
                <w:sz w:val="18"/>
                <w:szCs w:val="18"/>
                <w:color w:val="0000FF"/>
                <w:w w:val="96"/>
              </w:rPr>
              <w:t>PART I - FINANCIAL INFORMATION</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160" w:type="dxa"/>
            <w:vAlign w:val="bottom"/>
            <w:gridSpan w:val="15"/>
          </w:tcPr>
          <w:p>
            <w:pPr>
              <w:spacing w:after="0"/>
              <w:rPr>
                <w:sz w:val="20"/>
                <w:szCs w:val="20"/>
                <w:color w:val="auto"/>
              </w:rPr>
            </w:pPr>
            <w:r>
              <w:rPr>
                <w:rFonts w:ascii="Arial" w:cs="Arial" w:eastAsia="Arial" w:hAnsi="Arial"/>
                <w:sz w:val="18"/>
                <w:szCs w:val="18"/>
                <w:color w:val="0000FF"/>
              </w:rPr>
              <w:t>Item 1. Financial Statements</w:t>
            </w:r>
          </w:p>
        </w:tc>
        <w:tc>
          <w:tcPr>
            <w:tcW w:w="2880" w:type="dxa"/>
            <w:vAlign w:val="bottom"/>
            <w:tcBorders>
              <w:top w:val="single" w:sz="8" w:color="0000FF"/>
            </w:tcBorders>
            <w:gridSpan w:val="7"/>
          </w:tcPr>
          <w:p>
            <w:pPr>
              <w:spacing w:after="0"/>
              <w:rPr>
                <w:sz w:val="21"/>
                <w:szCs w:val="21"/>
                <w:color w:val="auto"/>
              </w:rPr>
            </w:pPr>
          </w:p>
        </w:tc>
        <w:tc>
          <w:tcPr>
            <w:tcW w:w="3380" w:type="dxa"/>
            <w:vAlign w:val="bottom"/>
          </w:tcPr>
          <w:p>
            <w:pPr>
              <w:spacing w:after="0"/>
              <w:rPr>
                <w:sz w:val="21"/>
                <w:szCs w:val="21"/>
                <w:color w:val="auto"/>
              </w:rPr>
            </w:pPr>
          </w:p>
        </w:tc>
        <w:tc>
          <w:tcPr>
            <w:tcW w:w="460" w:type="dxa"/>
            <w:vAlign w:val="bottom"/>
            <w:gridSpan w:val="2"/>
          </w:tcPr>
          <w:p>
            <w:pPr>
              <w:jc w:val="center"/>
              <w:ind w:left="273"/>
              <w:spacing w:after="0"/>
              <w:rPr>
                <w:sz w:val="20"/>
                <w:szCs w:val="20"/>
                <w:color w:val="auto"/>
              </w:rPr>
            </w:pPr>
            <w:r>
              <w:rPr>
                <w:rFonts w:ascii="Arial" w:cs="Arial" w:eastAsia="Arial" w:hAnsi="Arial"/>
                <w:sz w:val="18"/>
                <w:szCs w:val="18"/>
                <w:color w:val="0000FF"/>
                <w:w w:val="99"/>
              </w:rPr>
              <w:t>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60" w:type="dxa"/>
            <w:vAlign w:val="bottom"/>
            <w:gridSpan w:val="8"/>
          </w:tcPr>
          <w:p>
            <w:pPr>
              <w:spacing w:after="0"/>
              <w:rPr>
                <w:sz w:val="20"/>
                <w:szCs w:val="20"/>
                <w:color w:val="auto"/>
              </w:rPr>
            </w:pPr>
            <w:r>
              <w:rPr>
                <w:rFonts w:ascii="Arial" w:cs="Arial" w:eastAsia="Arial" w:hAnsi="Arial"/>
                <w:sz w:val="18"/>
                <w:szCs w:val="18"/>
                <w:color w:val="0000FF"/>
                <w:w w:val="86"/>
              </w:rPr>
              <w:t>Consolidated Balance Sheets</w:t>
            </w:r>
          </w:p>
        </w:tc>
        <w:tc>
          <w:tcPr>
            <w:tcW w:w="7700" w:type="dxa"/>
            <w:vAlign w:val="bottom"/>
            <w:gridSpan w:val="13"/>
          </w:tcPr>
          <w:p>
            <w:pPr>
              <w:spacing w:after="0"/>
              <w:rPr>
                <w:sz w:val="21"/>
                <w:szCs w:val="21"/>
                <w:color w:val="auto"/>
              </w:rPr>
            </w:pPr>
          </w:p>
        </w:tc>
        <w:tc>
          <w:tcPr>
            <w:tcW w:w="460" w:type="dxa"/>
            <w:vAlign w:val="bottom"/>
            <w:gridSpan w:val="2"/>
          </w:tcPr>
          <w:p>
            <w:pPr>
              <w:jc w:val="center"/>
              <w:ind w:left="273"/>
              <w:spacing w:after="0"/>
              <w:rPr>
                <w:sz w:val="20"/>
                <w:szCs w:val="20"/>
                <w:color w:val="auto"/>
              </w:rPr>
            </w:pPr>
            <w:r>
              <w:rPr>
                <w:rFonts w:ascii="Arial" w:cs="Arial" w:eastAsia="Arial" w:hAnsi="Arial"/>
                <w:sz w:val="18"/>
                <w:szCs w:val="18"/>
                <w:color w:val="0000FF"/>
                <w:w w:val="99"/>
              </w:rPr>
              <w:t>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1"/>
          </w:tcPr>
          <w:p>
            <w:pPr>
              <w:spacing w:after="0"/>
              <w:rPr>
                <w:sz w:val="20"/>
                <w:szCs w:val="20"/>
                <w:color w:val="auto"/>
              </w:rPr>
            </w:pPr>
            <w:r>
              <w:rPr>
                <w:rFonts w:ascii="Arial" w:cs="Arial" w:eastAsia="Arial" w:hAnsi="Arial"/>
                <w:sz w:val="18"/>
                <w:szCs w:val="18"/>
                <w:color w:val="0000FF"/>
              </w:rPr>
              <w:t>Consolidated Statements of Operations</w:t>
            </w:r>
          </w:p>
        </w:tc>
        <w:tc>
          <w:tcPr>
            <w:tcW w:w="460" w:type="dxa"/>
            <w:vAlign w:val="bottom"/>
            <w:gridSpan w:val="2"/>
          </w:tcPr>
          <w:p>
            <w:pPr>
              <w:jc w:val="center"/>
              <w:ind w:left="273"/>
              <w:spacing w:after="0"/>
              <w:rPr>
                <w:sz w:val="20"/>
                <w:szCs w:val="20"/>
                <w:color w:val="auto"/>
              </w:rPr>
            </w:pPr>
            <w:r>
              <w:rPr>
                <w:rFonts w:ascii="Arial" w:cs="Arial" w:eastAsia="Arial" w:hAnsi="Arial"/>
                <w:sz w:val="18"/>
                <w:szCs w:val="18"/>
                <w:color w:val="0000FF"/>
                <w:w w:val="99"/>
              </w:rPr>
              <w:t>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17"/>
          </w:tcPr>
          <w:p>
            <w:pPr>
              <w:spacing w:after="0"/>
              <w:rPr>
                <w:sz w:val="20"/>
                <w:szCs w:val="20"/>
                <w:color w:val="auto"/>
              </w:rPr>
            </w:pPr>
            <w:r>
              <w:rPr>
                <w:rFonts w:ascii="Arial" w:cs="Arial" w:eastAsia="Arial" w:hAnsi="Arial"/>
                <w:sz w:val="18"/>
                <w:szCs w:val="18"/>
                <w:color w:val="0000FF"/>
                <w:w w:val="87"/>
              </w:rPr>
              <w:t>Consolidated Statements of Comprehensive Income (Loss)</w:t>
            </w:r>
          </w:p>
        </w:tc>
        <w:tc>
          <w:tcPr>
            <w:tcW w:w="5600" w:type="dxa"/>
            <w:vAlign w:val="bottom"/>
            <w:gridSpan w:val="4"/>
          </w:tcPr>
          <w:p>
            <w:pPr>
              <w:spacing w:after="0"/>
              <w:rPr>
                <w:sz w:val="21"/>
                <w:szCs w:val="21"/>
                <w:color w:val="auto"/>
              </w:rPr>
            </w:pPr>
          </w:p>
        </w:tc>
        <w:tc>
          <w:tcPr>
            <w:tcW w:w="460" w:type="dxa"/>
            <w:vAlign w:val="bottom"/>
            <w:gridSpan w:val="2"/>
          </w:tcPr>
          <w:p>
            <w:pPr>
              <w:jc w:val="center"/>
              <w:ind w:left="273"/>
              <w:spacing w:after="0"/>
              <w:rPr>
                <w:sz w:val="20"/>
                <w:szCs w:val="20"/>
                <w:color w:val="auto"/>
              </w:rPr>
            </w:pPr>
            <w:r>
              <w:rPr>
                <w:rFonts w:ascii="Arial" w:cs="Arial" w:eastAsia="Arial" w:hAnsi="Arial"/>
                <w:sz w:val="18"/>
                <w:szCs w:val="18"/>
                <w:color w:val="0000FF"/>
                <w:w w:val="99"/>
              </w:rPr>
              <w:t>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17"/>
          </w:tcPr>
          <w:p>
            <w:pPr>
              <w:spacing w:after="0"/>
              <w:rPr>
                <w:sz w:val="20"/>
                <w:szCs w:val="20"/>
                <w:color w:val="auto"/>
              </w:rPr>
            </w:pPr>
            <w:r>
              <w:rPr>
                <w:rFonts w:ascii="Arial" w:cs="Arial" w:eastAsia="Arial" w:hAnsi="Arial"/>
                <w:sz w:val="18"/>
                <w:szCs w:val="18"/>
                <w:color w:val="0000FF"/>
                <w:w w:val="93"/>
              </w:rPr>
              <w:t>Consolidated Statements of Changes in Equity (Deficit)</w:t>
            </w:r>
          </w:p>
        </w:tc>
        <w:tc>
          <w:tcPr>
            <w:tcW w:w="5600" w:type="dxa"/>
            <w:vAlign w:val="bottom"/>
            <w:gridSpan w:val="4"/>
          </w:tcPr>
          <w:p>
            <w:pPr>
              <w:spacing w:after="0"/>
              <w:rPr>
                <w:sz w:val="21"/>
                <w:szCs w:val="21"/>
                <w:color w:val="auto"/>
              </w:rPr>
            </w:pPr>
          </w:p>
        </w:tc>
        <w:tc>
          <w:tcPr>
            <w:tcW w:w="460" w:type="dxa"/>
            <w:vAlign w:val="bottom"/>
            <w:gridSpan w:val="2"/>
          </w:tcPr>
          <w:p>
            <w:pPr>
              <w:jc w:val="center"/>
              <w:ind w:left="273"/>
              <w:spacing w:after="0"/>
              <w:rPr>
                <w:sz w:val="20"/>
                <w:szCs w:val="20"/>
                <w:color w:val="auto"/>
              </w:rPr>
            </w:pPr>
            <w:r>
              <w:rPr>
                <w:rFonts w:ascii="Arial" w:cs="Arial" w:eastAsia="Arial" w:hAnsi="Arial"/>
                <w:sz w:val="18"/>
                <w:szCs w:val="18"/>
                <w:color w:val="0000FF"/>
                <w:w w:val="99"/>
              </w:rPr>
              <w:t>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gridSpan w:val="16"/>
          </w:tcPr>
          <w:p>
            <w:pPr>
              <w:spacing w:after="0"/>
              <w:rPr>
                <w:sz w:val="20"/>
                <w:szCs w:val="20"/>
                <w:color w:val="auto"/>
              </w:rPr>
            </w:pPr>
            <w:r>
              <w:rPr>
                <w:rFonts w:ascii="Arial" w:cs="Arial" w:eastAsia="Arial" w:hAnsi="Arial"/>
                <w:sz w:val="18"/>
                <w:szCs w:val="18"/>
                <w:color w:val="0000FF"/>
              </w:rPr>
              <w:t>Consolidated Statements of Cash Flows</w:t>
            </w:r>
          </w:p>
        </w:tc>
        <w:tc>
          <w:tcPr>
            <w:tcW w:w="5820" w:type="dxa"/>
            <w:vAlign w:val="bottom"/>
            <w:gridSpan w:val="5"/>
          </w:tcPr>
          <w:p>
            <w:pPr>
              <w:spacing w:after="0"/>
              <w:rPr>
                <w:sz w:val="21"/>
                <w:szCs w:val="21"/>
                <w:color w:val="auto"/>
              </w:rPr>
            </w:pPr>
          </w:p>
        </w:tc>
        <w:tc>
          <w:tcPr>
            <w:tcW w:w="460" w:type="dxa"/>
            <w:vAlign w:val="bottom"/>
            <w:gridSpan w:val="2"/>
          </w:tcPr>
          <w:p>
            <w:pPr>
              <w:jc w:val="center"/>
              <w:ind w:left="273"/>
              <w:spacing w:after="0"/>
              <w:rPr>
                <w:sz w:val="20"/>
                <w:szCs w:val="20"/>
                <w:color w:val="auto"/>
              </w:rPr>
            </w:pPr>
            <w:r>
              <w:rPr>
                <w:rFonts w:ascii="Arial" w:cs="Arial" w:eastAsia="Arial" w:hAnsi="Arial"/>
                <w:sz w:val="18"/>
                <w:szCs w:val="18"/>
                <w:color w:val="0000FF"/>
                <w:w w:val="99"/>
              </w:rPr>
              <w:t>7</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gridSpan w:val="12"/>
          </w:tcPr>
          <w:p>
            <w:pPr>
              <w:spacing w:after="0"/>
              <w:rPr>
                <w:sz w:val="20"/>
                <w:szCs w:val="20"/>
                <w:color w:val="auto"/>
              </w:rPr>
            </w:pPr>
            <w:r>
              <w:rPr>
                <w:rFonts w:ascii="Arial" w:cs="Arial" w:eastAsia="Arial" w:hAnsi="Arial"/>
                <w:sz w:val="18"/>
                <w:szCs w:val="18"/>
                <w:color w:val="0000FF"/>
                <w:w w:val="87"/>
              </w:rPr>
              <w:t>Notes to the Consolidated Financial Statements</w:t>
            </w:r>
          </w:p>
        </w:tc>
        <w:tc>
          <w:tcPr>
            <w:tcW w:w="6400" w:type="dxa"/>
            <w:vAlign w:val="bottom"/>
            <w:gridSpan w:val="9"/>
          </w:tcPr>
          <w:p>
            <w:pPr>
              <w:spacing w:after="0"/>
              <w:rPr>
                <w:sz w:val="21"/>
                <w:szCs w:val="21"/>
                <w:color w:val="auto"/>
              </w:rPr>
            </w:pPr>
          </w:p>
        </w:tc>
        <w:tc>
          <w:tcPr>
            <w:tcW w:w="460" w:type="dxa"/>
            <w:vAlign w:val="bottom"/>
            <w:gridSpan w:val="2"/>
          </w:tcPr>
          <w:p>
            <w:pPr>
              <w:jc w:val="center"/>
              <w:ind w:left="273"/>
              <w:spacing w:after="0"/>
              <w:rPr>
                <w:sz w:val="20"/>
                <w:szCs w:val="20"/>
                <w:color w:val="auto"/>
              </w:rPr>
            </w:pPr>
            <w:r>
              <w:rPr>
                <w:rFonts w:ascii="Arial" w:cs="Arial" w:eastAsia="Arial" w:hAnsi="Arial"/>
                <w:sz w:val="18"/>
                <w:szCs w:val="18"/>
                <w:color w:val="0000FF"/>
                <w:w w:val="99"/>
              </w:rPr>
              <w:t>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860" w:type="dxa"/>
            <w:vAlign w:val="bottom"/>
            <w:gridSpan w:val="20"/>
          </w:tcPr>
          <w:p>
            <w:pPr>
              <w:spacing w:after="0"/>
              <w:rPr>
                <w:sz w:val="20"/>
                <w:szCs w:val="20"/>
                <w:color w:val="auto"/>
              </w:rPr>
            </w:pPr>
            <w:r>
              <w:rPr>
                <w:rFonts w:ascii="Arial" w:cs="Arial" w:eastAsia="Arial" w:hAnsi="Arial"/>
                <w:sz w:val="18"/>
                <w:szCs w:val="18"/>
                <w:color w:val="0000FF"/>
                <w:w w:val="89"/>
              </w:rPr>
              <w:t>Item 2. Management's Discussion and Analysis of Financial Condition and Results of Operations</w:t>
            </w:r>
          </w:p>
        </w:tc>
        <w:tc>
          <w:tcPr>
            <w:tcW w:w="3560" w:type="dxa"/>
            <w:vAlign w:val="bottom"/>
            <w:gridSpan w:val="3"/>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gridSpan w:val="19"/>
          </w:tcPr>
          <w:p>
            <w:pPr>
              <w:spacing w:after="0"/>
              <w:rPr>
                <w:sz w:val="20"/>
                <w:szCs w:val="20"/>
                <w:color w:val="auto"/>
              </w:rPr>
            </w:pPr>
            <w:r>
              <w:rPr>
                <w:rFonts w:ascii="Arial" w:cs="Arial" w:eastAsia="Arial" w:hAnsi="Arial"/>
                <w:sz w:val="18"/>
                <w:szCs w:val="18"/>
                <w:color w:val="0000FF"/>
                <w:w w:val="89"/>
              </w:rPr>
              <w:t>Item 3. Quantitative and Qualitative Disclosures About Market Risk</w:t>
            </w:r>
          </w:p>
        </w:tc>
        <w:tc>
          <w:tcPr>
            <w:tcW w:w="2040" w:type="dxa"/>
            <w:vAlign w:val="bottom"/>
          </w:tcPr>
          <w:p>
            <w:pPr>
              <w:spacing w:after="0"/>
              <w:rPr>
                <w:sz w:val="21"/>
                <w:szCs w:val="21"/>
                <w:color w:val="auto"/>
              </w:rPr>
            </w:pPr>
          </w:p>
        </w:tc>
        <w:tc>
          <w:tcPr>
            <w:tcW w:w="3560" w:type="dxa"/>
            <w:vAlign w:val="bottom"/>
            <w:gridSpan w:val="3"/>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0000FF"/>
                <w:w w:val="89"/>
              </w:rPr>
              <w:t>62</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gridSpan w:val="19"/>
          </w:tcPr>
          <w:p>
            <w:pPr>
              <w:spacing w:after="0"/>
              <w:rPr>
                <w:sz w:val="20"/>
                <w:szCs w:val="20"/>
                <w:color w:val="auto"/>
              </w:rPr>
            </w:pPr>
            <w:r>
              <w:rPr>
                <w:rFonts w:ascii="Arial" w:cs="Arial" w:eastAsia="Arial" w:hAnsi="Arial"/>
                <w:sz w:val="18"/>
                <w:szCs w:val="18"/>
                <w:color w:val="0000FF"/>
              </w:rPr>
              <w:t>Item 4. Controls and Procedures</w:t>
            </w:r>
          </w:p>
        </w:tc>
        <w:tc>
          <w:tcPr>
            <w:tcW w:w="5600" w:type="dxa"/>
            <w:vAlign w:val="bottom"/>
            <w:gridSpan w:val="4"/>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0000FF"/>
                <w:w w:val="89"/>
              </w:rPr>
              <w:t>63</w:t>
            </w:r>
          </w:p>
        </w:tc>
        <w:tc>
          <w:tcPr>
            <w:tcW w:w="0" w:type="dxa"/>
            <w:vAlign w:val="bottom"/>
          </w:tcPr>
          <w:p>
            <w:pPr>
              <w:spacing w:after="0"/>
              <w:rPr>
                <w:sz w:val="1"/>
                <w:szCs w:val="1"/>
                <w:color w:val="auto"/>
              </w:rPr>
            </w:pPr>
          </w:p>
        </w:tc>
      </w:tr>
      <w:tr>
        <w:trPr>
          <w:trHeight w:val="245"/>
        </w:trPr>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4"/>
              </w:rPr>
              <w:t>PART II - OTHER INFORMATION</w:t>
            </w:r>
          </w:p>
        </w:tc>
        <w:tc>
          <w:tcPr>
            <w:tcW w:w="352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840" w:type="dxa"/>
            <w:vAlign w:val="bottom"/>
            <w:gridSpan w:val="7"/>
          </w:tcPr>
          <w:p>
            <w:pPr>
              <w:spacing w:after="0"/>
              <w:rPr>
                <w:sz w:val="20"/>
                <w:szCs w:val="20"/>
                <w:color w:val="auto"/>
              </w:rPr>
            </w:pPr>
            <w:r>
              <w:rPr>
                <w:rFonts w:ascii="Arial" w:cs="Arial" w:eastAsia="Arial" w:hAnsi="Arial"/>
                <w:sz w:val="18"/>
                <w:szCs w:val="18"/>
                <w:color w:val="0000FF"/>
                <w:w w:val="86"/>
              </w:rPr>
              <w:t>Item 1. Legal Proceedings</w:t>
            </w:r>
          </w:p>
        </w:tc>
        <w:tc>
          <w:tcPr>
            <w:tcW w:w="8580" w:type="dxa"/>
            <w:vAlign w:val="bottom"/>
            <w:gridSpan w:val="16"/>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4"/>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840" w:type="dxa"/>
            <w:vAlign w:val="bottom"/>
            <w:gridSpan w:val="7"/>
          </w:tcPr>
          <w:p>
            <w:pPr>
              <w:spacing w:after="0"/>
              <w:rPr>
                <w:sz w:val="20"/>
                <w:szCs w:val="20"/>
                <w:color w:val="auto"/>
              </w:rPr>
            </w:pPr>
            <w:r>
              <w:rPr>
                <w:rFonts w:ascii="Arial" w:cs="Arial" w:eastAsia="Arial" w:hAnsi="Arial"/>
                <w:sz w:val="18"/>
                <w:szCs w:val="18"/>
                <w:color w:val="0000FF"/>
              </w:rPr>
              <w:t>Item 1A. Risk Factors</w:t>
            </w:r>
          </w:p>
        </w:tc>
        <w:tc>
          <w:tcPr>
            <w:tcW w:w="8580" w:type="dxa"/>
            <w:vAlign w:val="bottom"/>
            <w:gridSpan w:val="16"/>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gridSpan w:val="19"/>
          </w:tcPr>
          <w:p>
            <w:pPr>
              <w:spacing w:after="0"/>
              <w:rPr>
                <w:sz w:val="20"/>
                <w:szCs w:val="20"/>
                <w:color w:val="auto"/>
              </w:rPr>
            </w:pPr>
            <w:r>
              <w:rPr>
                <w:rFonts w:ascii="Arial" w:cs="Arial" w:eastAsia="Arial" w:hAnsi="Arial"/>
                <w:sz w:val="18"/>
                <w:szCs w:val="18"/>
                <w:color w:val="0000FF"/>
                <w:w w:val="87"/>
              </w:rPr>
              <w:t>Item 2. Unregistered Sales of Equity Securities and Use of Proceeds</w:t>
            </w:r>
          </w:p>
        </w:tc>
        <w:tc>
          <w:tcPr>
            <w:tcW w:w="5600" w:type="dxa"/>
            <w:vAlign w:val="bottom"/>
            <w:gridSpan w:val="4"/>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4"/>
            <w:shd w:val="clear" w:color="auto" w:fill="0000FF"/>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gridSpan w:val="19"/>
          </w:tcPr>
          <w:p>
            <w:pPr>
              <w:spacing w:after="0"/>
              <w:rPr>
                <w:sz w:val="20"/>
                <w:szCs w:val="20"/>
                <w:color w:val="auto"/>
              </w:rPr>
            </w:pPr>
            <w:r>
              <w:rPr>
                <w:rFonts w:ascii="Arial" w:cs="Arial" w:eastAsia="Arial" w:hAnsi="Arial"/>
                <w:sz w:val="18"/>
                <w:szCs w:val="18"/>
                <w:color w:val="0000FF"/>
              </w:rPr>
              <w:t>Item 3. Defaults Upon Senior Securities</w:t>
            </w:r>
          </w:p>
        </w:tc>
        <w:tc>
          <w:tcPr>
            <w:tcW w:w="5600" w:type="dxa"/>
            <w:vAlign w:val="bottom"/>
            <w:gridSpan w:val="4"/>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4"/>
            <w:shd w:val="clear" w:color="auto" w:fill="0000FF"/>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gridSpan w:val="11"/>
          </w:tcPr>
          <w:p>
            <w:pPr>
              <w:spacing w:after="0"/>
              <w:rPr>
                <w:sz w:val="20"/>
                <w:szCs w:val="20"/>
                <w:color w:val="auto"/>
              </w:rPr>
            </w:pPr>
            <w:r>
              <w:rPr>
                <w:rFonts w:ascii="Arial" w:cs="Arial" w:eastAsia="Arial" w:hAnsi="Arial"/>
                <w:sz w:val="18"/>
                <w:szCs w:val="18"/>
                <w:color w:val="0000FF"/>
              </w:rPr>
              <w:t>Item 4. Mine Safety Disclosures</w:t>
            </w:r>
          </w:p>
        </w:tc>
        <w:tc>
          <w:tcPr>
            <w:tcW w:w="7600" w:type="dxa"/>
            <w:vAlign w:val="bottom"/>
            <w:gridSpan w:val="12"/>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8140" w:type="dxa"/>
            <w:vAlign w:val="bottom"/>
            <w:gridSpan w:val="1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840" w:type="dxa"/>
            <w:vAlign w:val="bottom"/>
            <w:gridSpan w:val="7"/>
          </w:tcPr>
          <w:p>
            <w:pPr>
              <w:spacing w:after="0"/>
              <w:rPr>
                <w:sz w:val="20"/>
                <w:szCs w:val="20"/>
                <w:color w:val="auto"/>
              </w:rPr>
            </w:pPr>
            <w:r>
              <w:rPr>
                <w:rFonts w:ascii="Arial" w:cs="Arial" w:eastAsia="Arial" w:hAnsi="Arial"/>
                <w:sz w:val="18"/>
                <w:szCs w:val="18"/>
                <w:color w:val="0000FF"/>
                <w:w w:val="89"/>
              </w:rPr>
              <w:t>Item 5. Other Information</w:t>
            </w:r>
          </w:p>
        </w:tc>
        <w:tc>
          <w:tcPr>
            <w:tcW w:w="440" w:type="dxa"/>
            <w:vAlign w:val="bottom"/>
            <w:gridSpan w:val="2"/>
          </w:tcPr>
          <w:p>
            <w:pPr>
              <w:spacing w:after="0"/>
              <w:rPr>
                <w:sz w:val="21"/>
                <w:szCs w:val="21"/>
                <w:color w:val="auto"/>
              </w:rPr>
            </w:pPr>
          </w:p>
        </w:tc>
        <w:tc>
          <w:tcPr>
            <w:tcW w:w="8140" w:type="dxa"/>
            <w:vAlign w:val="bottom"/>
            <w:gridSpan w:val="14"/>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580" w:type="dxa"/>
            <w:vAlign w:val="bottom"/>
            <w:gridSpan w:val="1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gridSpan w:val="5"/>
          </w:tcPr>
          <w:p>
            <w:pPr>
              <w:spacing w:after="0"/>
              <w:rPr>
                <w:sz w:val="20"/>
                <w:szCs w:val="20"/>
                <w:color w:val="auto"/>
              </w:rPr>
            </w:pPr>
            <w:r>
              <w:rPr>
                <w:rFonts w:ascii="Arial" w:cs="Arial" w:eastAsia="Arial" w:hAnsi="Arial"/>
                <w:sz w:val="18"/>
                <w:szCs w:val="18"/>
                <w:color w:val="0000FF"/>
                <w:w w:val="90"/>
              </w:rPr>
              <w:t>Item 6. Exhibits</w:t>
            </w:r>
          </w:p>
        </w:tc>
        <w:tc>
          <w:tcPr>
            <w:tcW w:w="700" w:type="dxa"/>
            <w:vAlign w:val="bottom"/>
            <w:gridSpan w:val="2"/>
          </w:tcPr>
          <w:p>
            <w:pPr>
              <w:spacing w:after="0"/>
              <w:rPr>
                <w:sz w:val="21"/>
                <w:szCs w:val="21"/>
                <w:color w:val="auto"/>
              </w:rPr>
            </w:pPr>
          </w:p>
        </w:tc>
        <w:tc>
          <w:tcPr>
            <w:tcW w:w="8580" w:type="dxa"/>
            <w:vAlign w:val="bottom"/>
            <w:gridSpan w:val="16"/>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0000FF"/>
                <w:w w:val="89"/>
              </w:rPr>
              <w:t>66</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9280" w:type="dxa"/>
            <w:vAlign w:val="bottom"/>
            <w:gridSpan w:val="18"/>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9280" w:type="dxa"/>
            <w:vAlign w:val="bottom"/>
            <w:gridSpan w:val="18"/>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393"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GLOSSARY</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used in this quarterly report on Form 10-Q (this “</w:t>
      </w:r>
      <w:r>
        <w:rPr>
          <w:rFonts w:ascii="Arial" w:cs="Arial" w:eastAsia="Arial" w:hAnsi="Arial"/>
          <w:sz w:val="15"/>
          <w:szCs w:val="15"/>
          <w:u w:val="single" w:color="auto"/>
          <w:color w:val="auto"/>
        </w:rPr>
        <w:t>Form 10-Q</w:t>
      </w:r>
      <w:r>
        <w:rPr>
          <w:rFonts w:ascii="Arial" w:cs="Arial" w:eastAsia="Arial" w:hAnsi="Arial"/>
          <w:sz w:val="15"/>
          <w:szCs w:val="15"/>
          <w:color w:val="auto"/>
        </w:rPr>
        <w:t>”), the terms identified below have the meanings specified below unless otherwise noted or the context indicates otherwise. 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98" w:lineRule="exact"/>
        <w:rPr>
          <w:sz w:val="20"/>
          <w:szCs w:val="20"/>
          <w:color w:val="auto"/>
        </w:rPr>
      </w:pPr>
    </w:p>
    <w:p>
      <w:pPr>
        <w:ind w:left="640" w:hanging="316"/>
        <w:spacing w:after="0" w:line="252"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2022 Form 10-K</w:t>
      </w:r>
      <w:r>
        <w:rPr>
          <w:rFonts w:ascii="Arial" w:cs="Arial" w:eastAsia="Arial" w:hAnsi="Arial"/>
          <w:sz w:val="18"/>
          <w:szCs w:val="18"/>
          <w:color w:val="auto"/>
        </w:rPr>
        <w:t>” refers to the Annual Report on Form 10-K of ZoomInfo Technologies Inc. for the fiscal year ended December 31, 2022 as filed with the SEC on February 16, 2023.</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“AOCI”</w:t>
      </w:r>
      <w:r>
        <w:rPr>
          <w:rFonts w:ascii="Arial" w:cs="Arial" w:eastAsia="Arial" w:hAnsi="Arial"/>
          <w:sz w:val="18"/>
          <w:szCs w:val="18"/>
          <w:color w:val="auto"/>
        </w:rPr>
        <w:t xml:space="preserve"> refers to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on our Consolidated Balance Sheets.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Blocker Companies</w:t>
      </w:r>
      <w:r>
        <w:rPr>
          <w:rFonts w:ascii="Arial" w:cs="Arial" w:eastAsia="Arial" w:hAnsi="Arial"/>
          <w:sz w:val="15"/>
          <w:szCs w:val="15"/>
          <w:color w:val="auto"/>
        </w:rPr>
        <w:t>” refers to certain of our Pre-IPO OpCo Unitholders that are taxable as corporations for U.S. federal income tax purposes.</w:t>
      </w:r>
    </w:p>
    <w:p>
      <w:pPr>
        <w:spacing w:after="0" w:line="41"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P Units</w:t>
      </w:r>
      <w:r>
        <w:rPr>
          <w:rFonts w:ascii="Arial" w:cs="Arial" w:eastAsia="Arial" w:hAnsi="Arial"/>
          <w:sz w:val="18"/>
          <w:szCs w:val="18"/>
          <w:color w:val="auto"/>
        </w:rPr>
        <w:t>” refers to Class P Units (including, without limitation, any indirectly held Class P Units) of ZoomInfo OpCo.</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Option</w:t>
      </w:r>
      <w:r>
        <w:rPr>
          <w:rFonts w:ascii="Arial" w:cs="Arial" w:eastAsia="Arial" w:hAnsi="Arial"/>
          <w:sz w:val="18"/>
          <w:szCs w:val="18"/>
          <w:color w:val="auto"/>
        </w:rPr>
        <w:t>” refers to an award granted under Section 7 of the Omnibus Plan.</w:t>
      </w:r>
    </w:p>
    <w:p>
      <w:pPr>
        <w:spacing w:after="0" w:line="6" w:lineRule="exact"/>
        <w:rPr>
          <w:rFonts w:ascii="Arial" w:cs="Arial" w:eastAsia="Arial" w:hAnsi="Arial"/>
          <w:sz w:val="18"/>
          <w:szCs w:val="18"/>
          <w:color w:val="auto"/>
        </w:rPr>
      </w:pPr>
    </w:p>
    <w:p>
      <w:pPr>
        <w:ind w:left="640" w:hanging="316"/>
        <w:spacing w:after="0" w:line="312" w:lineRule="auto"/>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Customers</w:t>
      </w:r>
      <w:r>
        <w:rPr>
          <w:rFonts w:ascii="Arial" w:cs="Arial" w:eastAsia="Arial" w:hAnsi="Arial"/>
          <w:sz w:val="15"/>
          <w:szCs w:val="15"/>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Tax Receivable Agreement</w:t>
      </w:r>
      <w:r>
        <w:rPr>
          <w:rFonts w:ascii="Arial" w:cs="Arial" w:eastAsia="Arial" w:hAnsi="Arial"/>
          <w:sz w:val="18"/>
          <w:szCs w:val="18"/>
          <w:color w:val="auto"/>
        </w:rPr>
        <w:t>” refers to the tax receivable agreement entered into with certain Pre-IPO OpCo Unitholders.</w:t>
      </w:r>
    </w:p>
    <w:p>
      <w:pPr>
        <w:spacing w:after="0" w:line="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Units</w:t>
      </w:r>
      <w:r>
        <w:rPr>
          <w:rFonts w:ascii="Arial" w:cs="Arial" w:eastAsia="Arial" w:hAnsi="Arial"/>
          <w:sz w:val="18"/>
          <w:szCs w:val="18"/>
          <w:color w:val="auto"/>
        </w:rPr>
        <w:t>” refers to the class of units of ZoomInfo HoldCo.</w:t>
      </w:r>
    </w:p>
    <w:p>
      <w:pPr>
        <w:spacing w:after="0" w:line="18" w:lineRule="exact"/>
        <w:rPr>
          <w:rFonts w:ascii="Arial" w:cs="Arial" w:eastAsia="Arial" w:hAnsi="Arial"/>
          <w:sz w:val="18"/>
          <w:szCs w:val="18"/>
          <w:color w:val="auto"/>
        </w:rPr>
      </w:pPr>
    </w:p>
    <w:p>
      <w:pPr>
        <w:ind w:left="640" w:hanging="316"/>
        <w:spacing w:after="0" w:line="25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w:t>
      </w:r>
      <w:r>
        <w:rPr>
          <w:rFonts w:ascii="Arial" w:cs="Arial" w:eastAsia="Arial" w:hAnsi="Arial"/>
          <w:sz w:val="18"/>
          <w:szCs w:val="18"/>
          <w:color w:val="auto"/>
        </w:rPr>
        <w:t>” and “</w:t>
      </w:r>
      <w:r>
        <w:rPr>
          <w:rFonts w:ascii="Arial" w:cs="Arial" w:eastAsia="Arial" w:hAnsi="Arial"/>
          <w:sz w:val="18"/>
          <w:szCs w:val="18"/>
          <w:u w:val="single" w:color="auto"/>
          <w:color w:val="auto"/>
        </w:rPr>
        <w:t>HSKB I</w:t>
      </w:r>
      <w:r>
        <w:rPr>
          <w:rFonts w:ascii="Arial" w:cs="Arial" w:eastAsia="Arial" w:hAnsi="Arial"/>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jc w:val="both"/>
        <w:ind w:left="640" w:hanging="316"/>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 II</w:t>
      </w:r>
      <w:r>
        <w:rPr>
          <w:rFonts w:ascii="Arial" w:cs="Arial" w:eastAsia="Arial" w:hAnsi="Arial"/>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ZoomInfo Technologies Inc.</w:t>
      </w:r>
    </w:p>
    <w:p>
      <w:pPr>
        <w:spacing w:after="0" w:line="18" w:lineRule="exact"/>
        <w:rPr>
          <w:rFonts w:ascii="Arial" w:cs="Arial" w:eastAsia="Arial" w:hAnsi="Arial"/>
          <w:sz w:val="18"/>
          <w:szCs w:val="18"/>
          <w:color w:val="auto"/>
        </w:rPr>
      </w:pPr>
    </w:p>
    <w:p>
      <w:pPr>
        <w:ind w:left="640" w:hanging="316"/>
        <w:spacing w:after="0" w:line="25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LTIP Units</w:t>
      </w:r>
      <w:r>
        <w:rPr>
          <w:rFonts w:ascii="Arial" w:cs="Arial" w:eastAsia="Arial" w:hAnsi="Arial"/>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Omnibus Plan</w:t>
      </w:r>
      <w:r>
        <w:rPr>
          <w:rFonts w:ascii="Arial" w:cs="Arial" w:eastAsia="Arial" w:hAnsi="Arial"/>
          <w:sz w:val="18"/>
          <w:szCs w:val="18"/>
          <w:color w:val="auto"/>
        </w:rPr>
        <w:t>” refers to the ZoomInfo Technologies Inc. 2020 Omnibus Incentive Plan.</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Units</w:t>
      </w:r>
      <w:r>
        <w:rPr>
          <w:rFonts w:ascii="Arial" w:cs="Arial" w:eastAsia="Arial" w:hAnsi="Arial"/>
          <w:sz w:val="18"/>
          <w:szCs w:val="18"/>
          <w:color w:val="auto"/>
        </w:rPr>
        <w:t>” refers to the class of units of ZoomInfo OpCo and does not include Class P Units.</w:t>
      </w:r>
    </w:p>
    <w:p>
      <w:pPr>
        <w:spacing w:after="0" w:line="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Pre-IPO Blocker Holders</w:t>
      </w:r>
      <w:r>
        <w:rPr>
          <w:rFonts w:ascii="Arial" w:cs="Arial" w:eastAsia="Arial" w:hAnsi="Arial"/>
          <w:sz w:val="15"/>
          <w:szCs w:val="15"/>
          <w:color w:val="auto"/>
        </w:rPr>
        <w:t>” refers to the Pre-IPO Owners that held their interests in us through the Blocker Companies immediately prior to the IPO.</w:t>
      </w:r>
    </w:p>
    <w:p>
      <w:pPr>
        <w:spacing w:after="0" w:line="50"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HoldCo Unitholders</w:t>
      </w:r>
      <w:r>
        <w:rPr>
          <w:rFonts w:ascii="Arial" w:cs="Arial" w:eastAsia="Arial" w:hAnsi="Arial"/>
          <w:sz w:val="18"/>
          <w:szCs w:val="18"/>
          <w:color w:val="auto"/>
        </w:rPr>
        <w:t>” refers to the Pre-IPO Owners that held HoldCo Units immediately prior to the IPO.</w:t>
      </w:r>
    </w:p>
    <w:p>
      <w:pPr>
        <w:spacing w:after="0" w:line="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OpCo Unitholders</w:t>
      </w:r>
      <w:r>
        <w:rPr>
          <w:rFonts w:ascii="Arial" w:cs="Arial" w:eastAsia="Arial" w:hAnsi="Arial"/>
          <w:sz w:val="18"/>
          <w:szCs w:val="18"/>
          <w:color w:val="auto"/>
        </w:rPr>
        <w:t>” refers to the Pre-IPO Owners that held OpCo Units immediately prior to the IPO.</w:t>
      </w:r>
    </w:p>
    <w:p>
      <w:pPr>
        <w:spacing w:after="0" w:line="16" w:lineRule="exact"/>
        <w:rPr>
          <w:rFonts w:ascii="Arial" w:cs="Arial" w:eastAsia="Arial" w:hAnsi="Arial"/>
          <w:sz w:val="18"/>
          <w:szCs w:val="18"/>
          <w:color w:val="auto"/>
        </w:rPr>
      </w:pPr>
    </w:p>
    <w:p>
      <w:pPr>
        <w:ind w:left="640" w:hanging="316"/>
        <w:spacing w:after="0" w:line="25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Owners</w:t>
      </w:r>
      <w:r>
        <w:rPr>
          <w:rFonts w:ascii="Arial" w:cs="Arial" w:eastAsia="Arial" w:hAnsi="Arial"/>
          <w:sz w:val="18"/>
          <w:szCs w:val="18"/>
          <w:color w:val="auto"/>
        </w:rPr>
        <w:t>” refers collectively to private equity investors, founders, management, and employees who were the owners of ZoomInfo OpCo immediately prior to the Reorganization Transactions.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Tax Receivable Agreement</w:t>
      </w:r>
      <w:r>
        <w:rPr>
          <w:rFonts w:ascii="Arial" w:cs="Arial" w:eastAsia="Arial" w:hAnsi="Arial"/>
          <w:sz w:val="18"/>
          <w:szCs w:val="18"/>
          <w:color w:val="auto"/>
        </w:rPr>
        <w:t>” refers to the tax receivable agreement entered into with the Pre-IPO Blocker Holders.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Reorganization Transactions</w:t>
      </w:r>
      <w:r>
        <w:rPr>
          <w:rFonts w:ascii="Arial" w:cs="Arial" w:eastAsia="Arial" w:hAnsi="Arial"/>
          <w:sz w:val="17"/>
          <w:szCs w:val="17"/>
          <w:color w:val="auto"/>
        </w:rPr>
        <w:t>” refers to the transactions described under “Reorganization Transactions” in Note 1 to our 2022 Form 10-K.</w:t>
      </w:r>
    </w:p>
    <w:p>
      <w:pPr>
        <w:spacing w:after="0" w:line="18" w:lineRule="exact"/>
        <w:rPr>
          <w:rFonts w:ascii="Arial" w:cs="Arial" w:eastAsia="Arial" w:hAnsi="Arial"/>
          <w:sz w:val="17"/>
          <w:szCs w:val="17"/>
          <w:color w:val="auto"/>
        </w:rPr>
      </w:pPr>
    </w:p>
    <w:p>
      <w:pPr>
        <w:ind w:left="640" w:hanging="316"/>
        <w:spacing w:after="0" w:line="365" w:lineRule="auto"/>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w:t>
      </w:r>
      <w:r>
        <w:rPr>
          <w:rFonts w:ascii="Arial" w:cs="Arial" w:eastAsia="Arial" w:hAnsi="Arial"/>
          <w:sz w:val="15"/>
          <w:szCs w:val="15"/>
          <w:color w:val="auto"/>
        </w:rPr>
        <w:t>” refers to our common stock, subject to certain specified restrictions (which may include, without limitation, a requirement that the recipient remain continuously employed or provide continuous services for a specified period of time), granted under Section 8 of the Omnibus Plan.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640" w:hanging="316"/>
        <w:spacing w:after="0" w:line="271"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or “</w:t>
      </w:r>
      <w:r>
        <w:rPr>
          <w:rFonts w:ascii="Arial" w:cs="Arial" w:eastAsia="Arial" w:hAnsi="Arial"/>
          <w:sz w:val="17"/>
          <w:szCs w:val="17"/>
          <w:u w:val="single" w:color="auto"/>
          <w:color w:val="auto"/>
        </w:rPr>
        <w:t>RSU</w:t>
      </w:r>
      <w:r>
        <w:rPr>
          <w:rFonts w:ascii="Arial" w:cs="Arial" w:eastAsia="Arial" w:hAnsi="Arial"/>
          <w:sz w:val="17"/>
          <w:szCs w:val="17"/>
          <w:color w:val="auto"/>
        </w:rPr>
        <w:t>” refers to an unfunded and unsecured promise to deliver shares of our common stock, cash, other securities or other property, subject to certain restrictions (which may include, without limitation, a requirement that the recipient remain continuously employed or provide continuous services for a specified period of time), granted under Section 8 of the Omnibus Plan.</w:t>
      </w: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refers to the Securities and Exchange Commission.</w:t>
      </w:r>
    </w:p>
    <w:p>
      <w:pPr>
        <w:spacing w:after="0" w:line="1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refers to the Securities Act of 1933, as amended.</w:t>
      </w:r>
    </w:p>
    <w:p>
      <w:pPr>
        <w:spacing w:after="0" w:line="16" w:lineRule="exact"/>
        <w:rPr>
          <w:rFonts w:ascii="Arial" w:cs="Arial" w:eastAsia="Arial" w:hAnsi="Arial"/>
          <w:sz w:val="18"/>
          <w:szCs w:val="18"/>
          <w:color w:val="auto"/>
        </w:rPr>
      </w:pPr>
    </w:p>
    <w:p>
      <w:pPr>
        <w:ind w:left="640" w:hanging="316"/>
        <w:spacing w:after="0" w:line="25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Agreements</w:t>
      </w:r>
      <w:r>
        <w:rPr>
          <w:rFonts w:ascii="Arial" w:cs="Arial" w:eastAsia="Arial" w:hAnsi="Arial"/>
          <w:sz w:val="18"/>
          <w:szCs w:val="18"/>
          <w:color w:val="auto"/>
        </w:rPr>
        <w:t>” or “</w:t>
      </w:r>
      <w:r>
        <w:rPr>
          <w:rFonts w:ascii="Arial" w:cs="Arial" w:eastAsia="Arial" w:hAnsi="Arial"/>
          <w:sz w:val="18"/>
          <w:szCs w:val="18"/>
          <w:u w:val="single" w:color="auto"/>
          <w:color w:val="auto"/>
        </w:rPr>
        <w:t>TRA</w:t>
      </w:r>
      <w:r>
        <w:rPr>
          <w:rFonts w:ascii="Arial" w:cs="Arial" w:eastAsia="Arial" w:hAnsi="Arial"/>
          <w:sz w:val="18"/>
          <w:szCs w:val="18"/>
          <w:color w:val="auto"/>
        </w:rPr>
        <w:t>” refers collectively to the Exchange Tax Receivable Agreement and the Reorganization Tax Receivable Agreement.</w:t>
      </w:r>
    </w:p>
    <w:p>
      <w:pPr>
        <w:spacing w:after="0" w:line="1" w:lineRule="exact"/>
        <w:rPr>
          <w:rFonts w:ascii="Arial" w:cs="Arial" w:eastAsia="Arial" w:hAnsi="Arial"/>
          <w:sz w:val="18"/>
          <w:szCs w:val="18"/>
          <w:color w:val="auto"/>
        </w:rPr>
      </w:pPr>
    </w:p>
    <w:p>
      <w:pPr>
        <w:ind w:left="640" w:hanging="316"/>
        <w:spacing w:after="0" w:line="25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HoldCo</w:t>
      </w:r>
      <w:r>
        <w:rPr>
          <w:rFonts w:ascii="Arial" w:cs="Arial" w:eastAsia="Arial" w:hAnsi="Arial"/>
          <w:sz w:val="18"/>
          <w:szCs w:val="18"/>
          <w:color w:val="auto"/>
        </w:rPr>
        <w:t>” refers to ZoomInfo Intermediate Holdings LLC, a Delaware limited liability company, and a direct subsidiary of ZoomInfo Technologies Inc.</w:t>
      </w:r>
    </w:p>
    <w:p>
      <w:pPr>
        <w:ind w:left="640" w:hanging="316"/>
        <w:spacing w:after="0" w:line="28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OpCo</w:t>
      </w:r>
      <w:r>
        <w:rPr>
          <w:rFonts w:ascii="Arial" w:cs="Arial" w:eastAsia="Arial" w:hAnsi="Arial"/>
          <w:sz w:val="18"/>
          <w:szCs w:val="18"/>
          <w:color w:val="auto"/>
        </w:rPr>
        <w:t>” refers to ZoomInfo Holdings LLC (formerly known as DiscoverOrg Holdings, LLC), a Delaware limited liability company, and a direct subsidiary of ZoomInfo HoldCo and indirect subsidiary of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0"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14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3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our forward-looking statements, including forward-looking statements contained in this Quarterly Report on Form 10-Q:</w:t>
      </w:r>
    </w:p>
    <w:p>
      <w:pPr>
        <w:spacing w:after="0" w:line="128"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larger well-funded companies may shift their existing business models to become more competitive with us;</w:t>
      </w:r>
    </w:p>
    <w:p>
      <w:pPr>
        <w:spacing w:after="0" w:line="164" w:lineRule="exact"/>
        <w:rPr>
          <w:rFonts w:ascii="Arial" w:cs="Arial" w:eastAsia="Arial" w:hAnsi="Arial"/>
          <w:sz w:val="18"/>
          <w:szCs w:val="18"/>
          <w:color w:val="auto"/>
        </w:rPr>
      </w:pPr>
    </w:p>
    <w:p>
      <w:pPr>
        <w:ind w:left="640" w:hanging="316"/>
        <w:spacing w:after="0" w:line="365" w:lineRule="auto"/>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experience competition from other companies and technologies that allow companies to gather and aggregate sales, marketing, recruiting, and other data, and competing products and services could surpass ours in depth, breadth, or accuracy of our data or in other respects;</w:t>
      </w:r>
    </w:p>
    <w:p>
      <w:pPr>
        <w:spacing w:after="0" w:line="58" w:lineRule="exact"/>
        <w:rPr>
          <w:rFonts w:ascii="Arial" w:cs="Arial" w:eastAsia="Arial" w:hAnsi="Arial"/>
          <w:sz w:val="15"/>
          <w:szCs w:val="15"/>
          <w:color w:val="auto"/>
        </w:rPr>
      </w:pPr>
    </w:p>
    <w:p>
      <w:pPr>
        <w:ind w:left="64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and potential customers may reduce spending on sales, marketing, recruiting and other technology and information as a result of weaker economic conditions, which could harm our revenue, results of operations, and cash flows;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platform integrates or otherwise works with third-party systems that we do not control;</w:t>
      </w:r>
    </w:p>
    <w:p>
      <w:pPr>
        <w:spacing w:after="0" w:line="164"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attract new customers, renew existing subscriptions, or expand existing subscriptions, which could harm our revenue growth and profitability;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search engine algorithms and dynamics could negatively affect traffic to our website;</w:t>
      </w:r>
    </w:p>
    <w:p>
      <w:pPr>
        <w:spacing w:after="0" w:line="164"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successfully integrate acquired businesses, services, databases, and technologies into our operations, which could have an adverse effect on our business;</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spacing w:after="0" w:line="135"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not able to obtain and maintain accurate, comprehensive, or reliable data, we could experience reduced demand for our products and services and have an adverse effect on our business, results of operations, and financial condition;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protect and maintain our intellectual property;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third-parties could use our products and services in a manner that is unlawful or contrary to our values;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indebtedness could adversely affect our financial position and our ability to raise additional capital and prevent us from fulfilling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fluctuations may affect our results of operations and financial condition;</w:t>
      </w:r>
    </w:p>
    <w:p>
      <w:pPr>
        <w:spacing w:after="0" w:line="164"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economic uncertainty and catastrophic events, including global pandemics such as the COVID-19 pandemic, have and may disrupt our business and adversely impact our business and future results of operations and financial condition;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to our stockholders agreement have special rights and interests that may conflict with ours or yours in the future;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other factors described under “Risk Factors” in Part I, Item 1A of our 2022 Form 10-K, and in other reports we file from time to time with the SEC.</w:t>
      </w:r>
    </w:p>
    <w:p>
      <w:pPr>
        <w:spacing w:after="0" w:line="18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2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19"/>
                <w:szCs w:val="19"/>
                <w:color w:val="auto"/>
              </w:rPr>
            </w:pPr>
          </w:p>
        </w:tc>
      </w:tr>
      <w:tr>
        <w:trPr>
          <w:trHeight w:val="371"/>
        </w:trPr>
        <w:tc>
          <w:tcPr>
            <w:tcW w:w="11120" w:type="dxa"/>
            <w:vAlign w:val="bottom"/>
            <w:gridSpan w:val="8"/>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r>
      <w:tr>
        <w:trPr>
          <w:trHeight w:val="768"/>
        </w:trPr>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2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99"/>
              </w:rPr>
              <w:t>INDEX TO FINANCIAL STATEMENTS</w:t>
            </w:r>
          </w:p>
        </w:tc>
        <w:tc>
          <w:tcPr>
            <w:tcW w:w="80" w:type="dxa"/>
            <w:vAlign w:val="bottom"/>
          </w:tcPr>
          <w:p>
            <w:pPr>
              <w:spacing w:after="0"/>
              <w:rPr>
                <w:sz w:val="24"/>
                <w:szCs w:val="24"/>
                <w:color w:val="auto"/>
              </w:rPr>
            </w:pPr>
          </w:p>
        </w:tc>
      </w:tr>
      <w:tr>
        <w:trPr>
          <w:trHeight w:val="676"/>
        </w:trPr>
        <w:tc>
          <w:tcPr>
            <w:tcW w:w="11120" w:type="dxa"/>
            <w:vAlign w:val="bottom"/>
            <w:gridSpan w:val="8"/>
          </w:tcPr>
          <w:p>
            <w:pPr>
              <w:ind w:left="380"/>
              <w:spacing w:after="0"/>
              <w:rPr>
                <w:sz w:val="20"/>
                <w:szCs w:val="20"/>
                <w:color w:val="auto"/>
              </w:rPr>
            </w:pPr>
            <w:r>
              <w:rPr>
                <w:rFonts w:ascii="Arial" w:cs="Arial" w:eastAsia="Arial" w:hAnsi="Arial"/>
                <w:sz w:val="18"/>
                <w:szCs w:val="18"/>
                <w:b w:val="1"/>
                <w:bCs w:val="1"/>
                <w:color w:val="auto"/>
              </w:rPr>
              <w:t>Unaudited Consolidated Financial Statements of ZoomInfo Technologies Inc. and Subsidiaries</w:t>
            </w:r>
          </w:p>
        </w:tc>
        <w:tc>
          <w:tcPr>
            <w:tcW w:w="80" w:type="dxa"/>
            <w:vAlign w:val="bottom"/>
          </w:tcPr>
          <w:p>
            <w:pPr>
              <w:spacing w:after="0"/>
              <w:rPr>
                <w:sz w:val="24"/>
                <w:szCs w:val="24"/>
                <w:color w:val="auto"/>
              </w:rPr>
            </w:pPr>
          </w:p>
        </w:tc>
      </w:tr>
      <w:tr>
        <w:trPr>
          <w:trHeight w:val="491"/>
        </w:trPr>
        <w:tc>
          <w:tcPr>
            <w:tcW w:w="560" w:type="dxa"/>
            <w:vAlign w:val="bottom"/>
          </w:tcPr>
          <w:p>
            <w:pPr>
              <w:spacing w:after="0"/>
              <w:rPr>
                <w:sz w:val="24"/>
                <w:szCs w:val="24"/>
                <w:color w:val="auto"/>
              </w:rPr>
            </w:pPr>
          </w:p>
        </w:tc>
        <w:tc>
          <w:tcPr>
            <w:tcW w:w="1056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80" w:type="dxa"/>
            <w:vAlign w:val="bottom"/>
          </w:tcPr>
          <w:p>
            <w:pPr>
              <w:jc w:val="right"/>
              <w:spacing w:after="0"/>
              <w:rPr>
                <w:sz w:val="20"/>
                <w:szCs w:val="20"/>
                <w:color w:val="auto"/>
              </w:rPr>
            </w:pPr>
            <w:r>
              <w:rPr>
                <w:rFonts w:ascii="Arial" w:cs="Arial" w:eastAsia="Arial" w:hAnsi="Arial"/>
                <w:sz w:val="15"/>
                <w:szCs w:val="15"/>
                <w:color w:val="0000FF"/>
                <w:w w:val="71"/>
              </w:rPr>
              <w:t>2</w:t>
            </w:r>
          </w:p>
        </w:tc>
      </w:tr>
      <w:tr>
        <w:trPr>
          <w:trHeight w:val="20"/>
        </w:trPr>
        <w:tc>
          <w:tcPr>
            <w:tcW w:w="5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27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Consolidated Statements of Operations</w:t>
            </w:r>
          </w:p>
        </w:tc>
        <w:tc>
          <w:tcPr>
            <w:tcW w:w="7800" w:type="dxa"/>
            <w:vAlign w:val="bottom"/>
            <w:gridSpan w:val="5"/>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3</w:t>
            </w:r>
          </w:p>
        </w:tc>
      </w:tr>
      <w:tr>
        <w:trPr>
          <w:trHeight w:val="245"/>
        </w:trPr>
        <w:tc>
          <w:tcPr>
            <w:tcW w:w="560" w:type="dxa"/>
            <w:vAlign w:val="bottom"/>
          </w:tcPr>
          <w:p>
            <w:pPr>
              <w:spacing w:after="0"/>
              <w:rPr>
                <w:sz w:val="21"/>
                <w:szCs w:val="21"/>
                <w:color w:val="auto"/>
              </w:rPr>
            </w:pPr>
          </w:p>
        </w:tc>
        <w:tc>
          <w:tcPr>
            <w:tcW w:w="41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Consolidated Statements of Comprehensive Income (Loss)</w:t>
            </w:r>
          </w:p>
        </w:tc>
        <w:tc>
          <w:tcPr>
            <w:tcW w:w="6400" w:type="dxa"/>
            <w:vAlign w:val="bottom"/>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4</w:t>
            </w:r>
          </w:p>
        </w:tc>
      </w:tr>
      <w:tr>
        <w:trPr>
          <w:trHeight w:val="245"/>
        </w:trPr>
        <w:tc>
          <w:tcPr>
            <w:tcW w:w="560" w:type="dxa"/>
            <w:vAlign w:val="bottom"/>
          </w:tcPr>
          <w:p>
            <w:pPr>
              <w:spacing w:after="0"/>
              <w:rPr>
                <w:sz w:val="21"/>
                <w:szCs w:val="21"/>
                <w:color w:val="auto"/>
              </w:rPr>
            </w:pPr>
          </w:p>
        </w:tc>
        <w:tc>
          <w:tcPr>
            <w:tcW w:w="39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Changes in Equity (Deficit)</w:t>
            </w:r>
          </w:p>
        </w:tc>
        <w:tc>
          <w:tcPr>
            <w:tcW w:w="662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r>
      <w:tr>
        <w:trPr>
          <w:trHeight w:val="245"/>
        </w:trPr>
        <w:tc>
          <w:tcPr>
            <w:tcW w:w="560" w:type="dxa"/>
            <w:vAlign w:val="bottom"/>
          </w:tcPr>
          <w:p>
            <w:pPr>
              <w:spacing w:after="0"/>
              <w:rPr>
                <w:sz w:val="21"/>
                <w:szCs w:val="21"/>
                <w:color w:val="auto"/>
              </w:rPr>
            </w:pPr>
          </w:p>
        </w:tc>
        <w:tc>
          <w:tcPr>
            <w:tcW w:w="1056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w:t>
            </w:r>
          </w:p>
        </w:tc>
        <w:tc>
          <w:tcPr>
            <w:tcW w:w="80" w:type="dxa"/>
            <w:vAlign w:val="bottom"/>
          </w:tcPr>
          <w:p>
            <w:pPr>
              <w:jc w:val="right"/>
              <w:spacing w:after="0"/>
              <w:rPr>
                <w:sz w:val="20"/>
                <w:szCs w:val="20"/>
                <w:color w:val="auto"/>
              </w:rPr>
            </w:pPr>
            <w:r>
              <w:rPr>
                <w:rFonts w:ascii="Arial" w:cs="Arial" w:eastAsia="Arial" w:hAnsi="Arial"/>
                <w:sz w:val="15"/>
                <w:szCs w:val="15"/>
                <w:color w:val="0000FF"/>
                <w:w w:val="71"/>
              </w:rPr>
              <w:t>7</w:t>
            </w:r>
          </w:p>
        </w:tc>
      </w:tr>
      <w:tr>
        <w:trPr>
          <w:trHeight w:val="20"/>
        </w:trPr>
        <w:tc>
          <w:tcPr>
            <w:tcW w:w="56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10560" w:type="dxa"/>
            <w:vAlign w:val="bottom"/>
            <w:gridSpan w:val="7"/>
          </w:tcPr>
          <w:p>
            <w:pPr>
              <w:spacing w:after="0"/>
              <w:rPr>
                <w:sz w:val="20"/>
                <w:szCs w:val="20"/>
                <w:color w:val="auto"/>
              </w:rPr>
            </w:pPr>
            <w:r>
              <w:rPr>
                <w:rFonts w:ascii="Arial" w:cs="Arial" w:eastAsia="Arial" w:hAnsi="Arial"/>
                <w:sz w:val="18"/>
                <w:szCs w:val="18"/>
                <w:color w:val="0000FF"/>
              </w:rPr>
              <w:t>Notes to the Consolidated Financial Statements</w:t>
            </w:r>
          </w:p>
        </w:tc>
        <w:tc>
          <w:tcPr>
            <w:tcW w:w="80" w:type="dxa"/>
            <w:vAlign w:val="bottom"/>
          </w:tcPr>
          <w:p>
            <w:pPr>
              <w:jc w:val="right"/>
              <w:spacing w:after="0"/>
              <w:rPr>
                <w:sz w:val="20"/>
                <w:szCs w:val="20"/>
                <w:color w:val="auto"/>
              </w:rPr>
            </w:pPr>
            <w:r>
              <w:rPr>
                <w:rFonts w:ascii="Arial" w:cs="Arial" w:eastAsia="Arial" w:hAnsi="Arial"/>
                <w:sz w:val="15"/>
                <w:szCs w:val="15"/>
                <w:color w:val="0000FF"/>
                <w:w w:val="71"/>
              </w:rPr>
              <w:t>9</w:t>
            </w:r>
          </w:p>
        </w:tc>
      </w:tr>
      <w:tr>
        <w:trPr>
          <w:trHeight w:val="20"/>
        </w:trPr>
        <w:tc>
          <w:tcPr>
            <w:tcW w:w="5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Consolidated Balance Sheets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millions, except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r>
      <w:tr>
        <w:trPr>
          <w:trHeight w:val="38"/>
        </w:trPr>
        <w:tc>
          <w:tcPr>
            <w:tcW w:w="79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173"/>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r>
      <w:tr>
        <w:trPr>
          <w:trHeight w:val="38"/>
        </w:trPr>
        <w:tc>
          <w:tcPr>
            <w:tcW w:w="79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173"/>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8"/>
        </w:trPr>
        <w:tc>
          <w:tcPr>
            <w:tcW w:w="7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4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418.0</w:t>
            </w:r>
          </w:p>
        </w:tc>
      </w:tr>
      <w:tr>
        <w:trPr>
          <w:trHeight w:val="238"/>
        </w:trPr>
        <w:tc>
          <w:tcPr>
            <w:tcW w:w="79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r>
      <w:tr>
        <w:trPr>
          <w:trHeight w:val="238"/>
        </w:trPr>
        <w:tc>
          <w:tcPr>
            <w:tcW w:w="79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1"/>
        </w:trPr>
        <w:tc>
          <w:tcPr>
            <w:tcW w:w="796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832.0</w:t>
            </w:r>
          </w:p>
        </w:tc>
      </w:tr>
      <w:tr>
        <w:trPr>
          <w:trHeight w:val="28"/>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73"/>
        </w:trPr>
        <w:tc>
          <w:tcPr>
            <w:tcW w:w="79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238"/>
        </w:trPr>
        <w:tc>
          <w:tcPr>
            <w:tcW w:w="7960" w:type="dxa"/>
            <w:vAlign w:val="bottom"/>
          </w:tcPr>
          <w:p>
            <w:pPr>
              <w:ind w:left="220"/>
              <w:spacing w:after="0"/>
              <w:rPr>
                <w:sz w:val="20"/>
                <w:szCs w:val="20"/>
                <w:color w:val="auto"/>
              </w:rPr>
            </w:pPr>
            <w:r>
              <w:rPr>
                <w:rFonts w:ascii="Arial" w:cs="Arial" w:eastAsia="Arial" w:hAnsi="Arial"/>
                <w:sz w:val="18"/>
                <w:szCs w:val="18"/>
                <w:color w:val="auto"/>
              </w:rPr>
              <w:t>Restricted cash, non-current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38"/>
        </w:trPr>
        <w:tc>
          <w:tcPr>
            <w:tcW w:w="7960" w:type="dxa"/>
            <w:vAlign w:val="bottom"/>
          </w:tcPr>
          <w:p>
            <w:pPr>
              <w:ind w:left="240"/>
              <w:spacing w:after="0"/>
              <w:rPr>
                <w:sz w:val="20"/>
                <w:szCs w:val="20"/>
                <w:color w:val="auto"/>
              </w:rPr>
            </w:pPr>
            <w:r>
              <w:rPr>
                <w:rFonts w:ascii="Arial" w:cs="Arial" w:eastAsia="Arial" w:hAnsi="Arial"/>
                <w:sz w:val="18"/>
                <w:szCs w:val="18"/>
                <w:color w:val="auto"/>
              </w:rPr>
              <w:t>Operating lease right-of-use assets,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r>
      <w:tr>
        <w:trPr>
          <w:trHeight w:val="238"/>
        </w:trPr>
        <w:tc>
          <w:tcPr>
            <w:tcW w:w="79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1,692.7</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3,977.9</w:t>
            </w:r>
          </w:p>
        </w:tc>
      </w:tr>
      <w:tr>
        <w:trPr>
          <w:trHeight w:val="238"/>
        </w:trPr>
        <w:tc>
          <w:tcPr>
            <w:tcW w:w="7960" w:type="dxa"/>
            <w:vAlign w:val="bottom"/>
          </w:tcPr>
          <w:p>
            <w:pPr>
              <w:ind w:left="220"/>
              <w:spacing w:after="0"/>
              <w:rPr>
                <w:sz w:val="20"/>
                <w:szCs w:val="20"/>
                <w:color w:val="auto"/>
              </w:rPr>
            </w:pPr>
            <w:r>
              <w:rPr>
                <w:rFonts w:ascii="Arial" w:cs="Arial" w:eastAsia="Arial" w:hAnsi="Arial"/>
                <w:sz w:val="18"/>
                <w:szCs w:val="18"/>
                <w:color w:val="auto"/>
              </w:rPr>
              <w:t>Deferred costs and other assets, net of current portion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8"/>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8"/>
        </w:trPr>
        <w:tc>
          <w:tcPr>
            <w:tcW w:w="7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Permanent Equity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8"/>
        </w:trPr>
        <w:tc>
          <w:tcPr>
            <w:tcW w:w="796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Unearned revenue,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r>
      <w:tr>
        <w:trPr>
          <w:trHeight w:val="238"/>
        </w:trPr>
        <w:tc>
          <w:tcPr>
            <w:tcW w:w="796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tax receivable agreements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96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796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w:t>
            </w:r>
          </w:p>
        </w:tc>
      </w:tr>
      <w:tr>
        <w:trPr>
          <w:trHeight w:val="146"/>
        </w:trPr>
        <w:tc>
          <w:tcPr>
            <w:tcW w:w="7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8"/>
                <w:szCs w:val="18"/>
                <w:color w:val="auto"/>
              </w:rPr>
              <w:t>Unearned revenue, net of current portion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receivable agreements liability,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2,978.7</w:t>
            </w:r>
          </w:p>
        </w:tc>
      </w:tr>
      <w:tr>
        <w:trPr>
          <w:trHeight w:val="238"/>
        </w:trPr>
        <w:tc>
          <w:tcPr>
            <w:tcW w:w="796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1,235.7</w:t>
            </w:r>
          </w:p>
        </w:tc>
      </w:tr>
      <w:tr>
        <w:trPr>
          <w:trHeight w:val="238"/>
        </w:trPr>
        <w:tc>
          <w:tcPr>
            <w:tcW w:w="79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1"/>
        </w:trPr>
        <w:tc>
          <w:tcPr>
            <w:tcW w:w="796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4,864.6</w:t>
            </w:r>
          </w:p>
        </w:tc>
      </w:tr>
      <w:tr>
        <w:trPr>
          <w:trHeight w:val="28"/>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73"/>
        </w:trPr>
        <w:tc>
          <w:tcPr>
            <w:tcW w:w="79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80"/>
        </w:trPr>
        <w:tc>
          <w:tcPr>
            <w:tcW w:w="79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8"/>
                <w:szCs w:val="18"/>
                <w:color w:val="auto"/>
              </w:rPr>
              <w:t>Permanent Equity:</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Common stock, par value $0.01; 3,300,000,000 shares authorized, 401,302,563 and 404,083,262 issued and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1"/>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outstanding as of June 30, 2023 and December 31, 2022,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6"/>
        </w:trPr>
        <w:tc>
          <w:tcPr>
            <w:tcW w:w="7960" w:type="dxa"/>
            <w:vAlign w:val="bottom"/>
          </w:tcPr>
          <w:p>
            <w:pPr>
              <w:ind w:left="220"/>
              <w:spacing w:after="0"/>
              <w:rPr>
                <w:sz w:val="20"/>
                <w:szCs w:val="20"/>
                <w:color w:val="auto"/>
              </w:rPr>
            </w:pPr>
            <w:r>
              <w:rPr>
                <w:rFonts w:ascii="Arial" w:cs="Arial" w:eastAsia="Arial" w:hAnsi="Arial"/>
                <w:sz w:val="18"/>
                <w:szCs w:val="18"/>
                <w:color w:val="auto"/>
                <w:w w:val="94"/>
              </w:rPr>
              <w:t>Preferred stock, par value $0.01; 200,000,000 shares authorized, 0 and 0 issued and outstanding as of</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3"/>
        </w:trPr>
        <w:tc>
          <w:tcPr>
            <w:tcW w:w="7960" w:type="dxa"/>
            <w:vAlign w:val="bottom"/>
          </w:tcPr>
          <w:p>
            <w:pPr>
              <w:ind w:left="220"/>
              <w:spacing w:after="0"/>
              <w:rPr>
                <w:sz w:val="20"/>
                <w:szCs w:val="20"/>
                <w:color w:val="auto"/>
              </w:rPr>
            </w:pPr>
            <w:r>
              <w:rPr>
                <w:rFonts w:ascii="Arial" w:cs="Arial" w:eastAsia="Arial" w:hAnsi="Arial"/>
                <w:sz w:val="18"/>
                <w:szCs w:val="18"/>
                <w:color w:val="auto"/>
              </w:rPr>
              <w:t>June 30, 2023 and December 31, 2022, respectively</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2,052.1</w:t>
            </w:r>
          </w:p>
        </w:tc>
      </w:tr>
      <w:tr>
        <w:trPr>
          <w:trHeight w:val="238"/>
        </w:trPr>
        <w:tc>
          <w:tcPr>
            <w:tcW w:w="79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8"/>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r>
      <w:tr>
        <w:trPr>
          <w:trHeight w:val="231"/>
        </w:trPr>
        <w:tc>
          <w:tcPr>
            <w:tcW w:w="796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2,271.8</w:t>
            </w:r>
          </w:p>
        </w:tc>
      </w:tr>
      <w:tr>
        <w:trPr>
          <w:trHeight w:val="27"/>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73"/>
        </w:trPr>
        <w:tc>
          <w:tcPr>
            <w:tcW w:w="79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264"/>
        </w:trPr>
        <w:tc>
          <w:tcPr>
            <w:tcW w:w="7960" w:type="dxa"/>
            <w:vAlign w:val="bottom"/>
          </w:tcPr>
          <w:p>
            <w:pPr>
              <w:ind w:left="460"/>
              <w:spacing w:after="0"/>
              <w:rPr>
                <w:sz w:val="20"/>
                <w:szCs w:val="20"/>
                <w:color w:val="auto"/>
              </w:rPr>
            </w:pPr>
            <w:r>
              <w:rPr>
                <w:rFonts w:ascii="Arial" w:cs="Arial" w:eastAsia="Arial" w:hAnsi="Arial"/>
                <w:sz w:val="18"/>
                <w:szCs w:val="18"/>
                <w:color w:val="auto"/>
              </w:rPr>
              <w:t>Total liabilities and permanent equity</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7,192.2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7,136.4</w:t>
            </w:r>
          </w:p>
        </w:tc>
      </w:tr>
      <w:tr>
        <w:trPr>
          <w:trHeight w:val="20"/>
        </w:trPr>
        <w:tc>
          <w:tcPr>
            <w:tcW w:w="7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781"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ind w:left="4200"/>
        <w:spacing w:after="0"/>
        <w:rPr>
          <w:sz w:val="20"/>
          <w:szCs w:val="20"/>
          <w:color w:val="auto"/>
        </w:rPr>
      </w:pPr>
      <w:r>
        <w:rPr>
          <w:rFonts w:ascii="Arial" w:cs="Arial" w:eastAsia="Arial" w:hAnsi="Arial"/>
          <w:sz w:val="14"/>
          <w:szCs w:val="14"/>
          <w:i w:val="1"/>
          <w:iCs w:val="1"/>
          <w:color w:val="auto"/>
        </w:rPr>
        <w:t>(in millions, except per share amounts; unaudited)</w:t>
      </w:r>
    </w:p>
    <w:p>
      <w:pPr>
        <w:spacing w:after="0" w:line="113"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4680" w:type="dxa"/>
            <w:vAlign w:val="bottom"/>
          </w:tcPr>
          <w:p>
            <w:pPr>
              <w:spacing w:after="0"/>
              <w:rPr>
                <w:sz w:val="15"/>
                <w:szCs w:val="15"/>
                <w:color w:val="auto"/>
              </w:rPr>
            </w:pPr>
          </w:p>
        </w:tc>
        <w:tc>
          <w:tcPr>
            <w:tcW w:w="2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46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8"/>
        </w:trPr>
        <w:tc>
          <w:tcPr>
            <w:tcW w:w="46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308.6</w:t>
            </w:r>
          </w:p>
        </w:tc>
        <w:tc>
          <w:tcPr>
            <w:tcW w:w="106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267.1</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Arial" w:cs="Arial" w:eastAsia="Arial" w:hAnsi="Arial"/>
                <w:sz w:val="18"/>
                <w:szCs w:val="18"/>
                <w:color w:val="auto"/>
              </w:rPr>
              <w:t>Cost of service:</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58"/>
        </w:trPr>
        <w:tc>
          <w:tcPr>
            <w:tcW w:w="4680" w:type="dxa"/>
            <w:vAlign w:val="bottom"/>
          </w:tcPr>
          <w:p>
            <w:pPr>
              <w:ind w:left="220"/>
              <w:spacing w:after="0"/>
              <w:rPr>
                <w:sz w:val="20"/>
                <w:szCs w:val="20"/>
                <w:color w:val="auto"/>
              </w:rPr>
            </w:pPr>
            <w:r>
              <w:rPr>
                <w:rFonts w:ascii="Arial" w:cs="Arial" w:eastAsia="Arial" w:hAnsi="Arial"/>
                <w:sz w:val="18"/>
                <w:szCs w:val="18"/>
                <w:color w:val="auto"/>
              </w:rPr>
              <w:t>Amortization of acquired technology</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265.4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102.6</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65"/>
        </w:trPr>
        <w:tc>
          <w:tcPr>
            <w:tcW w:w="4680" w:type="dxa"/>
            <w:vAlign w:val="bottom"/>
          </w:tcPr>
          <w:p>
            <w:pPr>
              <w:ind w:left="2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65"/>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4680" w:type="dxa"/>
            <w:vAlign w:val="bottom"/>
          </w:tcPr>
          <w:p>
            <w:pPr>
              <w:ind w:left="220"/>
              <w:spacing w:after="0"/>
              <w:rPr>
                <w:sz w:val="20"/>
                <w:szCs w:val="20"/>
                <w:color w:val="auto"/>
              </w:rPr>
            </w:pPr>
            <w:r>
              <w:rPr>
                <w:rFonts w:ascii="Arial" w:cs="Arial" w:eastAsia="Arial" w:hAnsi="Arial"/>
                <w:sz w:val="18"/>
                <w:szCs w:val="18"/>
                <w:color w:val="auto"/>
              </w:rPr>
              <w:t>Amortization of other acquired intangibles</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Restructuring and transaction-related expenses</w:t>
            </w:r>
          </w:p>
        </w:tc>
        <w:tc>
          <w:tcPr>
            <w:tcW w:w="9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8"/>
        </w:trPr>
        <w:tc>
          <w:tcPr>
            <w:tcW w:w="468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205.8</w:t>
            </w:r>
          </w:p>
        </w:tc>
        <w:tc>
          <w:tcPr>
            <w:tcW w:w="1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180.6</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4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8"/>
        </w:trPr>
        <w:tc>
          <w:tcPr>
            <w:tcW w:w="46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debt modification and extinguishment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46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58"/>
        </w:trPr>
        <w:tc>
          <w:tcPr>
            <w:tcW w:w="46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85"/>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of common stock:</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68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6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8"/>
        </w:trPr>
        <w:tc>
          <w:tcPr>
            <w:tcW w:w="4680" w:type="dxa"/>
            <w:vAlign w:val="bottom"/>
          </w:tcPr>
          <w:p>
            <w:pPr>
              <w:ind w:left="240"/>
              <w:spacing w:after="0"/>
              <w:rPr>
                <w:sz w:val="20"/>
                <w:szCs w:val="20"/>
                <w:color w:val="auto"/>
              </w:rPr>
            </w:pPr>
            <w:r>
              <w:rPr>
                <w:rFonts w:ascii="Arial" w:cs="Arial" w:eastAsia="Arial" w:hAnsi="Arial"/>
                <w:sz w:val="18"/>
                <w:szCs w:val="18"/>
                <w:color w:val="auto"/>
              </w:rPr>
              <w:t>Diluted</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0.09</w:t>
            </w:r>
          </w:p>
        </w:tc>
        <w:tc>
          <w:tcPr>
            <w:tcW w:w="10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58" w:lineRule="exact"/>
        <w:rPr>
          <w:sz w:val="20"/>
          <w:szCs w:val="20"/>
          <w:color w:val="auto"/>
        </w:rPr>
      </w:pPr>
    </w:p>
    <w:p>
      <w:pPr>
        <w:ind w:left="320" w:hanging="314"/>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220" w:type="dxa"/>
            <w:vAlign w:val="bottom"/>
          </w:tcPr>
          <w:p>
            <w:pPr>
              <w:spacing w:after="0"/>
              <w:rPr>
                <w:sz w:val="15"/>
                <w:szCs w:val="15"/>
                <w:color w:val="auto"/>
              </w:rPr>
            </w:pPr>
          </w:p>
        </w:tc>
        <w:tc>
          <w:tcPr>
            <w:tcW w:w="26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4"/>
          </w:tcPr>
          <w:p>
            <w:pPr>
              <w:jc w:val="right"/>
              <w:ind w:right="629"/>
              <w:spacing w:after="0"/>
              <w:rPr>
                <w:sz w:val="20"/>
                <w:szCs w:val="20"/>
                <w:color w:val="auto"/>
              </w:rPr>
            </w:pPr>
            <w:r>
              <w:rPr>
                <w:rFonts w:ascii="Arial" w:cs="Arial" w:eastAsia="Arial" w:hAnsi="Arial"/>
                <w:sz w:val="14"/>
                <w:szCs w:val="14"/>
                <w:b w:val="1"/>
                <w:bCs w:val="1"/>
                <w:color w:val="auto"/>
              </w:rPr>
              <w:t>Six Months Ended June 30,</w:t>
            </w:r>
          </w:p>
        </w:tc>
      </w:tr>
      <w:tr>
        <w:trPr>
          <w:trHeight w:val="38"/>
        </w:trPr>
        <w:tc>
          <w:tcPr>
            <w:tcW w:w="32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3220" w:type="dxa"/>
            <w:vAlign w:val="bottom"/>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r>
      <w:tr>
        <w:trPr>
          <w:trHeight w:val="38"/>
        </w:trPr>
        <w:tc>
          <w:tcPr>
            <w:tcW w:w="32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8"/>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14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88"/>
        </w:trPr>
        <w:tc>
          <w:tcPr>
            <w:tcW w:w="32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36.5</w:t>
            </w:r>
          </w:p>
        </w:tc>
      </w:tr>
      <w:tr>
        <w:trPr>
          <w:trHeight w:val="38"/>
        </w:trPr>
        <w:tc>
          <w:tcPr>
            <w:tcW w:w="3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92"/>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w:t>
            </w:r>
          </w:p>
        </w:tc>
      </w:tr>
      <w:tr>
        <w:trPr>
          <w:trHeight w:val="201"/>
        </w:trPr>
        <w:tc>
          <w:tcPr>
            <w:tcW w:w="32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4"/>
        </w:trPr>
        <w:tc>
          <w:tcPr>
            <w:tcW w:w="3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1020" w:type="dxa"/>
            <w:vAlign w:val="bottom"/>
            <w:shd w:val="clear" w:color="auto" w:fill="CCEEFF"/>
          </w:tcPr>
          <w:p>
            <w:pPr>
              <w:jc w:val="right"/>
              <w:ind w:right="8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millions;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5"/>
                <w:szCs w:val="15"/>
                <w:color w:val="auto"/>
              </w:rPr>
            </w:pPr>
          </w:p>
        </w:tc>
        <w:tc>
          <w:tcPr>
            <w:tcW w:w="24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38"/>
        </w:trPr>
        <w:tc>
          <w:tcPr>
            <w:tcW w:w="5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1"/>
        </w:trPr>
        <w:tc>
          <w:tcPr>
            <w:tcW w:w="53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38"/>
        </w:trPr>
        <w:tc>
          <w:tcPr>
            <w:tcW w:w="5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5"/>
        </w:trPr>
        <w:tc>
          <w:tcPr>
            <w:tcW w:w="5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5"/>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4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7"/>
        </w:trPr>
        <w:tc>
          <w:tcPr>
            <w:tcW w:w="5360" w:type="dxa"/>
            <w:vAlign w:val="bottom"/>
          </w:tcPr>
          <w:p>
            <w:pPr>
              <w:ind w:left="220"/>
              <w:spacing w:after="0"/>
              <w:rPr>
                <w:sz w:val="20"/>
                <w:szCs w:val="20"/>
                <w:color w:val="auto"/>
              </w:rPr>
            </w:pPr>
            <w:r>
              <w:rPr>
                <w:rFonts w:ascii="Arial" w:cs="Arial" w:eastAsia="Arial" w:hAnsi="Arial"/>
                <w:sz w:val="18"/>
                <w:szCs w:val="18"/>
                <w:color w:val="auto"/>
              </w:rPr>
              <w:t>Realized (gain) loss on settlement of cash flow hedges</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Amortization of deferred losses related to the dedesignated Interest Rate</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1"/>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Swap</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1"/>
        </w:trPr>
        <w:tc>
          <w:tcPr>
            <w:tcW w:w="5360" w:type="dxa"/>
            <w:vAlign w:val="bottom"/>
          </w:tcPr>
          <w:p>
            <w:pPr>
              <w:ind w:left="440"/>
              <w:spacing w:after="0"/>
              <w:rPr>
                <w:sz w:val="20"/>
                <w:szCs w:val="20"/>
                <w:color w:val="auto"/>
              </w:rPr>
            </w:pPr>
            <w:r>
              <w:rPr>
                <w:rFonts w:ascii="Arial" w:cs="Arial" w:eastAsia="Arial" w:hAnsi="Arial"/>
                <w:sz w:val="18"/>
                <w:szCs w:val="18"/>
                <w:color w:val="auto"/>
              </w:rPr>
              <w:t>Other comprehensive income (loss) before tax</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8"/>
        </w:trPr>
        <w:tc>
          <w:tcPr>
            <w:tcW w:w="5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5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Tax effect</w:t>
            </w: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1"/>
        </w:trPr>
        <w:tc>
          <w:tcPr>
            <w:tcW w:w="5360" w:type="dxa"/>
            <w:vAlign w:val="bottom"/>
          </w:tcPr>
          <w:p>
            <w:pPr>
              <w:ind w:left="440"/>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8"/>
        </w:trPr>
        <w:tc>
          <w:tcPr>
            <w:tcW w:w="5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8"/>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Changes in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5"/>
                <w:szCs w:val="15"/>
                <w:color w:val="auto"/>
              </w:rPr>
            </w:pPr>
          </w:p>
        </w:tc>
        <w:tc>
          <w:tcPr>
            <w:tcW w:w="22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rPr>
              <w:t>New ZoomInfo Common 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Additional paid-</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40" w:type="dxa"/>
            <w:vAlign w:val="bottom"/>
          </w:tcPr>
          <w:p>
            <w:pPr>
              <w:spacing w:after="0"/>
              <w:rPr>
                <w:sz w:val="15"/>
                <w:szCs w:val="15"/>
                <w:color w:val="auto"/>
              </w:rPr>
            </w:pPr>
          </w:p>
        </w:tc>
        <w:tc>
          <w:tcPr>
            <w:tcW w:w="1080" w:type="dxa"/>
            <w:vAlign w:val="bottom"/>
          </w:tcPr>
          <w:p>
            <w:pPr>
              <w:jc w:val="right"/>
              <w:ind w:right="26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29"/>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89"/>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b w:val="1"/>
                <w:bCs w:val="1"/>
                <w:color w:val="auto"/>
              </w:rPr>
              <w:t>AOCI</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38"/>
        </w:trPr>
        <w:tc>
          <w:tcPr>
            <w:tcW w:w="43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404,083,262</w:t>
            </w:r>
          </w:p>
        </w:tc>
        <w:tc>
          <w:tcPr>
            <w:tcW w:w="2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2,052.1</w:t>
            </w:r>
          </w:p>
        </w:tc>
        <w:tc>
          <w:tcPr>
            <w:tcW w:w="26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30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2,271.8</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Issuance of common stock upon vesting of RSUs</w:t>
            </w:r>
          </w:p>
        </w:tc>
        <w:tc>
          <w:tcPr>
            <w:tcW w:w="1080" w:type="dxa"/>
            <w:vAlign w:val="bottom"/>
          </w:tcPr>
          <w:p>
            <w:pPr>
              <w:jc w:val="right"/>
              <w:spacing w:after="0"/>
              <w:rPr>
                <w:sz w:val="20"/>
                <w:szCs w:val="20"/>
                <w:color w:val="auto"/>
              </w:rPr>
            </w:pPr>
            <w:r>
              <w:rPr>
                <w:rFonts w:ascii="Arial" w:cs="Arial" w:eastAsia="Arial" w:hAnsi="Arial"/>
                <w:sz w:val="14"/>
                <w:szCs w:val="14"/>
                <w:color w:val="auto"/>
              </w:rPr>
              <w:t>648,570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Shares withheld related to net share settlement and other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(163,965)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11,236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Forfeitures / cancellations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1080" w:type="dxa"/>
            <w:vAlign w:val="bottom"/>
          </w:tcPr>
          <w:p>
            <w:pPr>
              <w:jc w:val="right"/>
              <w:spacing w:after="0"/>
              <w:rPr>
                <w:sz w:val="20"/>
                <w:szCs w:val="20"/>
                <w:color w:val="auto"/>
              </w:rPr>
            </w:pPr>
            <w:r>
              <w:rPr>
                <w:rFonts w:ascii="Arial" w:cs="Arial" w:eastAsia="Arial" w:hAnsi="Arial"/>
                <w:sz w:val="14"/>
                <w:szCs w:val="14"/>
                <w:color w:val="auto"/>
              </w:rPr>
              <w:t>(1,058,291)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Equity-based compensation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81"/>
        </w:trPr>
        <w:tc>
          <w:tcPr>
            <w:tcW w:w="434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403,514,079</w:t>
            </w: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4.0</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2,061.6</w:t>
            </w: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220.5</w:t>
            </w: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2,319.3</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Issuance of common stock upon vesting of RSUs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668,323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w w:val="99"/>
              </w:rPr>
              <w:t>Issuance of common stock related to employee stock purchase plan</w:t>
            </w:r>
          </w:p>
        </w:tc>
        <w:tc>
          <w:tcPr>
            <w:tcW w:w="1080" w:type="dxa"/>
            <w:vAlign w:val="bottom"/>
          </w:tcPr>
          <w:p>
            <w:pPr>
              <w:jc w:val="right"/>
              <w:spacing w:after="0"/>
              <w:rPr>
                <w:sz w:val="20"/>
                <w:szCs w:val="20"/>
                <w:color w:val="auto"/>
              </w:rPr>
            </w:pPr>
            <w:r>
              <w:rPr>
                <w:rFonts w:ascii="Arial" w:cs="Arial" w:eastAsia="Arial" w:hAnsi="Arial"/>
                <w:sz w:val="14"/>
                <w:szCs w:val="14"/>
                <w:color w:val="auto"/>
              </w:rPr>
              <w:t>181,931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Shares withheld related to net share settlement and other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(216,700)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6,086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Forfeitures / cancellations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1080" w:type="dxa"/>
            <w:vAlign w:val="bottom"/>
          </w:tcPr>
          <w:p>
            <w:pPr>
              <w:jc w:val="right"/>
              <w:spacing w:after="0"/>
              <w:rPr>
                <w:sz w:val="20"/>
                <w:szCs w:val="20"/>
                <w:color w:val="auto"/>
              </w:rPr>
            </w:pPr>
            <w:r>
              <w:rPr>
                <w:rFonts w:ascii="Arial" w:cs="Arial" w:eastAsia="Arial" w:hAnsi="Arial"/>
                <w:sz w:val="14"/>
                <w:szCs w:val="14"/>
                <w:color w:val="auto"/>
              </w:rPr>
              <w:t>(2,847,121)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Equity-based compensation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13"/>
        </w:trPr>
        <w:tc>
          <w:tcPr>
            <w:tcW w:w="434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401,302,563</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4.0</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2,047.2</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258.6</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2,347.0</w:t>
            </w: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Changes in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5"/>
                <w:szCs w:val="15"/>
                <w:color w:val="auto"/>
              </w:rPr>
            </w:pPr>
          </w:p>
        </w:tc>
        <w:tc>
          <w:tcPr>
            <w:tcW w:w="22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rPr>
              <w:t>New ZoomInfo Common 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Additional paid-</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40" w:type="dxa"/>
            <w:vAlign w:val="bottom"/>
          </w:tcPr>
          <w:p>
            <w:pPr>
              <w:spacing w:after="0"/>
              <w:rPr>
                <w:sz w:val="15"/>
                <w:szCs w:val="15"/>
                <w:color w:val="auto"/>
              </w:rPr>
            </w:pPr>
          </w:p>
        </w:tc>
        <w:tc>
          <w:tcPr>
            <w:tcW w:w="1080" w:type="dxa"/>
            <w:vAlign w:val="bottom"/>
          </w:tcPr>
          <w:p>
            <w:pPr>
              <w:jc w:val="right"/>
              <w:ind w:right="26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29"/>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89"/>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b w:val="1"/>
                <w:bCs w:val="1"/>
                <w:color w:val="auto"/>
              </w:rPr>
              <w:t>AOCI</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38"/>
        </w:trPr>
        <w:tc>
          <w:tcPr>
            <w:tcW w:w="43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403,315,989</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1,871.6</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1,997.9</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Issuance of Class A common stock upon vesting of RSUs</w:t>
            </w:r>
          </w:p>
        </w:tc>
        <w:tc>
          <w:tcPr>
            <w:tcW w:w="1080" w:type="dxa"/>
            <w:vAlign w:val="bottom"/>
          </w:tcPr>
          <w:p>
            <w:pPr>
              <w:jc w:val="right"/>
              <w:spacing w:after="0"/>
              <w:rPr>
                <w:sz w:val="20"/>
                <w:szCs w:val="20"/>
                <w:color w:val="auto"/>
              </w:rPr>
            </w:pPr>
            <w:r>
              <w:rPr>
                <w:rFonts w:ascii="Arial" w:cs="Arial" w:eastAsia="Arial" w:hAnsi="Arial"/>
                <w:sz w:val="14"/>
                <w:szCs w:val="14"/>
                <w:color w:val="auto"/>
              </w:rPr>
              <w:t>187,659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Shares withheld related to net share settlement and other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(80,067)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14,790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Forfeitures / cancellations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(43,210)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1"/>
        </w:trPr>
        <w:tc>
          <w:tcPr>
            <w:tcW w:w="4340" w:type="dxa"/>
            <w:vAlign w:val="bottom"/>
          </w:tcPr>
          <w:p>
            <w:pPr>
              <w:ind w:left="120"/>
              <w:spacing w:after="0"/>
              <w:rPr>
                <w:sz w:val="20"/>
                <w:szCs w:val="20"/>
                <w:color w:val="auto"/>
              </w:rPr>
            </w:pPr>
            <w:r>
              <w:rPr>
                <w:rFonts w:ascii="Arial" w:cs="Arial" w:eastAsia="Arial" w:hAnsi="Arial"/>
                <w:sz w:val="14"/>
                <w:szCs w:val="14"/>
                <w:color w:val="auto"/>
              </w:rPr>
              <w:t>Equity-based compensation</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403,395,161</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1,910.0</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2,059.4</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Issuance of Class A common stock upon vesting of RSUs</w:t>
            </w:r>
          </w:p>
        </w:tc>
        <w:tc>
          <w:tcPr>
            <w:tcW w:w="1080" w:type="dxa"/>
            <w:vAlign w:val="bottom"/>
          </w:tcPr>
          <w:p>
            <w:pPr>
              <w:jc w:val="right"/>
              <w:spacing w:after="0"/>
              <w:rPr>
                <w:sz w:val="20"/>
                <w:szCs w:val="20"/>
                <w:color w:val="auto"/>
              </w:rPr>
            </w:pPr>
            <w:r>
              <w:rPr>
                <w:rFonts w:ascii="Arial" w:cs="Arial" w:eastAsia="Arial" w:hAnsi="Arial"/>
                <w:sz w:val="14"/>
                <w:szCs w:val="14"/>
                <w:color w:val="auto"/>
              </w:rPr>
              <w:t>233,923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Shares withheld related to net share settlement and other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(75,351)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13,714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Forfeitures / cancellations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(111,789)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8"/>
        </w:trPr>
        <w:tc>
          <w:tcPr>
            <w:tcW w:w="4340" w:type="dxa"/>
            <w:vAlign w:val="bottom"/>
          </w:tcPr>
          <w:p>
            <w:pPr>
              <w:ind w:left="120"/>
              <w:spacing w:after="0"/>
              <w:rPr>
                <w:sz w:val="20"/>
                <w:szCs w:val="20"/>
                <w:color w:val="auto"/>
              </w:rPr>
            </w:pPr>
            <w:r>
              <w:rPr>
                <w:rFonts w:ascii="Arial" w:cs="Arial" w:eastAsia="Arial" w:hAnsi="Arial"/>
                <w:sz w:val="14"/>
                <w:szCs w:val="14"/>
                <w:color w:val="auto"/>
              </w:rPr>
              <w:t>Equity-based compensation</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38"/>
        </w:trPr>
        <w:tc>
          <w:tcPr>
            <w:tcW w:w="43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403,455,658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26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5"/>
                <w:szCs w:val="15"/>
                <w:color w:val="auto"/>
              </w:rPr>
            </w:pPr>
          </w:p>
        </w:tc>
      </w:tr>
      <w:tr>
        <w:trPr>
          <w:trHeight w:val="38"/>
        </w:trPr>
        <w:tc>
          <w:tcPr>
            <w:tcW w:w="80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1"/>
        </w:trPr>
        <w:tc>
          <w:tcPr>
            <w:tcW w:w="80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r>
      <w:tr>
        <w:trPr>
          <w:trHeight w:val="38"/>
        </w:trPr>
        <w:tc>
          <w:tcPr>
            <w:tcW w:w="80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0"/>
        </w:trPr>
        <w:tc>
          <w:tcPr>
            <w:tcW w:w="80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82.6</w:t>
            </w:r>
          </w:p>
        </w:tc>
        <w:tc>
          <w:tcPr>
            <w:tcW w:w="110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31"/>
        </w:trPr>
        <w:tc>
          <w:tcPr>
            <w:tcW w:w="8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9"/>
        </w:trPr>
        <w:tc>
          <w:tcPr>
            <w:tcW w:w="8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20"/>
        </w:trPr>
        <w:tc>
          <w:tcPr>
            <w:tcW w:w="80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31"/>
        </w:trPr>
        <w:tc>
          <w:tcPr>
            <w:tcW w:w="8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discounts and issuance costs</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Amortization of deferred commissions costs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41"/>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Asset impairments</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Loss on debt modification and extinguishment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Equity-based compensation expense</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Tax receivable agreement remeasurement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20"/>
        </w:trPr>
        <w:tc>
          <w:tcPr>
            <w:tcW w:w="8040" w:type="dxa"/>
            <w:vAlign w:val="bottom"/>
          </w:tcPr>
          <w:p>
            <w:pPr>
              <w:ind w:left="460"/>
              <w:spacing w:after="0"/>
              <w:rPr>
                <w:sz w:val="20"/>
                <w:szCs w:val="20"/>
                <w:color w:val="auto"/>
              </w:rPr>
            </w:pPr>
            <w:r>
              <w:rPr>
                <w:rFonts w:ascii="Arial" w:cs="Arial" w:eastAsia="Arial" w:hAnsi="Arial"/>
                <w:sz w:val="16"/>
                <w:szCs w:val="16"/>
                <w:color w:val="auto"/>
              </w:rPr>
              <w:t>Provision for bad debt expense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1"/>
        </w:trPr>
        <w:tc>
          <w:tcPr>
            <w:tcW w:w="8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20"/>
        </w:trPr>
        <w:tc>
          <w:tcPr>
            <w:tcW w:w="804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32"/>
        </w:trPr>
        <w:tc>
          <w:tcPr>
            <w:tcW w:w="8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Deferred costs and other assets, net of current portion</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41"/>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Income tax receivable</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1"/>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32"/>
        </w:trPr>
        <w:tc>
          <w:tcPr>
            <w:tcW w:w="8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Unearned revenue</w:t>
            </w: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r>
      <w:tr>
        <w:trPr>
          <w:trHeight w:val="232"/>
        </w:trPr>
        <w:tc>
          <w:tcPr>
            <w:tcW w:w="8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r>
      <w:tr>
        <w:trPr>
          <w:trHeight w:val="186"/>
        </w:trPr>
        <w:tc>
          <w:tcPr>
            <w:tcW w:w="8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Purchases of short-term investments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41"/>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Maturities of short-term investments</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Purchases of property and equipment and other assets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41"/>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w:t>
            </w:r>
          </w:p>
        </w:tc>
      </w:tr>
      <w:tr>
        <w:trPr>
          <w:trHeight w:val="220"/>
        </w:trPr>
        <w:tc>
          <w:tcPr>
            <w:tcW w:w="8040" w:type="dxa"/>
            <w:vAlign w:val="bottom"/>
          </w:tcPr>
          <w:p>
            <w:pPr>
              <w:ind w:left="64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(153.0)</w:t>
            </w:r>
          </w:p>
        </w:tc>
      </w:tr>
      <w:tr>
        <w:trPr>
          <w:trHeight w:val="32"/>
        </w:trPr>
        <w:tc>
          <w:tcPr>
            <w:tcW w:w="8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9"/>
        </w:trPr>
        <w:tc>
          <w:tcPr>
            <w:tcW w:w="8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1"/>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of deferred consideration</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Repayment of debt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of debt issuance and modification costs</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20"/>
        </w:trPr>
        <w:tc>
          <w:tcPr>
            <w:tcW w:w="804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under the employee stock purchase plan</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
        </w:trPr>
        <w:tc>
          <w:tcPr>
            <w:tcW w:w="8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equity issuance costs</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Tax receivable agreement payments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1"/>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Repurchase of common stock</w:t>
            </w: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040" w:type="dxa"/>
            <w:vAlign w:val="bottom"/>
          </w:tcPr>
          <w:p>
            <w:pPr>
              <w:ind w:left="64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2"/>
        </w:trPr>
        <w:tc>
          <w:tcPr>
            <w:tcW w:w="8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9"/>
        </w:trPr>
        <w:tc>
          <w:tcPr>
            <w:tcW w:w="8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95.3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254"/>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424.1</w:t>
            </w:r>
          </w:p>
        </w:tc>
        <w:tc>
          <w:tcPr>
            <w:tcW w:w="1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w:t>
            </w:r>
          </w:p>
        </w:tc>
      </w:tr>
      <w:tr>
        <w:trPr>
          <w:trHeight w:val="232"/>
        </w:trPr>
        <w:tc>
          <w:tcPr>
            <w:tcW w:w="80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519.4</w:t>
            </w:r>
          </w:p>
        </w:tc>
        <w:tc>
          <w:tcPr>
            <w:tcW w:w="110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358.5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8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1"/>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509.7</w:t>
            </w:r>
          </w:p>
        </w:tc>
        <w:tc>
          <w:tcPr>
            <w:tcW w:w="110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352.7</w:t>
            </w:r>
          </w:p>
        </w:tc>
      </w:tr>
      <w:tr>
        <w:trPr>
          <w:trHeight w:val="229"/>
        </w:trPr>
        <w:tc>
          <w:tcPr>
            <w:tcW w:w="8040" w:type="dxa"/>
            <w:vAlign w:val="bottom"/>
          </w:tcPr>
          <w:p>
            <w:pPr>
              <w:ind w:left="340"/>
              <w:spacing w:after="0"/>
              <w:rPr>
                <w:sz w:val="20"/>
                <w:szCs w:val="20"/>
                <w:color w:val="auto"/>
              </w:rPr>
            </w:pPr>
            <w:r>
              <w:rPr>
                <w:rFonts w:ascii="Arial" w:cs="Arial" w:eastAsia="Arial" w:hAnsi="Arial"/>
                <w:sz w:val="16"/>
                <w:szCs w:val="16"/>
                <w:color w:val="auto"/>
              </w:rPr>
              <w:t>Restricted cash, current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Restricted cash, non-current</w:t>
            </w: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5"/>
        </w:trPr>
        <w:tc>
          <w:tcPr>
            <w:tcW w:w="8040" w:type="dxa"/>
            <w:vAlign w:val="bottom"/>
          </w:tcPr>
          <w:p>
            <w:pPr>
              <w:ind w:left="560"/>
              <w:spacing w:after="0"/>
              <w:rPr>
                <w:sz w:val="20"/>
                <w:szCs w:val="20"/>
                <w:color w:val="auto"/>
              </w:rPr>
            </w:pPr>
            <w:r>
              <w:rPr>
                <w:rFonts w:ascii="Arial" w:cs="Arial" w:eastAsia="Arial" w:hAnsi="Arial"/>
                <w:sz w:val="16"/>
                <w:szCs w:val="16"/>
                <w:color w:val="auto"/>
              </w:rPr>
              <w:t>Total cash, cash equivalents, and restricted cash</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519.4</w:t>
            </w:r>
          </w:p>
        </w:tc>
        <w:tc>
          <w:tcPr>
            <w:tcW w:w="110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358.5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8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7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708"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unaudited) (continued)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20" w:type="dxa"/>
            <w:vAlign w:val="bottom"/>
            <w:gridSpan w:val="4"/>
          </w:tcPr>
          <w:p>
            <w:pPr>
              <w:jc w:val="right"/>
              <w:ind w:right="682"/>
              <w:spacing w:after="0"/>
              <w:rPr>
                <w:sz w:val="20"/>
                <w:szCs w:val="20"/>
                <w:color w:val="auto"/>
              </w:rPr>
            </w:pPr>
            <w:r>
              <w:rPr>
                <w:rFonts w:ascii="Arial" w:cs="Arial" w:eastAsia="Arial" w:hAnsi="Arial"/>
                <w:sz w:val="14"/>
                <w:szCs w:val="14"/>
                <w:b w:val="1"/>
                <w:bCs w:val="1"/>
                <w:color w:val="auto"/>
              </w:rPr>
              <w:t>Six Months Ended June 30,</w:t>
            </w:r>
          </w:p>
        </w:tc>
      </w:tr>
      <w:tr>
        <w:trPr>
          <w:trHeight w:val="38"/>
        </w:trPr>
        <w:tc>
          <w:tcPr>
            <w:tcW w:w="8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8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2"/>
              <w:spacing w:after="0"/>
              <w:rPr>
                <w:sz w:val="20"/>
                <w:szCs w:val="20"/>
                <w:color w:val="auto"/>
              </w:rPr>
            </w:pPr>
            <w:r>
              <w:rPr>
                <w:rFonts w:ascii="Arial" w:cs="Arial" w:eastAsia="Arial" w:hAnsi="Arial"/>
                <w:sz w:val="14"/>
                <w:szCs w:val="14"/>
                <w:b w:val="1"/>
                <w:bCs w:val="1"/>
                <w:color w:val="auto"/>
              </w:rPr>
              <w:t>2022</w:t>
            </w:r>
          </w:p>
        </w:tc>
      </w:tr>
      <w:tr>
        <w:trPr>
          <w:trHeight w:val="38"/>
        </w:trPr>
        <w:tc>
          <w:tcPr>
            <w:tcW w:w="8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9"/>
        </w:trPr>
        <w:tc>
          <w:tcPr>
            <w:tcW w:w="8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0"/>
        </w:trPr>
        <w:tc>
          <w:tcPr>
            <w:tcW w:w="8040" w:type="dxa"/>
            <w:vAlign w:val="bottom"/>
          </w:tcPr>
          <w:p>
            <w:pPr>
              <w:ind w:left="340"/>
              <w:spacing w:after="0"/>
              <w:rPr>
                <w:sz w:val="20"/>
                <w:szCs w:val="20"/>
                <w:color w:val="auto"/>
              </w:rPr>
            </w:pPr>
            <w:r>
              <w:rPr>
                <w:rFonts w:ascii="Arial" w:cs="Arial" w:eastAsia="Arial" w:hAnsi="Arial"/>
                <w:sz w:val="16"/>
                <w:szCs w:val="16"/>
                <w:color w:val="auto"/>
              </w:rPr>
              <w:t>Interest paid in cash</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32"/>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8"/>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taxes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199"/>
        </w:trPr>
        <w:tc>
          <w:tcPr>
            <w:tcW w:w="8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040" w:type="dxa"/>
            <w:vAlign w:val="bottom"/>
          </w:tcPr>
          <w:p>
            <w:pPr>
              <w:ind w:left="340"/>
              <w:spacing w:after="0"/>
              <w:rPr>
                <w:sz w:val="20"/>
                <w:szCs w:val="20"/>
                <w:color w:val="auto"/>
              </w:rPr>
            </w:pPr>
            <w:r>
              <w:rPr>
                <w:rFonts w:ascii="Arial" w:cs="Arial" w:eastAsia="Arial" w:hAnsi="Arial"/>
                <w:sz w:val="16"/>
                <w:szCs w:val="16"/>
                <w:color w:val="auto"/>
              </w:rPr>
              <w:t>Deferred variable consideration from acquisition of a business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1"/>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Property and equipment included in accounts payable and accrued expenses and other current liabilities</w:t>
            </w: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20"/>
        </w:trPr>
        <w:tc>
          <w:tcPr>
            <w:tcW w:w="8040" w:type="dxa"/>
            <w:vAlign w:val="bottom"/>
          </w:tcPr>
          <w:p>
            <w:pPr>
              <w:ind w:left="340"/>
              <w:spacing w:after="0"/>
              <w:rPr>
                <w:sz w:val="20"/>
                <w:szCs w:val="20"/>
                <w:color w:val="auto"/>
              </w:rPr>
            </w:pPr>
            <w:r>
              <w:rPr>
                <w:rFonts w:ascii="Arial" w:cs="Arial" w:eastAsia="Arial" w:hAnsi="Arial"/>
                <w:sz w:val="16"/>
                <w:szCs w:val="16"/>
                <w:color w:val="auto"/>
              </w:rPr>
              <w:t>Equity-based compensation included in capitalized software</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auto"/>
        </w:rPr>
        <w:t>ZoomInfo Technologies Inc.</w:t>
      </w:r>
    </w:p>
    <w:p>
      <w:pPr>
        <w:spacing w:after="0" w:line="2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millions, except share/unit data and per share/unit amounts, unless otherwise noted)</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0000FF"/>
                <w:w w:val="86"/>
              </w:rPr>
              <w:t>Note 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Organization and Background</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10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6"/>
              </w:rPr>
              <w:t>Note 2</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Basis of Presentation and Summary of Significant Accounting Policies</w:t>
            </w:r>
          </w:p>
        </w:tc>
        <w:tc>
          <w:tcPr>
            <w:tcW w:w="454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11</w:t>
            </w: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3</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Revenue from Contracts with Customers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19</w:t>
            </w:r>
          </w:p>
        </w:tc>
      </w:tr>
      <w:tr>
        <w:trPr>
          <w:trHeight w:val="245"/>
        </w:trPr>
        <w:tc>
          <w:tcPr>
            <w:tcW w:w="4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86"/>
              </w:rPr>
              <w:t>Note 4</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Business Combinations</w:t>
            </w:r>
          </w:p>
        </w:tc>
        <w:tc>
          <w:tcPr>
            <w:tcW w:w="6660" w:type="dxa"/>
            <w:vAlign w:val="bottom"/>
            <w:gridSpan w:val="4"/>
          </w:tcPr>
          <w:p>
            <w:pPr>
              <w:spacing w:after="0"/>
              <w:rPr>
                <w:sz w:val="21"/>
                <w:szCs w:val="21"/>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21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5</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Cash, Cash Equivalents, and Short-term Investments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23</w:t>
            </w:r>
          </w:p>
        </w:tc>
      </w:tr>
      <w:tr>
        <w:trPr>
          <w:trHeight w:val="245"/>
        </w:trPr>
        <w:tc>
          <w:tcPr>
            <w:tcW w:w="4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86"/>
              </w:rPr>
              <w:t>Note 6</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72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Property and Equipment</w:t>
            </w:r>
          </w:p>
        </w:tc>
        <w:tc>
          <w:tcPr>
            <w:tcW w:w="5820" w:type="dxa"/>
            <w:vAlign w:val="bottom"/>
            <w:gridSpan w:val="2"/>
          </w:tcPr>
          <w:p>
            <w:pPr>
              <w:spacing w:after="0"/>
              <w:rPr>
                <w:sz w:val="21"/>
                <w:szCs w:val="21"/>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24</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6"/>
              </w:rPr>
              <w:t>Note 7</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Goodwill and Acquired Intangible Assets</w:t>
            </w:r>
          </w:p>
        </w:tc>
        <w:tc>
          <w:tcPr>
            <w:tcW w:w="6620" w:type="dxa"/>
            <w:vAlign w:val="bottom"/>
            <w:gridSpan w:val="3"/>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24</w:t>
            </w: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8</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Financing Arrangements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25</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9</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Derivatives and Hedging Activities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27</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10</w:t>
            </w:r>
          </w:p>
        </w:tc>
        <w:tc>
          <w:tcPr>
            <w:tcW w:w="660" w:type="dxa"/>
            <w:vAlign w:val="bottom"/>
          </w:tcPr>
          <w:p>
            <w:pPr>
              <w:spacing w:after="0"/>
              <w:rPr>
                <w:sz w:val="21"/>
                <w:szCs w:val="21"/>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Fair Value</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28</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180" w:type="dxa"/>
            <w:vAlign w:val="bottom"/>
            <w:gridSpan w:val="6"/>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Note 11</w:t>
            </w:r>
          </w:p>
        </w:tc>
        <w:tc>
          <w:tcPr>
            <w:tcW w:w="660" w:type="dxa"/>
            <w:vAlign w:val="bottom"/>
          </w:tcPr>
          <w:p>
            <w:pPr>
              <w:spacing w:after="0"/>
              <w:rPr>
                <w:sz w:val="21"/>
                <w:szCs w:val="21"/>
                <w:color w:val="auto"/>
              </w:rPr>
            </w:pPr>
          </w:p>
        </w:tc>
        <w:tc>
          <w:tcPr>
            <w:tcW w:w="23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Commitments and Contingencies</w:t>
            </w:r>
          </w:p>
        </w:tc>
        <w:tc>
          <w:tcPr>
            <w:tcW w:w="7180" w:type="dxa"/>
            <w:vAlign w:val="bottom"/>
            <w:gridSpan w:val="6"/>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30</w:t>
            </w:r>
          </w:p>
        </w:tc>
      </w:tr>
      <w:tr>
        <w:trPr>
          <w:trHeight w:val="245"/>
        </w:trPr>
        <w:tc>
          <w:tcPr>
            <w:tcW w:w="5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Note 12</w:t>
            </w:r>
          </w:p>
        </w:tc>
        <w:tc>
          <w:tcPr>
            <w:tcW w:w="660" w:type="dxa"/>
            <w:vAlign w:val="bottom"/>
          </w:tcPr>
          <w:p>
            <w:pPr>
              <w:spacing w:after="0"/>
              <w:rPr>
                <w:sz w:val="21"/>
                <w:szCs w:val="21"/>
                <w:color w:val="auto"/>
              </w:rPr>
            </w:pPr>
          </w:p>
        </w:tc>
        <w:tc>
          <w:tcPr>
            <w:tcW w:w="13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5"/>
              </w:rPr>
              <w:t>Earnings Per Share</w:t>
            </w:r>
          </w:p>
        </w:tc>
        <w:tc>
          <w:tcPr>
            <w:tcW w:w="8180" w:type="dxa"/>
            <w:vAlign w:val="bottom"/>
            <w:gridSpan w:val="13"/>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32</w:t>
            </w: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13</w:t>
            </w:r>
          </w:p>
        </w:tc>
        <w:tc>
          <w:tcPr>
            <w:tcW w:w="660" w:type="dxa"/>
            <w:vAlign w:val="bottom"/>
          </w:tcPr>
          <w:p>
            <w:pPr>
              <w:spacing w:after="0"/>
              <w:rPr>
                <w:sz w:val="21"/>
                <w:szCs w:val="21"/>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Leases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33</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520" w:type="dxa"/>
            <w:vAlign w:val="bottom"/>
            <w:gridSpan w:val="8"/>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14</w:t>
            </w:r>
          </w:p>
        </w:tc>
        <w:tc>
          <w:tcPr>
            <w:tcW w:w="660" w:type="dxa"/>
            <w:vAlign w:val="bottom"/>
          </w:tcPr>
          <w:p>
            <w:pPr>
              <w:spacing w:after="0"/>
              <w:rPr>
                <w:sz w:val="21"/>
                <w:szCs w:val="21"/>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Equity-Based Compensation</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35</w:t>
            </w:r>
          </w:p>
        </w:tc>
      </w:tr>
      <w:tr>
        <w:trPr>
          <w:trHeight w:val="245"/>
        </w:trPr>
        <w:tc>
          <w:tcPr>
            <w:tcW w:w="5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5"/>
              </w:rPr>
              <w:t>Note 15</w:t>
            </w:r>
          </w:p>
        </w:tc>
        <w:tc>
          <w:tcPr>
            <w:tcW w:w="660" w:type="dxa"/>
            <w:vAlign w:val="bottom"/>
          </w:tcPr>
          <w:p>
            <w:pPr>
              <w:spacing w:after="0"/>
              <w:rPr>
                <w:sz w:val="21"/>
                <w:szCs w:val="21"/>
                <w:color w:val="auto"/>
              </w:rPr>
            </w:pPr>
          </w:p>
        </w:tc>
        <w:tc>
          <w:tcPr>
            <w:tcW w:w="19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6"/>
              </w:rPr>
              <w:t>Tax Receivable Agreements</w:t>
            </w:r>
          </w:p>
        </w:tc>
        <w:tc>
          <w:tcPr>
            <w:tcW w:w="40" w:type="dxa"/>
            <w:vAlign w:val="bottom"/>
            <w:tcBorders>
              <w:top w:val="single" w:sz="8" w:color="0000FF"/>
            </w:tcBorders>
          </w:tcPr>
          <w:p>
            <w:pPr>
              <w:spacing w:after="0"/>
              <w:rPr>
                <w:sz w:val="21"/>
                <w:szCs w:val="21"/>
                <w:color w:val="auto"/>
              </w:rPr>
            </w:pPr>
          </w:p>
        </w:tc>
        <w:tc>
          <w:tcPr>
            <w:tcW w:w="7520" w:type="dxa"/>
            <w:vAlign w:val="bottom"/>
            <w:gridSpan w:val="8"/>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40</w:t>
            </w: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16</w:t>
            </w:r>
          </w:p>
        </w:tc>
        <w:tc>
          <w:tcPr>
            <w:tcW w:w="660" w:type="dxa"/>
            <w:vAlign w:val="bottom"/>
          </w:tcPr>
          <w:p>
            <w:pPr>
              <w:spacing w:after="0"/>
              <w:rPr>
                <w:sz w:val="21"/>
                <w:szCs w:val="21"/>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41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80"/>
          </w:cols>
          <w:pgMar w:left="320" w:top="122" w:right="29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ZoomInfo Technologies Inc., through its operating subsidiaries, provides a go-to-market intelligence and engagement platform for sales and marketing teams.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ZoomInfo OpCo became a direct subsidiary of ZoomInfo Intermediate Holdings LLC (“ZoomInfo HoldCo”), a Delaware limited liability company and an indirect subsidiary of ZoomInfo Technologies Inc. Following the consummation of the Holding Company Reorganization, ZoomInfo OpCo became a direct subsidiary of ZoomInfo Technologies Inc. and ZoomInfo Intermediate Inc.</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headquarters are located in Vancouver, WA, and we have additional offices throughout the United States, and in Israel, Canada, the United Kingdom, and India.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Simplification Transactions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Reorganization</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September 2021, the Board of Directors (the “Board”)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10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After the consummation of the Holding Company Reorganization, the only class of common stock of the New ZoomInfo remaining issued and outstanding was the Class A common stock and all shares of Class B common stock were cancelled, and all shares of Class C common stock were converted to Class A common stock. In May 2022, following approval by the Company’s stockholders, the Company further amended and restated its Amended and Restated Certification of Incorporation to eliminate the multiple classes of common stock and to rename the Company’s Class A common stock as “Common Stock.” All references within this document to Class A common stock for periods subsequent to May 23, 2022, and, where the context requires, references within this document to Class A common stock for periods prior to May 23, 2022, have been updated for the renaming.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of America (“U.S. GAAP”) has been condensed or omitted pursuant to those rules and regulations. The financial statements included in this report should be read in conjunction with the Company’s audited financial statements for the year ended December 31, 2022.</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results of operations for the three and six months ended June 30, 2023 are not necessarily indicative of the operating results that may be expected for the full fiscal year ending December 31, 2023 or any future period.</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accompanying unaudited consolidated financial statements contain all adjustments necessary for a fair statement of financial position as of June 30, 2023, and results of operations for the three and six months ended June 30, 2023 and 2022, and cash flows for the six months ended June 30, 2023 and 2022. Accordingly, certain footnote disclosures normally included in annual financial statements prepared in accordance with U.S. GAAP have been condensed or omitted.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Effective May 23, 2022, the Company’s Class A common stock was renamed as “Common Stock.” All references within this document to Class A common stock for periods subsequent to May 23, 2022, and, where the context requires, references within this document to Class A common stock for periods prior to May 23, 2022, have been updated for the renaming.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consolidated financial statements include the accounts of ZoomInfo Technologies Inc. and its subsidiaries. All significant intercompany transactions and balances have been eliminated in consolidation.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derives revenue primarily from subscription services. Our subscription services consist of our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64"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on our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Level 3 - Unobservable inputs that are supported by little or no market activity, including the Company’s own assumptions in determining fair value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inputs or methodology used for valuing financial assets and liabilities are not necessarily an indication of the risk associated with investing in them.</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and six months ended June 30, 2023 and 2022, or accounted for more than 10% of accounts receivable as of June 30, 2023 and December 31, 2022. Long-lived assets located outside of the United States were immaterial as of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Contract Assets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Accounts receivable is comprised of invoices of revenue, net of allowance for credit losses, and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credit losses is immaterial as of June 30, 2023 and December 31, 2022.</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personnel costs (including equity-based compensation), and purchased software license costs, are capitalized and amortized over the estimated useful life of the asset. Estimated useful lives range from three years to ten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Arial" w:cs="Arial" w:eastAsia="Arial" w:hAnsi="Arial"/>
          <w:sz w:val="15"/>
          <w:szCs w:val="15"/>
          <w:i w:val="1"/>
          <w:iCs w:val="1"/>
          <w:color w:val="auto"/>
        </w:rPr>
        <w:t>Deferred costs and other assets, net of current portion</w:t>
      </w:r>
      <w:r>
        <w:rPr>
          <w:rFonts w:ascii="Arial" w:cs="Arial" w:eastAsia="Arial" w:hAnsi="Arial"/>
          <w:sz w:val="15"/>
          <w:szCs w:val="15"/>
          <w:color w:val="auto"/>
        </w:rPr>
        <w:t xml:space="preserve"> on our Consolidated Balance Sheets. Deferred sales commissions are amortized on a straight-line basis over the estimated period of benefit from the customer relationship which we have determined to be one and three years for renewals and new clients, respectively. We determined the period of benefit by taking into consideration our customer contracts, our technology, and other factors. Amortization expense is included in </w:t>
      </w:r>
      <w:r>
        <w:rPr>
          <w:rFonts w:ascii="Arial" w:cs="Arial" w:eastAsia="Arial" w:hAnsi="Arial"/>
          <w:sz w:val="15"/>
          <w:szCs w:val="15"/>
          <w:i w:val="1"/>
          <w:iCs w:val="1"/>
          <w:color w:val="auto"/>
        </w:rPr>
        <w:t>Sales and marketing</w:t>
      </w:r>
      <w:r>
        <w:rPr>
          <w:rFonts w:ascii="Arial" w:cs="Arial" w:eastAsia="Arial" w:hAnsi="Arial"/>
          <w:sz w:val="15"/>
          <w:szCs w:val="15"/>
          <w:color w:val="auto"/>
        </w:rPr>
        <w:t xml:space="preserve"> expense on our Consolidated Statements of Operations.</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Commissions payable at June 30, 2023 were $34.0 million, of which the current portion of $30.2 million was included in </w:t>
      </w:r>
      <w:r>
        <w:rPr>
          <w:rFonts w:ascii="Arial" w:cs="Arial" w:eastAsia="Arial" w:hAnsi="Arial"/>
          <w:sz w:val="18"/>
          <w:szCs w:val="18"/>
          <w:i w:val="1"/>
          <w:iCs w:val="1"/>
          <w:color w:val="auto"/>
        </w:rPr>
        <w:t>Accrued expenses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liabilities </w:t>
      </w:r>
      <w:r>
        <w:rPr>
          <w:rFonts w:ascii="Arial" w:cs="Arial" w:eastAsia="Arial" w:hAnsi="Arial"/>
          <w:sz w:val="18"/>
          <w:szCs w:val="18"/>
          <w:color w:val="auto"/>
        </w:rPr>
        <w:t>on our Consolidated Balance Sheets, and the long-term portion of $3.8 million was included in</w:t>
      </w:r>
      <w:r>
        <w:rPr>
          <w:rFonts w:ascii="Arial" w:cs="Arial" w:eastAsia="Arial" w:hAnsi="Arial"/>
          <w:sz w:val="18"/>
          <w:szCs w:val="18"/>
          <w:i w:val="1"/>
          <w:iCs w:val="1"/>
          <w:color w:val="auto"/>
        </w:rPr>
        <w:t xml:space="preserve"> Other long-term liabilities </w:t>
      </w:r>
      <w:r>
        <w:rPr>
          <w:rFonts w:ascii="Arial" w:cs="Arial" w:eastAsia="Arial" w:hAnsi="Arial"/>
          <w:sz w:val="18"/>
          <w:szCs w:val="18"/>
          <w:color w:val="auto"/>
        </w:rPr>
        <w:t>on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Consolidated Balance Sheets. Commissions payable at December 31, 2022 were $36.2 million, of which the current portion of $32.1 million was included in </w:t>
      </w:r>
      <w:r>
        <w:rPr>
          <w:rFonts w:ascii="Arial" w:cs="Arial" w:eastAsia="Arial" w:hAnsi="Arial"/>
          <w:sz w:val="18"/>
          <w:szCs w:val="18"/>
          <w:i w:val="1"/>
          <w:iCs w:val="1"/>
          <w:color w:val="auto"/>
        </w:rPr>
        <w:t xml:space="preserve">Accrued expenses and other current liabilities </w:t>
      </w:r>
      <w:r>
        <w:rPr>
          <w:rFonts w:ascii="Arial" w:cs="Arial" w:eastAsia="Arial" w:hAnsi="Arial"/>
          <w:sz w:val="18"/>
          <w:szCs w:val="18"/>
          <w:color w:val="auto"/>
        </w:rPr>
        <w:t>on our Consolidated Balance Sheets, and the long-term portion of $4.1 million was included in</w:t>
      </w:r>
      <w:r>
        <w:rPr>
          <w:rFonts w:ascii="Arial" w:cs="Arial" w:eastAsia="Arial" w:hAnsi="Arial"/>
          <w:sz w:val="18"/>
          <w:szCs w:val="18"/>
          <w:i w:val="1"/>
          <w:iCs w:val="1"/>
          <w:color w:val="auto"/>
        </w:rPr>
        <w:t xml:space="preserve"> Other long-term liabilities </w:t>
      </w:r>
      <w:r>
        <w:rPr>
          <w:rFonts w:ascii="Arial" w:cs="Arial" w:eastAsia="Arial" w:hAnsi="Arial"/>
          <w:sz w:val="18"/>
          <w:szCs w:val="18"/>
          <w:color w:val="auto"/>
        </w:rPr>
        <w:t>on our Consolidated Balance Sheets.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Certain commissions are not capitalized as they do not represent incremental costs of obtaining a contract. Such commissions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The Company expenses advertising costs as incurred. Advertising expenses of $7.4 million and $15.9 million were recorded for the three and six months ended June 30, 2023. Advertising expenses of $7.5 million and $15.1 million were recorded for the three and six months ended June 30, 2022. Advertising expenses are included in </w:t>
      </w:r>
      <w:r>
        <w:rPr>
          <w:rFonts w:ascii="Arial" w:cs="Arial" w:eastAsia="Arial" w:hAnsi="Arial"/>
          <w:sz w:val="18"/>
          <w:szCs w:val="18"/>
          <w:i w:val="1"/>
          <w:iCs w:val="1"/>
          <w:color w:val="auto"/>
        </w:rPr>
        <w:t>Sales and marketing</w:t>
      </w:r>
      <w:r>
        <w:rPr>
          <w:rFonts w:ascii="Arial" w:cs="Arial" w:eastAsia="Arial" w:hAnsi="Arial"/>
          <w:sz w:val="18"/>
          <w:szCs w:val="18"/>
          <w:color w:val="auto"/>
        </w:rPr>
        <w:t xml:space="preserve"> on our Consolidated Statements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Transaction-Related Expenses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defines restructuring and transaction-related expenses as costs directly associated with restructuring,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expense is recorded when the employees are entitled to receive such benefits and the amount can be reasonably estimated. Transaction related bonuses and related employee retention costs are recognized over the relevant service period. Contract termination fees and penalties and other exit and disposal costs are generally recorded when incurred.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fair value of a reporting unit may be below its carrying value. The company has one reporting unit.</w:t>
      </w:r>
    </w:p>
    <w:p>
      <w:pPr>
        <w:spacing w:after="0" w:line="1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(refer to Note 7 - Goodwill and Acquired Intangible Assets).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three and six month periods ended June 30, 2023 and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Impairment charges were immaterial for the three and six month period ended June 30, 2023. No impairment charges were recorded for the three and six month period ended June 30, 2022.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 term leases, defined as leases having an original lease term less than or equal to one year, are excluded from our right-of-use assets and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Arial" w:cs="Arial" w:eastAsia="Arial" w:hAnsi="Arial"/>
          <w:sz w:val="18"/>
          <w:szCs w:val="18"/>
          <w:i w:val="1"/>
          <w:iCs w:val="1"/>
          <w:color w:val="auto"/>
        </w:rPr>
        <w:t>Unearned revenue, current portion</w:t>
      </w:r>
      <w:r>
        <w:rPr>
          <w:rFonts w:ascii="Arial" w:cs="Arial" w:eastAsia="Arial" w:hAnsi="Arial"/>
          <w:sz w:val="18"/>
          <w:szCs w:val="18"/>
          <w:color w:val="auto"/>
        </w:rPr>
        <w:t xml:space="preserve"> and the remaining portion is included in </w:t>
      </w:r>
      <w:r>
        <w:rPr>
          <w:rFonts w:ascii="Arial" w:cs="Arial" w:eastAsia="Arial" w:hAnsi="Arial"/>
          <w:sz w:val="18"/>
          <w:szCs w:val="18"/>
          <w:i w:val="1"/>
          <w:iCs w:val="1"/>
          <w:color w:val="auto"/>
        </w:rPr>
        <w:t xml:space="preserve">Unearned revenue, net of current portion </w:t>
      </w:r>
      <w:r>
        <w:rPr>
          <w:rFonts w:ascii="Arial" w:cs="Arial" w:eastAsia="Arial" w:hAnsi="Arial"/>
          <w:sz w:val="18"/>
          <w:szCs w:val="18"/>
          <w:color w:val="auto"/>
        </w:rPr>
        <w:t>on our Consolidated Balance Sheets.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6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Arial" w:cs="Arial" w:eastAsia="Arial" w:hAnsi="Arial"/>
          <w:sz w:val="17"/>
          <w:szCs w:val="17"/>
          <w:i w:val="1"/>
          <w:iCs w:val="1"/>
          <w:color w:val="auto"/>
        </w:rPr>
        <w:t>Deferred costs and other assets, net of current portion</w:t>
      </w:r>
      <w:r>
        <w:rPr>
          <w:rFonts w:ascii="Arial" w:cs="Arial" w:eastAsia="Arial" w:hAnsi="Arial"/>
          <w:sz w:val="17"/>
          <w:szCs w:val="17"/>
          <w:color w:val="auto"/>
        </w:rPr>
        <w:t xml:space="preserve"> 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Arial" w:cs="Arial" w:eastAsia="Arial" w:hAnsi="Arial"/>
          <w:sz w:val="17"/>
          <w:szCs w:val="17"/>
          <w:i w:val="1"/>
          <w:iCs w:val="1"/>
          <w:color w:val="auto"/>
        </w:rPr>
        <w:t>Loss on debt modification and extinguishment</w:t>
      </w:r>
      <w:r>
        <w:rPr>
          <w:rFonts w:ascii="Arial" w:cs="Arial" w:eastAsia="Arial" w:hAnsi="Arial"/>
          <w:sz w:val="17"/>
          <w:szCs w:val="17"/>
          <w:color w:val="auto"/>
        </w:rPr>
        <w: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on our Consolidated Balance Sheets under the captions </w:t>
      </w:r>
      <w:r>
        <w:rPr>
          <w:rFonts w:ascii="Arial" w:cs="Arial" w:eastAsia="Arial" w:hAnsi="Arial"/>
          <w:sz w:val="17"/>
          <w:szCs w:val="17"/>
          <w:i w:val="1"/>
          <w:iCs w:val="1"/>
          <w:color w:val="auto"/>
        </w:rPr>
        <w:t>Current portion of tax receivable agreements liability</w:t>
      </w:r>
      <w:r>
        <w:rPr>
          <w:rFonts w:ascii="Arial" w:cs="Arial" w:eastAsia="Arial" w:hAnsi="Arial"/>
          <w:sz w:val="17"/>
          <w:szCs w:val="17"/>
          <w:color w:val="auto"/>
        </w:rPr>
        <w:t xml:space="preserve"> and </w:t>
      </w:r>
      <w:r>
        <w:rPr>
          <w:rFonts w:ascii="Arial" w:cs="Arial" w:eastAsia="Arial" w:hAnsi="Arial"/>
          <w:sz w:val="17"/>
          <w:szCs w:val="17"/>
          <w:i w:val="1"/>
          <w:iCs w:val="1"/>
          <w:color w:val="auto"/>
        </w:rPr>
        <w:t>Tax receivable agreements liability, net of current portion,</w:t>
      </w:r>
      <w:r>
        <w:rPr>
          <w:rFonts w:ascii="Arial" w:cs="Arial" w:eastAsia="Arial" w:hAnsi="Arial"/>
          <w:sz w:val="17"/>
          <w:szCs w:val="17"/>
          <w:color w:val="auto"/>
        </w:rPr>
        <w:t xml:space="preserve"> respectively. Subsequent changes to the measurement of the TRA liability are recognized on our Consolidated Statements of Operations as a component of </w:t>
      </w:r>
      <w:r>
        <w:rPr>
          <w:rFonts w:ascii="Arial" w:cs="Arial" w:eastAsia="Arial" w:hAnsi="Arial"/>
          <w:sz w:val="17"/>
          <w:szCs w:val="17"/>
          <w:i w:val="1"/>
          <w:iCs w:val="1"/>
          <w:color w:val="auto"/>
        </w:rPr>
        <w:t>Other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expense, net</w:t>
      </w:r>
      <w:r>
        <w:rPr>
          <w:rFonts w:ascii="Arial" w:cs="Arial" w:eastAsia="Arial" w:hAnsi="Arial"/>
          <w:sz w:val="17"/>
          <w:szCs w:val="17"/>
          <w:color w:val="auto"/>
        </w:rPr>
        <w:t>. Refer to Note 15 - Tax Receivable Agreements for further details on the TRA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recognizes deferred tax assets and liabilities based on temporary differences between the financial statement and tax basis of assets and liabilities. Deferred tax assets and liabilities are measured using enacted tax rates in effect for the year in which the differences are expected to reverse. The effect on deferred tax assets and liabilities of a change in tax law is recognized in the condensed consolidated statement of operations in the period that includes the enactment date.</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need for valuation allowances is regularly evaluated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the provision for (benefit from) income taxes.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 periodically grants incentive awards to employees and non-employees, which generally vest over periods up to four years. Incentive awards may be in the form of various equity-based awards such as Restricted Stock and Restricted Stock Units, and Common Stock Options. Historically, the Company also granted awards in one of the Company’s legacy subsidiary partnerships and such awards were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was determined by reference to the closing price of our Class A common stock from the preceding trading day. The holders of profits interests had the right to participate in distributions of profits only in excess of the participation threshold. Previously awarded profits interests were converted into Restricted Stock awards in connection with the Holding Company Reorganization (refer to Note 1 - Organization and Background).</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Compensation expense related to the Company’s Employee Stock Purchase Plan is measured at the estimated fair value using the Black-Scholes option pricing model using the estimated number of awards as of the beginning of the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March 2023, the Board authorized a program to repurchase up to $100.0 million of the Company’s Common Stock (the “Share Repurchase Program”). Under the Share Repurchase Program, shares of Common Stock may be repurchased from time to time through open market transactions in compliance with applicable securities laws. The timing, manner, price and amount of any repurchases, as well as the capital resources to fund the repurchases, are determined by the Company, in its discretion, and depend on a variety of factors, including legal requirements, price and economic and market conditions.</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three months ended June 30, 2023, the Company repurchased and subsequently retired 2,847,121 shares of Common Stock at an average price of $21.99, for an aggregate $62.6 million. During the six months ended June 30, 2023, the Company repurchased and subsequently retired 3,905,412 shares of Common Stock at an average price of $22.26, for an aggregate $87.0 million. As of June 30, 2023, $13.0 million remained available and authorized for repurchases under the Share Repurchase Program.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comprised the following service offerings: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5"/>
                <w:szCs w:val="15"/>
                <w:color w:val="auto"/>
              </w:rPr>
            </w:pPr>
          </w:p>
        </w:tc>
        <w:tc>
          <w:tcPr>
            <w:tcW w:w="322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Six Months Ended June 30,</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440" w:type="dxa"/>
            <w:vAlign w:val="bottom"/>
            <w:vMerge w:val="continue"/>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8"/>
                <w:szCs w:val="18"/>
                <w:color w:val="auto"/>
              </w:rPr>
            </w:pPr>
          </w:p>
        </w:tc>
        <w:tc>
          <w:tcPr>
            <w:tcW w:w="13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jc w:val="right"/>
              <w:ind w:right="69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8"/>
        </w:trPr>
        <w:tc>
          <w:tcPr>
            <w:tcW w:w="3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1240" w:type="dxa"/>
            <w:vAlign w:val="bottom"/>
            <w:tcBorders>
              <w:bottom w:val="single" w:sz="8" w:color="CCEEFF"/>
            </w:tcBorders>
            <w:shd w:val="clear" w:color="auto" w:fill="CCEEFF"/>
          </w:tcPr>
          <w:p>
            <w:pPr>
              <w:jc w:val="right"/>
              <w:ind w:right="106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360" w:type="dxa"/>
            <w:vAlign w:val="bottom"/>
            <w:tcBorders>
              <w:bottom w:val="single" w:sz="8" w:color="CCEEFF"/>
            </w:tcBorders>
            <w:gridSpan w:val="2"/>
            <w:shd w:val="clear" w:color="auto" w:fill="CCEEFF"/>
          </w:tcPr>
          <w:p>
            <w:pPr>
              <w:jc w:val="right"/>
              <w:ind w:right="105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200" w:type="dxa"/>
            <w:vAlign w:val="bottom"/>
            <w:tcBorders>
              <w:bottom w:val="single" w:sz="8" w:color="CCEEFF"/>
            </w:tcBorders>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900" w:type="dxa"/>
            <w:vAlign w:val="bottom"/>
            <w:tcBorders>
              <w:bottom w:val="single" w:sz="8" w:color="CCEEFF"/>
            </w:tcBorders>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38"/>
        </w:trPr>
        <w:tc>
          <w:tcPr>
            <w:tcW w:w="3440" w:type="dxa"/>
            <w:vAlign w:val="bottom"/>
          </w:tcPr>
          <w:p>
            <w:pPr>
              <w:ind w:left="20"/>
              <w:spacing w:after="0"/>
              <w:rPr>
                <w:sz w:val="20"/>
                <w:szCs w:val="20"/>
                <w:color w:val="auto"/>
              </w:rPr>
            </w:pPr>
            <w:r>
              <w:rPr>
                <w:rFonts w:ascii="Arial" w:cs="Arial" w:eastAsia="Arial" w:hAnsi="Arial"/>
                <w:sz w:val="18"/>
                <w:szCs w:val="18"/>
                <w:color w:val="auto"/>
              </w:rPr>
              <w:t>Usage-based</w:t>
            </w:r>
          </w:p>
        </w:tc>
        <w:tc>
          <w:tcPr>
            <w:tcW w:w="1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
        </w:trPr>
        <w:tc>
          <w:tcPr>
            <w:tcW w:w="3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8"/>
        </w:trPr>
        <w:tc>
          <w:tcPr>
            <w:tcW w:w="34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240" w:type="dxa"/>
            <w:vAlign w:val="bottom"/>
            <w:tcBorders>
              <w:top w:val="single" w:sz="8" w:color="auto"/>
              <w:bottom w:val="single" w:sz="8" w:color="auto"/>
            </w:tcBorders>
          </w:tcPr>
          <w:p>
            <w:pPr>
              <w:jc w:val="right"/>
              <w:ind w:right="106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5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609.3</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revenue is comprised largely of implementation and professional services fees. We recognize other revenue as services are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Of the total revenue recognized in the three and six months ended June 30, 2023, $103.4 million and $316.7 million were included in the unearned revenue balance as of December 31, 2022. Of the total revenue recognized in the three and six months ended June 30, 2022, $93.9 million and $267.6 million were included in the unearned revenue balance as of December 31, 2021. Revenue recognized from performance obligations satisfied (or partially satisfied) in previous periods was not material.</w:t>
      </w:r>
    </w:p>
    <w:p>
      <w:pPr>
        <w:spacing w:after="0" w:line="13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Revenues derived from customers and partners located outside the United States, as determined based on the address provided by our customers and partners, accounted for approximately 13% and 12% of our total revenues for the three months ended June 30, 2023 and 2022, respectively. Revenues derived from customers and partners located outside the United States, as determined based on the address provided by our customers and partners, accounted for approximately 13% and 12% of our total revenues for the six months ended June 30, 2023 and 2022, respectively. Contracts denominated in currencies other than U.S. Dollar were not material for the three and six months ended June 30, 2023 and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Unearned Revenue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As of June 30, 2023 and December 31, 2022, the Company had contract assets of $4.2 million and $5.7 million, respectively, which are recorded as current assets within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on our Consolidated Balance Sheets. As of June 30, 2023 and December 31, 2022, the Company had unearned revenue of $443.1 million and $419.9 million, respectively.</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Pr>
          <w:p>
            <w:pPr>
              <w:spacing w:after="0"/>
              <w:rPr>
                <w:sz w:val="14"/>
                <w:szCs w:val="14"/>
                <w:color w:val="auto"/>
              </w:rPr>
            </w:pPr>
          </w:p>
        </w:tc>
        <w:tc>
          <w:tcPr>
            <w:tcW w:w="146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Recognized within one</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2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year</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Noncurrent</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June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848.7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262.2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0" w:type="dxa"/>
            <w:vAlign w:val="bottom"/>
          </w:tcPr>
          <w:p>
            <w:pPr>
              <w:spacing w:after="0"/>
              <w:rPr>
                <w:sz w:val="1"/>
                <w:szCs w:val="1"/>
                <w:color w:val="auto"/>
              </w:rPr>
            </w:pPr>
          </w:p>
        </w:tc>
      </w:tr>
      <w:tr>
        <w:trPr>
          <w:trHeight w:val="28"/>
        </w:trPr>
        <w:tc>
          <w:tcPr>
            <w:tcW w:w="6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April 2022, the Company acquired all the outstanding equity interests of Comparably, Inc. (“Comparably”) and acquired substantially all the assets and certain specified liabilities of Dogpatch Advisors, LLC (“Dogpatch”) (collectively, the “2022 Acquired Companies”) for a total purchase consideration of $150.6 million in cash and $10.0 million in convertible notes receivable. As part of the acquisitions, the Company issued 448,740 restricted stock units at a total grant date fair value of $26.8 million and could be required to issue additional equity awards up to a maximum value of $3.7 million based on the attainment of certain revenue thresholds and the continued employment of acquired employees. The acquisition of Comparably provides ZoomInfo with unique proprietary data to further build TalentOS into a best-in-class talent platform by enriching recruiter search options and providing recruiters with access to millions of quality candidates and employer brand solutions. We acquired Dogpatch Advisors to launch ZoomInfo Labs, a new go-to-market thought leadership team, driving go-to-market data analysis, product enhancements and strategy for our enterprise customers. Dogpatch is a go-to-market consultancy with expertise in scaling revenue teams and building modern sales and marketing systems. The purchase accounting for the 2022 Acquired Companies transactions has been finalized.</w:t>
      </w:r>
    </w:p>
    <w:p>
      <w:pPr>
        <w:spacing w:after="0" w:line="12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has included the financial results of the 2022 Acquired Companies in the consolidated financial statements from each date of acquisition. Due to the integration of the 2022 Acquired Companies into the operations of ZoomInfo, the Company cannot practicably determine the contribution of the 2022 Acquired Companies to consolidated net earnings. Transaction costs associated with each acquisition were not material.</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60" w:type="dxa"/>
            <w:vAlign w:val="bottom"/>
          </w:tcPr>
          <w:p>
            <w:pPr>
              <w:spacing w:after="0"/>
              <w:rPr>
                <w:sz w:val="14"/>
                <w:szCs w:val="14"/>
                <w:color w:val="auto"/>
              </w:rPr>
            </w:pPr>
          </w:p>
        </w:tc>
        <w:tc>
          <w:tcPr>
            <w:tcW w:w="15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9"/>
              </w:rPr>
              <w:t>Preliminary Fair 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99"/>
              <w:spacing w:after="0"/>
              <w:rPr>
                <w:sz w:val="20"/>
                <w:szCs w:val="20"/>
                <w:color w:val="auto"/>
              </w:rPr>
            </w:pPr>
            <w:r>
              <w:rPr>
                <w:rFonts w:ascii="Arial" w:cs="Arial" w:eastAsia="Arial" w:hAnsi="Arial"/>
                <w:sz w:val="14"/>
                <w:szCs w:val="14"/>
                <w:b w:val="1"/>
                <w:bCs w:val="1"/>
                <w:color w:val="auto"/>
                <w:w w:val="91"/>
              </w:rPr>
              <w:t>Measurement Period</w:t>
            </w:r>
          </w:p>
        </w:tc>
        <w:tc>
          <w:tcPr>
            <w:tcW w:w="120" w:type="dxa"/>
            <w:vAlign w:val="bottom"/>
          </w:tcPr>
          <w:p>
            <w:pPr>
              <w:spacing w:after="0"/>
              <w:rPr>
                <w:sz w:val="14"/>
                <w:szCs w:val="14"/>
                <w:color w:val="auto"/>
              </w:rPr>
            </w:pPr>
          </w:p>
        </w:tc>
        <w:tc>
          <w:tcPr>
            <w:tcW w:w="15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7"/>
              </w:rPr>
              <w:t>Adjusted Fair Value at</w:t>
            </w:r>
          </w:p>
        </w:tc>
      </w:tr>
      <w:tr>
        <w:trPr>
          <w:trHeight w:val="184"/>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at Acquisition Date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339"/>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ind w:right="196"/>
              <w:spacing w:after="0"/>
              <w:rPr>
                <w:sz w:val="20"/>
                <w:szCs w:val="20"/>
                <w:color w:val="auto"/>
              </w:rPr>
            </w:pPr>
            <w:r>
              <w:rPr>
                <w:rFonts w:ascii="Arial" w:cs="Arial" w:eastAsia="Arial" w:hAnsi="Arial"/>
                <w:sz w:val="14"/>
                <w:szCs w:val="14"/>
                <w:b w:val="1"/>
                <w:bCs w:val="1"/>
                <w:color w:val="auto"/>
                <w:w w:val="97"/>
              </w:rPr>
              <w:t>Acquisition Date</w:t>
            </w:r>
          </w:p>
        </w:tc>
      </w:tr>
      <w:tr>
        <w:trPr>
          <w:trHeight w:val="38"/>
        </w:trPr>
        <w:tc>
          <w:tcPr>
            <w:tcW w:w="6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8"/>
        </w:trPr>
        <w:tc>
          <w:tcPr>
            <w:tcW w:w="6260" w:type="dxa"/>
            <w:vAlign w:val="bottom"/>
            <w:tcBorders>
              <w:bottom w:val="single" w:sz="8" w:color="CCEEFF"/>
            </w:tcBorders>
            <w:shd w:val="clear" w:color="auto" w:fill="CCEEFF"/>
          </w:tcPr>
          <w:p>
            <w:pPr>
              <w:jc w:val="right"/>
              <w:ind w:right="5792"/>
              <w:spacing w:after="0"/>
              <w:rPr>
                <w:sz w:val="20"/>
                <w:szCs w:val="20"/>
                <w:color w:val="auto"/>
              </w:rPr>
            </w:pPr>
            <w:r>
              <w:rPr>
                <w:rFonts w:ascii="Arial" w:cs="Arial" w:eastAsia="Arial" w:hAnsi="Arial"/>
                <w:sz w:val="18"/>
                <w:szCs w:val="18"/>
                <w:color w:val="auto"/>
                <w:w w:val="85"/>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37"/>
        </w:trPr>
        <w:tc>
          <w:tcPr>
            <w:tcW w:w="6260" w:type="dxa"/>
            <w:vAlign w:val="bottom"/>
          </w:tcPr>
          <w:p>
            <w:pPr>
              <w:jc w:val="right"/>
              <w:ind w:right="3932"/>
              <w:spacing w:after="0"/>
              <w:rPr>
                <w:sz w:val="20"/>
                <w:szCs w:val="20"/>
                <w:color w:val="auto"/>
              </w:rPr>
            </w:pPr>
            <w:r>
              <w:rPr>
                <w:rFonts w:ascii="Arial" w:cs="Arial" w:eastAsia="Arial" w:hAnsi="Arial"/>
                <w:sz w:val="18"/>
                <w:szCs w:val="18"/>
                <w:color w:val="auto"/>
                <w:w w:val="89"/>
              </w:rPr>
              <w:t>Conversion of Note Receivable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8"/>
        </w:trPr>
        <w:tc>
          <w:tcPr>
            <w:tcW w:w="6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8"/>
        </w:trPr>
        <w:tc>
          <w:tcPr>
            <w:tcW w:w="6260" w:type="dxa"/>
            <w:vAlign w:val="bottom"/>
            <w:shd w:val="clear" w:color="auto" w:fill="CCEEFF"/>
          </w:tcPr>
          <w:p>
            <w:pPr>
              <w:jc w:val="right"/>
              <w:ind w:right="3912"/>
              <w:spacing w:after="0"/>
              <w:rPr>
                <w:sz w:val="20"/>
                <w:szCs w:val="20"/>
                <w:color w:val="auto"/>
              </w:rPr>
            </w:pPr>
            <w:r>
              <w:rPr>
                <w:rFonts w:ascii="Arial" w:cs="Arial" w:eastAsia="Arial" w:hAnsi="Arial"/>
                <w:sz w:val="18"/>
                <w:szCs w:val="18"/>
                <w:color w:val="auto"/>
                <w:w w:val="96"/>
              </w:rPr>
              <w:t>Total purchase consideration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aggregate fair values of the assets acquired and liabilities assumed, as of the dates of the acquisition for the 2022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Acquired Companies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60" w:type="dxa"/>
            <w:vAlign w:val="bottom"/>
          </w:tcPr>
          <w:p>
            <w:pPr>
              <w:spacing w:after="0"/>
              <w:rPr>
                <w:sz w:val="14"/>
                <w:szCs w:val="14"/>
                <w:color w:val="auto"/>
              </w:rPr>
            </w:pPr>
          </w:p>
        </w:tc>
        <w:tc>
          <w:tcPr>
            <w:tcW w:w="15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9"/>
              </w:rPr>
              <w:t>Preliminary Fair 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Measurement Period</w:t>
            </w:r>
          </w:p>
        </w:tc>
        <w:tc>
          <w:tcPr>
            <w:tcW w:w="120" w:type="dxa"/>
            <w:vAlign w:val="bottom"/>
          </w:tcPr>
          <w:p>
            <w:pPr>
              <w:spacing w:after="0"/>
              <w:rPr>
                <w:sz w:val="14"/>
                <w:szCs w:val="14"/>
                <w:color w:val="auto"/>
              </w:rPr>
            </w:pPr>
          </w:p>
        </w:tc>
        <w:tc>
          <w:tcPr>
            <w:tcW w:w="15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Adjusted Fair Value at</w:t>
            </w:r>
          </w:p>
        </w:tc>
      </w:tr>
      <w:tr>
        <w:trPr>
          <w:trHeight w:val="184"/>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at Acquisition Date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334"/>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Acquisition Date</w:t>
            </w:r>
          </w:p>
        </w:tc>
      </w:tr>
      <w:tr>
        <w:trPr>
          <w:trHeight w:val="38"/>
        </w:trPr>
        <w:tc>
          <w:tcPr>
            <w:tcW w:w="6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8"/>
        </w:trPr>
        <w:tc>
          <w:tcPr>
            <w:tcW w:w="62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8"/>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8"/>
        </w:trPr>
        <w:tc>
          <w:tcPr>
            <w:tcW w:w="62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8"/>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8"/>
        </w:trPr>
        <w:tc>
          <w:tcPr>
            <w:tcW w:w="626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8"/>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1"/>
        </w:trPr>
        <w:tc>
          <w:tcPr>
            <w:tcW w:w="6260" w:type="dxa"/>
            <w:vAlign w:val="bottom"/>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r>
      <w:tr>
        <w:trPr>
          <w:trHeight w:val="28"/>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6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31"/>
        </w:trPr>
        <w:tc>
          <w:tcPr>
            <w:tcW w:w="6260" w:type="dxa"/>
            <w:vAlign w:val="bottom"/>
          </w:tcPr>
          <w:p>
            <w:pPr>
              <w:ind w:left="240"/>
              <w:spacing w:after="0"/>
              <w:rPr>
                <w:sz w:val="20"/>
                <w:szCs w:val="20"/>
                <w:color w:val="auto"/>
              </w:rPr>
            </w:pPr>
            <w:r>
              <w:rPr>
                <w:rFonts w:ascii="Arial" w:cs="Arial" w:eastAsia="Arial" w:hAnsi="Arial"/>
                <w:sz w:val="18"/>
                <w:szCs w:val="18"/>
                <w:color w:val="auto"/>
              </w:rPr>
              <w:t>Total consideration</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w:t>
            </w:r>
          </w:p>
        </w:tc>
      </w:tr>
      <w:tr>
        <w:trPr>
          <w:trHeight w:val="28"/>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6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acquired</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145.7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145.8</w:t>
            </w:r>
          </w:p>
        </w:tc>
      </w:tr>
      <w:tr>
        <w:trPr>
          <w:trHeight w:val="28"/>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6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58"/>
        </w:trPr>
        <w:tc>
          <w:tcPr>
            <w:tcW w:w="6260" w:type="dxa"/>
            <w:vAlign w:val="bottom"/>
          </w:tcPr>
          <w:p>
            <w:pPr>
              <w:ind w:left="20"/>
              <w:spacing w:after="0"/>
              <w:rPr>
                <w:sz w:val="20"/>
                <w:szCs w:val="20"/>
                <w:color w:val="auto"/>
              </w:rPr>
            </w:pPr>
            <w:r>
              <w:rPr>
                <w:rFonts w:ascii="Arial" w:cs="Arial" w:eastAsia="Arial" w:hAnsi="Arial"/>
                <w:sz w:val="18"/>
                <w:szCs w:val="18"/>
                <w:color w:val="auto"/>
                <w:w w:val="92"/>
              </w:rPr>
              <w:t>Cash paid (refunds received) for 2021 acquisitions in 2022 (see "2021 Acquisitions")</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8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paid for acquisitions in 2022</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in the Comparably acquisition may be subject to change as additional information is received regarding working capital balances at the acquisition date, and the values of the identifiable intangible assets.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Preliminary Fair 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auto"/>
              </w:rPr>
              <w:t>Measurement Period</w:t>
            </w:r>
          </w:p>
        </w:tc>
        <w:tc>
          <w:tcPr>
            <w:tcW w:w="120" w:type="dxa"/>
            <w:vAlign w:val="bottom"/>
          </w:tcPr>
          <w:p>
            <w:pPr>
              <w:spacing w:after="0"/>
              <w:rPr>
                <w:sz w:val="14"/>
                <w:szCs w:val="14"/>
                <w:color w:val="auto"/>
              </w:rPr>
            </w:pPr>
          </w:p>
        </w:tc>
        <w:tc>
          <w:tcPr>
            <w:tcW w:w="158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7"/>
              </w:rPr>
              <w:t>Adjusted Fair Value at</w:t>
            </w: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r>
      <w:tr>
        <w:trPr>
          <w:trHeight w:val="184"/>
        </w:trPr>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at Acquisition Date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15"/>
              <w:spacing w:after="0"/>
              <w:rPr>
                <w:sz w:val="20"/>
                <w:szCs w:val="20"/>
                <w:color w:val="auto"/>
              </w:rPr>
            </w:pPr>
            <w:r>
              <w:rPr>
                <w:rFonts w:ascii="Arial" w:cs="Arial" w:eastAsia="Arial" w:hAnsi="Arial"/>
                <w:sz w:val="14"/>
                <w:szCs w:val="14"/>
                <w:b w:val="1"/>
                <w:bCs w:val="1"/>
                <w:color w:val="auto"/>
                <w:w w:val="95"/>
              </w:rPr>
              <w:t>Acquisition Date</w:t>
            </w:r>
          </w:p>
        </w:tc>
        <w:tc>
          <w:tcPr>
            <w:tcW w:w="1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4"/>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5.8 years</w:t>
            </w:r>
          </w:p>
        </w:tc>
      </w:tr>
      <w:tr>
        <w:trPr>
          <w:trHeight w:val="238"/>
        </w:trPr>
        <w:tc>
          <w:tcPr>
            <w:tcW w:w="46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9.0 years</w:t>
            </w: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 / Trademarks</w:t>
            </w: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8.0 years</w:t>
            </w:r>
          </w:p>
        </w:tc>
      </w:tr>
      <w:tr>
        <w:trPr>
          <w:trHeight w:val="265"/>
        </w:trPr>
        <w:tc>
          <w:tcPr>
            <w:tcW w:w="460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twelve months ended December 31, 2022 is expected to be deductible for U.S. income tax purposes.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 forma information related to the acquisitions has not been presented as the impact was not material to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short-term investments consisted of the following as of June 30,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4"/>
                <w:szCs w:val="14"/>
                <w:b w:val="1"/>
                <w:bCs w:val="1"/>
                <w:color w:val="auto"/>
                <w:w w:val="97"/>
              </w:rPr>
              <w:t>Unrealized Losses</w:t>
            </w:r>
          </w:p>
        </w:tc>
        <w:tc>
          <w:tcPr>
            <w:tcW w:w="10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Estimated Fair Value</w:t>
            </w:r>
          </w:p>
        </w:tc>
      </w:tr>
      <w:tr>
        <w:trPr>
          <w:trHeight w:val="28"/>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58"/>
        </w:trPr>
        <w:tc>
          <w:tcPr>
            <w:tcW w:w="5520" w:type="dxa"/>
            <w:vAlign w:val="bottom"/>
          </w:tcPr>
          <w:p>
            <w:pPr>
              <w:ind w:left="22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45"/>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8"/>
        </w:trPr>
        <w:tc>
          <w:tcPr>
            <w:tcW w:w="552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231.2</w:t>
            </w:r>
          </w:p>
        </w:tc>
      </w:tr>
      <w:tr>
        <w:trPr>
          <w:trHeight w:val="28"/>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Money market mutual funds</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r>
      <w:tr>
        <w:trPr>
          <w:trHeight w:val="258"/>
        </w:trPr>
        <w:tc>
          <w:tcPr>
            <w:tcW w:w="5520" w:type="dxa"/>
            <w:vAlign w:val="bottom"/>
          </w:tcPr>
          <w:p>
            <w:pPr>
              <w:ind w:left="440"/>
              <w:spacing w:after="0"/>
              <w:rPr>
                <w:sz w:val="20"/>
                <w:szCs w:val="20"/>
                <w:color w:val="auto"/>
              </w:rPr>
            </w:pPr>
            <w:r>
              <w:rPr>
                <w:rFonts w:ascii="Arial" w:cs="Arial" w:eastAsia="Arial" w:hAnsi="Arial"/>
                <w:sz w:val="18"/>
                <w:szCs w:val="18"/>
                <w:color w:val="auto"/>
              </w:rPr>
              <w:t>Total cash equivalents</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r>
      <w:tr>
        <w:trPr>
          <w:trHeight w:val="258"/>
        </w:trPr>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r>
      <w:tr>
        <w:trPr>
          <w:trHeight w:val="237"/>
        </w:trPr>
        <w:tc>
          <w:tcPr>
            <w:tcW w:w="55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8"/>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37"/>
        </w:trPr>
        <w:tc>
          <w:tcPr>
            <w:tcW w:w="5520" w:type="dxa"/>
            <w:vAlign w:val="bottom"/>
          </w:tcPr>
          <w:p>
            <w:pPr>
              <w:ind w:left="320"/>
              <w:spacing w:after="0"/>
              <w:rPr>
                <w:sz w:val="20"/>
                <w:szCs w:val="20"/>
                <w:color w:val="auto"/>
              </w:rPr>
            </w:pPr>
            <w:r>
              <w:rPr>
                <w:rFonts w:ascii="Arial" w:cs="Arial" w:eastAsia="Arial" w:hAnsi="Arial"/>
                <w:sz w:val="18"/>
                <w:szCs w:val="18"/>
                <w:color w:val="auto"/>
              </w:rPr>
              <w:t>Securities guaranteed by U.S. government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8"/>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5"/>
        </w:trPr>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governmental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1"/>
        </w:trPr>
        <w:tc>
          <w:tcPr>
            <w:tcW w:w="5520" w:type="dxa"/>
            <w:vAlign w:val="bottom"/>
          </w:tcPr>
          <w:p>
            <w:pPr>
              <w:ind w:left="440"/>
              <w:spacing w:after="0"/>
              <w:rPr>
                <w:sz w:val="20"/>
                <w:szCs w:val="20"/>
                <w:color w:val="auto"/>
              </w:rPr>
            </w:pPr>
            <w:r>
              <w:rPr>
                <w:rFonts w:ascii="Arial" w:cs="Arial" w:eastAsia="Arial" w:hAnsi="Arial"/>
                <w:sz w:val="18"/>
                <w:szCs w:val="18"/>
                <w:color w:val="auto"/>
              </w:rPr>
              <w:t>Total short-term investments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w:t>
            </w:r>
          </w:p>
        </w:tc>
      </w:tr>
      <w:tr>
        <w:trPr>
          <w:trHeight w:val="28"/>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(0.2)</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short-term investments consisted of the following as of December 31,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b w:val="1"/>
                <w:bCs w:val="1"/>
                <w:color w:val="auto"/>
                <w:w w:val="87"/>
              </w:rPr>
              <w:t>Unrealized Losses</w:t>
            </w:r>
          </w:p>
        </w:tc>
        <w:tc>
          <w:tcPr>
            <w:tcW w:w="10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Estimated Fair Value</w:t>
            </w:r>
          </w:p>
        </w:tc>
        <w:tc>
          <w:tcPr>
            <w:tcW w:w="0" w:type="dxa"/>
            <w:vAlign w:val="bottom"/>
          </w:tcPr>
          <w:p>
            <w:pPr>
              <w:spacing w:after="0"/>
              <w:rPr>
                <w:sz w:val="1"/>
                <w:szCs w:val="1"/>
                <w:color w:val="auto"/>
              </w:rPr>
            </w:pPr>
          </w:p>
        </w:tc>
      </w:tr>
      <w:tr>
        <w:trPr>
          <w:trHeight w:val="28"/>
        </w:trPr>
        <w:tc>
          <w:tcPr>
            <w:tcW w:w="552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38"/>
        </w:trPr>
        <w:tc>
          <w:tcPr>
            <w:tcW w:w="552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8"/>
        </w:trPr>
        <w:tc>
          <w:tcPr>
            <w:tcW w:w="5520" w:type="dxa"/>
            <w:vAlign w:val="bottom"/>
          </w:tcPr>
          <w:p>
            <w:pPr>
              <w:ind w:left="320"/>
              <w:spacing w:after="0"/>
              <w:rPr>
                <w:sz w:val="20"/>
                <w:szCs w:val="20"/>
                <w:color w:val="auto"/>
              </w:rPr>
            </w:pPr>
            <w:r>
              <w:rPr>
                <w:rFonts w:ascii="Arial" w:cs="Arial" w:eastAsia="Arial" w:hAnsi="Arial"/>
                <w:sz w:val="18"/>
                <w:szCs w:val="18"/>
                <w:color w:val="auto"/>
              </w:rPr>
              <w:t>Money market mutual funds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Securities guaranteed by U.S. government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1"/>
        </w:trPr>
        <w:tc>
          <w:tcPr>
            <w:tcW w:w="5520" w:type="dxa"/>
            <w:vAlign w:val="bottom"/>
          </w:tcPr>
          <w:p>
            <w:pPr>
              <w:ind w:left="440"/>
              <w:spacing w:after="0"/>
              <w:rPr>
                <w:sz w:val="20"/>
                <w:szCs w:val="20"/>
                <w:color w:val="auto"/>
              </w:rPr>
            </w:pPr>
            <w:r>
              <w:rPr>
                <w:rFonts w:ascii="Arial" w:cs="Arial" w:eastAsia="Arial" w:hAnsi="Arial"/>
                <w:sz w:val="18"/>
                <w:szCs w:val="18"/>
                <w:color w:val="auto"/>
              </w:rPr>
              <w:t>Total cash equivalents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8"/>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8"/>
        </w:trPr>
        <w:tc>
          <w:tcPr>
            <w:tcW w:w="55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38"/>
        </w:trPr>
        <w:tc>
          <w:tcPr>
            <w:tcW w:w="5520" w:type="dxa"/>
            <w:vAlign w:val="bottom"/>
          </w:tcPr>
          <w:p>
            <w:pPr>
              <w:ind w:left="320"/>
              <w:spacing w:after="0"/>
              <w:rPr>
                <w:sz w:val="20"/>
                <w:szCs w:val="20"/>
                <w:color w:val="auto"/>
              </w:rPr>
            </w:pPr>
            <w:r>
              <w:rPr>
                <w:rFonts w:ascii="Arial" w:cs="Arial" w:eastAsia="Arial" w:hAnsi="Arial"/>
                <w:sz w:val="18"/>
                <w:szCs w:val="18"/>
                <w:color w:val="auto"/>
              </w:rPr>
              <w:t>Securities guaranteed by U.S. government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government securities</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8"/>
        </w:trPr>
        <w:tc>
          <w:tcPr>
            <w:tcW w:w="5520" w:type="dxa"/>
            <w:vAlign w:val="bottom"/>
          </w:tcPr>
          <w:p>
            <w:pPr>
              <w:ind w:left="440"/>
              <w:spacing w:after="0"/>
              <w:rPr>
                <w:sz w:val="20"/>
                <w:szCs w:val="20"/>
                <w:color w:val="auto"/>
              </w:rPr>
            </w:pPr>
            <w:r>
              <w:rPr>
                <w:rFonts w:ascii="Arial" w:cs="Arial" w:eastAsia="Arial" w:hAnsi="Arial"/>
                <w:sz w:val="18"/>
                <w:szCs w:val="18"/>
                <w:color w:val="auto"/>
              </w:rPr>
              <w:t>Total short-term investments</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85"/>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Refer to Note 10 - Fair Value for further information regarding the fair value of our financial instruments.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unrealized losses on our available-for sale securities were immaterial at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summarizes the cost and estimated fair value of the securities classified as short-term investments based on stated effective maturities as of June 30, 2023 and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40" w:type="dxa"/>
            <w:vAlign w:val="bottom"/>
            <w:gridSpan w:val="4"/>
          </w:tcPr>
          <w:p>
            <w:pPr>
              <w:jc w:val="right"/>
              <w:ind w:right="147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December 31, 2022</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401"/>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238"/>
              <w:spacing w:after="0"/>
              <w:rPr>
                <w:sz w:val="20"/>
                <w:szCs w:val="20"/>
                <w:color w:val="auto"/>
              </w:rPr>
            </w:pPr>
            <w:r>
              <w:rPr>
                <w:rFonts w:ascii="Arial" w:cs="Arial" w:eastAsia="Arial" w:hAnsi="Arial"/>
                <w:sz w:val="14"/>
                <w:szCs w:val="14"/>
                <w:b w:val="1"/>
                <w:bCs w:val="1"/>
                <w:color w:val="auto"/>
                <w:w w:val="98"/>
              </w:rPr>
              <w:t>Estimated Fair Value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1"/>
              </w:rPr>
              <w:t>Estimated Fair Value</w:t>
            </w:r>
          </w:p>
        </w:tc>
        <w:tc>
          <w:tcPr>
            <w:tcW w:w="0" w:type="dxa"/>
            <w:vAlign w:val="bottom"/>
          </w:tcPr>
          <w:p>
            <w:pPr>
              <w:spacing w:after="0"/>
              <w:rPr>
                <w:sz w:val="1"/>
                <w:szCs w:val="1"/>
                <w:color w:val="auto"/>
              </w:rPr>
            </w:pPr>
          </w:p>
        </w:tc>
      </w:tr>
      <w:tr>
        <w:trPr>
          <w:trHeight w:val="28"/>
        </w:trPr>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150.8</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42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center"/>
              <w:ind w:left="998"/>
              <w:spacing w:after="0"/>
              <w:rPr>
                <w:sz w:val="20"/>
                <w:szCs w:val="20"/>
                <w:color w:val="auto"/>
              </w:rPr>
            </w:pPr>
            <w:r>
              <w:rPr>
                <w:rFonts w:ascii="Arial" w:cs="Arial" w:eastAsia="Arial" w:hAnsi="Arial"/>
                <w:sz w:val="18"/>
                <w:szCs w:val="18"/>
                <w:color w:val="auto"/>
                <w:w w:val="88"/>
              </w:rPr>
              <w:t>127.8</w:t>
            </w:r>
          </w:p>
        </w:tc>
        <w:tc>
          <w:tcPr>
            <w:tcW w:w="440" w:type="dxa"/>
            <w:vAlign w:val="bottom"/>
            <w:tcBorders>
              <w:bottom w:val="single" w:sz="8" w:color="CCEEFF"/>
            </w:tcBorders>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gridSpan w:val="2"/>
          </w:tcPr>
          <w:p>
            <w:pPr>
              <w:jc w:val="center"/>
              <w:ind w:left="998"/>
              <w:spacing w:after="0"/>
              <w:rPr>
                <w:sz w:val="20"/>
                <w:szCs w:val="20"/>
                <w:color w:val="auto"/>
              </w:rPr>
            </w:pPr>
            <w:r>
              <w:rPr>
                <w:rFonts w:ascii="Arial" w:cs="Arial" w:eastAsia="Arial" w:hAnsi="Arial"/>
                <w:sz w:val="18"/>
                <w:szCs w:val="18"/>
                <w:color w:val="auto"/>
                <w:w w:val="88"/>
              </w:rPr>
              <w:t>127.8</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Note 6 - Property and Equipment</w:t>
            </w: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3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160" w:type="dxa"/>
            <w:vAlign w:val="bottom"/>
            <w:gridSpan w:val="3"/>
          </w:tcPr>
          <w:p>
            <w:pPr>
              <w:ind w:left="320"/>
              <w:spacing w:after="0"/>
              <w:rPr>
                <w:sz w:val="20"/>
                <w:szCs w:val="20"/>
                <w:color w:val="auto"/>
              </w:rPr>
            </w:pPr>
            <w:r>
              <w:rPr>
                <w:rFonts w:ascii="Arial" w:cs="Arial" w:eastAsia="Arial" w:hAnsi="Arial"/>
                <w:sz w:val="18"/>
                <w:szCs w:val="18"/>
                <w:color w:val="auto"/>
                <w:w w:val="93"/>
              </w:rPr>
              <w:t>The Company’s fixed assets consist of the following (in millions):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center"/>
              <w:ind w:left="998"/>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8"/>
        </w:trPr>
        <w:tc>
          <w:tcPr>
            <w:tcW w:w="3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80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Internal use developed software</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72.1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8"/>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8"/>
        </w:trPr>
        <w:tc>
          <w:tcPr>
            <w:tcW w:w="3260" w:type="dxa"/>
            <w:vAlign w:val="bottom"/>
          </w:tcPr>
          <w:p>
            <w:pPr>
              <w:ind w:left="220"/>
              <w:spacing w:after="0"/>
              <w:rPr>
                <w:sz w:val="20"/>
                <w:szCs w:val="20"/>
                <w:color w:val="auto"/>
              </w:rPr>
            </w:pPr>
            <w:r>
              <w:rPr>
                <w:rFonts w:ascii="Arial" w:cs="Arial" w:eastAsia="Arial" w:hAnsi="Arial"/>
                <w:sz w:val="18"/>
                <w:szCs w:val="18"/>
                <w:color w:val="auto"/>
              </w:rPr>
              <w:t>Property and equipment, gross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84"/>
              </w:rPr>
              <w:t>107.7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8"/>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(50.8)</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64"/>
        </w:trPr>
        <w:tc>
          <w:tcPr>
            <w:tcW w:w="32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gridSpan w:val="2"/>
          </w:tcPr>
          <w:p>
            <w:pPr>
              <w:jc w:val="right"/>
              <w:ind w:right="809"/>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56.9</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Depreciation expense was $4.7 million and $4.6 million for the three months ended June 30, 2023 and 2022, respectively. Depreciation expense was $9.6 million and $8.1 million for the six months ended June 30, 2023 and 2022,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consisted of the following as of June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59"/>
        </w:trPr>
        <w:tc>
          <w:tcPr>
            <w:tcW w:w="4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6"/>
              <w:spacing w:after="0" w:line="15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Amortization Period in</w:t>
            </w:r>
          </w:p>
        </w:tc>
        <w:tc>
          <w:tcPr>
            <w:tcW w:w="0" w:type="dxa"/>
            <w:vAlign w:val="bottom"/>
          </w:tcPr>
          <w:p>
            <w:pPr>
              <w:spacing w:after="0"/>
              <w:rPr>
                <w:sz w:val="1"/>
                <w:szCs w:val="1"/>
                <w:color w:val="auto"/>
              </w:rPr>
            </w:pPr>
          </w:p>
        </w:tc>
      </w:tr>
      <w:tr>
        <w:trPr>
          <w:trHeight w:val="215"/>
        </w:trPr>
        <w:tc>
          <w:tcPr>
            <w:tcW w:w="4640" w:type="dxa"/>
            <w:vAlign w:val="bottom"/>
            <w:vMerge w:val="continue"/>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Gross Carrying Amount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jc w:val="right"/>
              <w:ind w:right="33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(102.3)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Brand portfolio</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8"/>
        </w:trPr>
        <w:tc>
          <w:tcPr>
            <w:tcW w:w="46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20" w:type="dxa"/>
            <w:vAlign w:val="bottom"/>
          </w:tcPr>
          <w:p>
            <w:pPr>
              <w:jc w:val="right"/>
              <w:ind w:right="33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Amortization expense was $15.0 million and $17.9 million for the three months ended June 30, 2023 and 2022, respectively. Amortization expense was $31.1 million and $34.4 million for the six months ended June 30, 2023 and 2022,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 (continued)</w:t>
      </w: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Goodwill was $1,692.7 million as of June 30, 2023. There have been no changes to goodwill amounts since December 31, 2022.</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six months ended June 30, 2023 or June 30, 2022.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2023 and December 31, 2022, the carrying values of the Company’s borrowings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4"/>
          </w:tcPr>
          <w:p>
            <w:pPr>
              <w:jc w:val="right"/>
              <w:ind w:right="814"/>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38"/>
        </w:trPr>
        <w:tc>
          <w:tcPr>
            <w:tcW w:w="20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Instrument</w:t>
            </w:r>
          </w:p>
        </w:tc>
        <w:tc>
          <w:tcPr>
            <w:tcW w:w="120" w:type="dxa"/>
            <w:vAlign w:val="bottom"/>
          </w:tcPr>
          <w:p>
            <w:pPr>
              <w:spacing w:after="0"/>
              <w:rPr>
                <w:sz w:val="3"/>
                <w:szCs w:val="3"/>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Date of Issuance</w:t>
            </w:r>
          </w:p>
        </w:tc>
        <w:tc>
          <w:tcPr>
            <w:tcW w:w="120" w:type="dxa"/>
            <w:vAlign w:val="bottom"/>
          </w:tcPr>
          <w:p>
            <w:pPr>
              <w:spacing w:after="0"/>
              <w:rPr>
                <w:sz w:val="3"/>
                <w:szCs w:val="3"/>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Maturity Date</w:t>
            </w:r>
          </w:p>
        </w:tc>
        <w:tc>
          <w:tcPr>
            <w:tcW w:w="120" w:type="dxa"/>
            <w:vAlign w:val="bottom"/>
          </w:tcPr>
          <w:p>
            <w:pPr>
              <w:spacing w:after="0"/>
              <w:rPr>
                <w:sz w:val="3"/>
                <w:szCs w:val="3"/>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Elected Interest Rate</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4"/>
        </w:trPr>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Lien Term Loan</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February 1, 2019</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February 28, 2030</w:t>
            </w: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SOFR + 2.85%</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38"/>
        </w:trPr>
        <w:tc>
          <w:tcPr>
            <w:tcW w:w="2080" w:type="dxa"/>
            <w:vAlign w:val="bottom"/>
          </w:tcPr>
          <w:p>
            <w:pPr>
              <w:ind w:left="20"/>
              <w:spacing w:after="0"/>
              <w:rPr>
                <w:sz w:val="20"/>
                <w:szCs w:val="20"/>
                <w:color w:val="auto"/>
              </w:rPr>
            </w:pPr>
            <w:r>
              <w:rPr>
                <w:rFonts w:ascii="Arial" w:cs="Arial" w:eastAsia="Arial" w:hAnsi="Arial"/>
                <w:sz w:val="18"/>
                <w:szCs w:val="18"/>
                <w:color w:val="auto"/>
              </w:rPr>
              <w:t>First Lien Revolver</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February 1, 2019</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February 28, 2028</w:t>
            </w:r>
          </w:p>
        </w:tc>
        <w:tc>
          <w:tcPr>
            <w:tcW w:w="120" w:type="dxa"/>
            <w:vAlign w:val="bottom"/>
          </w:tcPr>
          <w:p>
            <w:pPr>
              <w:spacing w:after="0"/>
              <w:rPr>
                <w:sz w:val="20"/>
                <w:szCs w:val="20"/>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SOFR + 2.10%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February 2, 2021</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February 1, 2029</w:t>
            </w:r>
          </w:p>
        </w:tc>
        <w:tc>
          <w:tcPr>
            <w:tcW w:w="194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3.875%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26"/>
        </w:trPr>
        <w:tc>
          <w:tcPr>
            <w:tcW w:w="2080" w:type="dxa"/>
            <w:vAlign w:val="bottom"/>
          </w:tcPr>
          <w:p>
            <w:pPr>
              <w:ind w:left="20"/>
              <w:spacing w:after="0"/>
              <w:rPr>
                <w:sz w:val="20"/>
                <w:szCs w:val="20"/>
                <w:color w:val="auto"/>
              </w:rPr>
            </w:pPr>
            <w:r>
              <w:rPr>
                <w:rFonts w:ascii="Arial" w:cs="Arial" w:eastAsia="Arial" w:hAnsi="Arial"/>
                <w:sz w:val="18"/>
                <w:szCs w:val="18"/>
                <w:color w:val="auto"/>
              </w:rPr>
              <w:t>Total Carrying Value of</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1,235.7</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current portion</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2080" w:type="dxa"/>
            <w:vAlign w:val="bottom"/>
          </w:tcPr>
          <w:p>
            <w:pPr>
              <w:ind w:left="20"/>
              <w:spacing w:after="0"/>
              <w:rPr>
                <w:sz w:val="20"/>
                <w:szCs w:val="20"/>
                <w:color w:val="auto"/>
              </w:rPr>
            </w:pPr>
            <w:r>
              <w:rPr>
                <w:rFonts w:ascii="Arial" w:cs="Arial" w:eastAsia="Arial" w:hAnsi="Arial"/>
                <w:sz w:val="18"/>
                <w:szCs w:val="18"/>
                <w:color w:val="auto"/>
              </w:rPr>
              <w:t>Total Long Term Debt</w:t>
            </w: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04"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December 30, 2022, the Company amended the First Lien Credit Agreement by converting the interest rate for both the first lien term loan and the first lien revolving credit facility from LIBOR plus the applicable spread to SOFR plus a credit spread adjustment of 0.1% and the applicable spread. No other terms, including the amount of borrowing or the maturity date, were changed as a result of this amendment.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Term Loan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February 2023, we entered into an amendment to our existing First Lien Credit Agreement (the “Fifth Amendment”), pursuant to which the Company completed a repricing of its First Lien Term Loan Facility, which provided for an extension of the maturity date to February 28, 2030. The first lien term debt has a variable interest rate whereby the Company can elect to use a Base Rate or SOFR plus an applicable rate. Pursuant to the Fifth Amendment, the applicable rate decreased for Base Rate loans from 2.00% to 1.75% and from 3.10% to 2.85% for SOFR based loans. The Company recognized an immaterial loss in connection with the repricing in the six months ended June 30, 2023 within </w:t>
      </w:r>
      <w:r>
        <w:rPr>
          <w:rFonts w:ascii="Arial" w:cs="Arial" w:eastAsia="Arial" w:hAnsi="Arial"/>
          <w:sz w:val="17"/>
          <w:szCs w:val="17"/>
          <w:i w:val="1"/>
          <w:iCs w:val="1"/>
          <w:color w:val="auto"/>
        </w:rPr>
        <w:t>Loss on debt modification and extinguishment</w:t>
      </w:r>
      <w:r>
        <w:rPr>
          <w:rFonts w:ascii="Arial" w:cs="Arial" w:eastAsia="Arial" w:hAnsi="Arial"/>
          <w:sz w:val="17"/>
          <w:szCs w:val="17"/>
          <w:color w:val="auto"/>
        </w:rPr>
        <w:t xml:space="preserve"> on the Consolidated Statements of Operations. Under the terms of the Fifth Amendment, the Company is obligated to make principal payments in the amount of 0.25% of the aggregate outstanding amount each quarter.</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effective interest rate on the first lien debt was 7.36% and 7.38% as of June 30, 2023 and December 31, 2022,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Revolving Credit Facility</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Pursuant to the Fifth Amendment, the Company also extended the maturity date of $213.0 million of our $250.0 million existing commitments of the first lien revolving credit facility to February 28, 2028. With respect to the $37.0 million commitments which were not extended, the maturity date is November 2, 2025. Debt issuance costs were incurred in connection with the repricing of the revolving credit facility. These debt issuance costs are amortized into interest expense over the expected life of the arrangement. Unamortized debt issuance costs included in </w:t>
      </w:r>
      <w:r>
        <w:rPr>
          <w:rFonts w:ascii="Arial" w:cs="Arial" w:eastAsia="Arial" w:hAnsi="Arial"/>
          <w:sz w:val="17"/>
          <w:szCs w:val="17"/>
          <w:i w:val="1"/>
          <w:iCs w:val="1"/>
          <w:color w:val="auto"/>
        </w:rPr>
        <w:t>Deferred costs and other assets, net of current portion</w:t>
      </w:r>
      <w:r>
        <w:rPr>
          <w:rFonts w:ascii="Arial" w:cs="Arial" w:eastAsia="Arial" w:hAnsi="Arial"/>
          <w:sz w:val="17"/>
          <w:szCs w:val="17"/>
          <w:color w:val="auto"/>
        </w:rPr>
        <w:t xml:space="preserve"> on our Consolidated Balance Sheets were immaterial as of June 30, 2023 and December 31, 2022.</w:t>
      </w:r>
    </w:p>
    <w:p>
      <w:pPr>
        <w:spacing w:after="0" w:line="12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first lien revolving debt has a variable interest rate whereby the Company can elect to use a Base Rate or SOFR, plus an applicable rate. The applicable margin is 1.00% to 1.25% for Base Rate loans or 2.10% to 2.35% for SOFR loans, depending on the Company’s leverage.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February 2021, ZoomInfo Technologies LLC and ZoomInfo Finance Corp., indirect subsidiaries of ZoomInfo Technologies Inc. (the “Issuers”), issued $350.0 million in aggregate principal amount of 3.875% Senior Notes due February 2029 to qualified institutional buyers pursuant to Rule 144A under the Securities Act of 1933, as amended. Interest on the Senior Notes is payable semi-annually in arrears beginning on August 1, 2021. The Issuers may redeem all or a part of the Notes at any time prior to February 1, 2024 at a price equal to the present value of the redemption price as of February 1, 2024, defined below, plus unaccrued and unpaid interest to February 1, 2024. In addition, beginning on February 1, 2024, the Issuers may redeem all or a part of the Notes at a redemption price equal to 101.938% of the principal amount redeemed. The redemption price decreases to 100.969% and 100.000% of the principal amount redeemed on February 1, 2025 and February 1, 2026, respectively. In addition, at any time prior to February 1, 2024, the Issuers may redeem up to 40% of the Notes from the proceeds of certain equity offerings at a redemption price equal to 103.875% of the principal amount of the Senior Notes, plus accrued and unpaid interest.</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July 2021, ZoomInfo Technologies LLC and ZoomInfo Finance Corp., indirect subsidiaries of ZoomInfo Technologies Inc., issued and sold $300.0 million in aggregate principal amount of additional 3.875% senior notes due in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8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 xml:space="preserve">We recognize derivative instruments and hedging activities on a gross basis as either assets or liabilities on our Consolidated Balance Sheets and measure them at fair value. Hedge accounting generally provides for the matching of the timing of gain or loss recognition on the hedging instrument with the earnings effect of the hedged forecasted transactions in a cash flow hedge. For derivatives designated as cash flow hedges, the change in the estimated fair value of the derivative is recognized in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on our Consolidated Balance Sheets. To receive hedge accounting treatment, all hedging relationships are formally documented at the inception of the hedge, and the hedges must be highly effective in offsetting changes to future cash flows on hedged transactions. Gains and losses resulting from valuation adjustments on dedesignated portions of our derivative contract subsequent to dedesignation of hedge accounting are recorded within </w:t>
      </w:r>
      <w:r>
        <w:rPr>
          <w:rFonts w:ascii="Arial" w:cs="Arial" w:eastAsia="Arial" w:hAnsi="Arial"/>
          <w:sz w:val="15"/>
          <w:szCs w:val="15"/>
          <w:i w:val="1"/>
          <w:iCs w:val="1"/>
          <w:color w:val="auto"/>
        </w:rPr>
        <w:t>Interest expense, net</w:t>
      </w:r>
      <w:r>
        <w:rPr>
          <w:rFonts w:ascii="Arial" w:cs="Arial" w:eastAsia="Arial" w:hAnsi="Arial"/>
          <w:sz w:val="15"/>
          <w:szCs w:val="15"/>
          <w:color w:val="auto"/>
        </w:rPr>
        <w:t xml:space="preserve"> on our Consolidated Statements of Operations. As it is not probable the forecasted transaction will not occur, the amounts in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as of the date of dedesignation will be released based on our original forecast.</w:t>
      </w:r>
    </w:p>
    <w:p>
      <w:pPr>
        <w:spacing w:after="0" w:line="1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the second quarter of 2022, two interest rate swap contracts in the notional amount of $350.0 million matured. Interest rate swaps in the notional amount of $500.0 million became effective in April 2022.</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In the third quarter of 2022, the Company sold $400.0 million of the notional amount of the interest rate cap contract which was not designated as an accounting hedge. We recognized a gain of $3.0 million, partially offset by the derecognition of $2.5 million of derivative assets, resulting from this sale within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on our Consolidated Statements of Operations.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the fourth quarter of 2022, the Company transitioned two interest rate swap contracts and one interest cap contract from LIBOR to SOFR by terminating the original transactions and simultaneously entering into new derivatives. The terms of the new derivatives were unchanged except for the index. The Company elected optional expedients to allow for this transition without any interruptions to the hedge accounting.</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2023, the Company had the following outstanding interest rate derivatives that were designated as cash flow hedges of interest rate risk ($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Rate Derivatives</w:t>
            </w: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ind w:right="221"/>
              <w:spacing w:after="0"/>
              <w:rPr>
                <w:sz w:val="20"/>
                <w:szCs w:val="20"/>
                <w:color w:val="auto"/>
              </w:rPr>
            </w:pPr>
            <w:r>
              <w:rPr>
                <w:rFonts w:ascii="Arial" w:cs="Arial" w:eastAsia="Arial" w:hAnsi="Arial"/>
                <w:sz w:val="14"/>
                <w:szCs w:val="14"/>
                <w:b w:val="1"/>
                <w:bCs w:val="1"/>
                <w:color w:val="auto"/>
                <w:w w:val="95"/>
              </w:rPr>
              <w:t>Notional Aggregate</w:t>
            </w: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84"/>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Instruments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ind w:right="261"/>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Pr>
          <w:p>
            <w:pPr>
              <w:spacing w:after="0"/>
              <w:rPr>
                <w:sz w:val="15"/>
                <w:szCs w:val="15"/>
                <w:color w:val="auto"/>
              </w:rPr>
            </w:pPr>
          </w:p>
        </w:tc>
        <w:tc>
          <w:tcPr>
            <w:tcW w:w="1900" w:type="dxa"/>
            <w:vAlign w:val="bottom"/>
          </w:tcPr>
          <w:p>
            <w:pPr>
              <w:jc w:val="right"/>
              <w:ind w:right="129"/>
              <w:spacing w:after="0"/>
              <w:rPr>
                <w:sz w:val="20"/>
                <w:szCs w:val="20"/>
                <w:color w:val="auto"/>
              </w:rPr>
            </w:pPr>
            <w:r>
              <w:rPr>
                <w:rFonts w:ascii="Arial" w:cs="Arial" w:eastAsia="Arial" w:hAnsi="Arial"/>
                <w:sz w:val="14"/>
                <w:szCs w:val="14"/>
                <w:b w:val="1"/>
                <w:bCs w:val="1"/>
                <w:color w:val="auto"/>
              </w:rPr>
              <w:t>Interest Cap / Swap Rate</w:t>
            </w:r>
          </w:p>
        </w:tc>
        <w:tc>
          <w:tcPr>
            <w:tcW w:w="120" w:type="dxa"/>
            <w:vAlign w:val="bottom"/>
          </w:tcPr>
          <w:p>
            <w:pPr>
              <w:spacing w:after="0"/>
              <w:rPr>
                <w:sz w:val="15"/>
                <w:szCs w:val="15"/>
                <w:color w:val="auto"/>
              </w:rPr>
            </w:pPr>
          </w:p>
        </w:tc>
        <w:tc>
          <w:tcPr>
            <w:tcW w:w="1760" w:type="dxa"/>
            <w:vAlign w:val="bottom"/>
          </w:tcPr>
          <w:p>
            <w:pPr>
              <w:jc w:val="right"/>
              <w:ind w:right="358"/>
              <w:spacing w:after="0"/>
              <w:rPr>
                <w:sz w:val="20"/>
                <w:szCs w:val="20"/>
                <w:color w:val="auto"/>
              </w:rPr>
            </w:pPr>
            <w:r>
              <w:rPr>
                <w:rFonts w:ascii="Arial" w:cs="Arial" w:eastAsia="Arial" w:hAnsi="Arial"/>
                <w:sz w:val="14"/>
                <w:szCs w:val="14"/>
                <w:b w:val="1"/>
                <w:bCs w:val="1"/>
                <w:color w:val="auto"/>
              </w:rPr>
              <w:t>Maturity Date</w:t>
            </w:r>
          </w:p>
        </w:tc>
      </w:tr>
      <w:tr>
        <w:trPr>
          <w:trHeight w:val="24"/>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cap contract</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One</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30, 2024</w:t>
            </w:r>
          </w:p>
        </w:tc>
      </w:tr>
      <w:tr>
        <w:trPr>
          <w:trHeight w:val="238"/>
        </w:trPr>
        <w:tc>
          <w:tcPr>
            <w:tcW w:w="358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Two</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500.0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0.370 %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January 30,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summarizes the fair value and presentation on our Consolidated Balance Sheets for derivatives as of June 30, 2023 and December 31, 2022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gridSpan w:val="4"/>
          </w:tcPr>
          <w:p>
            <w:pPr>
              <w:jc w:val="right"/>
              <w:ind w:right="589"/>
              <w:spacing w:after="0"/>
              <w:rPr>
                <w:sz w:val="20"/>
                <w:szCs w:val="20"/>
                <w:color w:val="auto"/>
              </w:rPr>
            </w:pPr>
            <w:r>
              <w:rPr>
                <w:rFonts w:ascii="Arial" w:cs="Arial" w:eastAsia="Arial" w:hAnsi="Arial"/>
                <w:sz w:val="14"/>
                <w:szCs w:val="14"/>
                <w:b w:val="1"/>
                <w:bCs w:val="1"/>
                <w:color w:val="auto"/>
              </w:rPr>
              <w:t>Fair Value of Derivative Instruments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800" w:type="dxa"/>
            <w:vAlign w:val="bottom"/>
            <w:gridSpan w:val="2"/>
            <w:vMerge w:val="restart"/>
          </w:tcPr>
          <w:p>
            <w:pPr>
              <w:ind w:left="3000"/>
              <w:spacing w:after="0"/>
              <w:rPr>
                <w:sz w:val="20"/>
                <w:szCs w:val="20"/>
                <w:color w:val="auto"/>
              </w:rPr>
            </w:pPr>
            <w:r>
              <w:rPr>
                <w:rFonts w:ascii="Arial" w:cs="Arial" w:eastAsia="Arial" w:hAnsi="Arial"/>
                <w:sz w:val="14"/>
                <w:szCs w:val="14"/>
                <w:b w:val="1"/>
                <w:bCs w:val="1"/>
                <w:color w:val="auto"/>
              </w:rPr>
              <w:t>Instrument</w:t>
            </w:r>
          </w:p>
        </w:tc>
        <w:tc>
          <w:tcPr>
            <w:tcW w:w="16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0" w:type="dxa"/>
            <w:vAlign w:val="bottom"/>
            <w:gridSpan w:val="2"/>
            <w:vMerge w:val="continue"/>
          </w:tcPr>
          <w:p>
            <w:pPr>
              <w:spacing w:after="0"/>
              <w:rPr>
                <w:sz w:val="15"/>
                <w:szCs w:val="15"/>
                <w:color w:val="auto"/>
              </w:rPr>
            </w:pPr>
          </w:p>
        </w:tc>
        <w:tc>
          <w:tcPr>
            <w:tcW w:w="1680" w:type="dxa"/>
            <w:vAlign w:val="bottom"/>
          </w:tcPr>
          <w:p>
            <w:pPr>
              <w:jc w:val="right"/>
              <w:ind w:right="42"/>
              <w:spacing w:after="0"/>
              <w:rPr>
                <w:sz w:val="20"/>
                <w:szCs w:val="20"/>
                <w:color w:val="auto"/>
              </w:rPr>
            </w:pPr>
            <w:r>
              <w:rPr>
                <w:rFonts w:ascii="Arial" w:cs="Arial" w:eastAsia="Arial" w:hAnsi="Arial"/>
                <w:sz w:val="14"/>
                <w:szCs w:val="14"/>
                <w:b w:val="1"/>
                <w:bCs w:val="1"/>
                <w:color w:val="auto"/>
              </w:rPr>
              <w:t>June 30, 2023</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December 31, 2022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ind w:right="2"/>
              <w:spacing w:after="0"/>
              <w:rPr>
                <w:sz w:val="20"/>
                <w:szCs w:val="20"/>
                <w:color w:val="auto"/>
              </w:rPr>
            </w:pPr>
            <w:r>
              <w:rPr>
                <w:rFonts w:ascii="Arial" w:cs="Arial" w:eastAsia="Arial" w:hAnsi="Arial"/>
                <w:sz w:val="14"/>
                <w:szCs w:val="14"/>
                <w:b w:val="1"/>
                <w:bCs w:val="1"/>
                <w:color w:val="auto"/>
              </w:rPr>
              <w:t>Derivative Assets</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b w:val="1"/>
                <w:bCs w:val="1"/>
                <w:color w:val="auto"/>
              </w:rPr>
              <w:t>Derivative Assets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6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6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80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(1)</w:t>
            </w:r>
          </w:p>
        </w:tc>
        <w:tc>
          <w:tcPr>
            <w:tcW w:w="1680" w:type="dxa"/>
            <w:vAlign w:val="bottom"/>
          </w:tcPr>
          <w:p>
            <w:pPr>
              <w:jc w:val="right"/>
              <w:ind w:right="150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840" w:type="dxa"/>
            <w:vAlign w:val="bottom"/>
            <w:gridSpan w:val="2"/>
          </w:tcPr>
          <w:p>
            <w:pPr>
              <w:jc w:val="right"/>
              <w:ind w:right="154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5"/>
        </w:trPr>
        <w:tc>
          <w:tcPr>
            <w:tcW w:w="6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(2)</w:t>
            </w:r>
          </w:p>
        </w:tc>
        <w:tc>
          <w:tcPr>
            <w:tcW w:w="16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5"/>
        </w:trPr>
        <w:tc>
          <w:tcPr>
            <w:tcW w:w="6800" w:type="dxa"/>
            <w:vAlign w:val="bottom"/>
            <w:gridSpan w:val="2"/>
          </w:tcPr>
          <w:p>
            <w:pPr>
              <w:ind w:left="240"/>
              <w:spacing w:after="0"/>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(1)</w:t>
            </w:r>
          </w:p>
        </w:tc>
        <w:tc>
          <w:tcPr>
            <w:tcW w:w="16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21.5</w:t>
            </w:r>
          </w:p>
        </w:tc>
        <w:tc>
          <w:tcPr>
            <w:tcW w:w="0" w:type="dxa"/>
            <w:vAlign w:val="bottom"/>
          </w:tcPr>
          <w:p>
            <w:pPr>
              <w:spacing w:after="0"/>
              <w:rPr>
                <w:sz w:val="1"/>
                <w:szCs w:val="1"/>
                <w:color w:val="auto"/>
              </w:rPr>
            </w:pPr>
          </w:p>
        </w:tc>
      </w:tr>
      <w:tr>
        <w:trPr>
          <w:trHeight w:val="265"/>
        </w:trPr>
        <w:tc>
          <w:tcPr>
            <w:tcW w:w="6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(2)</w:t>
            </w:r>
          </w:p>
        </w:tc>
        <w:tc>
          <w:tcPr>
            <w:tcW w:w="16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30.3</w:t>
            </w:r>
          </w:p>
        </w:tc>
        <w:tc>
          <w:tcPr>
            <w:tcW w:w="0" w:type="dxa"/>
            <w:vAlign w:val="bottom"/>
          </w:tcPr>
          <w:p>
            <w:pPr>
              <w:spacing w:after="0"/>
              <w:rPr>
                <w:sz w:val="1"/>
                <w:szCs w:val="1"/>
                <w:color w:val="auto"/>
              </w:rPr>
            </w:pPr>
          </w:p>
        </w:tc>
      </w:tr>
      <w:tr>
        <w:trPr>
          <w:trHeight w:val="258"/>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Total designated derivative fair value</w:t>
            </w:r>
          </w:p>
        </w:tc>
        <w:tc>
          <w:tcPr>
            <w:tcW w:w="1680" w:type="dxa"/>
            <w:vAlign w:val="bottom"/>
          </w:tcPr>
          <w:p>
            <w:pPr>
              <w:jc w:val="right"/>
              <w:ind w:right="150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51.1</w:t>
            </w:r>
          </w:p>
        </w:tc>
        <w:tc>
          <w:tcPr>
            <w:tcW w:w="1840" w:type="dxa"/>
            <w:vAlign w:val="bottom"/>
            <w:gridSpan w:val="2"/>
          </w:tcPr>
          <w:p>
            <w:pPr>
              <w:jc w:val="right"/>
              <w:ind w:right="154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53.3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0" w:lineRule="exact"/>
        <w:rPr>
          <w:sz w:val="20"/>
          <w:szCs w:val="20"/>
          <w:color w:val="auto"/>
        </w:rPr>
      </w:pPr>
    </w:p>
    <w:p>
      <w:pPr>
        <w:ind w:left="200" w:hanging="194"/>
        <w:spacing w:after="0"/>
        <w:tabs>
          <w:tab w:leader="none" w:pos="2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Prepaid expenses and other current assets</w:t>
      </w:r>
      <w:r>
        <w:rPr>
          <w:rFonts w:ascii="Arial" w:cs="Arial" w:eastAsia="Arial" w:hAnsi="Arial"/>
          <w:sz w:val="14"/>
          <w:szCs w:val="14"/>
          <w:color w:val="auto"/>
        </w:rPr>
        <w:t xml:space="preserve"> on our Consolidated Balance Sheets.</w:t>
      </w:r>
    </w:p>
    <w:p>
      <w:pPr>
        <w:spacing w:after="0" w:line="6" w:lineRule="exact"/>
        <w:rPr>
          <w:rFonts w:ascii="Arial" w:cs="Arial" w:eastAsia="Arial" w:hAnsi="Arial"/>
          <w:sz w:val="14"/>
          <w:szCs w:val="14"/>
          <w:color w:val="auto"/>
        </w:rPr>
      </w:pPr>
    </w:p>
    <w:p>
      <w:pPr>
        <w:ind w:left="200" w:hanging="194"/>
        <w:spacing w:after="0"/>
        <w:tabs>
          <w:tab w:leader="none" w:pos="2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Deferred costs and other assets, net of current portion</w:t>
      </w:r>
      <w:r>
        <w:rPr>
          <w:rFonts w:ascii="Arial" w:cs="Arial" w:eastAsia="Arial" w:hAnsi="Arial"/>
          <w:sz w:val="14"/>
          <w:szCs w:val="14"/>
          <w:color w:val="auto"/>
        </w:rPr>
        <w:t xml:space="preserve"> on our Consolidated Balance Sheets.</w:t>
      </w:r>
    </w:p>
    <w:p>
      <w:pPr>
        <w:spacing w:after="0" w:line="16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 change in fair value of any derivative instruments was recorded, net of income tax, in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on our Consolidated Balance Sheets to the extent the agreements were designated as effective hedges. In the period that the hedged item affects earnings, such as when interest payments are made on the Company’s variable-rate debt, we reclassify the related gain or loss on the interest rate swap cash flow hedges and any receipts on the cap to </w:t>
      </w:r>
      <w:r>
        <w:rPr>
          <w:rFonts w:ascii="Arial" w:cs="Arial" w:eastAsia="Arial" w:hAnsi="Arial"/>
          <w:sz w:val="15"/>
          <w:szCs w:val="15"/>
          <w:i w:val="1"/>
          <w:iCs w:val="1"/>
          <w:color w:val="auto"/>
        </w:rPr>
        <w:t>Interest expense, net</w:t>
      </w:r>
      <w:r>
        <w:rPr>
          <w:rFonts w:ascii="Arial" w:cs="Arial" w:eastAsia="Arial" w:hAnsi="Arial"/>
          <w:sz w:val="15"/>
          <w:szCs w:val="15"/>
          <w:color w:val="auto"/>
        </w:rPr>
        <w:t xml:space="preserve"> and as operating cash flows on our Consolidated Statements of Cash Flows in the period settled in cash. Income tax effects from changes in fair value of derivative instruments are recorded on our Consolidated Statements of Operations when the derivative instruments are settled. Over the next 12 months, we expect to reclassify approximately $24.9 million into interest income from AOCI.</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within the fair value hierarchy. We classify our corporate debt securities, securities guaranteed by U.S. government, and other governmental securities as Level 2 within the fair value hierarchy. The fair value of our first term lien debt and Senior Notes as of June 30, 2023 was $596.3 million and $552.5 million, respectively, based on observable market prices in less active markets and categorized as Level 2 within the fair value measurement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 term OIS rates and long term OIS swap rates).</w:t>
      </w:r>
    </w:p>
    <w:p>
      <w:pPr>
        <w:spacing w:after="0" w:line="12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spacing w:after="0" w:line="5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(in millions) of our financial assets and (liabilities) was determined using the following inputs: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Fair Value at June 30, 2023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7"/>
        </w:trPr>
        <w:tc>
          <w:tcPr>
            <w:tcW w:w="6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8"/>
        </w:trPr>
        <w:tc>
          <w:tcPr>
            <w:tcW w:w="614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1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1180" w:type="dxa"/>
            <w:vAlign w:val="bottom"/>
            <w:gridSpan w:val="2"/>
          </w:tcPr>
          <w:p>
            <w:pPr>
              <w:jc w:val="right"/>
              <w:ind w:right="88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231.2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180" w:type="dxa"/>
            <w:vAlign w:val="bottom"/>
            <w:tcBorders>
              <w:bottom w:val="single" w:sz="8" w:color="CCEEFF"/>
            </w:tcBorders>
            <w:gridSpan w:val="2"/>
            <w:shd w:val="clear" w:color="auto" w:fill="CCEEFF"/>
          </w:tcPr>
          <w:p>
            <w:pPr>
              <w:jc w:val="right"/>
              <w:ind w:right="88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173.5</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38"/>
        </w:trPr>
        <w:tc>
          <w:tcPr>
            <w:tcW w:w="61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180" w:type="dxa"/>
            <w:vAlign w:val="bottom"/>
            <w:tcBorders>
              <w:bottom w:val="single" w:sz="8" w:color="CCEEFF"/>
            </w:tcBorders>
            <w:gridSpan w:val="2"/>
            <w:shd w:val="clear" w:color="auto" w:fill="CCEEFF"/>
          </w:tcPr>
          <w:p>
            <w:pPr>
              <w:jc w:val="right"/>
              <w:ind w:right="88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38"/>
        </w:trPr>
        <w:tc>
          <w:tcPr>
            <w:tcW w:w="6140" w:type="dxa"/>
            <w:vAlign w:val="bottom"/>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180" w:type="dxa"/>
            <w:vAlign w:val="bottom"/>
            <w:gridSpan w:val="2"/>
          </w:tcPr>
          <w:p>
            <w:pPr>
              <w:jc w:val="right"/>
              <w:ind w:right="88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governmental securities</w:t>
            </w:r>
          </w:p>
        </w:tc>
        <w:tc>
          <w:tcPr>
            <w:tcW w:w="1180" w:type="dxa"/>
            <w:vAlign w:val="bottom"/>
            <w:tcBorders>
              <w:bottom w:val="single" w:sz="8" w:color="CCEEFF"/>
            </w:tcBorders>
            <w:gridSpan w:val="2"/>
            <w:shd w:val="clear" w:color="auto" w:fill="CCEEFF"/>
          </w:tcPr>
          <w:p>
            <w:pPr>
              <w:jc w:val="right"/>
              <w:ind w:right="88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38"/>
        </w:trPr>
        <w:tc>
          <w:tcPr>
            <w:tcW w:w="614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180" w:type="dxa"/>
            <w:vAlign w:val="bottom"/>
            <w:tcBorders>
              <w:bottom w:val="single" w:sz="8" w:color="CCEEFF"/>
            </w:tcBorders>
            <w:gridSpan w:val="2"/>
            <w:shd w:val="clear" w:color="auto" w:fill="CCEEFF"/>
          </w:tcPr>
          <w:p>
            <w:pPr>
              <w:jc w:val="right"/>
              <w:ind w:right="88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38"/>
        </w:trPr>
        <w:tc>
          <w:tcPr>
            <w:tcW w:w="6140" w:type="dxa"/>
            <w:vAlign w:val="bottom"/>
          </w:tcPr>
          <w:p>
            <w:pPr>
              <w:ind w:left="240"/>
              <w:spacing w:after="0"/>
              <w:rPr>
                <w:sz w:val="20"/>
                <w:szCs w:val="20"/>
                <w:color w:val="auto"/>
              </w:rPr>
            </w:pPr>
            <w:r>
              <w:rPr>
                <w:rFonts w:ascii="Arial" w:cs="Arial" w:eastAsia="Arial" w:hAnsi="Arial"/>
                <w:sz w:val="18"/>
                <w:szCs w:val="18"/>
                <w:color w:val="auto"/>
              </w:rPr>
              <w:t>Interest rate swap contracts</w:t>
            </w:r>
          </w:p>
        </w:tc>
        <w:tc>
          <w:tcPr>
            <w:tcW w:w="1180" w:type="dxa"/>
            <w:vAlign w:val="bottom"/>
            <w:gridSpan w:val="2"/>
          </w:tcPr>
          <w:p>
            <w:pPr>
              <w:jc w:val="right"/>
              <w:ind w:right="88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140" w:type="dxa"/>
            <w:vAlign w:val="bottom"/>
          </w:tcPr>
          <w:p>
            <w:pPr>
              <w:ind w:left="240"/>
              <w:spacing w:after="0"/>
              <w:rPr>
                <w:sz w:val="20"/>
                <w:szCs w:val="20"/>
                <w:color w:val="auto"/>
              </w:rPr>
            </w:pPr>
            <w:r>
              <w:rPr>
                <w:rFonts w:ascii="Arial" w:cs="Arial" w:eastAsia="Arial" w:hAnsi="Arial"/>
                <w:sz w:val="18"/>
                <w:szCs w:val="18"/>
                <w:color w:val="auto"/>
              </w:rPr>
              <w:t>Interest rate swap contracts</w:t>
            </w:r>
          </w:p>
        </w:tc>
        <w:tc>
          <w:tcPr>
            <w:tcW w:w="1180" w:type="dxa"/>
            <w:vAlign w:val="bottom"/>
            <w:gridSpan w:val="2"/>
          </w:tcPr>
          <w:p>
            <w:pPr>
              <w:jc w:val="right"/>
              <w:ind w:right="88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Fair Value at December 31, 2022</w:t>
            </w:r>
          </w:p>
        </w:tc>
        <w:tc>
          <w:tcPr>
            <w:tcW w:w="120" w:type="dxa"/>
            <w:vAlign w:val="bottom"/>
          </w:tcPr>
          <w:p>
            <w:pPr>
              <w:spacing w:after="0"/>
              <w:rPr>
                <w:sz w:val="19"/>
                <w:szCs w:val="19"/>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473"/>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8"/>
        </w:trPr>
        <w:tc>
          <w:tcPr>
            <w:tcW w:w="6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1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1220" w:type="dxa"/>
            <w:vAlign w:val="bottom"/>
            <w:gridSpan w:val="2"/>
          </w:tcPr>
          <w:p>
            <w:pPr>
              <w:jc w:val="right"/>
              <w:ind w:right="92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159.8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220" w:type="dxa"/>
            <w:vAlign w:val="bottom"/>
            <w:tcBorders>
              <w:bottom w:val="single" w:sz="8" w:color="CCEEFF"/>
            </w:tcBorders>
            <w:gridSpan w:val="2"/>
            <w:shd w:val="clear" w:color="auto" w:fill="CCEEFF"/>
          </w:tcPr>
          <w:p>
            <w:pPr>
              <w:jc w:val="right"/>
              <w:ind w:right="92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37"/>
        </w:trPr>
        <w:tc>
          <w:tcPr>
            <w:tcW w:w="6140" w:type="dxa"/>
            <w:vAlign w:val="bottom"/>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220" w:type="dxa"/>
            <w:vAlign w:val="bottom"/>
            <w:gridSpan w:val="2"/>
          </w:tcPr>
          <w:p>
            <w:pPr>
              <w:jc w:val="right"/>
              <w:ind w:right="92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1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1220" w:type="dxa"/>
            <w:vAlign w:val="bottom"/>
            <w:gridSpan w:val="2"/>
          </w:tcPr>
          <w:p>
            <w:pPr>
              <w:jc w:val="right"/>
              <w:ind w:right="92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220" w:type="dxa"/>
            <w:vAlign w:val="bottom"/>
            <w:tcBorders>
              <w:bottom w:val="single" w:sz="8" w:color="CCEEFF"/>
            </w:tcBorders>
            <w:gridSpan w:val="2"/>
            <w:shd w:val="clear" w:color="auto" w:fill="CCEEFF"/>
          </w:tcPr>
          <w:p>
            <w:pPr>
              <w:jc w:val="right"/>
              <w:ind w:right="92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37"/>
        </w:trPr>
        <w:tc>
          <w:tcPr>
            <w:tcW w:w="6140" w:type="dxa"/>
            <w:vAlign w:val="bottom"/>
          </w:tcPr>
          <w:p>
            <w:pPr>
              <w:ind w:left="240"/>
              <w:spacing w:after="0"/>
              <w:rPr>
                <w:sz w:val="20"/>
                <w:szCs w:val="20"/>
                <w:color w:val="auto"/>
              </w:rPr>
            </w:pPr>
            <w:r>
              <w:rPr>
                <w:rFonts w:ascii="Arial" w:cs="Arial" w:eastAsia="Arial" w:hAnsi="Arial"/>
                <w:sz w:val="18"/>
                <w:szCs w:val="18"/>
                <w:color w:val="auto"/>
              </w:rPr>
              <w:t>Other governmental securities</w:t>
            </w:r>
          </w:p>
        </w:tc>
        <w:tc>
          <w:tcPr>
            <w:tcW w:w="1220" w:type="dxa"/>
            <w:vAlign w:val="bottom"/>
            <w:gridSpan w:val="2"/>
          </w:tcPr>
          <w:p>
            <w:pPr>
              <w:jc w:val="right"/>
              <w:ind w:right="92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140" w:type="dxa"/>
            <w:vAlign w:val="bottom"/>
          </w:tcPr>
          <w:p>
            <w:pPr>
              <w:ind w:left="240"/>
              <w:spacing w:after="0"/>
              <w:rPr>
                <w:sz w:val="20"/>
                <w:szCs w:val="20"/>
                <w:color w:val="auto"/>
              </w:rPr>
            </w:pPr>
            <w:r>
              <w:rPr>
                <w:rFonts w:ascii="Arial" w:cs="Arial" w:eastAsia="Arial" w:hAnsi="Arial"/>
                <w:sz w:val="18"/>
                <w:szCs w:val="18"/>
                <w:color w:val="auto"/>
              </w:rPr>
              <w:t>Interest rate cap contract</w:t>
            </w:r>
          </w:p>
        </w:tc>
        <w:tc>
          <w:tcPr>
            <w:tcW w:w="1220" w:type="dxa"/>
            <w:vAlign w:val="bottom"/>
            <w:gridSpan w:val="2"/>
          </w:tcPr>
          <w:p>
            <w:pPr>
              <w:jc w:val="right"/>
              <w:ind w:right="92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p>
        </w:tc>
        <w:tc>
          <w:tcPr>
            <w:tcW w:w="1220" w:type="dxa"/>
            <w:vAlign w:val="bottom"/>
            <w:tcBorders>
              <w:bottom w:val="single" w:sz="8" w:color="CCEEFF"/>
            </w:tcBorders>
            <w:gridSpan w:val="2"/>
            <w:shd w:val="clear" w:color="auto" w:fill="CCEEFF"/>
          </w:tcPr>
          <w:p>
            <w:pPr>
              <w:jc w:val="right"/>
              <w:ind w:right="92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37"/>
        </w:trPr>
        <w:tc>
          <w:tcPr>
            <w:tcW w:w="6140" w:type="dxa"/>
            <w:vAlign w:val="bottom"/>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220" w:type="dxa"/>
            <w:vAlign w:val="bottom"/>
            <w:tcBorders>
              <w:bottom w:val="single" w:sz="8" w:color="CCEEFF"/>
            </w:tcBorders>
            <w:gridSpan w:val="2"/>
            <w:shd w:val="clear" w:color="auto" w:fill="CCEEFF"/>
          </w:tcPr>
          <w:p>
            <w:pPr>
              <w:jc w:val="right"/>
              <w:ind w:right="92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37"/>
        </w:trPr>
        <w:tc>
          <w:tcPr>
            <w:tcW w:w="6140" w:type="dxa"/>
            <w:vAlign w:val="bottom"/>
          </w:tcPr>
          <w:p>
            <w:pPr>
              <w:ind w:left="240"/>
              <w:spacing w:after="0"/>
              <w:rPr>
                <w:sz w:val="20"/>
                <w:szCs w:val="20"/>
                <w:color w:val="auto"/>
              </w:rPr>
            </w:pPr>
            <w:r>
              <w:rPr>
                <w:rFonts w:ascii="Arial" w:cs="Arial" w:eastAsia="Arial" w:hAnsi="Arial"/>
                <w:sz w:val="18"/>
                <w:szCs w:val="18"/>
                <w:color w:val="auto"/>
              </w:rPr>
              <w:t>Interest rate swap contracts</w:t>
            </w:r>
          </w:p>
        </w:tc>
        <w:tc>
          <w:tcPr>
            <w:tcW w:w="1220" w:type="dxa"/>
            <w:vAlign w:val="bottom"/>
            <w:gridSpan w:val="2"/>
          </w:tcPr>
          <w:p>
            <w:pPr>
              <w:jc w:val="right"/>
              <w:ind w:right="92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bl>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transfers between fair value measurements levels during the six months ended June 30, 2023.</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5 - Cash, Cash Equivalents, and Short-term Investments for further information regarding the fair value of our financial instruments. Refer to Note 9 - Derivatives and Hedging Activities for further information regarding the fair value of our derivative instruments.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information related to outstanding non-cancelable purchase obligations with a term of 12 months or longer, refer to the amount disclosed in the audited financial statements in our 2022 Form 10-K. Amounts mainly relate to third-party cloud hosting and software as a service arrangements. For information regarding financing-related obligations, refer to Note 8 - Financing Arrangements. For information regarding lease-related obligations, refer to Note 13 - Leases.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The Company has conducted an assessment of sales and use tax exposure in states where the Company has established nexus. Based on this assessment, the Company has recorded a liability for taxes owed and related penalties and interest in the amount of $4.8 million and $4.9 million at June 30, 2023 and December 31, 2022, respectively. This liability is included in </w:t>
      </w:r>
      <w:r>
        <w:rPr>
          <w:rFonts w:ascii="Arial" w:cs="Arial" w:eastAsia="Arial" w:hAnsi="Arial"/>
          <w:sz w:val="15"/>
          <w:szCs w:val="15"/>
          <w:i w:val="1"/>
          <w:iCs w:val="1"/>
          <w:color w:val="auto"/>
        </w:rPr>
        <w:t>Accrued expenses and other current liabilities</w:t>
      </w:r>
      <w:r>
        <w:rPr>
          <w:rFonts w:ascii="Arial" w:cs="Arial" w:eastAsia="Arial" w:hAnsi="Arial"/>
          <w:sz w:val="15"/>
          <w:szCs w:val="15"/>
          <w:color w:val="auto"/>
        </w:rPr>
        <w:t xml:space="preserv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payments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acquisition of Dogpatch, the Company could be required to issue equity awards up to $2.6 million. Refer to Note 4 - Business Combinations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acquisition-related payments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acquisition of Insent, the Company expects to pay an additional $2.0 million of which $0.8 million represents deferred consideration. Refer to Note 4 - Business Combinations in our 2022 Form 10-K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it is not possible to provide an estimated amount of any loss or range of loss that may occur with respect to these matters, including without limitation the matters described below.</w:t>
      </w:r>
    </w:p>
    <w:p>
      <w:pPr>
        <w:spacing w:after="0" w:line="9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The Company intends to vigorously defend against this lawsuit.</w:t>
      </w:r>
    </w:p>
    <w:p>
      <w:pPr>
        <w:spacing w:after="0" w:line="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The Company intends to vigorously defend against this lawsuit.</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February 10, 2023, a putative class action lawsuit was filed against Datanyze, LLC, one of the Company’s subsidiaries, in the Circuit Court of Cook County, Illinois alleging Datanyze's use of Illinois residents’ names in a free trial violates the Illinois Right of Publicity Act, and seeking statutory, compensatory and punitive damages, costs, and attorneys’ fees. The case is now pending in the United States District Court for the Northern District of Illinois (Eastern Division). The Company intends to vigorously defend against this lawsuit.</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8, 2023, a putative class action lawsuit was filed against Datanyze, LLC in the United States District Court for the Northern District of Ohio alleging Datanyze's use of Ohio residents names in a free trial violates the Ohio Right of Publicity Statute, and seeking statutory damages, costs, and attorneys’ fees. The Company intends to vigorously defend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previously discussed, in May 2022, following approval by the Company’s stockholders, the Company further amended and restated its Amended and Restated Certificate of Incorporation to eliminate the multiple classes of common stock and to rename the Company’s Class A common stock to “Common Stock”.</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The following tables set forth the computation of basic and diluted net income per share of Class A </w:t>
      </w:r>
      <w:r>
        <w:rPr>
          <w:rFonts w:ascii="Arial" w:cs="Arial" w:eastAsia="Arial" w:hAnsi="Arial"/>
          <w:sz w:val="18"/>
          <w:szCs w:val="18"/>
          <w:color w:val="242424"/>
        </w:rPr>
        <w:t>common stock or Common Stock, as applicable,</w:t>
      </w:r>
      <w:r>
        <w:rPr>
          <w:rFonts w:ascii="Arial" w:cs="Arial" w:eastAsia="Arial" w:hAnsi="Arial"/>
          <w:sz w:val="18"/>
          <w:szCs w:val="18"/>
          <w:color w:val="auto"/>
        </w:rPr>
        <w:t xml:space="preserve"> (in millions,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Three Months Ended June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Six Months Ended June</w:t>
            </w:r>
          </w:p>
        </w:tc>
      </w:tr>
      <w:tr>
        <w:trPr>
          <w:trHeight w:val="184"/>
        </w:trPr>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495"/>
              <w:spacing w:after="0"/>
              <w:rPr>
                <w:sz w:val="20"/>
                <w:szCs w:val="20"/>
                <w:color w:val="auto"/>
              </w:rPr>
            </w:pPr>
            <w:r>
              <w:rPr>
                <w:rFonts w:ascii="Arial" w:cs="Arial" w:eastAsia="Arial" w:hAnsi="Arial"/>
                <w:sz w:val="14"/>
                <w:szCs w:val="14"/>
                <w:b w:val="1"/>
                <w:bCs w:val="1"/>
                <w:color w:val="auto"/>
              </w:rPr>
              <w:t>30, 2023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30, 2023</w:t>
            </w:r>
          </w:p>
        </w:tc>
      </w:tr>
      <w:tr>
        <w:trPr>
          <w:trHeight w:val="38"/>
        </w:trPr>
        <w:tc>
          <w:tcPr>
            <w:tcW w:w="7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Common Stock</w:t>
            </w:r>
          </w:p>
        </w:tc>
      </w:tr>
      <w:tr>
        <w:trPr>
          <w:trHeight w:val="24"/>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39"/>
        </w:trPr>
        <w:tc>
          <w:tcPr>
            <w:tcW w:w="7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4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per share attributable to common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8"/>
        </w:trPr>
        <w:tc>
          <w:tcPr>
            <w:tcW w:w="780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5"/>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8"/>
        </w:trPr>
        <w:tc>
          <w:tcPr>
            <w:tcW w:w="780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5"/>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number of shares of Common Stock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401,194,485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402,301,486</w:t>
            </w:r>
          </w:p>
        </w:tc>
      </w:tr>
      <w:tr>
        <w:trPr>
          <w:trHeight w:val="231"/>
        </w:trPr>
        <w:tc>
          <w:tcPr>
            <w:tcW w:w="7800" w:type="dxa"/>
            <w:vAlign w:val="bottom"/>
          </w:tcPr>
          <w:p>
            <w:pPr>
              <w:ind w:left="20"/>
              <w:spacing w:after="0"/>
              <w:rPr>
                <w:sz w:val="20"/>
                <w:szCs w:val="20"/>
                <w:color w:val="auto"/>
              </w:rPr>
            </w:pPr>
            <w:r>
              <w:rPr>
                <w:rFonts w:ascii="Arial" w:cs="Arial" w:eastAsia="Arial" w:hAnsi="Arial"/>
                <w:sz w:val="18"/>
                <w:szCs w:val="18"/>
                <w:color w:val="auto"/>
              </w:rPr>
              <w:t>Basic net income per share attributable to common stockholders</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r>
      <w:tr>
        <w:trPr>
          <w:trHeight w:val="28"/>
        </w:trPr>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5"/>
        </w:trPr>
        <w:tc>
          <w:tcPr>
            <w:tcW w:w="7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Diluted net income per share attributable to common stockholders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5"/>
        </w:trPr>
        <w:tc>
          <w:tcPr>
            <w:tcW w:w="7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8"/>
        </w:trPr>
        <w:tc>
          <w:tcPr>
            <w:tcW w:w="7800" w:type="dxa"/>
            <w:vAlign w:val="bottom"/>
          </w:tcPr>
          <w:p>
            <w:pPr>
              <w:ind w:left="240"/>
              <w:spacing w:after="0"/>
              <w:rPr>
                <w:sz w:val="20"/>
                <w:szCs w:val="20"/>
                <w:color w:val="auto"/>
              </w:rPr>
            </w:pPr>
            <w:r>
              <w:rPr>
                <w:rFonts w:ascii="Arial" w:cs="Arial" w:eastAsia="Arial" w:hAnsi="Arial"/>
                <w:sz w:val="18"/>
                <w:szCs w:val="18"/>
                <w:color w:val="auto"/>
              </w:rPr>
              <w:t>Allocation of undistributed earnings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5"/>
        </w:trPr>
        <w:tc>
          <w:tcPr>
            <w:tcW w:w="7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8"/>
        </w:trPr>
        <w:tc>
          <w:tcPr>
            <w:tcW w:w="7800" w:type="dxa"/>
            <w:vAlign w:val="bottom"/>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401,194,485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402,301,486</w:t>
            </w: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5"/>
        </w:trPr>
        <w:tc>
          <w:tcPr>
            <w:tcW w:w="7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weighted-average effect of dilutive securities exchangeable for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8"/>
        </w:trPr>
        <w:tc>
          <w:tcPr>
            <w:tcW w:w="7800" w:type="dxa"/>
            <w:vAlign w:val="bottom"/>
          </w:tcPr>
          <w:p>
            <w:pPr>
              <w:ind w:left="24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338,840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392,842</w:t>
            </w: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5"/>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 of Common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51,260</w:t>
            </w:r>
          </w:p>
        </w:tc>
      </w:tr>
      <w:tr>
        <w:trPr>
          <w:trHeight w:val="258"/>
        </w:trPr>
        <w:tc>
          <w:tcPr>
            <w:tcW w:w="780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155,845</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175,728</w:t>
            </w:r>
          </w:p>
        </w:tc>
      </w:tr>
      <w:tr>
        <w:trPr>
          <w:trHeight w:val="245"/>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1"/>
              </w:rPr>
              <w:t>Weighted average shares of Common Stock outstanding used to calculate diluted net income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401,725,003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402,921,316</w:t>
            </w:r>
          </w:p>
        </w:tc>
      </w:tr>
      <w:tr>
        <w:trPr>
          <w:trHeight w:val="264"/>
        </w:trPr>
        <w:tc>
          <w:tcPr>
            <w:tcW w:w="7800" w:type="dxa"/>
            <w:vAlign w:val="bottom"/>
          </w:tcPr>
          <w:p>
            <w:pPr>
              <w:ind w:left="20"/>
              <w:spacing w:after="0"/>
              <w:rPr>
                <w:sz w:val="20"/>
                <w:szCs w:val="20"/>
                <w:color w:val="auto"/>
              </w:rPr>
            </w:pPr>
            <w:r>
              <w:rPr>
                <w:rFonts w:ascii="Arial" w:cs="Arial" w:eastAsia="Arial" w:hAnsi="Arial"/>
                <w:sz w:val="18"/>
                <w:szCs w:val="18"/>
                <w:color w:val="auto"/>
              </w:rPr>
              <w:t>Diluted net income per share attributable to common stockholders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Three Months Ended June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Six Months Ended June</w:t>
            </w:r>
          </w:p>
        </w:tc>
      </w:tr>
      <w:tr>
        <w:trPr>
          <w:trHeight w:val="184"/>
        </w:trPr>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495"/>
              <w:spacing w:after="0"/>
              <w:rPr>
                <w:sz w:val="20"/>
                <w:szCs w:val="20"/>
                <w:color w:val="auto"/>
              </w:rPr>
            </w:pPr>
            <w:r>
              <w:rPr>
                <w:rFonts w:ascii="Arial" w:cs="Arial" w:eastAsia="Arial" w:hAnsi="Arial"/>
                <w:sz w:val="14"/>
                <w:szCs w:val="14"/>
                <w:b w:val="1"/>
                <w:bCs w:val="1"/>
                <w:color w:val="auto"/>
              </w:rPr>
              <w:t>30, 2022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30, 2022</w:t>
            </w:r>
          </w:p>
        </w:tc>
      </w:tr>
      <w:tr>
        <w:trPr>
          <w:trHeight w:val="38"/>
        </w:trPr>
        <w:tc>
          <w:tcPr>
            <w:tcW w:w="7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Common Stock</w:t>
            </w:r>
          </w:p>
        </w:tc>
      </w:tr>
      <w:tr>
        <w:trPr>
          <w:trHeight w:val="24"/>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39"/>
        </w:trPr>
        <w:tc>
          <w:tcPr>
            <w:tcW w:w="7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4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per share attributable to common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8"/>
        </w:trPr>
        <w:tc>
          <w:tcPr>
            <w:tcW w:w="780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Allocation of net income attributable to ZoomInfo Technologies Inc.</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8"/>
        </w:trPr>
        <w:tc>
          <w:tcPr>
            <w:tcW w:w="780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5"/>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number of shares of Common Stock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401,099,187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400,658,558</w:t>
            </w:r>
          </w:p>
        </w:tc>
      </w:tr>
      <w:tr>
        <w:trPr>
          <w:trHeight w:val="231"/>
        </w:trPr>
        <w:tc>
          <w:tcPr>
            <w:tcW w:w="7800" w:type="dxa"/>
            <w:vAlign w:val="bottom"/>
          </w:tcPr>
          <w:p>
            <w:pPr>
              <w:ind w:left="20"/>
              <w:spacing w:after="0"/>
              <w:rPr>
                <w:sz w:val="20"/>
                <w:szCs w:val="20"/>
                <w:color w:val="auto"/>
              </w:rPr>
            </w:pPr>
            <w:r>
              <w:rPr>
                <w:rFonts w:ascii="Arial" w:cs="Arial" w:eastAsia="Arial" w:hAnsi="Arial"/>
                <w:sz w:val="18"/>
                <w:szCs w:val="18"/>
                <w:color w:val="auto"/>
              </w:rPr>
              <w:t>Basic net income per share attributable to common stockholders</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r>
      <w:tr>
        <w:trPr>
          <w:trHeight w:val="28"/>
        </w:trPr>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5"/>
        </w:trPr>
        <w:tc>
          <w:tcPr>
            <w:tcW w:w="7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Diluted net income per share attributable to common stockholders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7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Arial" w:cs="Arial" w:eastAsia="Arial" w:hAnsi="Arial"/>
                <w:sz w:val="18"/>
                <w:szCs w:val="18"/>
                <w:color w:val="auto"/>
              </w:rPr>
              <w:t>Allocation of undistributed earnings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7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8"/>
        </w:trPr>
        <w:tc>
          <w:tcPr>
            <w:tcW w:w="7800" w:type="dxa"/>
            <w:vAlign w:val="bottom"/>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401,099,187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400,658,558</w:t>
            </w: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7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weighted-average effect of dilutive securities exchangeable for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8"/>
        </w:trPr>
        <w:tc>
          <w:tcPr>
            <w:tcW w:w="7800" w:type="dxa"/>
            <w:vAlign w:val="bottom"/>
          </w:tcPr>
          <w:p>
            <w:pPr>
              <w:ind w:left="24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1,910,328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2,293,963</w:t>
            </w:r>
          </w:p>
        </w:tc>
      </w:tr>
      <w:tr>
        <w:trPr>
          <w:trHeight w:val="28"/>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 of Common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222,710</w:t>
            </w:r>
          </w:p>
        </w:tc>
      </w:tr>
      <w:tr>
        <w:trPr>
          <w:trHeight w:val="258"/>
        </w:trPr>
        <w:tc>
          <w:tcPr>
            <w:tcW w:w="780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9,772</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w:t>
            </w:r>
          </w:p>
        </w:tc>
      </w:tr>
      <w:tr>
        <w:trPr>
          <w:trHeight w:val="24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Weighted average shares of Common Stock outstanding used to calculate diluted net income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403,221,743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403,180,117</w:t>
            </w:r>
          </w:p>
        </w:tc>
      </w:tr>
      <w:tr>
        <w:trPr>
          <w:trHeight w:val="265"/>
        </w:trPr>
        <w:tc>
          <w:tcPr>
            <w:tcW w:w="7800" w:type="dxa"/>
            <w:vAlign w:val="bottom"/>
          </w:tcPr>
          <w:p>
            <w:pPr>
              <w:ind w:left="20"/>
              <w:spacing w:after="0"/>
              <w:rPr>
                <w:sz w:val="20"/>
                <w:szCs w:val="20"/>
                <w:color w:val="auto"/>
              </w:rPr>
            </w:pPr>
            <w:r>
              <w:rPr>
                <w:rFonts w:ascii="Arial" w:cs="Arial" w:eastAsia="Arial" w:hAnsi="Arial"/>
                <w:sz w:val="18"/>
                <w:szCs w:val="18"/>
                <w:color w:val="auto"/>
              </w:rPr>
              <w:t>Diluted net income per share attributable to common stockholders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0"/>
        </w:trPr>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42424"/>
        </w:rPr>
        <w:t>The following weighted-average potentially dilutive securities were evaluated under the treasury stock method for potentially dilutive effects and have been excluded from diluted net income per share in the periods presented due to their anti-dilutive effect: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5"/>
                <w:szCs w:val="15"/>
                <w:color w:val="auto"/>
              </w:rPr>
            </w:pPr>
          </w:p>
        </w:tc>
        <w:tc>
          <w:tcPr>
            <w:tcW w:w="3380" w:type="dxa"/>
            <w:vAlign w:val="bottom"/>
            <w:gridSpan w:val="3"/>
          </w:tcPr>
          <w:p>
            <w:pPr>
              <w:ind w:left="78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460" w:type="dxa"/>
            <w:vAlign w:val="bottom"/>
            <w:gridSpan w:val="3"/>
          </w:tcPr>
          <w:p>
            <w:pPr>
              <w:jc w:val="right"/>
              <w:ind w:right="812"/>
              <w:spacing w:after="0"/>
              <w:rPr>
                <w:sz w:val="20"/>
                <w:szCs w:val="20"/>
                <w:color w:val="auto"/>
              </w:rPr>
            </w:pPr>
            <w:r>
              <w:rPr>
                <w:rFonts w:ascii="Arial" w:cs="Arial" w:eastAsia="Arial" w:hAnsi="Arial"/>
                <w:sz w:val="14"/>
                <w:szCs w:val="14"/>
                <w:b w:val="1"/>
                <w:bCs w:val="1"/>
                <w:color w:val="auto"/>
              </w:rPr>
              <w:t>Six Months Ended June 30,</w:t>
            </w:r>
          </w:p>
        </w:tc>
      </w:tr>
      <w:tr>
        <w:trPr>
          <w:trHeight w:val="38"/>
        </w:trPr>
        <w:tc>
          <w:tcPr>
            <w:tcW w:w="428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181"/>
        </w:trPr>
        <w:tc>
          <w:tcPr>
            <w:tcW w:w="4280" w:type="dxa"/>
            <w:vAlign w:val="bottom"/>
          </w:tcPr>
          <w:p>
            <w:pPr>
              <w:spacing w:after="0"/>
              <w:rPr>
                <w:sz w:val="15"/>
                <w:szCs w:val="15"/>
                <w:color w:val="auto"/>
              </w:rPr>
            </w:pPr>
          </w:p>
        </w:tc>
        <w:tc>
          <w:tcPr>
            <w:tcW w:w="1640" w:type="dxa"/>
            <w:vAlign w:val="bottom"/>
          </w:tcPr>
          <w:p>
            <w:pPr>
              <w:jc w:val="right"/>
              <w:ind w:right="601"/>
              <w:spacing w:after="0"/>
              <w:rPr>
                <w:sz w:val="20"/>
                <w:szCs w:val="20"/>
                <w:color w:val="auto"/>
              </w:rPr>
            </w:pPr>
            <w:r>
              <w:rPr>
                <w:rFonts w:ascii="Arial" w:cs="Arial" w:eastAsia="Arial" w:hAnsi="Arial"/>
                <w:sz w:val="14"/>
                <w:szCs w:val="14"/>
                <w:b w:val="1"/>
                <w:bCs w:val="1"/>
                <w:color w:val="auto"/>
              </w:rPr>
              <w:t>2023</w:t>
            </w:r>
          </w:p>
        </w:tc>
        <w:tc>
          <w:tcPr>
            <w:tcW w:w="174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800" w:type="dxa"/>
            <w:vAlign w:val="bottom"/>
            <w:gridSpan w:val="2"/>
          </w:tcPr>
          <w:p>
            <w:pPr>
              <w:jc w:val="right"/>
              <w:ind w:right="621"/>
              <w:spacing w:after="0"/>
              <w:rPr>
                <w:sz w:val="20"/>
                <w:szCs w:val="20"/>
                <w:color w:val="auto"/>
              </w:rPr>
            </w:pPr>
            <w:r>
              <w:rPr>
                <w:rFonts w:ascii="Arial" w:cs="Arial" w:eastAsia="Arial" w:hAnsi="Arial"/>
                <w:sz w:val="14"/>
                <w:szCs w:val="14"/>
                <w:b w:val="1"/>
                <w:bCs w:val="1"/>
                <w:color w:val="auto"/>
              </w:rPr>
              <w:t>2023</w:t>
            </w:r>
          </w:p>
        </w:tc>
        <w:tc>
          <w:tcPr>
            <w:tcW w:w="178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rPr>
              <w:t>2022</w:t>
            </w:r>
          </w:p>
        </w:tc>
      </w:tr>
      <w:tr>
        <w:trPr>
          <w:trHeight w:val="24"/>
        </w:trPr>
        <w:tc>
          <w:tcPr>
            <w:tcW w:w="42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6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5"/>
              </w:rPr>
              <w:t>14,049,822</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7,027,221</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13,658,628</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6,499,575</w:t>
            </w:r>
          </w:p>
        </w:tc>
      </w:tr>
      <w:tr>
        <w:trPr>
          <w:trHeight w:val="265"/>
        </w:trPr>
        <w:tc>
          <w:tcPr>
            <w:tcW w:w="4280" w:type="dxa"/>
            <w:vAlign w:val="bottom"/>
          </w:tcPr>
          <w:p>
            <w:pPr>
              <w:ind w:left="220"/>
              <w:spacing w:after="0"/>
              <w:rPr>
                <w:sz w:val="20"/>
                <w:szCs w:val="20"/>
                <w:color w:val="auto"/>
              </w:rPr>
            </w:pPr>
            <w:r>
              <w:rPr>
                <w:rFonts w:ascii="Arial" w:cs="Arial" w:eastAsia="Arial" w:hAnsi="Arial"/>
                <w:sz w:val="18"/>
                <w:szCs w:val="18"/>
                <w:color w:val="auto"/>
              </w:rPr>
              <w:t>Total anti-dilutive securities</w:t>
            </w:r>
          </w:p>
        </w:tc>
        <w:tc>
          <w:tcPr>
            <w:tcW w:w="1640" w:type="dxa"/>
            <w:vAlign w:val="bottom"/>
          </w:tcPr>
          <w:p>
            <w:pPr>
              <w:ind w:left="760"/>
              <w:spacing w:after="0"/>
              <w:rPr>
                <w:sz w:val="20"/>
                <w:szCs w:val="20"/>
                <w:color w:val="auto"/>
              </w:rPr>
            </w:pPr>
            <w:r>
              <w:rPr>
                <w:rFonts w:ascii="Arial" w:cs="Arial" w:eastAsia="Arial" w:hAnsi="Arial"/>
                <w:sz w:val="18"/>
                <w:szCs w:val="18"/>
                <w:color w:val="auto"/>
                <w:w w:val="95"/>
              </w:rPr>
              <w:t>14,049,822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7,027,221</w:t>
            </w:r>
          </w:p>
        </w:tc>
        <w:tc>
          <w:tcPr>
            <w:tcW w:w="1800" w:type="dxa"/>
            <w:vAlign w:val="bottom"/>
            <w:gridSpan w:val="2"/>
          </w:tcPr>
          <w:p>
            <w:pPr>
              <w:jc w:val="right"/>
              <w:ind w:right="1"/>
              <w:spacing w:after="0"/>
              <w:rPr>
                <w:sz w:val="20"/>
                <w:szCs w:val="20"/>
                <w:color w:val="auto"/>
              </w:rPr>
            </w:pPr>
            <w:r>
              <w:rPr>
                <w:rFonts w:ascii="Arial" w:cs="Arial" w:eastAsia="Arial" w:hAnsi="Arial"/>
                <w:sz w:val="18"/>
                <w:szCs w:val="18"/>
                <w:color w:val="auto"/>
              </w:rPr>
              <w:t>13,658,628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6,499,575</w:t>
            </w:r>
          </w:p>
        </w:tc>
      </w:tr>
      <w:tr>
        <w:trPr>
          <w:trHeight w:val="20"/>
        </w:trPr>
        <w:tc>
          <w:tcPr>
            <w:tcW w:w="42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adoption of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The Company subleases two offices. The subleases have remaining lease terms of less than eight years. Sublease income, which is recorded as a reduction of rent expense and allocated to the appropriate financial statement line items to arrive at </w:t>
      </w:r>
      <w:r>
        <w:rPr>
          <w:rFonts w:ascii="Arial" w:cs="Arial" w:eastAsia="Arial" w:hAnsi="Arial"/>
          <w:sz w:val="18"/>
          <w:szCs w:val="18"/>
          <w:i w:val="1"/>
          <w:iCs w:val="1"/>
          <w:color w:val="auto"/>
        </w:rPr>
        <w:t>Income from operations</w:t>
      </w:r>
      <w:r>
        <w:rPr>
          <w:rFonts w:ascii="Arial" w:cs="Arial" w:eastAsia="Arial" w:hAnsi="Arial"/>
          <w:sz w:val="18"/>
          <w:szCs w:val="18"/>
          <w:color w:val="auto"/>
        </w:rPr>
        <w:t xml:space="preserve"> on our Consolidated Statements of Operations, was immaterial for the three and six months ended June 30, 2023 and 2022.</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are additional details related to operating leases recorded on our Consolidated Balance Sheets as of June 30, 2023 and December 31,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ind w:right="579"/>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41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8"/>
        </w:trPr>
        <w:tc>
          <w:tcPr>
            <w:tcW w:w="75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6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8"/>
        </w:trPr>
        <w:tc>
          <w:tcPr>
            <w:tcW w:w="7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5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67.4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5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8"/>
        </w:trPr>
        <w:tc>
          <w:tcPr>
            <w:tcW w:w="750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73.9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Rent expense was $3.6 million and $3.4 million for the three months ended June 30, 2023 and 2022, respectively. Rent expense was $7.6 million and $6.8 million for the six months ended June 30, 2023 and 2022,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leases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440" w:type="dxa"/>
            <w:vAlign w:val="bottom"/>
          </w:tcPr>
          <w:p>
            <w:pPr>
              <w:spacing w:after="0"/>
              <w:rPr>
                <w:sz w:val="19"/>
                <w:szCs w:val="19"/>
                <w:color w:val="auto"/>
              </w:rPr>
            </w:pPr>
          </w:p>
        </w:tc>
        <w:tc>
          <w:tcPr>
            <w:tcW w:w="3280" w:type="dxa"/>
            <w:vAlign w:val="bottom"/>
            <w:gridSpan w:val="5"/>
          </w:tcPr>
          <w:p>
            <w:pPr>
              <w:jc w:val="right"/>
              <w:ind w:right="869"/>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9"/>
              </w:rPr>
              <w:t>Six Months Ended June 30,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68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paid for amounts included in the measurement of</w:t>
            </w: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108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2"/>
        </w:trPr>
        <w:tc>
          <w:tcPr>
            <w:tcW w:w="4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Lease liabilities arising from obtaining right-of-use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
              <w:spacing w:after="0"/>
              <w:rPr>
                <w:sz w:val="20"/>
                <w:szCs w:val="20"/>
                <w:color w:val="auto"/>
              </w:rPr>
            </w:pPr>
            <w:r>
              <w:rPr>
                <w:rFonts w:ascii="Arial" w:cs="Arial" w:eastAsia="Arial" w:hAnsi="Arial"/>
                <w:sz w:val="18"/>
                <w:szCs w:val="18"/>
                <w:color w:val="auto"/>
                <w:w w:val="89"/>
              </w:rPr>
              <w:t>From new and existing lease agreements and modifications</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9.8</w:t>
            </w:r>
          </w:p>
        </w:tc>
        <w:tc>
          <w:tcPr>
            <w:tcW w:w="10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93"/>
        </w:trPr>
        <w:tc>
          <w:tcPr>
            <w:tcW w:w="4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June 30, 2023</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8"/>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5.8 %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table below reconciles the undiscounted future minimum lease payments under non-cancelable leases to the total lease liabilities recognized as of June 30, 2023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2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Pr>
          <w:p>
            <w:pPr>
              <w:spacing w:after="0"/>
              <w:rPr>
                <w:sz w:val="19"/>
                <w:szCs w:val="19"/>
                <w:color w:val="auto"/>
              </w:rPr>
            </w:pPr>
          </w:p>
        </w:tc>
        <w:tc>
          <w:tcPr>
            <w:tcW w:w="1580" w:type="dxa"/>
            <w:vAlign w:val="bottom"/>
          </w:tcPr>
          <w:p>
            <w:pPr>
              <w:jc w:val="right"/>
              <w:ind w:right="293"/>
              <w:spacing w:after="0"/>
              <w:rPr>
                <w:sz w:val="20"/>
                <w:szCs w:val="20"/>
                <w:color w:val="auto"/>
              </w:rPr>
            </w:pPr>
            <w:r>
              <w:rPr>
                <w:rFonts w:ascii="Arial" w:cs="Arial" w:eastAsia="Arial" w:hAnsi="Arial"/>
                <w:sz w:val="14"/>
                <w:szCs w:val="14"/>
                <w:b w:val="1"/>
                <w:bCs w:val="1"/>
                <w:color w:val="auto"/>
              </w:rPr>
              <w:t>Operating Leases</w:t>
            </w:r>
          </w:p>
        </w:tc>
      </w:tr>
      <w:tr>
        <w:trPr>
          <w:trHeight w:val="28"/>
        </w:trPr>
        <w:tc>
          <w:tcPr>
            <w:tcW w:w="9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(excluding six months ended June 30, 2023)</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94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8"/>
        </w:trPr>
        <w:tc>
          <w:tcPr>
            <w:tcW w:w="9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7"/>
        </w:trPr>
        <w:tc>
          <w:tcPr>
            <w:tcW w:w="942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8"/>
        </w:trPr>
        <w:tc>
          <w:tcPr>
            <w:tcW w:w="9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7"/>
        </w:trPr>
        <w:tc>
          <w:tcPr>
            <w:tcW w:w="9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8"/>
        </w:trPr>
        <w:tc>
          <w:tcPr>
            <w:tcW w:w="9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9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38"/>
        </w:trPr>
        <w:tc>
          <w:tcPr>
            <w:tcW w:w="9420" w:type="dxa"/>
            <w:vAlign w:val="bottom"/>
          </w:tcPr>
          <w:p>
            <w:pPr>
              <w:ind w:left="20"/>
              <w:spacing w:after="0"/>
              <w:rPr>
                <w:sz w:val="20"/>
                <w:szCs w:val="20"/>
                <w:color w:val="auto"/>
              </w:rPr>
            </w:pPr>
            <w:r>
              <w:rPr>
                <w:rFonts w:ascii="Arial" w:cs="Arial" w:eastAsia="Arial" w:hAnsi="Arial"/>
                <w:sz w:val="18"/>
                <w:szCs w:val="18"/>
                <w:color w:val="auto"/>
              </w:rPr>
              <w:t>Less effects of discounting</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8"/>
        </w:trPr>
        <w:tc>
          <w:tcPr>
            <w:tcW w:w="9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3"/>
        </w:trPr>
        <w:tc>
          <w:tcPr>
            <w:tcW w:w="9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9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5"/>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Reported as of June 30, 2023</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38"/>
        </w:trPr>
        <w:tc>
          <w:tcPr>
            <w:tcW w:w="942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8"/>
        </w:trPr>
        <w:tc>
          <w:tcPr>
            <w:tcW w:w="9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5"/>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58"/>
        </w:trPr>
        <w:tc>
          <w:tcPr>
            <w:tcW w:w="9420" w:type="dxa"/>
            <w:vAlign w:val="bottom"/>
          </w:tcPr>
          <w:p>
            <w:pPr>
              <w:ind w:left="2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w:t>
            </w:r>
          </w:p>
        </w:tc>
      </w:tr>
      <w:tr>
        <w:trPr>
          <w:trHeight w:val="20"/>
        </w:trPr>
        <w:tc>
          <w:tcPr>
            <w:tcW w:w="9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above does not include any legally binding minimum lease payments for leases signed but not yet commenced.</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Expense associated with short term leases and variable lease costs were immaterial for the three and six months ended June 30, 2023 and 2022. The expense related to short-term leases reasonably reflected our short-term lease commitments.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Undiscounted lease payments under all leases executed and not yet commenced are anticipated to be $315.2 million, which are not included in the tabular disclosure of undiscounted future minimum lease payments under non-cancelable leases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Equity-based Compensation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color w:val="auto"/>
        </w:rPr>
        <w:t xml:space="preserve">2020 Omnibus Incentive Plan </w:t>
      </w:r>
      <w:r>
        <w:rPr>
          <w:rFonts w:ascii="Arial" w:cs="Arial" w:eastAsia="Arial" w:hAnsi="Arial"/>
          <w:sz w:val="18"/>
          <w:szCs w:val="18"/>
          <w:color w:val="auto"/>
        </w:rPr>
        <w:t>- On May 26, 2020, the Board adopted the Omnibus Plan. The Omnibus Plan provides for potential grants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awards with respect to shares of the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13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maximum aggregate number of shares of Common Stock that may be issued pursuant to awards under the Omnibus Plan shall not exceed 18,650,000 shares (including OpCo Units or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currently has equity-based compensation awards outstanding as follows: Restricted Stock Units, Common Stock Options, and Restricted Stock. In addition, the Company recognizes equity-based compensation expense from awards granted to employees as further described below under HSKB Incentive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years anniversary of the grant date of the award and the remainder vesting monthly thereafter. For awards made after May 2020 to existing employees, the service vesting condition is generally four years with 25% vesting on the one year anniversary of the grant date of the award and 6.25% vesting quarterly thereafter.</w:t>
      </w:r>
    </w:p>
    <w:p>
      <w:pPr>
        <w:spacing w:after="0" w:line="12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For performance-based Restricted Stock Units (“PRSUs”) issued in the third quarter of 2022, the service vesting condition is one year and specified company performance targets. During the six months ended June 30, 2023, the Company issued PRSUs, which were recommended by the Compensation Committee of the Board and approved by the full Board. The service vesting condition for one of the issued awards is one year. Each of the remaining PRSU awards will vest in annual tranches over a three-year service period. Total PRSUs earned for grants made in 2023 may vary between 0% and 200% of the PRSUs granted based on the attainment of company-specific performance targets during the related performance period and continued service. All of the PRSUs earned will be settled through the issuance of an equivalent number of shares of the Company’s common stock based on the payout level achieved. Certain additional grants have other vesting periods approved by the Compensation Committee of the Board.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Unit activity was as follows during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84"/>
        </w:trPr>
        <w:tc>
          <w:tcPr>
            <w:tcW w:w="5820" w:type="dxa"/>
            <w:vAlign w:val="bottom"/>
          </w:tcPr>
          <w:p>
            <w:pPr>
              <w:spacing w:after="0"/>
              <w:rPr>
                <w:sz w:val="15"/>
                <w:szCs w:val="15"/>
                <w:color w:val="auto"/>
              </w:rPr>
            </w:pPr>
          </w:p>
        </w:tc>
        <w:tc>
          <w:tcPr>
            <w:tcW w:w="356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Six Months Ended June 30, 2023</w:t>
            </w:r>
          </w:p>
        </w:tc>
        <w:tc>
          <w:tcPr>
            <w:tcW w:w="18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89"/>
              </w:rPr>
              <w:t>2022</w:t>
            </w:r>
          </w:p>
        </w:tc>
      </w:tr>
      <w:tr>
        <w:trPr>
          <w:trHeight w:val="38"/>
        </w:trPr>
        <w:tc>
          <w:tcPr>
            <w:tcW w:w="582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56"/>
        </w:trPr>
        <w:tc>
          <w:tcPr>
            <w:tcW w:w="5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right"/>
              <w:ind w:right="16"/>
              <w:spacing w:after="0" w:line="156" w:lineRule="exact"/>
              <w:rPr>
                <w:sz w:val="20"/>
                <w:szCs w:val="20"/>
                <w:color w:val="auto"/>
              </w:rPr>
            </w:pPr>
            <w:r>
              <w:rPr>
                <w:rFonts w:ascii="Arial" w:cs="Arial" w:eastAsia="Arial" w:hAnsi="Arial"/>
                <w:sz w:val="14"/>
                <w:szCs w:val="14"/>
                <w:b w:val="1"/>
                <w:bCs w:val="1"/>
                <w:color w:val="auto"/>
                <w:w w:val="90"/>
              </w:rPr>
              <w:t>Weighted Average Grant</w:t>
            </w: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84"/>
        </w:trPr>
        <w:tc>
          <w:tcPr>
            <w:tcW w:w="5820" w:type="dxa"/>
            <w:vAlign w:val="bottom"/>
          </w:tcPr>
          <w:p>
            <w:pPr>
              <w:spacing w:after="0"/>
              <w:rPr>
                <w:sz w:val="15"/>
                <w:szCs w:val="15"/>
                <w:color w:val="auto"/>
              </w:rPr>
            </w:pPr>
          </w:p>
        </w:tc>
        <w:tc>
          <w:tcPr>
            <w:tcW w:w="1720" w:type="dxa"/>
            <w:vAlign w:val="bottom"/>
          </w:tcPr>
          <w:p>
            <w:pPr>
              <w:jc w:val="right"/>
              <w:ind w:right="96"/>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296"/>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Restricted Stock Units</w:t>
            </w:r>
          </w:p>
        </w:tc>
      </w:tr>
      <w:tr>
        <w:trPr>
          <w:trHeight w:val="38"/>
        </w:trPr>
        <w:tc>
          <w:tcPr>
            <w:tcW w:w="582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10,377,568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8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4,853,795</w:t>
            </w:r>
          </w:p>
        </w:tc>
      </w:tr>
      <w:tr>
        <w:trPr>
          <w:trHeight w:val="237"/>
        </w:trPr>
        <w:tc>
          <w:tcPr>
            <w:tcW w:w="58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6,134,671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23.73</w:t>
            </w:r>
          </w:p>
        </w:tc>
        <w:tc>
          <w:tcPr>
            <w:tcW w:w="1860" w:type="dxa"/>
            <w:vAlign w:val="bottom"/>
            <w:gridSpan w:val="2"/>
          </w:tcPr>
          <w:p>
            <w:pPr>
              <w:jc w:val="right"/>
              <w:ind w:right="1"/>
              <w:spacing w:after="0"/>
              <w:rPr>
                <w:sz w:val="20"/>
                <w:szCs w:val="20"/>
                <w:color w:val="auto"/>
              </w:rPr>
            </w:pPr>
            <w:r>
              <w:rPr>
                <w:rFonts w:ascii="Arial" w:cs="Arial" w:eastAsia="Arial" w:hAnsi="Arial"/>
                <w:sz w:val="18"/>
                <w:szCs w:val="18"/>
                <w:color w:val="auto"/>
              </w:rPr>
              <w:t>3,364,624</w:t>
            </w:r>
          </w:p>
        </w:tc>
      </w:tr>
      <w:tr>
        <w:trPr>
          <w:trHeight w:val="28"/>
        </w:trPr>
        <w:tc>
          <w:tcPr>
            <w:tcW w:w="5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Granted - performance-based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509,824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38"/>
        </w:trPr>
        <w:tc>
          <w:tcPr>
            <w:tcW w:w="5820" w:type="dxa"/>
            <w:vAlign w:val="bottom"/>
          </w:tcPr>
          <w:p>
            <w:pPr>
              <w:ind w:left="120"/>
              <w:spacing w:after="0"/>
              <w:rPr>
                <w:sz w:val="20"/>
                <w:szCs w:val="20"/>
                <w:color w:val="auto"/>
              </w:rPr>
            </w:pPr>
            <w:r>
              <w:rPr>
                <w:rFonts w:ascii="Arial" w:cs="Arial" w:eastAsia="Arial" w:hAnsi="Arial"/>
                <w:sz w:val="18"/>
                <w:szCs w:val="18"/>
                <w:color w:val="auto"/>
              </w:rPr>
              <w:t>Vested</w:t>
            </w:r>
          </w:p>
        </w:tc>
        <w:tc>
          <w:tcPr>
            <w:tcW w:w="1720" w:type="dxa"/>
            <w:vAlign w:val="bottom"/>
          </w:tcPr>
          <w:p>
            <w:pPr>
              <w:jc w:val="right"/>
              <w:spacing w:after="0"/>
              <w:rPr>
                <w:sz w:val="20"/>
                <w:szCs w:val="20"/>
                <w:color w:val="auto"/>
              </w:rPr>
            </w:pPr>
            <w:r>
              <w:rPr>
                <w:rFonts w:ascii="Arial" w:cs="Arial" w:eastAsia="Arial" w:hAnsi="Arial"/>
                <w:sz w:val="18"/>
                <w:szCs w:val="18"/>
                <w:color w:val="auto"/>
              </w:rPr>
              <w:t>(1,301,660)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49.07</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(421,582)</w:t>
            </w:r>
          </w:p>
        </w:tc>
      </w:tr>
      <w:tr>
        <w:trPr>
          <w:trHeight w:val="28"/>
        </w:trPr>
        <w:tc>
          <w:tcPr>
            <w:tcW w:w="5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8"/>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(1,670,581)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(769,616)</w:t>
            </w:r>
          </w:p>
        </w:tc>
      </w:tr>
      <w:tr>
        <w:trPr>
          <w:trHeight w:val="265"/>
        </w:trPr>
        <w:tc>
          <w:tcPr>
            <w:tcW w:w="582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20" w:type="dxa"/>
            <w:vAlign w:val="bottom"/>
          </w:tcPr>
          <w:p>
            <w:pPr>
              <w:jc w:val="right"/>
              <w:spacing w:after="0"/>
              <w:rPr>
                <w:sz w:val="20"/>
                <w:szCs w:val="20"/>
                <w:color w:val="auto"/>
              </w:rPr>
            </w:pPr>
            <w:r>
              <w:rPr>
                <w:rFonts w:ascii="Arial" w:cs="Arial" w:eastAsia="Arial" w:hAnsi="Arial"/>
                <w:sz w:val="18"/>
                <w:szCs w:val="18"/>
                <w:color w:val="auto"/>
              </w:rPr>
              <w:t>14,049,822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35.19</w:t>
            </w:r>
          </w:p>
        </w:tc>
        <w:tc>
          <w:tcPr>
            <w:tcW w:w="1860" w:type="dxa"/>
            <w:vAlign w:val="bottom"/>
            <w:gridSpan w:val="2"/>
          </w:tcPr>
          <w:p>
            <w:pPr>
              <w:jc w:val="right"/>
              <w:ind w:right="1"/>
              <w:spacing w:after="0"/>
              <w:rPr>
                <w:sz w:val="20"/>
                <w:szCs w:val="20"/>
                <w:color w:val="auto"/>
              </w:rPr>
            </w:pPr>
            <w:r>
              <w:rPr>
                <w:rFonts w:ascii="Arial" w:cs="Arial" w:eastAsia="Arial" w:hAnsi="Arial"/>
                <w:sz w:val="18"/>
                <w:szCs w:val="18"/>
                <w:color w:val="auto"/>
              </w:rPr>
              <w:t>7,027,221</w:t>
            </w:r>
          </w:p>
        </w:tc>
      </w:tr>
      <w:tr>
        <w:trPr>
          <w:trHeight w:val="20"/>
        </w:trPr>
        <w:tc>
          <w:tcPr>
            <w:tcW w:w="58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year ended December 31, 2021, the Company issued shares of Restricted Stock in exchange for all unvested HoldCo Units, Class P Units, and LTIP Units owned directly by employees of the Company (refer to Note 1 - Organization and Background). The exchanged shares of Restricted Stock remain subject to the same service vesting requirements of the original units. Upon fulfillment of the original employment service conditions, the restrictions will be lifted, and the Restricted Stock will convert to unrestricted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activity was as follows during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84"/>
        </w:trPr>
        <w:tc>
          <w:tcPr>
            <w:tcW w:w="5800" w:type="dxa"/>
            <w:vAlign w:val="bottom"/>
          </w:tcPr>
          <w:p>
            <w:pPr>
              <w:spacing w:after="0"/>
              <w:rPr>
                <w:sz w:val="15"/>
                <w:szCs w:val="15"/>
                <w:color w:val="auto"/>
              </w:rPr>
            </w:pPr>
          </w:p>
        </w:tc>
        <w:tc>
          <w:tcPr>
            <w:tcW w:w="3580" w:type="dxa"/>
            <w:vAlign w:val="bottom"/>
            <w:gridSpan w:val="4"/>
          </w:tcPr>
          <w:p>
            <w:pPr>
              <w:jc w:val="right"/>
              <w:ind w:right="718"/>
              <w:spacing w:after="0"/>
              <w:rPr>
                <w:sz w:val="20"/>
                <w:szCs w:val="20"/>
                <w:color w:val="auto"/>
              </w:rPr>
            </w:pPr>
            <w:r>
              <w:rPr>
                <w:rFonts w:ascii="Arial" w:cs="Arial" w:eastAsia="Arial" w:hAnsi="Arial"/>
                <w:sz w:val="14"/>
                <w:szCs w:val="14"/>
                <w:b w:val="1"/>
                <w:bCs w:val="1"/>
                <w:color w:val="auto"/>
              </w:rPr>
              <w:t>Six Months Ended June 30, 2023</w:t>
            </w:r>
          </w:p>
        </w:tc>
        <w:tc>
          <w:tcPr>
            <w:tcW w:w="186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89"/>
              </w:rPr>
              <w:t>2022</w:t>
            </w:r>
          </w:p>
        </w:tc>
      </w:tr>
      <w:tr>
        <w:trPr>
          <w:trHeight w:val="38"/>
        </w:trPr>
        <w:tc>
          <w:tcPr>
            <w:tcW w:w="58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56"/>
        </w:trPr>
        <w:tc>
          <w:tcPr>
            <w:tcW w:w="5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right"/>
              <w:ind w:right="18"/>
              <w:spacing w:after="0" w:line="156" w:lineRule="exact"/>
              <w:rPr>
                <w:sz w:val="20"/>
                <w:szCs w:val="20"/>
                <w:color w:val="auto"/>
              </w:rPr>
            </w:pPr>
            <w:r>
              <w:rPr>
                <w:rFonts w:ascii="Arial" w:cs="Arial" w:eastAsia="Arial" w:hAnsi="Arial"/>
                <w:sz w:val="14"/>
                <w:szCs w:val="14"/>
                <w:b w:val="1"/>
                <w:bCs w:val="1"/>
                <w:color w:val="auto"/>
                <w:w w:val="90"/>
              </w:rPr>
              <w:t>Weighted Average Grant</w:t>
            </w: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84"/>
        </w:trPr>
        <w:tc>
          <w:tcPr>
            <w:tcW w:w="5800" w:type="dxa"/>
            <w:vAlign w:val="bottom"/>
          </w:tcPr>
          <w:p>
            <w:pPr>
              <w:spacing w:after="0"/>
              <w:rPr>
                <w:sz w:val="15"/>
                <w:szCs w:val="15"/>
                <w:color w:val="auto"/>
              </w:rPr>
            </w:pPr>
          </w:p>
        </w:tc>
        <w:tc>
          <w:tcPr>
            <w:tcW w:w="1740" w:type="dxa"/>
            <w:vAlign w:val="bottom"/>
          </w:tcPr>
          <w:p>
            <w:pPr>
              <w:jc w:val="right"/>
              <w:ind w:right="298"/>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298"/>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Restricted stock</w:t>
            </w:r>
          </w:p>
        </w:tc>
      </w:tr>
      <w:tr>
        <w:trPr>
          <w:trHeight w:val="38"/>
        </w:trPr>
        <w:tc>
          <w:tcPr>
            <w:tcW w:w="58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858,560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3,525,373</w:t>
            </w:r>
          </w:p>
        </w:tc>
      </w:tr>
      <w:tr>
        <w:trPr>
          <w:trHeight w:val="237"/>
        </w:trPr>
        <w:tc>
          <w:tcPr>
            <w:tcW w:w="5800" w:type="dxa"/>
            <w:vAlign w:val="bottom"/>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tcPr>
          <w:p>
            <w:pPr>
              <w:jc w:val="right"/>
              <w:spacing w:after="0"/>
              <w:rPr>
                <w:sz w:val="20"/>
                <w:szCs w:val="20"/>
                <w:color w:val="auto"/>
              </w:rPr>
            </w:pPr>
            <w:r>
              <w:rPr>
                <w:rFonts w:ascii="Arial" w:cs="Arial" w:eastAsia="Arial" w:hAnsi="Arial"/>
                <w:sz w:val="18"/>
                <w:szCs w:val="18"/>
                <w:color w:val="auto"/>
              </w:rPr>
              <w:t>(397,124)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14.63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(1,561,966)</w:t>
            </w:r>
          </w:p>
        </w:tc>
      </w:tr>
      <w:tr>
        <w:trPr>
          <w:trHeight w:val="28"/>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8"/>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(154,999)</w:t>
            </w:r>
          </w:p>
        </w:tc>
      </w:tr>
      <w:tr>
        <w:trPr>
          <w:trHeight w:val="264"/>
        </w:trPr>
        <w:tc>
          <w:tcPr>
            <w:tcW w:w="580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Pr>
          <w:p>
            <w:pPr>
              <w:jc w:val="right"/>
              <w:spacing w:after="0"/>
              <w:rPr>
                <w:sz w:val="20"/>
                <w:szCs w:val="20"/>
                <w:color w:val="auto"/>
              </w:rPr>
            </w:pPr>
            <w:r>
              <w:rPr>
                <w:rFonts w:ascii="Arial" w:cs="Arial" w:eastAsia="Arial" w:hAnsi="Arial"/>
                <w:sz w:val="18"/>
                <w:szCs w:val="18"/>
                <w:color w:val="auto"/>
              </w:rPr>
              <w:t>450,668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29.39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1,808,408</w:t>
            </w:r>
          </w:p>
        </w:tc>
      </w:tr>
      <w:tr>
        <w:trPr>
          <w:trHeight w:val="20"/>
        </w:trPr>
        <w:tc>
          <w:tcPr>
            <w:tcW w:w="58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Options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Options activity was as follows during the period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beginning of period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Exercised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Expired</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Forfeited</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84"/>
        </w:trPr>
        <w:tc>
          <w:tcPr>
            <w:tcW w:w="298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Six Months Ended June 30, 2023</w:t>
            </w:r>
          </w:p>
        </w:tc>
        <w:tc>
          <w:tcPr>
            <w:tcW w:w="580" w:type="dxa"/>
            <w:vAlign w:val="bottom"/>
          </w:tcPr>
          <w:p>
            <w:pPr>
              <w:spacing w:after="0"/>
              <w:rPr>
                <w:sz w:val="15"/>
                <w:szCs w:val="15"/>
                <w:color w:val="auto"/>
              </w:rPr>
            </w:pPr>
          </w:p>
        </w:tc>
        <w:tc>
          <w:tcPr>
            <w:tcW w:w="18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89"/>
              </w:rPr>
              <w:t>2022</w:t>
            </w:r>
          </w:p>
        </w:tc>
      </w:tr>
      <w:tr>
        <w:trPr>
          <w:trHeight w:val="24"/>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9"/>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Weighted Average Exercise</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4"/>
        </w:trPr>
        <w:tc>
          <w:tcPr>
            <w:tcW w:w="1720" w:type="dxa"/>
            <w:vAlign w:val="bottom"/>
          </w:tcPr>
          <w:p>
            <w:pPr>
              <w:jc w:val="right"/>
              <w:ind w:right="537"/>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Price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r>
      <w:tr>
        <w:trPr>
          <w:trHeight w:val="38"/>
        </w:trPr>
        <w:tc>
          <w:tcPr>
            <w:tcW w:w="1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31"/>
        </w:trPr>
        <w:tc>
          <w:tcPr>
            <w:tcW w:w="1720" w:type="dxa"/>
            <w:vAlign w:val="bottom"/>
          </w:tcPr>
          <w:p>
            <w:pPr>
              <w:jc w:val="right"/>
              <w:spacing w:after="0"/>
              <w:rPr>
                <w:sz w:val="20"/>
                <w:szCs w:val="20"/>
                <w:color w:val="auto"/>
              </w:rPr>
            </w:pPr>
            <w:r>
              <w:rPr>
                <w:rFonts w:ascii="Arial" w:cs="Arial" w:eastAsia="Arial" w:hAnsi="Arial"/>
                <w:sz w:val="18"/>
                <w:szCs w:val="18"/>
                <w:color w:val="auto"/>
              </w:rPr>
              <w:t>323,002</w:t>
            </w:r>
          </w:p>
        </w:tc>
        <w:tc>
          <w:tcPr>
            <w:tcW w:w="1260" w:type="dxa"/>
            <w:vAlign w:val="bottom"/>
            <w:gridSpan w:val="2"/>
          </w:tcPr>
          <w:p>
            <w:pPr>
              <w:jc w:val="right"/>
              <w:ind w:right="94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417,085</w:t>
            </w:r>
          </w:p>
        </w:tc>
      </w:tr>
      <w:tr>
        <w:trPr>
          <w:trHeight w:val="265"/>
        </w:trPr>
        <w:tc>
          <w:tcPr>
            <w:tcW w:w="1720" w:type="dxa"/>
            <w:vAlign w:val="bottom"/>
          </w:tcPr>
          <w:p>
            <w:pPr>
              <w:jc w:val="right"/>
              <w:spacing w:after="0"/>
              <w:rPr>
                <w:sz w:val="20"/>
                <w:szCs w:val="20"/>
                <w:color w:val="auto"/>
              </w:rPr>
            </w:pPr>
            <w:r>
              <w:rPr>
                <w:rFonts w:ascii="Arial" w:cs="Arial" w:eastAsia="Arial" w:hAnsi="Arial"/>
                <w:sz w:val="18"/>
                <w:szCs w:val="18"/>
                <w:color w:val="auto"/>
              </w:rPr>
              <w:t>(17,322)</w:t>
            </w:r>
          </w:p>
        </w:tc>
        <w:tc>
          <w:tcPr>
            <w:tcW w:w="1260" w:type="dxa"/>
            <w:vAlign w:val="bottom"/>
            <w:gridSpan w:val="2"/>
          </w:tcPr>
          <w:p>
            <w:pPr>
              <w:jc w:val="right"/>
              <w:ind w:right="94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(28,504)</w:t>
            </w:r>
          </w:p>
        </w:tc>
      </w:tr>
      <w:tr>
        <w:trPr>
          <w:trHeight w:val="265"/>
        </w:trPr>
        <w:tc>
          <w:tcPr>
            <w:tcW w:w="1720" w:type="dxa"/>
            <w:vAlign w:val="bottom"/>
          </w:tcPr>
          <w:p>
            <w:pPr>
              <w:jc w:val="right"/>
              <w:spacing w:after="0"/>
              <w:rPr>
                <w:sz w:val="20"/>
                <w:szCs w:val="20"/>
                <w:color w:val="auto"/>
              </w:rPr>
            </w:pPr>
            <w:r>
              <w:rPr>
                <w:rFonts w:ascii="Arial" w:cs="Arial" w:eastAsia="Arial" w:hAnsi="Arial"/>
                <w:sz w:val="18"/>
                <w:szCs w:val="18"/>
                <w:color w:val="auto"/>
              </w:rPr>
              <w:t>(13,556)</w:t>
            </w:r>
          </w:p>
        </w:tc>
        <w:tc>
          <w:tcPr>
            <w:tcW w:w="1260" w:type="dxa"/>
            <w:vAlign w:val="bottom"/>
            <w:gridSpan w:val="2"/>
          </w:tcPr>
          <w:p>
            <w:pPr>
              <w:jc w:val="right"/>
              <w:ind w:right="94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(3,400)</w:t>
            </w:r>
          </w:p>
        </w:tc>
      </w:tr>
      <w:tr>
        <w:trPr>
          <w:trHeight w:val="286"/>
        </w:trPr>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1260" w:type="dxa"/>
            <w:vAlign w:val="bottom"/>
            <w:gridSpan w:val="2"/>
          </w:tcPr>
          <w:p>
            <w:pPr>
              <w:jc w:val="right"/>
              <w:ind w:right="94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(18,258)</w:t>
            </w:r>
          </w:p>
        </w:tc>
      </w:tr>
      <w:tr>
        <w:trPr>
          <w:trHeight w:val="265"/>
        </w:trPr>
        <w:tc>
          <w:tcPr>
            <w:tcW w:w="1720" w:type="dxa"/>
            <w:vAlign w:val="bottom"/>
          </w:tcPr>
          <w:p>
            <w:pPr>
              <w:jc w:val="right"/>
              <w:spacing w:after="0"/>
              <w:rPr>
                <w:sz w:val="20"/>
                <w:szCs w:val="20"/>
                <w:color w:val="auto"/>
              </w:rPr>
            </w:pPr>
            <w:r>
              <w:rPr>
                <w:rFonts w:ascii="Arial" w:cs="Arial" w:eastAsia="Arial" w:hAnsi="Arial"/>
                <w:sz w:val="18"/>
                <w:szCs w:val="18"/>
                <w:color w:val="auto"/>
              </w:rPr>
              <w:t>287,934</w:t>
            </w:r>
          </w:p>
        </w:tc>
        <w:tc>
          <w:tcPr>
            <w:tcW w:w="1260" w:type="dxa"/>
            <w:vAlign w:val="bottom"/>
            <w:gridSpan w:val="2"/>
          </w:tcPr>
          <w:p>
            <w:pPr>
              <w:jc w:val="right"/>
              <w:ind w:right="94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366,923</w:t>
            </w:r>
          </w:p>
        </w:tc>
      </w:tr>
      <w:tr>
        <w:trPr>
          <w:trHeight w:val="20"/>
        </w:trPr>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-882650</wp:posOffset>
            </wp:positionV>
            <wp:extent cx="7134860" cy="168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-546100</wp:posOffset>
            </wp:positionV>
            <wp:extent cx="7134860" cy="168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-201295</wp:posOffset>
            </wp:positionV>
            <wp:extent cx="7134860" cy="1854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85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5420"/>
          </w:cols>
          <w:pgMar w:left="320" w:top="122" w:right="339" w:bottom="1440" w:gutter="0" w:footer="0" w:header="0"/>
          <w:type w:val="continuous"/>
        </w:sectPr>
      </w:pPr>
    </w:p>
    <w:p>
      <w:pPr>
        <w:spacing w:after="0" w:line="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Options have a maximum contractual term of ten years. The aggregate intrinsic value and weighted average remaining contractual terms of Options outstanding and Options exercisable were as follows as of June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tcPr>
          <w:p>
            <w:pPr>
              <w:jc w:val="right"/>
              <w:ind w:right="755"/>
              <w:spacing w:after="0"/>
              <w:rPr>
                <w:sz w:val="20"/>
                <w:szCs w:val="20"/>
                <w:color w:val="auto"/>
              </w:rPr>
            </w:pPr>
            <w:r>
              <w:rPr>
                <w:rFonts w:ascii="Arial" w:cs="Arial" w:eastAsia="Arial" w:hAnsi="Arial"/>
                <w:sz w:val="14"/>
                <w:szCs w:val="14"/>
                <w:b w:val="1"/>
                <w:bCs w:val="1"/>
                <w:color w:val="auto"/>
              </w:rPr>
              <w:t>June 30, 2023</w:t>
            </w:r>
          </w:p>
        </w:tc>
      </w:tr>
      <w:tr>
        <w:trPr>
          <w:trHeight w:val="24"/>
        </w:trPr>
        <w:tc>
          <w:tcPr>
            <w:tcW w:w="8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intrinsic value (in millions)</w:t>
            </w:r>
          </w:p>
        </w:tc>
        <w:tc>
          <w:tcPr>
            <w:tcW w:w="4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38"/>
        </w:trPr>
        <w:tc>
          <w:tcPr>
            <w:tcW w:w="8720" w:type="dxa"/>
            <w:vAlign w:val="bottom"/>
          </w:tcPr>
          <w:p>
            <w:pPr>
              <w:ind w:left="120"/>
              <w:spacing w:after="0"/>
              <w:rPr>
                <w:sz w:val="20"/>
                <w:szCs w:val="20"/>
                <w:color w:val="auto"/>
              </w:rPr>
            </w:pPr>
            <w:r>
              <w:rPr>
                <w:rFonts w:ascii="Arial" w:cs="Arial" w:eastAsia="Arial" w:hAnsi="Arial"/>
                <w:sz w:val="18"/>
                <w:szCs w:val="18"/>
                <w:color w:val="auto"/>
              </w:rPr>
              <w:t>Unit Options outstanding</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
        </w:trPr>
        <w:tc>
          <w:tcPr>
            <w:tcW w:w="8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8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 Options exercisable</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8"/>
        </w:trPr>
        <w:tc>
          <w:tcPr>
            <w:tcW w:w="8720" w:type="dxa"/>
            <w:vAlign w:val="bottom"/>
          </w:tcPr>
          <w:p>
            <w:pPr>
              <w:ind w:left="20"/>
              <w:spacing w:after="0"/>
              <w:rPr>
                <w:sz w:val="20"/>
                <w:szCs w:val="20"/>
                <w:color w:val="auto"/>
              </w:rPr>
            </w:pPr>
            <w:r>
              <w:rPr>
                <w:rFonts w:ascii="Arial" w:cs="Arial" w:eastAsia="Arial" w:hAnsi="Arial"/>
                <w:sz w:val="18"/>
                <w:szCs w:val="18"/>
                <w:color w:val="auto"/>
              </w:rPr>
              <w:t>Weighted average remaining contractual term (in years)</w:t>
            </w: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8"/>
        </w:trPr>
        <w:tc>
          <w:tcPr>
            <w:tcW w:w="8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8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 Options outstanding</w:t>
            </w:r>
          </w:p>
        </w:tc>
        <w:tc>
          <w:tcPr>
            <w:tcW w:w="4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years</w:t>
            </w:r>
          </w:p>
        </w:tc>
      </w:tr>
      <w:tr>
        <w:trPr>
          <w:trHeight w:val="238"/>
        </w:trPr>
        <w:tc>
          <w:tcPr>
            <w:tcW w:w="8720" w:type="dxa"/>
            <w:vAlign w:val="bottom"/>
          </w:tcPr>
          <w:p>
            <w:pPr>
              <w:ind w:left="120"/>
              <w:spacing w:after="0"/>
              <w:rPr>
                <w:sz w:val="20"/>
                <w:szCs w:val="20"/>
                <w:color w:val="auto"/>
              </w:rPr>
            </w:pPr>
            <w:r>
              <w:rPr>
                <w:rFonts w:ascii="Arial" w:cs="Arial" w:eastAsia="Arial" w:hAnsi="Arial"/>
                <w:sz w:val="18"/>
                <w:szCs w:val="18"/>
                <w:color w:val="auto"/>
              </w:rPr>
              <w:t>Unit Options exercisable</w:t>
            </w:r>
          </w:p>
        </w:tc>
        <w:tc>
          <w:tcPr>
            <w:tcW w:w="4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6.8 years</w:t>
            </w:r>
          </w:p>
        </w:tc>
      </w:tr>
    </w:tbl>
    <w:p>
      <w:pPr>
        <w:spacing w:after="0" w:line="26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All Options outstanding were issued at the time of the IPO in 2020. No additional options have been issued to date. The fair value of Common Stock Options granted at the time of the IPO was determined using the Black-Scholes option pricing model. We estimated the future stock price volatility based on the volatility of a set of publicly traded comparable companies with a look back period consistent with the expected term. The estimated life for the units was based on the expected hold period of private equity owners. The risk-free rate is based on the rate for a U.S. government security with the same estimated life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Board’s Compensation Committee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maximum aggregate number of shares of the Common Stock that may be issued under the ESPP is no more than 7,500,000 shares (the “ESPP Plan Share Reserve”). The ESPP plan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fair value of the ESPP purchase was determined using the Black-Scholes option pricing model. 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spacing w:after="0" w:line="185"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Three and Six Months Ended June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580" w:type="dxa"/>
            <w:vAlign w:val="bottom"/>
            <w:tcBorders>
              <w:bottom w:val="single" w:sz="8" w:color="CCEEFF"/>
            </w:tcBorders>
            <w:shd w:val="clear" w:color="auto" w:fill="CCEEFF"/>
          </w:tcPr>
          <w:p>
            <w:pPr>
              <w:spacing w:after="0"/>
              <w:rPr>
                <w:sz w:val="24"/>
                <w:szCs w:val="24"/>
                <w:color w:val="auto"/>
              </w:rPr>
            </w:pPr>
          </w:p>
        </w:tc>
        <w:tc>
          <w:tcPr>
            <w:tcW w:w="23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2023</w:t>
            </w:r>
          </w:p>
        </w:tc>
        <w:tc>
          <w:tcPr>
            <w:tcW w:w="232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231"/>
        </w:trPr>
        <w:tc>
          <w:tcPr>
            <w:tcW w:w="6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Volatility</w:t>
            </w: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50.4%</w:t>
            </w:r>
          </w:p>
        </w:tc>
        <w:tc>
          <w:tcPr>
            <w:tcW w:w="80" w:type="dxa"/>
            <w:vAlign w:val="bottom"/>
            <w:tcBorders>
              <w:top w:val="single" w:sz="8" w:color="CCEEFF"/>
            </w:tcBorders>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71.9%</w:t>
            </w:r>
          </w:p>
        </w:tc>
      </w:tr>
      <w:tr>
        <w:trPr>
          <w:trHeight w:val="28"/>
        </w:trPr>
        <w:tc>
          <w:tcPr>
            <w:tcW w:w="6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23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0.5</w:t>
            </w:r>
          </w:p>
        </w:tc>
      </w:tr>
      <w:tr>
        <w:trPr>
          <w:trHeight w:val="238"/>
        </w:trPr>
        <w:tc>
          <w:tcPr>
            <w:tcW w:w="658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234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87"/>
              </w:rPr>
              <w:t>2.2%</w:t>
            </w:r>
          </w:p>
        </w:tc>
      </w:tr>
      <w:tr>
        <w:trPr>
          <w:trHeight w:val="28"/>
        </w:trPr>
        <w:tc>
          <w:tcPr>
            <w:tcW w:w="6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38"/>
        </w:trPr>
        <w:tc>
          <w:tcPr>
            <w:tcW w:w="6580" w:type="dxa"/>
            <w:vAlign w:val="bottom"/>
          </w:tcPr>
          <w:p>
            <w:pPr>
              <w:ind w:left="20"/>
              <w:spacing w:after="0"/>
              <w:rPr>
                <w:sz w:val="20"/>
                <w:szCs w:val="20"/>
                <w:color w:val="auto"/>
              </w:rPr>
            </w:pPr>
            <w:r>
              <w:rPr>
                <w:rFonts w:ascii="Arial" w:cs="Arial" w:eastAsia="Arial" w:hAnsi="Arial"/>
                <w:sz w:val="18"/>
                <w:szCs w:val="18"/>
                <w:color w:val="auto"/>
              </w:rPr>
              <w:t>Weighted-average fair value per unit</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$6.72</w:t>
            </w: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88"/>
              </w:rPr>
              <w:t>$9.56</w:t>
            </w:r>
          </w:p>
        </w:tc>
      </w:tr>
    </w:tbl>
    <w:p>
      <w:pPr>
        <w:spacing w:after="0" w:line="26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Company withheld $1.4 million and $4.4 million worth of ESPP contributions for the three and six months ended June 30, 2023 on behalf of participating employees through payroll deductions included 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on our Consolidated Balance Sheets. The Company withheld $0.6 million and $0.6 million worth of ESPP contributions for the three and six months ended June 30, 2022 on behalf of participating employees through payroll deductions included 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on our Consolidated Balance Sheets. The Company purchased 181,931 shares of Common Stock under the ESPP for the three and six months ended June 30, 2023. No shares of Common Stock were purchased under the ESPP for the three and six months ended June 30, 2022. The Company recognized $0.8 million and $2.0 million of equity-based compensation expense related to the ESPP for the three and six months ended June 30, 2023. The Company recognized $0.1 million and $0.1 million of equity-based compensation expense related to the ESPP 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Incentive Units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During the year ended December 31, 2021, HSKB II exchanged their HoldCo Units and paired shares of Class B common stock of the Company for shares of Class A common stock of the Company pursuant to the terms of the limited liability company agreement of HoldCo. Subsequently, HSKB I exchanged their OpCo Units and paired shares of Class B common stock of the Company for shares of Class A common stock of the Company.</w:t>
      </w:r>
    </w:p>
    <w:p>
      <w:pPr>
        <w:spacing w:after="0" w:line="8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HSKB has issued LLC units to the employees of the Company (“HSKB Grant”) in the form of Class 1 units and Class 2 units. Such units may be exchangeable into one share of Common Stock upon vesting. HSKB awards are recorded as compensation expense of the Company in accordance with the measurement and recognition criteria of ASC 718 for awards made by economic interest holders to employees of the Company.</w:t>
      </w:r>
    </w:p>
    <w:p>
      <w:pPr>
        <w:spacing w:after="0" w:line="11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HSKB has also allocated $31.3 million to be paid in cash over three years from 2019 to 2021 if the holder of an HSKB Grant remains employed by the Company as of the payment date. This pool was further expanded in March 31, 2020, when HSKB allocated an additional $5.3 million to be paid out over three years, starting with March 31, 2020, to holders of HSKB Grants who received grants after the March 2018 Carlyle Investment, subject to the holder’s continued employment by the Company. During the six months ended June 30, 2023, HSKB paid $0.9 million from allocated funds.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Phantom Units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2019, HSKB I adopted the HSKB Funds, LLC 2019 Phantom Unit Plan wherein HSKB may grant Phantom Units (“HSKB Phantom Units”) to employees of the Company. HSKB Phantom Units are recorded as compensation expense of the Company in accordance with the measurement and recognition criteria of ASC 718 for awards made by economic interest holders to employees of the Company. HSKB Phantom Units represent the economic equivalent of one share of common stock in the Company. In connection with the Reorganization Transactions, all HSKB Phantom Units were moved from HSKB I to HSKB II. Within 30 days of the later of the date upon which a Phantom Unit vests, HSKB II must settle the HSKB Phantom Unit in exchange for either (1) cash or (2) Common Stock as determined by the HSKB Manager, in each case, equal to the fair market value of such Common Unit at the time of such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Unamortized Equity-based Compensation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June 30, 2023, unamortized equity-based compensation costs related to each equity-based incentive award described above is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 period in years)</w:t>
            </w: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ind w:right="249"/>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4"/>
        </w:trPr>
        <w:tc>
          <w:tcPr>
            <w:tcW w:w="76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53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74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Remaining Service Period</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Arial" w:cs="Arial" w:eastAsia="Arial" w:hAnsi="Arial"/>
                <w:sz w:val="18"/>
                <w:szCs w:val="18"/>
                <w:color w:val="auto"/>
              </w:rPr>
              <w:t>Common Stock Options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Arial" w:cs="Arial" w:eastAsia="Arial" w:hAnsi="Arial"/>
                <w:sz w:val="18"/>
                <w:szCs w:val="18"/>
                <w:color w:val="auto"/>
              </w:rPr>
              <w:t>HSKB Phantom Units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8"/>
        </w:trPr>
        <w:tc>
          <w:tcPr>
            <w:tcW w:w="7660" w:type="dxa"/>
            <w:vAlign w:val="bottom"/>
          </w:tcPr>
          <w:p>
            <w:pPr>
              <w:ind w:left="240"/>
              <w:spacing w:after="0"/>
              <w:rPr>
                <w:sz w:val="20"/>
                <w:szCs w:val="20"/>
                <w:color w:val="auto"/>
              </w:rPr>
            </w:pPr>
            <w:r>
              <w:rPr>
                <w:rFonts w:ascii="Arial" w:cs="Arial" w:eastAsia="Arial" w:hAnsi="Arial"/>
                <w:sz w:val="18"/>
                <w:szCs w:val="18"/>
                <w:color w:val="auto"/>
              </w:rPr>
              <w:t>Total unamortized equity-based compensation cost</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Tax Receivable Agreements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the “ZoomInfo Tax Group” to such Pre-IPO Owners and certain Pre-IPO HoldCo Unitholders of 85.0% of the benefits, if any, that the ZoomInfo Tax Group actually realizes, or is deemed to realize in certain circumstances, as a result of utilization or deemed utilization of certain tax attributes and benefits covered by the Tax Receivable Agreements. The Company expects to benefit from the remaining 15.0% of the cash savings that it realizes.</w:t>
      </w:r>
    </w:p>
    <w:p>
      <w:pPr>
        <w:spacing w:after="0" w:line="1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tax attributes and benefits covered by the Exchange Tax Receivable Agreements include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tax attributes and benefits covered by the Reorganization Tax Receivable Agreement includes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reflected an increase in its share of the tax basis in the net assets of ZoomInfo HoldCo when OpCo Units were exchanged by Pre-IPO OpCo Unitholders. The Company treated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2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As of June 30, 2023 and December 31, 2022, the Company had a liability of $2,967.4 million and $2,978.7 million respectively, related to its projected obligations under the Tax Receivable Agreements. This liability, or a portion thereof, becomes payable once the tax attributes under the Tax Receivable Agreements reduce the Company’s current income tax liability which would have been otherwise due absent such tax attributes. The liability will be reduced to the extent the tax attributes are expected to expire or otherwise cannot be applied to reduce the Company’s tax liabilities. The liability is classified as current or noncurrent based on the expected date of payment and are included on our Consolidated Balance Sheets under the captions </w:t>
      </w:r>
      <w:r>
        <w:rPr>
          <w:rFonts w:ascii="Arial" w:cs="Arial" w:eastAsia="Arial" w:hAnsi="Arial"/>
          <w:sz w:val="15"/>
          <w:szCs w:val="15"/>
          <w:i w:val="1"/>
          <w:iCs w:val="1"/>
          <w:color w:val="auto"/>
        </w:rPr>
        <w:t>Current portion of tax</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receivable agreements liability </w:t>
      </w:r>
      <w:r>
        <w:rPr>
          <w:rFonts w:ascii="Arial" w:cs="Arial" w:eastAsia="Arial" w:hAnsi="Arial"/>
          <w:sz w:val="15"/>
          <w:szCs w:val="15"/>
          <w:color w:val="auto"/>
        </w:rPr>
        <w:t>and</w:t>
      </w:r>
      <w:r>
        <w:rPr>
          <w:rFonts w:ascii="Arial" w:cs="Arial" w:eastAsia="Arial" w:hAnsi="Arial"/>
          <w:sz w:val="15"/>
          <w:szCs w:val="15"/>
          <w:i w:val="1"/>
          <w:iCs w:val="1"/>
          <w:color w:val="auto"/>
        </w:rPr>
        <w:t xml:space="preserve"> Tax receivable agreements liability, net of current portion</w:t>
      </w:r>
      <w:r>
        <w:rPr>
          <w:rFonts w:ascii="Arial" w:cs="Arial" w:eastAsia="Arial" w:hAnsi="Arial"/>
          <w:sz w:val="15"/>
          <w:szCs w:val="15"/>
          <w:color w:val="auto"/>
        </w:rPr>
        <w:t>, respectively. During the six months ended June 30, 2023, no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payment was made pursuant to the Tax Receivable Agreement. During the six months ended June 30, 2022, we paid a total of $5.0 million, pursuant to the Tax Receivable Agreements. During the six months ended June 30, 2023, we recognized a TRA measurement gain of $11.2 million, principally due to updates to tax attributes as well as movements in our blended state tax rate resulting from legislation enacted in the first two quarters of 2023 and changes in the apportionment of payroll, property and sales in the states in which we operate, within </w:t>
      </w:r>
      <w:r>
        <w:rPr>
          <w:rFonts w:ascii="Arial" w:cs="Arial" w:eastAsia="Arial" w:hAnsi="Arial"/>
          <w:sz w:val="15"/>
          <w:szCs w:val="15"/>
          <w:i w:val="1"/>
          <w:iCs w:val="1"/>
          <w:color w:val="auto"/>
        </w:rPr>
        <w:t>Other (income) expense, net</w:t>
      </w:r>
      <w:r>
        <w:rPr>
          <w:rFonts w:ascii="Arial" w:cs="Arial" w:eastAsia="Arial" w:hAnsi="Arial"/>
          <w:sz w:val="15"/>
          <w:szCs w:val="15"/>
          <w:color w:val="auto"/>
        </w:rPr>
        <w:t xml:space="preserve"> on our Consolidated Statements of Operations. During the six months ended June 30, 2022, we recognized a TRA measurement loss of $0.9 million due to legislation passed in the first quarter of 2022 that impact our blended state tax rate within </w:t>
      </w:r>
      <w:r>
        <w:rPr>
          <w:rFonts w:ascii="Arial" w:cs="Arial" w:eastAsia="Arial" w:hAnsi="Arial"/>
          <w:sz w:val="15"/>
          <w:szCs w:val="15"/>
          <w:i w:val="1"/>
          <w:iCs w:val="1"/>
          <w:color w:val="auto"/>
        </w:rPr>
        <w:t>Other (income) expense, net</w:t>
      </w:r>
      <w:r>
        <w:rPr>
          <w:rFonts w:ascii="Arial" w:cs="Arial" w:eastAsia="Arial" w:hAnsi="Arial"/>
          <w:sz w:val="15"/>
          <w:szCs w:val="15"/>
          <w:color w:val="auto"/>
        </w:rPr>
        <w:t xml:space="preserve">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Company’s provision for income taxes for the three and six months ended June 30, 2023 and June 30, 2022 was based on our projected annual effective tax rate for fiscal year 2023 and 2022, adjusted for specific items that are required to be recognized in the period in which they occur.</w:t>
      </w:r>
    </w:p>
    <w:p>
      <w:pPr>
        <w:spacing w:after="0" w:line="10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effective tax rate, inclusive of items specific to the period, for the six months ended June 30, 2023 and 2022 was 32.8% and 51.6% respectively. The Company recorded income tax expense of $16.6 million and $10.5 million for the three months ended June 30, 2023 and 2022, respectively. The Company recorded income tax expense of $40.3 million and $23.5 million for the six months ended June 30, 2023 and 2022, respectively.</w:t>
      </w:r>
    </w:p>
    <w:p>
      <w:pPr>
        <w:spacing w:after="0" w:line="8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Company’s projected 2023 annual effective tax rate, differed from the U.S federal statutory rate of 21.0% due to U.S. state taxes, foreign taxes, non-deductible equity compensation expense, offset by research and development credits. Further, the Company’s annual effective tax rate included period specific costs resulting from a U.S. tax inclusion in a prior year under the global intangible low-taxed income rules that was realized due to a favorable tax ruling issued by the Israeli tax authorities, and shortfalls in tax-deductible equity compensation compared to amounts recognized in our financial accounts.</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August 16, 2022, the U.S. enacted the Inflation Reduction Act (“IRA”) of 2022, which, among other things, implemented a 15% minimum tax on book income of certain large corporations, a 1% excise tax on net stock repurchases, and several tax incentives to promote clean energy. We evaluated the provisions of the IRA and do not expect any material impact to our 2023 income tax provision.</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As of June 30, 2023, unrecognized tax benefits were $4.8 million, of which $3.8 million was a reduction of deferred tax assets and $1.0 million was included 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within our Consolidated Balance Sheets. If recognized, the resulting tax benefit would affect income tax expense by $4.8 million. It is not anticipated any of the unrecognized tax benefit will be recognized within the next twelve months.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July 28, 2023, the Board of Directors of ZoomInfo unanimously approved a new share repurchase program authorizing the Company to repurchase, from time to time, up to an additional $500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included in our 2022 Form 10-K, the information included under “Management’s Discussion and Analysis of Financial Condition and Results of Operations” in Part II, Item 7 of our 2022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2022 Form 10-K.</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 have been subject to rounding adjustments. Accordingly, numerical figures shown as totals in various tables may not be arithmetic aggregations of the figures that precede them.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ZoomInfo is a global leader in modern go-to-market software, data, and intelligence for sales, marketing, operations, and recruiting professionals.</w:t>
      </w:r>
    </w:p>
    <w:p>
      <w:pPr>
        <w:spacing w:after="0" w:line="1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RevOS – our modern, cloud-based operating system for revenue professionals – allows sales, marketing, operations, and recruiting teams to shorten sales cycles and increase win rates by delivering the right message to the right person at the right time, in the right way. We do this by delivering timely insights and offering services that make reaching prospects fast and easy.</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ZoomInfo, formerly known as DiscoverOrg, was co-founded in 2007 by Founder and CEO Henry Schuck. He has led the Company’s growth and profitability by efficiently developing innovative ways of gathering and improving our data and insights and using intelligent automation to put those insights into action.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Today, our Company defines the modern go-to-market technology stack across three distinct layers that build upon each other:</w:t>
      </w:r>
    </w:p>
    <w:p>
      <w:pPr>
        <w:spacing w:after="0" w:line="164" w:lineRule="exact"/>
        <w:rPr>
          <w:sz w:val="20"/>
          <w:szCs w:val="20"/>
          <w:color w:val="auto"/>
        </w:rPr>
      </w:pPr>
    </w:p>
    <w:p>
      <w:pPr>
        <w:ind w:left="640" w:hanging="316"/>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Intelligence Layer is the foundation of our data-driven strategy. Our best-in-class data, curated through first- and third-party sources, includes billions of data points about companies and contacts, such as intent, hierarchy, location, and financial information.</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Orchestration Layer integrates and enriches our data sources. At this stage, our products assign and route data, leads, and insights to the appropriate people. This creates a dataset that is continuously updated and can be used to power automated business workflows. Our services connect with major CRM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640" w:hanging="316"/>
        <w:spacing w:after="0" w:line="305" w:lineRule="auto"/>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Engagement Layer allows sales, marketing, operations, and recruiting professionals to put data-driven insights into action to identify and communicate with prospects and customers. In SalesOS, frontline teams, managers, and leaders use Engage for multi-touch and multi-channel sales engagement, as well as Chorus for call and web meeting recording, transcription, insight generation, and coaching. In MarketingOS, marketers drive awareness, lead generation, and deal acceleration campaigns through account-based marketing, advertising, and onsite conversion optimization solutions, along with ZoomInfo Chat for intelligent onsite experiences through live conversation and chatbots. In TalentOS, recruiters and talent acquisition professionals access a platform that helps them efficiently find candidates. Recruiters can filter and reach more good-fit candidates, use pipeline management tools to collaborate and organize the hiring process, and automate the candidate outreach process. In OperationsOS, our sales operations customers use a suite of products, services, and solutions to ingest, match, enrich, and connect data feeds into multiple systems.</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generate substantially all of our revenue from sales of subscriptions to our platform. Subscriptions include the use of our platform and access to customer support. Subscriptions generally range from one to three years in length. Over 40% of customer contracts (based on annualized value) are multi-year agreements. We typically bill our customers at the beginning of each annual, semi-annual, or quarterly period and recognize revenue ratably over the term of the subscription period.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sell our software to both new and existing customers. We price our subscriptions based on the functionality, users, and records under management that are included in each product edition. Our paid products are SalesOS, MarketingOS, OperationsOS, and TalentOS (with add-on options for some products), and we have a free Community Edition.</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address our market opportunity, we have built and continue to tune our efficient and comprehensive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Conditions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business and financial condition have and may continue to be impacted by adverse macroeconomic conditions. See “Risk Factors - Geopolitical Risks” in Part I, Item 1A of our 2022 Form 10-K for further discussion of the possible impact of these issues on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Term Loan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February 2023, we entered into an amendment to our existing First Lien Credit Agreement (the “Fifth Amendment”), pursuant to which the Company completed a repricing of its First Lien Term Loan Facility, which provided for an extension of the maturity date to February 28, 2030 and a decrease in the applicable margin rate by 0.25%. Under the terms of the Fifth Amendment, the Company is obligated to make principal payments in the amount of 0.25% of the aggregate outstanding amount each quarter.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Revolving Credit Facility</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Pursuant to the Fifth Amendment, the Company also extended the maturity date of $213.0 million of our $250.0 million existing commitments of the first lien revolving credit facility to February 28, 2028. With respect to the $37.0 million commitments which were not extended, the maturity date is November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March 2023, the Board of Directors authorized a program to repurchase up to $100.0 million of the Company’s Common Stock (the “Share Repurchase Program”). Under the Share Repurchase Program, shares of Common Stock may be repurchased from time to time through open market transactions in compliance with applicable securities laws. The timing, manner, price and amount of any repurchases, as well as the capital resources to fund the repurchases, are determined by the Company at its discretion and depend on a variety of factors, including legal requirements, price and economic and market conditions.</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three months ended June 30, 2023, the Company repurchased and subsequently retired 2,847,121 shares of Common Stock at an average price of $21.99, for an aggregate $62.6 million. During the six months ended June 30, 2023, the Company repurchased and subsequently retired 3,905,412 shares of Common Stock at an average price of $22.26, for an aggregate $87.0 million. As of June 30, 2023, $13.0 million remained available and authorized for repurchases under the Share Repurchase Program.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Acquire New Customers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are focused on continuing to grow the number of customers that use our platform in the United States and around the world. The majority of revenue growth when comparing the three months ended June 30, 2023 to the three months ended June 30, 2022 was the result of new customers added over the last 12 months. Our operating results and growth prospects will depend in part on our ability to continue to attract new customers. Additionally, acquiring new customers strengthens the power of our contributory networks. We plan to continue to invest in our efficient go-to-market effort to acquire new customers.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Usage of Our Platform</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believe that expanding the value that we provide to our customers and the corresponding revenue generated as a result is an important measure of the health of our business, and we believe there is a significant opportunity to add additional users, data integration, and additional functionality within our existing customers. We monitor net revenue retention to measure the expanding value that we provide to our customers and the corresponding revenue growth. Net revenue retention is an annual metric that we calculate based on customers of ZoomInfo at the beginning of the year, and is calculated as: (a) the total ACV for those customers at the end of the year, divided by (b) the total ACV for those customers at the beginning of the year. Our net annual retention rate was 104% for the year ended December 31, 2022. In the near term, we expect our net retention rate to be adversely impacted by macroeconomic conditions. See section “Recent Developments - Impact of Macroeconomic Conditions”. We also measure our success in expanding relationships with existing customers by the number of customers that contract for more than $100,000 in ACV. As of June 30, 2023, we had 1,893 customers with over $100,000 in ACV.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9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spacing w:after="0" w:line="1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 Adjusted Operating Income Margin, and Adjusted Net Income</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0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The following table presents a reconciliation of </w:t>
      </w:r>
      <w:r>
        <w:rPr>
          <w:rFonts w:ascii="Arial" w:cs="Arial" w:eastAsia="Arial" w:hAnsi="Arial"/>
          <w:sz w:val="18"/>
          <w:szCs w:val="18"/>
          <w:i w:val="1"/>
          <w:iCs w:val="1"/>
          <w:color w:val="auto"/>
        </w:rPr>
        <w:t>Net income</w:t>
      </w:r>
      <w:r>
        <w:rPr>
          <w:rFonts w:ascii="Arial" w:cs="Arial" w:eastAsia="Arial" w:hAnsi="Arial"/>
          <w:sz w:val="18"/>
          <w:szCs w:val="18"/>
          <w:color w:val="auto"/>
        </w:rPr>
        <w:t xml:space="preserve"> to Adjusted Net Income and </w:t>
      </w:r>
      <w:r>
        <w:rPr>
          <w:rFonts w:ascii="Arial" w:cs="Arial" w:eastAsia="Arial" w:hAnsi="Arial"/>
          <w:sz w:val="18"/>
          <w:szCs w:val="18"/>
          <w:i w:val="1"/>
          <w:iCs w:val="1"/>
          <w:color w:val="auto"/>
        </w:rPr>
        <w:t>Income from operations</w:t>
      </w:r>
      <w:r>
        <w:rPr>
          <w:rFonts w:ascii="Arial" w:cs="Arial" w:eastAsia="Arial" w:hAnsi="Arial"/>
          <w:sz w:val="18"/>
          <w:szCs w:val="18"/>
          <w:color w:val="auto"/>
        </w:rPr>
        <w:t xml:space="preserve"> to Adjusted Operating Income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r>
      <w:tr>
        <w:trPr>
          <w:trHeight w:val="38"/>
        </w:trPr>
        <w:tc>
          <w:tcPr>
            <w:tcW w:w="49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Pr>
          <w:p>
            <w:pPr>
              <w:spacing w:after="0"/>
              <w:rPr>
                <w:sz w:val="15"/>
                <w:szCs w:val="15"/>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38"/>
        </w:trPr>
        <w:tc>
          <w:tcPr>
            <w:tcW w:w="49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80" w:type="dxa"/>
            <w:vAlign w:val="bottom"/>
            <w:tcBorders>
              <w:bottom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8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6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8"/>
        </w:trPr>
        <w:tc>
          <w:tcPr>
            <w:tcW w:w="4900" w:type="dxa"/>
            <w:vAlign w:val="bottom"/>
          </w:tcPr>
          <w:p>
            <w:pPr>
              <w:ind w:left="180"/>
              <w:spacing w:after="0"/>
              <w:rPr>
                <w:sz w:val="20"/>
                <w:szCs w:val="20"/>
                <w:color w:val="auto"/>
              </w:rPr>
            </w:pPr>
            <w:r>
              <w:rPr>
                <w:rFonts w:ascii="Arial" w:cs="Arial" w:eastAsia="Arial" w:hAnsi="Arial"/>
                <w:sz w:val="18"/>
                <w:szCs w:val="18"/>
                <w:color w:val="auto"/>
              </w:rPr>
              <w:t>Add: Expense from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8"/>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8"/>
        </w:trPr>
        <w:tc>
          <w:tcPr>
            <w:tcW w:w="4900" w:type="dxa"/>
            <w:vAlign w:val="bottom"/>
          </w:tcPr>
          <w:p>
            <w:pPr>
              <w:ind w:left="180"/>
              <w:spacing w:after="0"/>
              <w:rPr>
                <w:sz w:val="20"/>
                <w:szCs w:val="20"/>
                <w:color w:val="auto"/>
              </w:rPr>
            </w:pPr>
            <w:r>
              <w:rPr>
                <w:rFonts w:ascii="Arial" w:cs="Arial" w:eastAsia="Arial" w:hAnsi="Arial"/>
                <w:sz w:val="18"/>
                <w:szCs w:val="18"/>
                <w:color w:val="auto"/>
              </w:rPr>
              <w:t>Add: Loss on debt modification and extinguishment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5"/>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1"/>
        </w:trPr>
        <w:tc>
          <w:tcPr>
            <w:tcW w:w="4900" w:type="dxa"/>
            <w:vAlign w:val="bottom"/>
          </w:tcPr>
          <w:p>
            <w:pPr>
              <w:ind w:left="42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59.6</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39.5</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125.9</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8"/>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9"/>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Add: Impact of fair value adjustments to acquired unearned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8"/>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(b)</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8"/>
        </w:trPr>
        <w:tc>
          <w:tcPr>
            <w:tcW w:w="4900" w:type="dxa"/>
            <w:vAlign w:val="bottom"/>
          </w:tcPr>
          <w:p>
            <w:pPr>
              <w:ind w:left="180"/>
              <w:spacing w:after="0"/>
              <w:rPr>
                <w:sz w:val="20"/>
                <w:szCs w:val="20"/>
                <w:color w:val="auto"/>
              </w:rPr>
            </w:pPr>
            <w:r>
              <w:rPr>
                <w:rFonts w:ascii="Arial" w:cs="Arial" w:eastAsia="Arial" w:hAnsi="Arial"/>
                <w:sz w:val="18"/>
                <w:szCs w:val="18"/>
                <w:color w:val="auto"/>
              </w:rPr>
              <w:t>Add: Amortization of acquired technology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8"/>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other acquired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8"/>
        </w:trPr>
        <w:tc>
          <w:tcPr>
            <w:tcW w:w="4900" w:type="dxa"/>
            <w:vAlign w:val="bottom"/>
          </w:tcPr>
          <w:p>
            <w:pPr>
              <w:ind w:left="180"/>
              <w:spacing w:after="0"/>
              <w:rPr>
                <w:sz w:val="20"/>
                <w:szCs w:val="20"/>
                <w:color w:val="auto"/>
              </w:rPr>
            </w:pPr>
            <w:r>
              <w:rPr>
                <w:rFonts w:ascii="Arial" w:cs="Arial" w:eastAsia="Arial" w:hAnsi="Arial"/>
                <w:sz w:val="18"/>
                <w:szCs w:val="18"/>
                <w:color w:val="auto"/>
              </w:rPr>
              <w:t>Add: Equity-based compensation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8"/>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5"/>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Restructuring and transaction-related expenses</w:t>
            </w:r>
            <w:r>
              <w:rPr>
                <w:rFonts w:ascii="Arial" w:cs="Arial" w:eastAsia="Arial" w:hAnsi="Arial"/>
                <w:sz w:val="22"/>
                <w:szCs w:val="22"/>
                <w:color w:val="auto"/>
                <w:vertAlign w:val="superscript"/>
              </w:rPr>
              <w:t>(c)</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65"/>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480" w:type="dxa"/>
            <w:vAlign w:val="bottom"/>
            <w:tcBorders>
              <w:bottom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48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46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31"/>
        </w:trPr>
        <w:tc>
          <w:tcPr>
            <w:tcW w:w="4900" w:type="dxa"/>
            <w:vAlign w:val="bottom"/>
          </w:tcPr>
          <w:p>
            <w:pPr>
              <w:ind w:left="240"/>
              <w:spacing w:after="0"/>
              <w:rPr>
                <w:sz w:val="20"/>
                <w:szCs w:val="20"/>
                <w:color w:val="auto"/>
              </w:rPr>
            </w:pPr>
            <w:r>
              <w:rPr>
                <w:rFonts w:ascii="Arial" w:cs="Arial" w:eastAsia="Arial" w:hAnsi="Arial"/>
                <w:sz w:val="18"/>
                <w:szCs w:val="18"/>
                <w:color w:val="auto"/>
              </w:rPr>
              <w:t>Less: Interest expense, net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8"/>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Less (add): Other expense (income), net, excluding TRA liability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1"/>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remeasurement (benefit) expense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8"/>
        </w:trPr>
        <w:tc>
          <w:tcPr>
            <w:tcW w:w="4900" w:type="dxa"/>
            <w:vAlign w:val="bottom"/>
          </w:tcPr>
          <w:p>
            <w:pPr>
              <w:ind w:left="240"/>
              <w:spacing w:after="0"/>
              <w:rPr>
                <w:sz w:val="20"/>
                <w:szCs w:val="20"/>
                <w:color w:val="auto"/>
              </w:rPr>
            </w:pPr>
            <w:r>
              <w:rPr>
                <w:rFonts w:ascii="Arial" w:cs="Arial" w:eastAsia="Arial" w:hAnsi="Arial"/>
                <w:sz w:val="18"/>
                <w:szCs w:val="18"/>
                <w:color w:val="auto"/>
              </w:rPr>
              <w:t>Less: Expense from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8"/>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5"/>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 Tax impacts of adjustments to net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8"/>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Net Income</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2"/>
        </w:trPr>
        <w:tc>
          <w:tcPr>
            <w:tcW w:w="4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5"/>
        </w:trPr>
        <w:tc>
          <w:tcPr>
            <w:tcW w:w="4900" w:type="dxa"/>
            <w:vAlign w:val="bottom"/>
          </w:tcPr>
          <w:p>
            <w:pPr>
              <w:ind w:left="20"/>
              <w:spacing w:after="0"/>
              <w:rPr>
                <w:sz w:val="20"/>
                <w:szCs w:val="20"/>
                <w:color w:val="auto"/>
              </w:rPr>
            </w:pPr>
            <w:r>
              <w:rPr>
                <w:rFonts w:ascii="Arial" w:cs="Arial" w:eastAsia="Arial" w:hAnsi="Arial"/>
                <w:sz w:val="18"/>
                <w:szCs w:val="18"/>
                <w:color w:val="auto"/>
              </w:rPr>
              <w:t>Shares for Adjusted Net Income Per Share</w:t>
            </w:r>
            <w:r>
              <w:rPr>
                <w:rFonts w:ascii="Arial" w:cs="Arial" w:eastAsia="Arial" w:hAnsi="Arial"/>
                <w:sz w:val="22"/>
                <w:szCs w:val="22"/>
                <w:color w:val="auto"/>
                <w:vertAlign w:val="superscript"/>
              </w:rPr>
              <w:t>(e)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3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8"/>
        </w:trPr>
        <w:tc>
          <w:tcPr>
            <w:tcW w:w="4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9"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11" w:lineRule="exact"/>
        <w:rPr>
          <w:rFonts w:ascii="Arial" w:cs="Arial" w:eastAsia="Arial" w:hAnsi="Arial"/>
          <w:sz w:val="14"/>
          <w:szCs w:val="14"/>
          <w:color w:val="auto"/>
        </w:rPr>
      </w:pPr>
    </w:p>
    <w:p>
      <w:pPr>
        <w:jc w:val="both"/>
        <w:ind w:left="320" w:hanging="314"/>
        <w:spacing w:after="0" w:line="250" w:lineRule="auto"/>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65" w:lineRule="auto"/>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three and six months ended June 30, 2023, this expense is primarily related to costs associated with a June 2023 reduction in force. For the three and six months ended June 30, 2022, this expense related primarily to transition and retention payments related to 2021 and 2022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320" w:hanging="314"/>
        <w:spacing w:after="0" w:line="295" w:lineRule="auto"/>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three and six months ended June 30, 2022, this expense related to retention awards from the acquisitions of Clickagy and Everstring, and Insent, and professional fees related to integration projects. This expense is included in cost of service, sales and marketing expense, research and development expense, and general and administrative expense as follows:</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4"/>
          </w:tcPr>
          <w:p>
            <w:pPr>
              <w:jc w:val="right"/>
              <w:ind w:right="369"/>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469"/>
              <w:spacing w:after="0"/>
              <w:rPr>
                <w:sz w:val="20"/>
                <w:szCs w:val="20"/>
                <w:color w:val="auto"/>
              </w:rPr>
            </w:pPr>
            <w:r>
              <w:rPr>
                <w:rFonts w:ascii="Arial" w:cs="Arial" w:eastAsia="Arial" w:hAnsi="Arial"/>
                <w:sz w:val="14"/>
                <w:szCs w:val="14"/>
                <w:b w:val="1"/>
                <w:bCs w:val="1"/>
                <w:color w:val="auto"/>
              </w:rPr>
              <w:t>Six Months Ended June 30,</w:t>
            </w:r>
          </w:p>
        </w:tc>
      </w:tr>
      <w:tr>
        <w:trPr>
          <w:trHeight w:val="38"/>
        </w:trPr>
        <w:tc>
          <w:tcPr>
            <w:tcW w:w="49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8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9"/>
              <w:spacing w:after="0"/>
              <w:rPr>
                <w:sz w:val="20"/>
                <w:szCs w:val="20"/>
                <w:color w:val="auto"/>
              </w:rPr>
            </w:pPr>
            <w:r>
              <w:rPr>
                <w:rFonts w:ascii="Arial" w:cs="Arial" w:eastAsia="Arial" w:hAnsi="Arial"/>
                <w:sz w:val="14"/>
                <w:szCs w:val="14"/>
                <w:b w:val="1"/>
                <w:bCs w:val="1"/>
                <w:color w:val="auto"/>
              </w:rPr>
              <w:t>2022</w:t>
            </w:r>
          </w:p>
        </w:tc>
      </w:tr>
      <w:tr>
        <w:trPr>
          <w:trHeight w:val="24"/>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8"/>
        </w:trPr>
        <w:tc>
          <w:tcPr>
            <w:tcW w:w="49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6"/>
                <w:szCs w:val="16"/>
                <w:color w:val="auto"/>
              </w:rPr>
            </w:pPr>
          </w:p>
        </w:tc>
        <w:tc>
          <w:tcPr>
            <w:tcW w:w="1040" w:type="dxa"/>
            <w:vAlign w:val="bottom"/>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38"/>
        </w:trPr>
        <w:tc>
          <w:tcPr>
            <w:tcW w:w="4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92"/>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01"/>
        </w:trPr>
        <w:tc>
          <w:tcPr>
            <w:tcW w:w="49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7"/>
                <w:szCs w:val="17"/>
                <w:color w:val="auto"/>
              </w:rPr>
            </w:pPr>
          </w:p>
        </w:tc>
        <w:tc>
          <w:tcPr>
            <w:tcW w:w="1040" w:type="dxa"/>
            <w:vAlign w:val="bottom"/>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
        </w:trPr>
        <w:tc>
          <w:tcPr>
            <w:tcW w:w="4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both"/>
        <w:ind w:left="320" w:hanging="314"/>
        <w:spacing w:after="0" w:line="259" w:lineRule="auto"/>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Diluted earnings per share is computed by giving effect to all potential weighted average Common Stock, and any securities that are convertible into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 Shares and grants issued in conjunction with the IPO were assumed to be issued at the beginning of the period.</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define Adjusted Operating Income Margin as Adjusted Operating Income divided by the sum of revenue and the impact of fair value adjustments to acquired unearned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4"/>
          </w:tcPr>
          <w:p>
            <w:pPr>
              <w:jc w:val="right"/>
              <w:ind w:right="754"/>
              <w:spacing w:after="0"/>
              <w:rPr>
                <w:sz w:val="20"/>
                <w:szCs w:val="20"/>
                <w:color w:val="auto"/>
              </w:rPr>
            </w:pPr>
            <w:r>
              <w:rPr>
                <w:rFonts w:ascii="Arial" w:cs="Arial" w:eastAsia="Arial" w:hAnsi="Arial"/>
                <w:sz w:val="14"/>
                <w:szCs w:val="14"/>
                <w:b w:val="1"/>
                <w:bCs w:val="1"/>
                <w:color w:val="auto"/>
              </w:rPr>
              <w:t>Six Months Ended June 30,</w:t>
            </w:r>
          </w:p>
        </w:tc>
      </w:tr>
      <w:tr>
        <w:trPr>
          <w:trHeight w:val="38"/>
        </w:trPr>
        <w:tc>
          <w:tcPr>
            <w:tcW w:w="44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1"/>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80" w:type="dxa"/>
            <w:vAlign w:val="bottom"/>
          </w:tcPr>
          <w:p>
            <w:pPr>
              <w:spacing w:after="0"/>
              <w:rPr>
                <w:sz w:val="15"/>
                <w:szCs w:val="15"/>
                <w:color w:val="auto"/>
              </w:rPr>
            </w:pPr>
          </w:p>
        </w:tc>
        <w:tc>
          <w:tcPr>
            <w:tcW w:w="1240" w:type="dxa"/>
            <w:vAlign w:val="bottom"/>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4"/>
              <w:spacing w:after="0"/>
              <w:rPr>
                <w:sz w:val="20"/>
                <w:szCs w:val="20"/>
                <w:color w:val="auto"/>
              </w:rPr>
            </w:pPr>
            <w:r>
              <w:rPr>
                <w:rFonts w:ascii="Arial" w:cs="Arial" w:eastAsia="Arial" w:hAnsi="Arial"/>
                <w:sz w:val="14"/>
                <w:szCs w:val="14"/>
                <w:b w:val="1"/>
                <w:bCs w:val="1"/>
                <w:color w:val="auto"/>
              </w:rPr>
              <w:t>2022</w:t>
            </w:r>
          </w:p>
        </w:tc>
      </w:tr>
      <w:tr>
        <w:trPr>
          <w:trHeight w:val="24"/>
        </w:trPr>
        <w:tc>
          <w:tcPr>
            <w:tcW w:w="4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Income from operations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59.6</w:t>
            </w:r>
          </w:p>
        </w:tc>
        <w:tc>
          <w:tcPr>
            <w:tcW w:w="520" w:type="dxa"/>
            <w:vAlign w:val="bottom"/>
            <w:tcBorders>
              <w:bottom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w:t>
            </w:r>
          </w:p>
        </w:tc>
        <w:tc>
          <w:tcPr>
            <w:tcW w:w="500" w:type="dxa"/>
            <w:vAlign w:val="bottom"/>
            <w:tcBorders>
              <w:bottom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125.9</w:t>
            </w:r>
          </w:p>
        </w:tc>
        <w:tc>
          <w:tcPr>
            <w:tcW w:w="500" w:type="dxa"/>
            <w:vAlign w:val="bottom"/>
            <w:tcBorders>
              <w:bottom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71.9</w:t>
            </w: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125.6</w:t>
            </w:r>
          </w:p>
        </w:tc>
        <w:tc>
          <w:tcPr>
            <w:tcW w:w="52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106.9</w:t>
            </w:r>
          </w:p>
        </w:tc>
        <w:tc>
          <w:tcPr>
            <w:tcW w:w="5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245.9</w:t>
            </w:r>
          </w:p>
        </w:tc>
        <w:tc>
          <w:tcPr>
            <w:tcW w:w="5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202.5</w:t>
            </w:r>
          </w:p>
        </w:tc>
      </w:tr>
      <w:tr>
        <w:trPr>
          <w:trHeight w:val="28"/>
        </w:trPr>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44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308.6</w:t>
            </w:r>
          </w:p>
        </w:tc>
        <w:tc>
          <w:tcPr>
            <w:tcW w:w="52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267.1</w:t>
            </w:r>
          </w:p>
        </w:tc>
        <w:tc>
          <w:tcPr>
            <w:tcW w:w="5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609.3</w:t>
            </w:r>
          </w:p>
        </w:tc>
        <w:tc>
          <w:tcPr>
            <w:tcW w:w="5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508.8</w:t>
            </w:r>
          </w:p>
        </w:tc>
      </w:tr>
      <w:tr>
        <w:trPr>
          <w:trHeight w:val="27"/>
        </w:trPr>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Impact of fair value adjustments to acquired unearned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1"/>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r>
      <w:tr>
        <w:trPr>
          <w:trHeight w:val="258"/>
        </w:trPr>
        <w:tc>
          <w:tcPr>
            <w:tcW w:w="4420" w:type="dxa"/>
            <w:vAlign w:val="bottom"/>
          </w:tcPr>
          <w:p>
            <w:pPr>
              <w:ind w:left="220"/>
              <w:spacing w:after="0"/>
              <w:rPr>
                <w:sz w:val="20"/>
                <w:szCs w:val="20"/>
                <w:color w:val="auto"/>
              </w:rPr>
            </w:pPr>
            <w:r>
              <w:rPr>
                <w:rFonts w:ascii="Arial" w:cs="Arial" w:eastAsia="Arial" w:hAnsi="Arial"/>
                <w:sz w:val="18"/>
                <w:szCs w:val="18"/>
                <w:color w:val="auto"/>
              </w:rPr>
              <w:t>Revenue for adjusted operating margin calculation</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308.7</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510.5</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9"/>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Income Margin</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15 %</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21 %</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14 %</w:t>
            </w: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Operating Income Margin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41 %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40 %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40 %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40 %</w:t>
            </w:r>
          </w:p>
        </w:tc>
      </w:tr>
    </w:tbl>
    <w:p>
      <w:pPr>
        <w:spacing w:after="0" w:line="26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Adjusted Operating Income for the three months ended June 30, 2023 was $125.6 million and represented an Adjusted Operating Income Margin of 41%. Adjusted Operating Income for the three months ended June 30, 2022 was $106.9 million and represented an Adjusted Operating Income Margin of 40%. The increase of $18.7 million, or 17%, was driven primarily from the growth in revenue driven by additional customers and increasing revenue from existing customers. Adjusted Operating Income Margin increased to 41% in the three months ended June 30, 2023 from 40% in the three months ended June 30, 2022 due to limited headcount growth and more efficient cloud infrastructure in cost of service.</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Adjusted Operating Income for the six months ended June 30, 2023 was $245.9 million and represented an Adjusted Operating Income Margin of 40%. Adjusted Operating Income for the six months ended June 30, 2022 was $202.5 million and represented an Adjusted Operating Income Margin of 40%. The increase of $43.4 million, or 21%, was driven primarily from the growth in revenue driven by additional customers and increasing revenue from existing customers. Adjusted Operating Income Margin stayed consistent at 40% in the six months ended June 30, 2023 as increased general and administrative expenses due to higher bad debt accruals were offset by efficiencies within cost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EBITDA is defined as earnings before debt-related costs, including interest and loss on debt modification and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net income (loss) to Adjusted EBITDA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r>
      <w:tr>
        <w:trPr>
          <w:trHeight w:val="38"/>
        </w:trPr>
        <w:tc>
          <w:tcPr>
            <w:tcW w:w="49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Pr>
          <w:p>
            <w:pPr>
              <w:spacing w:after="0"/>
              <w:rPr>
                <w:sz w:val="15"/>
                <w:szCs w:val="15"/>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38"/>
        </w:trPr>
        <w:tc>
          <w:tcPr>
            <w:tcW w:w="49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80" w:type="dxa"/>
            <w:vAlign w:val="bottom"/>
            <w:tcBorders>
              <w:bottom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8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6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7"/>
        </w:trPr>
        <w:tc>
          <w:tcPr>
            <w:tcW w:w="4900" w:type="dxa"/>
            <w:vAlign w:val="bottom"/>
          </w:tcPr>
          <w:p>
            <w:pPr>
              <w:ind w:left="220"/>
              <w:spacing w:after="0"/>
              <w:rPr>
                <w:sz w:val="20"/>
                <w:szCs w:val="20"/>
                <w:color w:val="auto"/>
              </w:rPr>
            </w:pPr>
            <w:r>
              <w:rPr>
                <w:rFonts w:ascii="Arial" w:cs="Arial" w:eastAsia="Arial" w:hAnsi="Arial"/>
                <w:sz w:val="18"/>
                <w:szCs w:val="18"/>
                <w:color w:val="auto"/>
              </w:rPr>
              <w:t>Add: Expense from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8"/>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7"/>
        </w:trPr>
        <w:tc>
          <w:tcPr>
            <w:tcW w:w="4900" w:type="dxa"/>
            <w:vAlign w:val="bottom"/>
          </w:tcPr>
          <w:p>
            <w:pPr>
              <w:ind w:left="220"/>
              <w:spacing w:after="0"/>
              <w:rPr>
                <w:sz w:val="20"/>
                <w:szCs w:val="20"/>
                <w:color w:val="auto"/>
              </w:rPr>
            </w:pPr>
            <w:r>
              <w:rPr>
                <w:rFonts w:ascii="Arial" w:cs="Arial" w:eastAsia="Arial" w:hAnsi="Arial"/>
                <w:sz w:val="18"/>
                <w:szCs w:val="18"/>
                <w:color w:val="auto"/>
              </w:rPr>
              <w:t>Add: Loss on debt modification and extinguishment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4900" w:type="dxa"/>
            <w:vAlign w:val="bottom"/>
          </w:tcPr>
          <w:p>
            <w:pPr>
              <w:ind w:left="220"/>
              <w:spacing w:after="0"/>
              <w:rPr>
                <w:sz w:val="20"/>
                <w:szCs w:val="20"/>
                <w:color w:val="auto"/>
              </w:rPr>
            </w:pPr>
            <w:r>
              <w:rPr>
                <w:rFonts w:ascii="Arial" w:cs="Arial" w:eastAsia="Arial" w:hAnsi="Arial"/>
                <w:sz w:val="18"/>
                <w:szCs w:val="18"/>
                <w:color w:val="auto"/>
              </w:rPr>
              <w:t>Add: Amortization of acquired technology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8"/>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5"/>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Amortization of other acquired intangibles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1"/>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EBITDA</w:t>
            </w:r>
          </w:p>
        </w:tc>
        <w:tc>
          <w:tcPr>
            <w:tcW w:w="3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w:t>
            </w:r>
          </w:p>
        </w:tc>
      </w:tr>
      <w:tr>
        <w:trPr>
          <w:trHeight w:val="28"/>
        </w:trPr>
        <w:tc>
          <w:tcPr>
            <w:tcW w:w="4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9"/>
        </w:trPr>
        <w:tc>
          <w:tcPr>
            <w:tcW w:w="4900" w:type="dxa"/>
            <w:vAlign w:val="bottom"/>
          </w:tcPr>
          <w:p>
            <w:pPr>
              <w:ind w:left="240"/>
              <w:spacing w:after="0"/>
              <w:rPr>
                <w:sz w:val="20"/>
                <w:szCs w:val="20"/>
                <w:color w:val="auto"/>
              </w:rPr>
            </w:pPr>
            <w:r>
              <w:rPr>
                <w:rFonts w:ascii="Arial" w:cs="Arial" w:eastAsia="Arial" w:hAnsi="Arial"/>
                <w:sz w:val="18"/>
                <w:szCs w:val="18"/>
                <w:color w:val="auto"/>
                <w:w w:val="98"/>
              </w:rPr>
              <w:t>Add: Impact of fair value adjustments to acquired unearned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8"/>
        </w:trPr>
        <w:tc>
          <w:tcPr>
            <w:tcW w:w="4900" w:type="dxa"/>
            <w:vAlign w:val="bottom"/>
          </w:tcPr>
          <w:p>
            <w:pPr>
              <w:ind w:left="240"/>
              <w:spacing w:after="0"/>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(b)</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5"/>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 Equity-based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65"/>
        </w:trPr>
        <w:tc>
          <w:tcPr>
            <w:tcW w:w="4900" w:type="dxa"/>
            <w:vAlign w:val="bottom"/>
          </w:tcPr>
          <w:p>
            <w:pPr>
              <w:ind w:left="240"/>
              <w:spacing w:after="0"/>
              <w:rPr>
                <w:sz w:val="20"/>
                <w:szCs w:val="20"/>
                <w:color w:val="auto"/>
              </w:rPr>
            </w:pPr>
            <w:r>
              <w:rPr>
                <w:rFonts w:ascii="Arial" w:cs="Arial" w:eastAsia="Arial" w:hAnsi="Arial"/>
                <w:sz w:val="18"/>
                <w:szCs w:val="18"/>
                <w:color w:val="auto"/>
              </w:rPr>
              <w:t>Add: Restructuring and transaction related expenses</w:t>
            </w:r>
            <w:r>
              <w:rPr>
                <w:rFonts w:ascii="Arial" w:cs="Arial" w:eastAsia="Arial" w:hAnsi="Arial"/>
                <w:sz w:val="22"/>
                <w:szCs w:val="22"/>
                <w:color w:val="auto"/>
                <w:vertAlign w:val="superscript"/>
              </w:rPr>
              <w:t>(c)</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5"/>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8"/>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EBITDA</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130.4</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111.5</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255.5</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210.6</w:t>
            </w:r>
          </w:p>
        </w:tc>
      </w:tr>
      <w:tr>
        <w:trPr>
          <w:trHeight w:val="20"/>
        </w:trPr>
        <w:tc>
          <w:tcPr>
            <w:tcW w:w="4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9"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11" w:lineRule="exact"/>
        <w:rPr>
          <w:rFonts w:ascii="Arial" w:cs="Arial" w:eastAsia="Arial" w:hAnsi="Arial"/>
          <w:sz w:val="14"/>
          <w:szCs w:val="14"/>
          <w:color w:val="auto"/>
        </w:rPr>
      </w:pPr>
    </w:p>
    <w:p>
      <w:pPr>
        <w:jc w:val="both"/>
        <w:ind w:left="320" w:hanging="314"/>
        <w:spacing w:after="0" w:line="250"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65" w:lineRule="auto"/>
        <w:tabs>
          <w:tab w:leader="none" w:pos="320" w:val="left"/>
        </w:tabs>
        <w:numPr>
          <w:ilvl w:val="0"/>
          <w:numId w:val="16"/>
        </w:numPr>
        <w:rPr>
          <w:rFonts w:ascii="Arial" w:cs="Arial" w:eastAsia="Arial" w:hAnsi="Arial"/>
          <w:sz w:val="14"/>
          <w:szCs w:val="14"/>
          <w:i w:val="1"/>
          <w:iCs w:val="1"/>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three and six months ended June 30, 2023, this expense is primarily related to costs associated with a June 2023 reduction in force. For the three and six months ended June 30, 2022, this expense related primarily to transition and retention payments related to 2021 and 2022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320" w:hanging="314"/>
        <w:spacing w:after="0" w:line="295" w:lineRule="auto"/>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three and six months ended June 30, 2022, this expense related to retention awards from the acquisitions of Clickagy and Everstring, and Insent, and professional fees related to integration projects. This expense is included in cost of service, sales and marketing expense, research and development expense, and general and administrative expense as follows:</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4"/>
          </w:tcPr>
          <w:p>
            <w:pPr>
              <w:jc w:val="right"/>
              <w:ind w:right="369"/>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469"/>
              <w:spacing w:after="0"/>
              <w:rPr>
                <w:sz w:val="20"/>
                <w:szCs w:val="20"/>
                <w:color w:val="auto"/>
              </w:rPr>
            </w:pPr>
            <w:r>
              <w:rPr>
                <w:rFonts w:ascii="Arial" w:cs="Arial" w:eastAsia="Arial" w:hAnsi="Arial"/>
                <w:sz w:val="14"/>
                <w:szCs w:val="14"/>
                <w:b w:val="1"/>
                <w:bCs w:val="1"/>
                <w:color w:val="auto"/>
              </w:rPr>
              <w:t>Six Months Ended June 30,</w:t>
            </w:r>
          </w:p>
        </w:tc>
      </w:tr>
      <w:tr>
        <w:trPr>
          <w:trHeight w:val="38"/>
        </w:trPr>
        <w:tc>
          <w:tcPr>
            <w:tcW w:w="49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8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9"/>
              <w:spacing w:after="0"/>
              <w:rPr>
                <w:sz w:val="20"/>
                <w:szCs w:val="20"/>
                <w:color w:val="auto"/>
              </w:rPr>
            </w:pPr>
            <w:r>
              <w:rPr>
                <w:rFonts w:ascii="Arial" w:cs="Arial" w:eastAsia="Arial" w:hAnsi="Arial"/>
                <w:sz w:val="14"/>
                <w:szCs w:val="14"/>
                <w:b w:val="1"/>
                <w:bCs w:val="1"/>
                <w:color w:val="auto"/>
              </w:rPr>
              <w:t>2022</w:t>
            </w:r>
          </w:p>
        </w:tc>
      </w:tr>
      <w:tr>
        <w:trPr>
          <w:trHeight w:val="24"/>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8"/>
        </w:trPr>
        <w:tc>
          <w:tcPr>
            <w:tcW w:w="49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6"/>
                <w:szCs w:val="16"/>
                <w:color w:val="auto"/>
              </w:rPr>
            </w:pPr>
          </w:p>
        </w:tc>
        <w:tc>
          <w:tcPr>
            <w:tcW w:w="1040" w:type="dxa"/>
            <w:vAlign w:val="bottom"/>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38"/>
        </w:trPr>
        <w:tc>
          <w:tcPr>
            <w:tcW w:w="4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92"/>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01"/>
        </w:trPr>
        <w:tc>
          <w:tcPr>
            <w:tcW w:w="49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7"/>
                <w:szCs w:val="17"/>
                <w:color w:val="auto"/>
              </w:rPr>
            </w:pPr>
          </w:p>
        </w:tc>
        <w:tc>
          <w:tcPr>
            <w:tcW w:w="1040" w:type="dxa"/>
            <w:vAlign w:val="bottom"/>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
        </w:trPr>
        <w:tc>
          <w:tcPr>
            <w:tcW w:w="4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4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integration costs and acquisition-related compensation</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Adjusted EBITDA for the three months ended June 30, 2023 was $130.4 million, an increase of $18.9 million, or 17%, relative to the three months ended June 30, 2022. This increase was driven primarily from the growth in revenue and additional customers in 2023 and 2022.</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Adjusted EBITDA for the six months ended June 30, 2023 was $255.5 million, an increase of $44.9 million, or 21%, relative to the six months ended June 30, 2022. This increase was driven primarily from the growth in revenue and additional customers in 2023 and 2022.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derive 99%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non-cancelable subscription agreements.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excluding amortization of acquired technology. </w:t>
      </w:r>
      <w:r>
        <w:rPr>
          <w:rFonts w:ascii="Arial" w:cs="Arial" w:eastAsia="Arial" w:hAnsi="Arial"/>
          <w:sz w:val="18"/>
          <w:szCs w:val="18"/>
          <w:color w:val="auto"/>
        </w:rPr>
        <w:t>Cost of service, excluding amortization of acquired technology includes direct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anticipate that we will continue to invest in costs of service and that costs of service as a percentage of revenue modestly decrease as we realize operating leverage in the business.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Amortization of acquired technology. </w:t>
      </w:r>
      <w:r>
        <w:rPr>
          <w:rFonts w:ascii="Arial" w:cs="Arial" w:eastAsia="Arial" w:hAnsi="Arial"/>
          <w:sz w:val="18"/>
          <w:szCs w:val="18"/>
          <w:color w:val="auto"/>
        </w:rPr>
        <w:t>Amortization of acquired technology includes amortization expense for technology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acquired technology will increase if we make additional acquisitions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operating expenses consist of sales and marketing, research and development, general and administrative, restructuring and transaction expenses, and amortization of acquired intangibles (other than acquired technology).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3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anticipate that we will continue to invest in sales and marketing capacity to enable future growth. We anticipate that sales and marketing expense excluding equity-based compensation as a percentage of revenue will fluctuate from period to period depending on the interplay of our growing investments in sales and marketing capacity excluding equity-based compensation, the recognition of revenue, and the amortization of contract acquisition costs.</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support our efforts to enhance our existing platform and develop new software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 term, but will modestly decrease in the long term as we drive efficiencies in that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primarily consist of employee-related costs such as salaries, bonuses, equity-based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including those associated with operating as a public company.</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expect general and administrative expenses as a percentage of revenue to modestly decrease as we realize operating leverage in the business.</w:t>
      </w:r>
    </w:p>
    <w:p>
      <w:pPr>
        <w:spacing w:after="0" w:line="1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Amortization of other acquired intangibles</w:t>
      </w:r>
      <w:r>
        <w:rPr>
          <w:rFonts w:ascii="Arial" w:cs="Arial" w:eastAsia="Arial" w:hAnsi="Arial"/>
          <w:sz w:val="18"/>
          <w:szCs w:val="18"/>
          <w:color w:val="auto"/>
        </w:rPr>
        <w:t>. Amortization of acquired intangibles primarily consists of amortization of customer relationships,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brand portfolios.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other acquired intangibles will increase if we make additional acquisitions in the future.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Restructuring and transaction-related expenses. </w:t>
      </w:r>
      <w:r>
        <w:rPr>
          <w:rFonts w:ascii="Arial" w:cs="Arial" w:eastAsia="Arial" w:hAnsi="Arial"/>
          <w:sz w:val="15"/>
          <w:szCs w:val="15"/>
          <w:color w:val="auto"/>
        </w:rPr>
        <w:t>Restructuring and transaction expenses primarily consist of various restructuring and acquisition</w:t>
      </w:r>
      <w:r>
        <w:rPr>
          <w:rFonts w:ascii="Arial" w:cs="Arial" w:eastAsia="Arial" w:hAnsi="Arial"/>
          <w:sz w:val="15"/>
          <w:szCs w:val="15"/>
          <w:i w:val="1"/>
          <w:iCs w:val="1"/>
          <w:color w:val="auto"/>
        </w:rPr>
        <w:t xml:space="preserve"> </w:t>
      </w:r>
      <w:r>
        <w:rPr>
          <w:rFonts w:ascii="Arial" w:cs="Arial" w:eastAsia="Arial" w:hAnsi="Arial"/>
          <w:sz w:val="15"/>
          <w:szCs w:val="15"/>
          <w:color w:val="auto"/>
        </w:rPr>
        <w:t>activities we 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represents the interest payable on our debt obligations and the amortization of debt discounts and debt issuance costs, less interest income.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interest expense could be impacted by changes in variable interest rates or the issuance of additional debt.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Modification and Extinguishment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Loss on debt modification and extinguishment </w:t>
      </w:r>
      <w:r>
        <w:rPr>
          <w:rFonts w:ascii="Arial" w:cs="Arial" w:eastAsia="Arial" w:hAnsi="Arial"/>
          <w:sz w:val="18"/>
          <w:szCs w:val="18"/>
          <w:color w:val="auto"/>
        </w:rPr>
        <w:t>consists of prepayment penalties and impairment of deferred financing costs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or extinguishment of debt, as well as new fees incurred with third parties in connection with debt modifications.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losses related to debt extinguishment will only occur if we extinguish indebtedness before the contractual repayment dates.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consists primarily of the revaluation of tax receivable agreement liabilities, investment income, and foreign currency 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unrealized gains and losses related to the impact of transactions denominated in a foreign currency.</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Changes to existing tax law including changes to the corporate income tax rates and the Company’s state tax footprint could lead to substantial revaluations of the tax receivable agreement liability recorded through other income and expense, net.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magnitude of other income and expenses, net may increase as we expand operations internationally and add complexity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ZoomInfo Technologies Inc. is treated as a U.S. corporation for U.S. federal, state, and local income tax purposes. Accordingly, a provision for income taxes will be recorded for the anticipated tax consequences of our reported results of operations for federal, state and local, and foreign income taxes. In addition to tax expenses, we also will make payments under the tax receivable agreements, which we expect to be significant.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three and six months ended June 30, 2023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8"/>
          </w:tcPr>
          <w:p>
            <w:pPr>
              <w:jc w:val="right"/>
              <w:ind w:right="63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45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90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millions)</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97"/>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20" w:type="dxa"/>
            <w:vAlign w:val="bottom"/>
            <w:tcBorders>
              <w:bottom w:val="single" w:sz="8" w:color="CCEEFF"/>
            </w:tcBorders>
          </w:tcPr>
          <w:p>
            <w:pPr>
              <w:spacing w:after="0"/>
              <w:rPr>
                <w:sz w:val="3"/>
                <w:szCs w:val="3"/>
                <w:color w:val="auto"/>
              </w:rPr>
            </w:pPr>
          </w:p>
        </w:tc>
        <w:tc>
          <w:tcPr>
            <w:tcW w:w="45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420" w:type="dxa"/>
            <w:vAlign w:val="bottom"/>
            <w:tcBorders>
              <w:bottom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609.3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85"/>
              </w:rPr>
              <w:t>68.7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65"/>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acquired technology</w:t>
            </w: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5"/>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1"/>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220.1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520.6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8"/>
        </w:trPr>
        <w:tc>
          <w:tcPr>
            <w:tcW w:w="3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20" w:type="dxa"/>
            <w:vAlign w:val="bottom"/>
            <w:shd w:val="clear" w:color="auto" w:fill="CCEEFF"/>
          </w:tcPr>
          <w:p>
            <w:pPr>
              <w:spacing w:after="0"/>
              <w:rPr>
                <w:sz w:val="21"/>
                <w:szCs w:val="21"/>
                <w:color w:val="auto"/>
              </w:rPr>
            </w:pPr>
          </w:p>
        </w:tc>
        <w:tc>
          <w:tcPr>
            <w:tcW w:w="4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65"/>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52.0</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85"/>
              </w:rPr>
              <w:t>94.3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65"/>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5"/>
              </w:rPr>
              <w:t>78.7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8"/>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Amortization of other acquired intangibles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85"/>
              </w:rPr>
              <w:t>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and transaction-related expenses</w:t>
            </w:r>
          </w:p>
        </w:tc>
        <w:tc>
          <w:tcPr>
            <w:tcW w:w="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180.6</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5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5"/>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8"/>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Loss on debt modification and extinguishment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1"/>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5"/>
              </w:rPr>
              <w:t>40.3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85"/>
              </w:rPr>
              <w:t>82.6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w:t>
            </w: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49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900" w:type="dxa"/>
            <w:vAlign w:val="bottom"/>
            <w:gridSpan w:val="2"/>
          </w:tcPr>
          <w:p>
            <w:pPr>
              <w:spacing w:after="0"/>
              <w:rPr>
                <w:sz w:val="20"/>
                <w:szCs w:val="20"/>
                <w:color w:val="auto"/>
              </w:rPr>
            </w:pPr>
            <w:r>
              <w:rPr>
                <w:rFonts w:ascii="Arial" w:cs="Arial" w:eastAsia="Arial" w:hAnsi="Arial"/>
                <w:sz w:val="14"/>
                <w:szCs w:val="14"/>
                <w:color w:val="auto"/>
              </w:rPr>
              <w:t>(1)  Includes equity-based compensation expense as follows:</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8"/>
          </w:tcPr>
          <w:p>
            <w:pPr>
              <w:jc w:val="right"/>
              <w:ind w:right="93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45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3"/>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36.5</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45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45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equity-based compensation expense</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and Three Months Ended June 30, 2022</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$308.6 million for the three months ended June 30, 2023, an increase of $41.5 million, or 16%, as compared to $267.1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2022. This increase was primarily due to the addition of new customers over the past 12 months partially offset by cancellations among existing customers.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$43.2 million for the three months ended June 30, 2023, a decrease of $3.8 million, or 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$47.0 million for the three months ended June 30, 2022. The decrease was primarily due to completion of amortization expense related to intangible assets from 2019 acquisition, offset by additional depreciation from internal use developed software.</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$205.8 million for the three months ended June 30, 2023, an increase of $25.2 million, or 14%,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$180.6 million for the three months ended June 30, 2022. Excluding equity-based compensation expenses, operating expenses were $162.9 million for the three months ended June 30, 2023, an increase of $24.3 million, or 18%, as compared to $138.6 million for the three months ended June 30, 2022. The increase excluding equity-based compensation was primarily due to:</w:t>
      </w:r>
    </w:p>
    <w:p>
      <w:pPr>
        <w:spacing w:after="0" w:line="138" w:lineRule="exact"/>
        <w:rPr>
          <w:sz w:val="20"/>
          <w:szCs w:val="20"/>
          <w:color w:val="auto"/>
        </w:rPr>
      </w:pPr>
    </w:p>
    <w:p>
      <w:pPr>
        <w:jc w:val="both"/>
        <w:ind w:left="640" w:hanging="316"/>
        <w:spacing w:after="0" w:line="277"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increase in sales and marketing expense (excluding equity-based compensation) of $10.2 million, or 14%, to $85.0 million for the three months ended June 30, 2023, due primarily to additional salaries and benefits expenses added to drive continued incremental sales, as well as additional commission expense and amortization of deferred commissions related to obtaining contracts with customers;</w:t>
      </w:r>
    </w:p>
    <w:p>
      <w:pPr>
        <w:spacing w:after="0" w:line="118" w:lineRule="exact"/>
        <w:rPr>
          <w:rFonts w:ascii="Arial" w:cs="Arial" w:eastAsia="Arial" w:hAnsi="Arial"/>
          <w:sz w:val="17"/>
          <w:szCs w:val="17"/>
          <w:color w:val="auto"/>
        </w:rPr>
      </w:pPr>
    </w:p>
    <w:p>
      <w:pPr>
        <w:jc w:val="both"/>
        <w:ind w:left="640" w:hanging="316"/>
        <w:spacing w:after="0" w:line="255"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equity-based compensation) of $2.4 million, or 7%, to $36.6 million for the three months ended June 30, 2023, due primarily to additional salaries and benefits expenses added to support continued innovation of our services and acquired products;</w:t>
      </w:r>
    </w:p>
    <w:p>
      <w:pPr>
        <w:spacing w:after="0" w:line="135"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an increase in general and administrative expense (excluding equity-based compensation) of $8.2 million, or 36%, to $31.1 million for the three months ended June 30, 2023, due primarily to increased accruals for bad debt and additional salaries and benefits expenses to support the larger organization;</w:t>
      </w:r>
    </w:p>
    <w:p>
      <w:pPr>
        <w:spacing w:after="0" w:line="135" w:lineRule="exact"/>
        <w:rPr>
          <w:rFonts w:ascii="Arial" w:cs="Arial" w:eastAsia="Arial" w:hAnsi="Arial"/>
          <w:sz w:val="18"/>
          <w:szCs w:val="18"/>
          <w:i w:val="1"/>
          <w:iCs w:val="1"/>
          <w:color w:val="auto"/>
        </w:rPr>
      </w:pPr>
    </w:p>
    <w:p>
      <w:pPr>
        <w:ind w:left="640" w:hanging="316"/>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decrease in amortization of acquired intangibles expense of $0.1 million, or 2%, to $5.5 million for the three months ended June 30, 2023; and</w:t>
      </w:r>
    </w:p>
    <w:p>
      <w:pPr>
        <w:spacing w:after="0" w:line="198" w:lineRule="exact"/>
        <w:rPr>
          <w:rFonts w:ascii="Arial" w:cs="Arial" w:eastAsia="Arial" w:hAnsi="Arial"/>
          <w:sz w:val="15"/>
          <w:szCs w:val="15"/>
          <w:color w:val="auto"/>
        </w:rPr>
      </w:pPr>
    </w:p>
    <w:p>
      <w:pPr>
        <w:jc w:val="both"/>
        <w:ind w:left="640" w:hanging="316"/>
        <w:spacing w:after="0" w:line="255"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and transaction-related expense of $4.7 million for the three months ended June 30, 2023. This represented an increase of $3.6 million, or 327%, as compared to expense of $1.1 million for the three months ended June 30, 2022, which were primarily comprised of costs incurred related to a June 2023 reduction in force.</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Equity-based Compensation Expense</w:t>
      </w:r>
      <w:r>
        <w:rPr>
          <w:rFonts w:ascii="Arial" w:cs="Arial" w:eastAsia="Arial" w:hAnsi="Arial"/>
          <w:sz w:val="18"/>
          <w:szCs w:val="18"/>
          <w:color w:val="auto"/>
        </w:rPr>
        <w:t>. Equity-based compensation expense was $46.3 million for the three months ended June 30, 2023,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$0.7 million, or 1%, as compared to $47.0 million for the three months ended June 30, 2022, primarily due to slower headcount growth and higher forfeitures of unvested awards.</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was $7.1 million for the three months ended June 30, 2023, which primarily consists of $6.5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and $1.1 million of TRA remeasurement gain, offset by $0.5 million of loss on foreign currency transactions, as compared to other expense of $1.4 million for the three months ended June 30, 2022, which primarily consists of $1.6 million of loss on foreign currency transactions, offset by $0.3 million of investment income.</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$12.0 million for the three months ended June 30, 2023, an increase of $0.3 million, or 3%,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$11.7 million for the three months ended June 30, 2022. The increase was primarily due to fluctuations in derivative instruments, partially offset by increases in deposit rates that drove incremental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Expense from income taxes for the three months ended June 30, 2023 was $16.6 million, representing an effective tax rate of 30.3%,</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expense from income taxes of $10.5 million for the three months ended June 30, 2022, representing an effective tax rate of 39.8%. The decrease in the effective tax rate was primarily due to a reduction in non-deductible equity-based compensation in 2023 compared to 2022. The current quarter's effective tax rate differed from the U.S. federal statutory rate due to U.S. state taxes, foreign taxes, non-deductible equity compensation expense, offset by research and development credits.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and Six Months Ended June 30, 2022</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$609.3 million for the six months ended June 30, 2023, an increase of $100.5 million, or 20%, as compared to $508.8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2022. This increase was primarily due to the addition of new customers over the past 12 months partially offset by cancellations among existing customers.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$88.7 million for the six months ended June 30, 2023, a decrease of $2.3 million, or 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$91.0 million for the six months ended June 30, 2022. The decrease was primarily due to completion of amortization expense related to intangible assets from 2019 acquisition, offset by additional depreciation from internal use developed software.</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$394.7 million for the six months ended June 30, 2023, an increase of $48.8 million, or 14%,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$345.9 million for the six months ended June 30, 2022. Excluding equity-based compensation expenses, operating expenses were $318.2 million for the six months ended June 30, 2023, an increase of $52.2 million, or 20%, as compared to $266.0 million for the six months ended June 30, 2022. The increase excluding equity-based compensation was primarily due to:</w:t>
      </w:r>
    </w:p>
    <w:p>
      <w:pPr>
        <w:spacing w:after="0" w:line="138" w:lineRule="exact"/>
        <w:rPr>
          <w:sz w:val="20"/>
          <w:szCs w:val="20"/>
          <w:color w:val="auto"/>
        </w:rPr>
      </w:pPr>
    </w:p>
    <w:p>
      <w:pPr>
        <w:jc w:val="both"/>
        <w:ind w:left="640" w:hanging="316"/>
        <w:spacing w:after="0" w:line="277" w:lineRule="auto"/>
        <w:tabs>
          <w:tab w:leader="none" w:pos="640" w:val="left"/>
        </w:tabs>
        <w:numPr>
          <w:ilvl w:val="0"/>
          <w:numId w:val="19"/>
        </w:numPr>
        <w:rPr>
          <w:rFonts w:ascii="Arial" w:cs="Arial" w:eastAsia="Arial" w:hAnsi="Arial"/>
          <w:sz w:val="17"/>
          <w:szCs w:val="17"/>
          <w:i w:val="1"/>
          <w:iCs w:val="1"/>
          <w:color w:val="auto"/>
        </w:rPr>
      </w:pPr>
      <w:r>
        <w:rPr>
          <w:rFonts w:ascii="Arial" w:cs="Arial" w:eastAsia="Arial" w:hAnsi="Arial"/>
          <w:sz w:val="17"/>
          <w:szCs w:val="17"/>
          <w:color w:val="auto"/>
        </w:rPr>
        <w:t>an increase in sales and marketing expense (excluding equity-based compensation) of $25.9 million, or 18%, to $168.7 million for the six months ended June 30, 2023, due primarily to additional salaries and benefits expenses added to drive continued incremental sales, as well as additional commission expense and amortization of deferred commissions related to obtaining contracts with customers;</w:t>
      </w:r>
    </w:p>
    <w:p>
      <w:pPr>
        <w:spacing w:after="0" w:line="118" w:lineRule="exact"/>
        <w:rPr>
          <w:rFonts w:ascii="Arial" w:cs="Arial" w:eastAsia="Arial" w:hAnsi="Arial"/>
          <w:sz w:val="17"/>
          <w:szCs w:val="17"/>
          <w:i w:val="1"/>
          <w:iCs w:val="1"/>
          <w:color w:val="auto"/>
        </w:rPr>
      </w:pPr>
    </w:p>
    <w:p>
      <w:pPr>
        <w:jc w:val="both"/>
        <w:ind w:left="640" w:hanging="316"/>
        <w:spacing w:after="0" w:line="255" w:lineRule="auto"/>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an increase in research and development expense (excluding equity-based compensation) of $7.8 million, or 12%, to $72.0 million for the six months ended June 30, 2023, due primarily to additional salaries and benefits expenses added to support continued innovation of our services and acquired products;</w:t>
      </w:r>
    </w:p>
    <w:p>
      <w:pPr>
        <w:spacing w:after="0" w:line="135" w:lineRule="exact"/>
        <w:rPr>
          <w:rFonts w:ascii="Arial" w:cs="Arial" w:eastAsia="Arial" w:hAnsi="Arial"/>
          <w:sz w:val="18"/>
          <w:szCs w:val="18"/>
          <w:i w:val="1"/>
          <w:iCs w:val="1"/>
          <w:color w:val="auto"/>
        </w:rPr>
      </w:pPr>
    </w:p>
    <w:p>
      <w:pPr>
        <w:jc w:val="both"/>
        <w:ind w:left="640" w:hanging="316"/>
        <w:spacing w:after="0" w:line="255" w:lineRule="auto"/>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an increase in general and administrative expense (excluding equity-based compensation) of $17.1 million, or 38%, to $61.6 million for the six months ended June 30, 2023, due primarily to increased accruals for bad debt and additional salaries and benefits expenses to support the larger organization;</w:t>
      </w:r>
    </w:p>
    <w:p>
      <w:pPr>
        <w:spacing w:after="0" w:line="135" w:lineRule="exact"/>
        <w:rPr>
          <w:rFonts w:ascii="Arial" w:cs="Arial" w:eastAsia="Arial" w:hAnsi="Arial"/>
          <w:sz w:val="18"/>
          <w:szCs w:val="18"/>
          <w:i w:val="1"/>
          <w:iCs w:val="1"/>
          <w:color w:val="auto"/>
        </w:rPr>
      </w:pPr>
    </w:p>
    <w:p>
      <w:pPr>
        <w:ind w:left="640" w:hanging="316"/>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amortization of acquired intangibles expense of $0.2 million, or 2%, to $11.1 million for the six months ended June 30, 2023, due to amortization expense related to intangible assets from 2022 acquisitions; and</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restructuring and transaction-related expense of $4.8 million for the six months ended June 30, 2023. This represented an increase of $1.2 million, or 33%, as compared to expense of $3.6 million for the six months ended June 30, 2022, which were primarily comprised of costs incurred related to a June 2023 reduction in force, offset by the reduction of costs related to acquisitions.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Equity-based Compensation Expense</w:t>
      </w:r>
      <w:r>
        <w:rPr>
          <w:rFonts w:ascii="Arial" w:cs="Arial" w:eastAsia="Arial" w:hAnsi="Arial"/>
          <w:sz w:val="18"/>
          <w:szCs w:val="18"/>
          <w:color w:val="auto"/>
        </w:rPr>
        <w:t>. Equity-based compensation expense was $84.0 million for the six months ended June 30, 2023,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$5.5 million, or 6%, as compared to $89.5 million for the six months ended June 30, 2022, primarily due to slower headcount growth and higher forfeitures of unvested awards.</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was $21.1 million for the six months ended June 30, 2023, which primarily consists of $11.2 million of TRA</w:t>
      </w:r>
      <w:r>
        <w:rPr>
          <w:rFonts w:ascii="Arial" w:cs="Arial" w:eastAsia="Arial" w:hAnsi="Arial"/>
          <w:sz w:val="18"/>
          <w:szCs w:val="18"/>
          <w:i w:val="1"/>
          <w:iCs w:val="1"/>
          <w:color w:val="auto"/>
        </w:rPr>
        <w:t xml:space="preserve"> </w:t>
      </w:r>
      <w:r>
        <w:rPr>
          <w:rFonts w:ascii="Arial" w:cs="Arial" w:eastAsia="Arial" w:hAnsi="Arial"/>
          <w:sz w:val="18"/>
          <w:szCs w:val="18"/>
          <w:color w:val="auto"/>
        </w:rPr>
        <w:t>remeasurement gain and $10.5 million of investment income, offset by $0.6 million of loss on foreign currency transactions, as compared to other expense of $2.8 million for the six months ended June 30, 2022, which primarily consists of $2.2 million on loss on foreign currency transactions and $0.9 million of TRA remeasurement loss, offset by $0.3 million of investment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Interest Expense, Net</w:t>
      </w:r>
      <w:r>
        <w:rPr>
          <w:rFonts w:ascii="Arial" w:cs="Arial" w:eastAsia="Arial" w:hAnsi="Arial"/>
          <w:sz w:val="15"/>
          <w:szCs w:val="15"/>
          <w:color w:val="auto"/>
        </w:rPr>
        <w:t>. Interest expense, net was $21.9 million for the six months ended June 30, 2023, a decrease of $1.6 million, or 7%, as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$23.5 million for the six months ended June 30, 2022. The decrease was primarily due to increases in deposit rates that drove incremental interest income.</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Expense from income taxes for the six months ended June 30, 2023 was $40.3 million, representing an effective tax rate of 32.8%,</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expense from income taxes of $23.5 million for the six months ended June 30, 2022, representing an effective tax rate of 51.6%. The decrease in the effective tax rate was primarily due to a reduction in non-deductible equity-based compensation in 2023 compared to 2022. The current quarter's effective tax rate differed from the U.S. federal statutory rate due to U.S. state taxes, foreign taxes, non-deductible equity compensation expense, offset by research and development credits.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2023, we had $509.7 million of cash and cash equivalents, $150.6 million of short-term investments, and $250.0 million available under our first lien revolving credit facility. We have financed our operations primarily through cash generated from operations.</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8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generally invoice our subscription customers annually, semi-annually, or quarterly in advance of our subscription services.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June 30, 2023, we had unearned revenue of $443.1 million, of which $438.1 million was recorded as a current liability and is expected to be recorded as revenue in the next 12 months, provided all other revenue recognition criteria have been met.</w:t>
      </w:r>
    </w:p>
    <w:p>
      <w:pPr>
        <w:spacing w:after="0" w:line="9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2022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Six Months Ended June 30,</w:t>
            </w:r>
          </w:p>
        </w:tc>
      </w:tr>
      <w:tr>
        <w:trPr>
          <w:trHeight w:val="38"/>
        </w:trPr>
        <w:tc>
          <w:tcPr>
            <w:tcW w:w="79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1"/>
        </w:trPr>
        <w:tc>
          <w:tcPr>
            <w:tcW w:w="79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38"/>
        </w:trPr>
        <w:tc>
          <w:tcPr>
            <w:tcW w:w="79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500" w:type="dxa"/>
            <w:vAlign w:val="bottom"/>
            <w:tcBorders>
              <w:bottom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r>
      <w:tr>
        <w:trPr>
          <w:trHeight w:val="238"/>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8"/>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58"/>
        </w:trPr>
        <w:tc>
          <w:tcPr>
            <w:tcW w:w="7960" w:type="dxa"/>
            <w:vAlign w:val="bottom"/>
          </w:tcPr>
          <w:p>
            <w:pPr>
              <w:ind w:left="220"/>
              <w:spacing w:after="0"/>
              <w:rPr>
                <w:sz w:val="20"/>
                <w:szCs w:val="20"/>
                <w:color w:val="auto"/>
              </w:rPr>
            </w:pPr>
            <w:r>
              <w:rPr>
                <w:rFonts w:ascii="Arial" w:cs="Arial" w:eastAsia="Arial" w:hAnsi="Arial"/>
                <w:sz w:val="18"/>
                <w:szCs w:val="18"/>
                <w:color w:val="auto"/>
              </w:rPr>
              <w:t>Net increase in cash and cash equivalents and restricted cash</w:t>
            </w: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0"/>
        </w:trPr>
        <w:tc>
          <w:tcPr>
            <w:tcW w:w="7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Operating Activities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Net cash provided by operations was $225.2 million for the six months ended June 30, 2023 as a result of net income of $82.6 million, adjusted by non-cash charges of $209.1 million and the change in our operating assets net of operating liabilities of $66.5 million. The non-cash charges are primarily comprised of equity-based compensation of $84.0 million, a decrease in deferred tax assets net of deferred tax liabilities of $42.0 million, depreciation and amortization of $40.7 million, amortization of deferred commission costs of $38.3 million, and provision for bad debt expense of $11.3 million, partially offset by tax receivable agreement remeasurement of $11.2 million. The change in operating assets net of operating liabilities was primarily the result of an increase in deferred costs and other assets of $39.2 million, a decrease in accrued expenses and other liabilities of $28.5 million, a decrease in accounts payable of $12.7 million. an increase in prepaid expenses and other current assets of $11.0 million, partially offset by an increase in unearned revenue of $23.2 million.</w:t>
      </w:r>
    </w:p>
    <w:p>
      <w:pPr>
        <w:spacing w:after="0" w:line="10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Net cash provided by operations was $211.2 million for the six months ended June 30, 2022 as a result of net income of $22.1 million, adjusted by non-cash charges of $183.5 million and the change in our operating assets net of operating liabilities of $5.6 million. The non-cash charges are primarily comprised of equity-based compensation of $89.5 million, depreciation and amortization of $42.5 million, amortization of deferred commission costs of $30.0 million, and a decrease in deferred tax assets net of deferred tax liabilities of $18.5 million. The change in operating assets net of operating liabilities was primarily the result of an increase in unearned revenue of $40.8 million, and a decrease in accounts receivable of $26.8 million, partially offset by an increase in deferred costs and other assets of $38.5 million, and a decrease in accrued expenses and other liabilities of $22.7 million.</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six months ended June 30, 2023, and 2022, we incurred the following cash expenditures: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Six Months Ended June 30,</w:t>
            </w:r>
          </w:p>
        </w:tc>
      </w:tr>
      <w:tr>
        <w:trPr>
          <w:trHeight w:val="38"/>
        </w:trPr>
        <w:tc>
          <w:tcPr>
            <w:tcW w:w="79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1"/>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r>
      <w:tr>
        <w:trPr>
          <w:trHeight w:val="38"/>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interest expense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65"/>
        </w:trPr>
        <w:tc>
          <w:tcPr>
            <w:tcW w:w="7980" w:type="dxa"/>
            <w:vAlign w:val="bottom"/>
          </w:tcPr>
          <w:p>
            <w:pPr>
              <w:ind w:left="20"/>
              <w:spacing w:after="0"/>
              <w:rPr>
                <w:sz w:val="20"/>
                <w:szCs w:val="20"/>
                <w:color w:val="auto"/>
              </w:rPr>
            </w:pPr>
            <w:r>
              <w:rPr>
                <w:rFonts w:ascii="Arial" w:cs="Arial" w:eastAsia="Arial" w:hAnsi="Arial"/>
                <w:sz w:val="18"/>
                <w:szCs w:val="18"/>
                <w:color w:val="auto"/>
              </w:rPr>
              <w:t>Restructuring and transaction-related expenses paid in cash</w:t>
            </w:r>
            <w:r>
              <w:rPr>
                <w:rFonts w:ascii="Arial" w:cs="Arial" w:eastAsia="Arial" w:hAnsi="Arial"/>
                <w:sz w:val="22"/>
                <w:szCs w:val="22"/>
                <w:color w:val="auto"/>
                <w:vertAlign w:val="superscript"/>
              </w:rPr>
              <w:t>(a)</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Integration costs and acquisition-related compensation paid in cash</w:t>
            </w:r>
            <w:r>
              <w:rPr>
                <w:rFonts w:ascii="Arial" w:cs="Arial" w:eastAsia="Arial" w:hAnsi="Arial"/>
                <w:sz w:val="22"/>
                <w:szCs w:val="22"/>
                <w:color w:val="auto"/>
                <w:vertAlign w:val="superscript"/>
              </w:rPr>
              <w:t>(b)</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bl>
    <w:p>
      <w:pPr>
        <w:spacing w:after="0" w:line="246" w:lineRule="exact"/>
        <w:rPr>
          <w:sz w:val="20"/>
          <w:szCs w:val="20"/>
          <w:color w:val="auto"/>
        </w:rPr>
      </w:pPr>
    </w:p>
    <w:p>
      <w:pPr>
        <w:jc w:val="both"/>
        <w:ind w:left="320" w:hanging="314"/>
        <w:spacing w:after="0" w:line="273" w:lineRule="auto"/>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cash payments directly associated with acquisition or disposal activities, including employee severance and termination benefits, contract termination fees and penalties, and other exit or disposal costs. For the six months ended June 30, 2023, these payments related primarily to a June 2023 reduction in force, legal costs paid related to 2021 and 2022 acquisitions, and Waltham sublease costs. For the six months ended June 30, 2022, these payments related primarily to transition bonuses paid related to 2021 and 2022 acquisitions.</w:t>
      </w:r>
    </w:p>
    <w:p>
      <w:pPr>
        <w:jc w:val="both"/>
        <w:ind w:left="320" w:hanging="314"/>
        <w:spacing w:after="0" w:line="265" w:lineRule="auto"/>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integration activities for acquisitions and acquisition-related compensation, which includes transaction bonuses and retention awards. For the six months ended June 30, 2023, these payments related to retention compensation from the Insent acquisition. For the six months ended June 30, 2022, these payments related to retention awards from the acquisitions of Clickagy, Everstring, and Insent, and professional fees relating to integration projects.</w:t>
      </w:r>
    </w:p>
    <w:p>
      <w:pPr>
        <w:spacing w:after="0" w:line="22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Investing Activities</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Cash used in investing activities for the six months ended June 30, 2023 was $33.0 million, consisting of purchases of short-term investments of $114.7 million, purchases of property and equipment and other assets of $12.6 million, partially offset by maturities of short-term investments of $94.3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used in investing activities for the six months ended June 30, 2022 was $153.0 million, consisting of cash paid for acquisitions of $143.6 million, purchases of short-term investments of $15.2 million, purchases of property and equipment and other assets of $14.8 million, partially offset by maturities of short-term investments of $20.6 million.</w:t>
      </w:r>
    </w:p>
    <w:p>
      <w:pPr>
        <w:spacing w:after="0" w:line="135" w:lineRule="exact"/>
        <w:rPr>
          <w:sz w:val="20"/>
          <w:szCs w:val="20"/>
          <w:color w:val="auto"/>
        </w:rPr>
      </w:pPr>
    </w:p>
    <w:p>
      <w:pPr>
        <w:ind w:right="180" w:firstLine="318"/>
        <w:spacing w:after="0" w:line="430" w:lineRule="auto"/>
        <w:rPr>
          <w:sz w:val="20"/>
          <w:szCs w:val="20"/>
          <w:color w:val="auto"/>
        </w:rPr>
      </w:pPr>
      <w:r>
        <w:rPr>
          <w:rFonts w:ascii="Arial" w:cs="Arial" w:eastAsia="Arial" w:hAnsi="Arial"/>
          <w:sz w:val="18"/>
          <w:szCs w:val="18"/>
          <w:color w:val="auto"/>
        </w:rPr>
        <w:t xml:space="preserve">As we continue to grow and invest in our business, we expect to continue to invest in property and equipment and opportunistically pursue acquisitions. </w:t>
      </w:r>
      <w:r>
        <w:rPr>
          <w:rFonts w:ascii="Arial" w:cs="Arial" w:eastAsia="Arial" w:hAnsi="Arial"/>
          <w:sz w:val="18"/>
          <w:szCs w:val="18"/>
          <w:i w:val="1"/>
          <w:iCs w:val="1"/>
          <w:color w:val="auto"/>
        </w:rPr>
        <w:t>Cash Flows from (used in) Financing Activities</w:t>
      </w:r>
    </w:p>
    <w:p>
      <w:pPr>
        <w:jc w:val="both"/>
        <w:ind w:firstLine="318"/>
        <w:spacing w:after="0" w:line="318" w:lineRule="auto"/>
        <w:rPr>
          <w:sz w:val="20"/>
          <w:szCs w:val="20"/>
          <w:color w:val="auto"/>
        </w:rPr>
      </w:pPr>
      <w:r>
        <w:rPr>
          <w:rFonts w:ascii="Arial" w:cs="Arial" w:eastAsia="Arial" w:hAnsi="Arial"/>
          <w:sz w:val="15"/>
          <w:szCs w:val="15"/>
          <w:color w:val="auto"/>
        </w:rPr>
        <w:t>Cash used in financing activities for the six months ended June 30, 2023 was $96.9 million, primarily comprised of payments relating to the repurchase of common stock of $87.0 million, payments of taxes related to net share settlement of equity awards of $8.6 million, repayment of debt of $3.0 million, payments of debt issuance and modification costs of $2.7 million, and payments of deferred consideration of $0.4 million, partially offset by proceeds from issuance of common stock under the employee stock purchase plan of $4.4 million, and proceeds from exercise of stock options of $0.4 million.</w:t>
      </w:r>
    </w:p>
    <w:p>
      <w:pPr>
        <w:spacing w:after="0" w:line="9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Cash used in financing activities for the six months ended June 30, 2022 was $13.8 million, primarily comprised of payments of taxes related to net share settlement of equity awards of $7.6 million, payments related to our tax receivable agreements of $5.0 million, payments of deferred consideration of $1.1 million. payments of issuance fees from prior transactions of $0.7 million, partially offset by proceeds from exercise of stock options of $0.6 million.</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Refer to Note 8 - Financing Arrangements of our consolidated financial statements for additional information related to each of our borrowings.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of June 30, 2023, the Company has a remaining balance of $597.0 million with respect to its first lien term loans. The Company is obligated to make principal payments in the amount of 0.25% of the aggregate outstanding amount each quarter, with the remaining balance due at the contractual maturity date of February 28, 2030. As of June 30, 2023, the aggregate remaining balance of $650.0 million of 3.875% Senior Notes is due, in its entirety, at the contractual maturity date of February 1, 2029. Interest on the Senior Notes is payable semi-annually in arrears beginning on August 1, 2021. The foregoing currently represent the only existing required future debt principal repayment obligations that will require future uses of the Company’s cash.</w:t>
      </w:r>
    </w:p>
    <w:p>
      <w:pPr>
        <w:spacing w:after="0" w:line="9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first lien term debt has a variable interest rate whereby the Company can elect to use a Base Rate or SOFR plus an applicable rate. The applicable rate is 1.75% for Base Rate loans or 2.75% for SOFR loans, plus a credit spread adjustment of 0.1%, depending on the Company’s leverage. The first lien revolving credit facility, which had no amount outstanding as of June 30, 2023, has a variable interest rate whereby the Company can elect to use a Base Rate or SOFR plus an applicable rate. The applicable margin is 1.00% to 1.25% for Base Rate loans or 2.10% to 2.35% for SOFR loans, depending on the Company’s leverage. The effective interest rate on the first lien debt was 7.36% and 7.38% as of June 30, 2023 and December 31, 2022, respectively.</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June 30, 2023 was $510.3 million. Our total net leverage ratio to Adjusted EBITDA as of June 30, 2023 was 1.1x.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8"/>
        </w:trPr>
        <w:tc>
          <w:tcPr>
            <w:tcW w:w="8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1,247.0</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Less: Cash and cash equivalents, restricted cash, and short-term investments</w:t>
            </w:r>
          </w:p>
        </w:tc>
        <w:tc>
          <w:tcPr>
            <w:tcW w:w="1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670.0</w:t>
            </w:r>
          </w:p>
        </w:tc>
      </w:tr>
      <w:tr>
        <w:trPr>
          <w:trHeight w:val="28"/>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color w:val="auto"/>
              </w:rPr>
              <w:t>Trailing Twelve Months (TTM) Adjusted EBITDA</w:t>
            </w:r>
          </w:p>
        </w:tc>
        <w:tc>
          <w:tcPr>
            <w:tcW w:w="1180" w:type="dxa"/>
            <w:vAlign w:val="bottom"/>
            <w:tcBorders>
              <w:top w:val="single" w:sz="8" w:color="auto"/>
            </w:tcBorders>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510.3</w:t>
            </w:r>
          </w:p>
        </w:tc>
      </w:tr>
      <w:tr>
        <w:trPr>
          <w:trHeight w:val="28"/>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leverage ratio to Adjusted EBITDA</w:t>
            </w:r>
          </w:p>
        </w:tc>
        <w:tc>
          <w:tcPr>
            <w:tcW w:w="1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consolidated first lien net leverage ratio is defined in the agreement governing our existing first lien credit facilities (the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June 30, 2023 was $547.0 million. Our consolidated first lien net leverage ratio as of June 30, 2023 was -(0.1)x.</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8"/>
        </w:trPr>
        <w:tc>
          <w:tcPr>
            <w:tcW w:w="8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maturity of First Lien indebtedness</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7"/>
              </w:rPr>
              <w:t>597.0</w:t>
            </w:r>
          </w:p>
        </w:tc>
      </w:tr>
      <w:tr>
        <w:trPr>
          <w:trHeight w:val="258"/>
        </w:trPr>
        <w:tc>
          <w:tcPr>
            <w:tcW w:w="8400" w:type="dxa"/>
            <w:vAlign w:val="bottom"/>
          </w:tcPr>
          <w:p>
            <w:pPr>
              <w:ind w:left="20"/>
              <w:spacing w:after="0"/>
              <w:rPr>
                <w:sz w:val="20"/>
                <w:szCs w:val="20"/>
                <w:color w:val="auto"/>
              </w:rPr>
            </w:pPr>
            <w:r>
              <w:rPr>
                <w:rFonts w:ascii="Arial" w:cs="Arial" w:eastAsia="Arial" w:hAnsi="Arial"/>
                <w:sz w:val="18"/>
                <w:szCs w:val="18"/>
                <w:color w:val="auto"/>
              </w:rPr>
              <w:t>Less: Cash and cash equivalents, and short-term investments</w:t>
            </w:r>
          </w:p>
        </w:tc>
        <w:tc>
          <w:tcPr>
            <w:tcW w:w="1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7"/>
              </w:rPr>
              <w:t>660.3</w:t>
            </w: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1240" w:type="dxa"/>
            <w:vAlign w:val="bottom"/>
            <w:tcBorders>
              <w:bottom w:val="single" w:sz="8" w:color="auto"/>
            </w:tcBorders>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93"/>
              </w:rPr>
              <w:t>(63.3)</w:t>
            </w:r>
          </w:p>
        </w:tc>
      </w:tr>
      <w:tr>
        <w:trPr>
          <w:trHeight w:val="258"/>
        </w:trPr>
        <w:tc>
          <w:tcPr>
            <w:tcW w:w="8400" w:type="dxa"/>
            <w:vAlign w:val="bottom"/>
          </w:tcPr>
          <w:p>
            <w:pPr>
              <w:ind w:left="20"/>
              <w:spacing w:after="0"/>
              <w:rPr>
                <w:sz w:val="20"/>
                <w:szCs w:val="20"/>
                <w:color w:val="auto"/>
              </w:rPr>
            </w:pPr>
            <w:r>
              <w:rPr>
                <w:rFonts w:ascii="Arial" w:cs="Arial" w:eastAsia="Arial" w:hAnsi="Arial"/>
                <w:sz w:val="18"/>
                <w:szCs w:val="18"/>
                <w:color w:val="auto"/>
              </w:rPr>
              <w:t>Trailing Twelve Months (TTM) Cash EBITDA</w:t>
            </w:r>
          </w:p>
        </w:tc>
        <w:tc>
          <w:tcPr>
            <w:tcW w:w="1240" w:type="dxa"/>
            <w:vAlign w:val="bottom"/>
            <w:tcBorders>
              <w:bottom w:val="single" w:sz="8" w:color="auto"/>
            </w:tcBorders>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7"/>
              </w:rPr>
              <w:t>547.0</w:t>
            </w:r>
          </w:p>
        </w:tc>
      </w:tr>
      <w:tr>
        <w:trPr>
          <w:trHeight w:val="289"/>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Consolidated first lien net leverage ratio</w:t>
            </w:r>
          </w:p>
        </w:tc>
        <w:tc>
          <w:tcPr>
            <w:tcW w:w="1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1"/>
              </w:rPr>
              <w:t>(0.1)x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June 30, 2023 was $547.0 million. Our total net leverage ratio to Cash EBITDA as of June 30, 2023 was 1.1x.</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8"/>
        </w:trPr>
        <w:tc>
          <w:tcPr>
            <w:tcW w:w="8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1,247.0</w:t>
            </w:r>
          </w:p>
        </w:tc>
      </w:tr>
      <w:tr>
        <w:trPr>
          <w:trHeight w:val="238"/>
        </w:trPr>
        <w:tc>
          <w:tcPr>
            <w:tcW w:w="8400" w:type="dxa"/>
            <w:vAlign w:val="bottom"/>
          </w:tcPr>
          <w:p>
            <w:pPr>
              <w:ind w:left="20"/>
              <w:spacing w:after="0"/>
              <w:rPr>
                <w:sz w:val="20"/>
                <w:szCs w:val="20"/>
                <w:color w:val="auto"/>
              </w:rPr>
            </w:pPr>
            <w:r>
              <w:rPr>
                <w:rFonts w:ascii="Arial" w:cs="Arial" w:eastAsia="Arial" w:hAnsi="Arial"/>
                <w:sz w:val="18"/>
                <w:szCs w:val="18"/>
                <w:color w:val="auto"/>
              </w:rPr>
              <w:t>Less: Cash and cash equivalents, restricted cash, and short-term investments</w:t>
            </w:r>
          </w:p>
        </w:tc>
        <w:tc>
          <w:tcPr>
            <w:tcW w:w="1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670.0</w:t>
            </w:r>
          </w:p>
        </w:tc>
      </w:tr>
      <w:tr>
        <w:trPr>
          <w:trHeight w:val="28"/>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color w:val="auto"/>
              </w:rPr>
              <w:t>Trailing Twelve Months (TTM) Cash EBITDA</w:t>
            </w:r>
          </w:p>
        </w:tc>
        <w:tc>
          <w:tcPr>
            <w:tcW w:w="1180" w:type="dxa"/>
            <w:vAlign w:val="bottom"/>
            <w:tcBorders>
              <w:top w:val="single" w:sz="8" w:color="auto"/>
            </w:tcBorders>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547.0</w:t>
            </w:r>
          </w:p>
        </w:tc>
      </w:tr>
      <w:tr>
        <w:trPr>
          <w:trHeight w:val="28"/>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leverage ratio to Cash EBITDA</w:t>
            </w:r>
          </w:p>
        </w:tc>
        <w:tc>
          <w:tcPr>
            <w:tcW w:w="1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00" w:type="dxa"/>
            <w:vAlign w:val="bottom"/>
          </w:tcPr>
          <w:p>
            <w:pPr>
              <w:jc w:val="right"/>
              <w:ind w:right="453"/>
              <w:spacing w:after="0"/>
              <w:rPr>
                <w:sz w:val="20"/>
                <w:szCs w:val="20"/>
                <w:color w:val="auto"/>
              </w:rPr>
            </w:pPr>
            <w:r>
              <w:rPr>
                <w:rFonts w:ascii="Arial" w:cs="Arial" w:eastAsia="Arial" w:hAnsi="Arial"/>
                <w:sz w:val="14"/>
                <w:szCs w:val="14"/>
                <w:b w:val="1"/>
                <w:bCs w:val="1"/>
                <w:color w:val="auto"/>
              </w:rPr>
              <w:t>Trailing Twelve Months as of</w:t>
            </w:r>
          </w:p>
        </w:tc>
      </w:tr>
      <w:tr>
        <w:trPr>
          <w:trHeight w:val="225"/>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9"/>
                <w:szCs w:val="19"/>
                <w:color w:val="auto"/>
              </w:rPr>
            </w:pPr>
          </w:p>
        </w:tc>
        <w:tc>
          <w:tcPr>
            <w:tcW w:w="2500" w:type="dxa"/>
            <w:vAlign w:val="bottom"/>
          </w:tcPr>
          <w:p>
            <w:pPr>
              <w:jc w:val="right"/>
              <w:ind w:right="913"/>
              <w:spacing w:after="0"/>
              <w:rPr>
                <w:sz w:val="20"/>
                <w:szCs w:val="20"/>
                <w:color w:val="auto"/>
              </w:rPr>
            </w:pPr>
            <w:r>
              <w:rPr>
                <w:rFonts w:ascii="Arial" w:cs="Arial" w:eastAsia="Arial" w:hAnsi="Arial"/>
                <w:sz w:val="14"/>
                <w:szCs w:val="14"/>
                <w:b w:val="1"/>
                <w:bCs w:val="1"/>
                <w:color w:val="auto"/>
              </w:rPr>
              <w:t>June 30, 2023</w:t>
            </w:r>
          </w:p>
        </w:tc>
      </w:tr>
      <w:tr>
        <w:trPr>
          <w:trHeight w:val="38"/>
        </w:trPr>
        <w:tc>
          <w:tcPr>
            <w:tcW w:w="84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r>
      <w:tr>
        <w:trPr>
          <w:trHeight w:val="23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37"/>
        </w:trPr>
        <w:tc>
          <w:tcPr>
            <w:tcW w:w="8400" w:type="dxa"/>
            <w:vAlign w:val="bottom"/>
          </w:tcPr>
          <w:p>
            <w:pPr>
              <w:ind w:left="120"/>
              <w:spacing w:after="0"/>
              <w:rPr>
                <w:sz w:val="20"/>
                <w:szCs w:val="20"/>
                <w:color w:val="auto"/>
              </w:rPr>
            </w:pPr>
            <w:r>
              <w:rPr>
                <w:rFonts w:ascii="Arial" w:cs="Arial" w:eastAsia="Arial" w:hAnsi="Arial"/>
                <w:sz w:val="18"/>
                <w:szCs w:val="18"/>
                <w:color w:val="auto"/>
              </w:rPr>
              <w:t>Add: Expense from income taxes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37"/>
        </w:trPr>
        <w:tc>
          <w:tcPr>
            <w:tcW w:w="8400" w:type="dxa"/>
            <w:vAlign w:val="bottom"/>
          </w:tcPr>
          <w:p>
            <w:pPr>
              <w:ind w:left="120"/>
              <w:spacing w:after="0"/>
              <w:rPr>
                <w:sz w:val="20"/>
                <w:szCs w:val="20"/>
                <w:color w:val="auto"/>
              </w:rPr>
            </w:pPr>
            <w:r>
              <w:rPr>
                <w:rFonts w:ascii="Arial" w:cs="Arial" w:eastAsia="Arial" w:hAnsi="Arial"/>
                <w:sz w:val="18"/>
                <w:szCs w:val="18"/>
                <w:color w:val="auto"/>
              </w:rPr>
              <w:t>Add: Loss on debt modification and extinguishment</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7"/>
        </w:trPr>
        <w:tc>
          <w:tcPr>
            <w:tcW w:w="8400" w:type="dxa"/>
            <w:vAlign w:val="bottom"/>
          </w:tcPr>
          <w:p>
            <w:pPr>
              <w:ind w:left="120"/>
              <w:spacing w:after="0"/>
              <w:rPr>
                <w:sz w:val="20"/>
                <w:szCs w:val="20"/>
                <w:color w:val="auto"/>
              </w:rPr>
            </w:pPr>
            <w:r>
              <w:rPr>
                <w:rFonts w:ascii="Arial" w:cs="Arial" w:eastAsia="Arial" w:hAnsi="Arial"/>
                <w:sz w:val="18"/>
                <w:szCs w:val="18"/>
                <w:color w:val="auto"/>
              </w:rPr>
              <w:t>Add: Amortization of acquired technology</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Amortization of other acquired 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406.1</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340" w:type="dxa"/>
            <w:vAlign w:val="bottom"/>
            <w:shd w:val="clear" w:color="auto" w:fill="CCEEFF"/>
          </w:tcPr>
          <w:p>
            <w:pPr>
              <w:spacing w:after="0"/>
              <w:rPr>
                <w:sz w:val="23"/>
                <w:szCs w:val="23"/>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65"/>
        </w:trPr>
        <w:tc>
          <w:tcPr>
            <w:tcW w:w="8400" w:type="dxa"/>
            <w:vAlign w:val="bottom"/>
          </w:tcPr>
          <w:p>
            <w:pPr>
              <w:ind w:left="120"/>
              <w:spacing w:after="0"/>
              <w:rPr>
                <w:sz w:val="20"/>
                <w:szCs w:val="20"/>
                <w:color w:val="auto"/>
              </w:rPr>
            </w:pPr>
            <w:r>
              <w:rPr>
                <w:rFonts w:ascii="Arial" w:cs="Arial" w:eastAsia="Arial" w:hAnsi="Arial"/>
                <w:sz w:val="18"/>
                <w:szCs w:val="18"/>
                <w:color w:val="auto"/>
              </w:rPr>
              <w:t>Add: Impact of fair value adjustments to acquired unearned revenue</w:t>
            </w:r>
            <w:r>
              <w:rPr>
                <w:rFonts w:ascii="Arial" w:cs="Arial" w:eastAsia="Arial" w:hAnsi="Arial"/>
                <w:sz w:val="22"/>
                <w:szCs w:val="22"/>
                <w:color w:val="auto"/>
                <w:vertAlign w:val="superscript"/>
              </w:rPr>
              <w:t>(b)</w:t>
            </w:r>
          </w:p>
        </w:tc>
        <w:tc>
          <w:tcPr>
            <w:tcW w:w="34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Equity-based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65"/>
        </w:trPr>
        <w:tc>
          <w:tcPr>
            <w:tcW w:w="8400" w:type="dxa"/>
            <w:vAlign w:val="bottom"/>
          </w:tcPr>
          <w:p>
            <w:pPr>
              <w:ind w:left="120"/>
              <w:spacing w:after="0"/>
              <w:rPr>
                <w:sz w:val="20"/>
                <w:szCs w:val="20"/>
                <w:color w:val="auto"/>
              </w:rPr>
            </w:pPr>
            <w:r>
              <w:rPr>
                <w:rFonts w:ascii="Arial" w:cs="Arial" w:eastAsia="Arial" w:hAnsi="Arial"/>
                <w:sz w:val="18"/>
                <w:szCs w:val="18"/>
                <w:color w:val="auto"/>
              </w:rPr>
              <w:t>Add: Restructuring and transaction related expenses</w:t>
            </w:r>
            <w:r>
              <w:rPr>
                <w:rFonts w:ascii="Arial" w:cs="Arial" w:eastAsia="Arial" w:hAnsi="Arial"/>
                <w:sz w:val="22"/>
                <w:szCs w:val="22"/>
                <w:color w:val="auto"/>
                <w:vertAlign w:val="superscript"/>
              </w:rPr>
              <w:t>(c)</w:t>
            </w:r>
          </w:p>
        </w:tc>
        <w:tc>
          <w:tcPr>
            <w:tcW w:w="34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340" w:type="dxa"/>
            <w:vAlign w:val="bottom"/>
            <w:tcBorders>
              <w:bottom w:val="single" w:sz="8" w:color="auto"/>
            </w:tcBorders>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510.3</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Unearned revenue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7"/>
        </w:trPr>
        <w:tc>
          <w:tcPr>
            <w:tcW w:w="8400" w:type="dxa"/>
            <w:vAlign w:val="bottom"/>
          </w:tcPr>
          <w:p>
            <w:pPr>
              <w:ind w:left="120"/>
              <w:spacing w:after="0"/>
              <w:rPr>
                <w:sz w:val="20"/>
                <w:szCs w:val="20"/>
                <w:color w:val="auto"/>
              </w:rPr>
            </w:pPr>
            <w:r>
              <w:rPr>
                <w:rFonts w:ascii="Arial" w:cs="Arial" w:eastAsia="Arial" w:hAnsi="Arial"/>
                <w:sz w:val="18"/>
                <w:szCs w:val="18"/>
                <w:color w:val="auto"/>
              </w:rPr>
              <w:t>Add (less): Cash rent adjustment</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(less): Other lender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58"/>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EBITDA</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547.0</w:t>
            </w: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9"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11" w:lineRule="exact"/>
        <w:rPr>
          <w:rFonts w:ascii="Arial" w:cs="Arial" w:eastAsia="Arial" w:hAnsi="Arial"/>
          <w:sz w:val="14"/>
          <w:szCs w:val="14"/>
          <w:color w:val="auto"/>
        </w:rPr>
      </w:pPr>
    </w:p>
    <w:p>
      <w:pPr>
        <w:jc w:val="both"/>
        <w:ind w:left="320" w:hanging="314"/>
        <w:spacing w:after="0" w:line="250" w:lineRule="auto"/>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20" w:hanging="314"/>
        <w:spacing w:after="0" w:line="276" w:lineRule="auto"/>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trailing twelve months ended June 30, 2023, this expense related primarily to cost associated with a June 2023 reduction in force, and the 2021 and 2022 acquisitions.</w:t>
      </w:r>
    </w:p>
    <w:p>
      <w:pPr>
        <w:jc w:val="both"/>
        <w:ind w:left="320" w:hanging="314"/>
        <w:spacing w:after="0" w:line="255" w:lineRule="auto"/>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trailing twelve months ended June 30, 2023, this expense related primarily to transition and retention payments pursuant to the 2021 and 2022 acquisitions. This expense is included in cost of service, sales and marketing expense, research and development expense, and general and administrative expense as follows:</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9"/>
              <w:spacing w:after="0"/>
              <w:rPr>
                <w:sz w:val="20"/>
                <w:szCs w:val="20"/>
                <w:color w:val="auto"/>
              </w:rPr>
            </w:pPr>
            <w:r>
              <w:rPr>
                <w:rFonts w:ascii="Arial" w:cs="Arial" w:eastAsia="Arial" w:hAnsi="Arial"/>
                <w:sz w:val="14"/>
                <w:szCs w:val="14"/>
                <w:b w:val="1"/>
                <w:bCs w:val="1"/>
                <w:color w:val="auto"/>
                <w:w w:val="91"/>
              </w:rPr>
              <w:t>Trailing Twelve Months as</w:t>
            </w:r>
          </w:p>
        </w:tc>
      </w:tr>
      <w:tr>
        <w:trPr>
          <w:trHeight w:val="184"/>
        </w:trPr>
        <w:tc>
          <w:tcPr>
            <w:tcW w:w="8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of</w:t>
            </w:r>
          </w:p>
        </w:tc>
      </w:tr>
      <w:tr>
        <w:trPr>
          <w:trHeight w:val="225"/>
        </w:trPr>
        <w:tc>
          <w:tcPr>
            <w:tcW w:w="87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9"/>
                <w:szCs w:val="19"/>
                <w:color w:val="auto"/>
              </w:rPr>
            </w:pPr>
          </w:p>
        </w:tc>
        <w:tc>
          <w:tcPr>
            <w:tcW w:w="168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June 30, 2023</w:t>
            </w:r>
          </w:p>
        </w:tc>
      </w:tr>
      <w:tr>
        <w:trPr>
          <w:trHeight w:val="38"/>
        </w:trPr>
        <w:tc>
          <w:tcPr>
            <w:tcW w:w="87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85"/>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7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8"/>
        </w:trPr>
        <w:tc>
          <w:tcPr>
            <w:tcW w:w="8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05"/>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01"/>
        </w:trPr>
        <w:tc>
          <w:tcPr>
            <w:tcW w:w="87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
        </w:trPr>
        <w:tc>
          <w:tcPr>
            <w:tcW w:w="8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8"/>
        </w:trPr>
        <w:tc>
          <w:tcPr>
            <w:tcW w:w="8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have entered into two tax receivable agreements. We entered into (i) the Exchange Tax Receivable Agreement with certain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9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tax attributes and benefits covered by the Exchange Tax Receivable Agreements include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tax attributes and benefits covered by the Reorganization Tax Receivable Agreement include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each case, these increases in existing tax basis and tax basis adjustments generated over time may increase the ZoomInfo Tax Group’s depreciation and amortization deductions for tax purposes and, therefore, may reduce the amount of tax that the ZoomInfo Tax Group would otherwise be required to pay in the future, although the IRS may challenge all or part of the validity of that tax basis, and a court could sustain such a challenge.</w:t>
      </w:r>
    </w:p>
    <w:p>
      <w:pPr>
        <w:spacing w:after="0" w:line="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ZoomInfo Tax Group’s allocable share of existing tax basis acquired in the IPO and the increase in the ZoomInfo Tax Group’s allocable share of existing tax basis and the tax basis adjustments upon exchanges of OpCo Units for shares of Common Stock may also decrease gains (or increase losses) on future dispositions of certain capital assets to the extent tax basis is allocated to those capital assets. The ZoomInfo Tax Group expects to benefit from the remaining 15% of realized cash tax benefits.</w:t>
      </w:r>
    </w:p>
    <w:p>
      <w:pPr>
        <w:spacing w:after="0" w:line="13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 tax receivable agreements not been entered into and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The term of each tax receivable agreement will continue until all such tax benefits have been utilized or expired, unless (i) ZoomInfo Tax Group exercises its right to terminate one or both tax receivable agreements for an amount based on the agreed payments remaining to be made under the agreement, (ii) ZoomInfo Tax Group breaches any of its material obligations under one or both tax receivable agreements in which case all obligations (including any additional interest due relating to any deferred payments) generally will be accelerated and due as if ZoomInfo Tax Group had exercised its right to terminate the tax receivable agreements, or (iii) there is a change of control of ZoomInfo Tax Group,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our blended federal and state tax rate, the amount and timing of our income, and situations where no net benefit is received from the tax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expect that as a result of the size of the ZoomInfo Tax Group’s allocable share of existing tax basis acquired in the IPO, the increase in the ZoomInfo Tax Group’s allocable share of existing tax basis and the tax basis adjustment of the tangible and intangible assets of the ZoomInfo Tax Group upon the exchange of OpCo Units for shares of Common Stock and our expected utilization of certain tax attributes, the payments that ZoomInfo Tax Group may make under the tax receivable agreements will be substantial. As of June 30, 2023, the Company had a liability of $2,967.4 million related to its projected obligations under the Tax Receivable Agreements in connection with the Reorganization Transactions and OpCo Units. During the six months ended June 30, 2023, no payment was made pursuant to the Tax Receivable Agreements. During the six months ended June 30, 2022, we paid a total of $5.0 million, pursuant to the Tax Receivable Agreements. The payments under the tax receivable agreements are not conditioned upon continued ownership of us by the exchanging holders of OpCo Units.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March 2023, the Board of Directors authorized a program to repurchase up to $100.0 million of the Company’s Common Stock (the “Share Repurchase Program”). Under the Share Repurchase Program, shares of Common Stock may be repurchased from time to time through open market transactions in compliance with applicable securities laws. The timing, manner, price and amount of any repurchases, as well as the capital resources to fund the repurchases, are determined by the Company at its discretion and depend on a variety of factors, including legal requirements, price and economic and market conditions.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June 30, 2023, we had additional operating leases for office space that have not yet commenced with anticipated undiscounted future lease payments of $315.2 million. Refer to Note 13 - Leases of the notes to our unaudited consolidated financial statements included elsewhere in this Quarterly Report on Form 10-Q for further details.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Except as set forth above and in Note 11 -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2022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4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2022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2 - Basis of Presentation and Summary of Significant Accounting Policies of our consolidated financial statements included in Part I, Item 1 of this Form 10-Q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Geopolitical Risks” in Part I, Item 1A of our 2022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operating results are subject to market risk from interest rate fluctuations on our first lien term loan, which bears a variable interest rate based on SOFR. As of June 30, 2023, the total principal balance outstanding was $597.0 million. We have implemented a hedging strategy to mitigate the interest rate risk by entering into certain derivative instruments (refer to Note 8 - Financing Arrangements of our consolidated financial statements included in Part I, Item 1 of this Form 10-Q). Based on the outstanding balances and interest rates of our debt as of June 30, 2023, a hypothetical relative increase or decrease in our effective interest rate by 100 basis points or 1% would have caused an immaterial corresponding change over the next 12 months.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from time to time, we have dedesignated certain cash flow hedging relationships due to repricing of the terms and partial prepayment of the outstanding principal of our first lien term loan since loan inception. As of June 30, 2023, all cash flow hedging relationships are designated as accounting hedges.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To date, our sales contracts have primarily been denominated in U.S. dollars. We have foreign entities established in Israel, Canada, United Kingdom, India and Australia.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June 30, 2023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During the quarter ended June 30, 2023,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 description of certain legal and regulatory proceedings, please read “Legal Matters” in Note 11 (Commitments and Contingencies) to our unaudited consolidated financial statements included in Part I, Item 1 of this Form 10-Q, which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2022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2022 Form 10-K.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information with respect to shares of Common Stock purchased by the Company during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ind w:left="20"/>
              <w:spacing w:after="0"/>
              <w:rPr>
                <w:sz w:val="20"/>
                <w:szCs w:val="20"/>
                <w:color w:val="auto"/>
              </w:rPr>
            </w:pPr>
            <w:r>
              <w:rPr>
                <w:rFonts w:ascii="Arial" w:cs="Arial" w:eastAsia="Arial" w:hAnsi="Arial"/>
                <w:sz w:val="16"/>
                <w:szCs w:val="16"/>
                <w:i w:val="1"/>
                <w:iCs w:val="1"/>
                <w:color w:val="auto"/>
              </w:rPr>
              <w:t>($ in millions, except average price per share)</w:t>
            </w: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ind w:right="20"/>
              <w:spacing w:after="0"/>
              <w:rPr>
                <w:sz w:val="20"/>
                <w:szCs w:val="20"/>
                <w:color w:val="auto"/>
              </w:rPr>
            </w:pPr>
            <w:r>
              <w:rPr>
                <w:rFonts w:ascii="Arial" w:cs="Arial" w:eastAsia="Arial" w:hAnsi="Arial"/>
                <w:sz w:val="16"/>
                <w:szCs w:val="16"/>
                <w:b w:val="1"/>
                <w:bCs w:val="1"/>
                <w:color w:val="auto"/>
                <w:w w:val="93"/>
              </w:rPr>
              <w:t>Maximum Number (or</w:t>
            </w:r>
          </w:p>
        </w:tc>
      </w:tr>
      <w:tr>
        <w:trPr>
          <w:trHeight w:val="199"/>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Total Number of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ind w:right="20"/>
              <w:spacing w:after="0"/>
              <w:rPr>
                <w:sz w:val="20"/>
                <w:szCs w:val="20"/>
                <w:color w:val="auto"/>
              </w:rPr>
            </w:pPr>
            <w:r>
              <w:rPr>
                <w:rFonts w:ascii="Arial" w:cs="Arial" w:eastAsia="Arial" w:hAnsi="Arial"/>
                <w:sz w:val="16"/>
                <w:szCs w:val="16"/>
                <w:b w:val="1"/>
                <w:bCs w:val="1"/>
                <w:color w:val="auto"/>
                <w:w w:val="93"/>
              </w:rPr>
              <w:t>Approximate Dollar</w:t>
            </w:r>
          </w:p>
        </w:tc>
      </w:tr>
      <w:tr>
        <w:trPr>
          <w:trHeight w:val="185"/>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 as Part of</w:t>
            </w:r>
          </w:p>
        </w:tc>
        <w:tc>
          <w:tcPr>
            <w:tcW w:w="12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Value) of Shares that May</w:t>
            </w:r>
          </w:p>
        </w:tc>
      </w:tr>
      <w:tr>
        <w:trPr>
          <w:trHeight w:val="188"/>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121"/>
              <w:spacing w:after="0"/>
              <w:rPr>
                <w:sz w:val="20"/>
                <w:szCs w:val="20"/>
                <w:color w:val="auto"/>
              </w:rPr>
            </w:pPr>
            <w:r>
              <w:rPr>
                <w:rFonts w:ascii="Arial" w:cs="Arial" w:eastAsia="Arial" w:hAnsi="Arial"/>
                <w:sz w:val="16"/>
                <w:szCs w:val="16"/>
                <w:b w:val="1"/>
                <w:bCs w:val="1"/>
                <w:color w:val="auto"/>
                <w:w w:val="93"/>
              </w:rPr>
              <w:t>Weighted Average</w:t>
            </w:r>
          </w:p>
        </w:tc>
        <w:tc>
          <w:tcPr>
            <w:tcW w:w="1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Publicly Announced Plans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Yet be Purchased Under</w:t>
            </w:r>
          </w:p>
        </w:tc>
      </w:tr>
      <w:tr>
        <w:trPr>
          <w:trHeight w:val="237"/>
        </w:trPr>
        <w:tc>
          <w:tcPr>
            <w:tcW w:w="3700" w:type="dxa"/>
            <w:vAlign w:val="bottom"/>
            <w:tcBorders>
              <w:bottom w:val="single" w:sz="8" w:color="auto"/>
            </w:tcBorders>
          </w:tcPr>
          <w:p>
            <w:pPr>
              <w:ind w:left="164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20"/>
                <w:szCs w:val="20"/>
                <w:color w:val="auto"/>
              </w:rPr>
            </w:pPr>
          </w:p>
        </w:tc>
        <w:tc>
          <w:tcPr>
            <w:tcW w:w="17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0"/>
                <w:szCs w:val="20"/>
                <w:b w:val="1"/>
                <w:bCs w:val="1"/>
                <w:color w:val="auto"/>
                <w:vertAlign w:val="superscript"/>
              </w:rPr>
              <w:t>(1)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Price Paid Per Share</w:t>
            </w: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0"/>
                <w:szCs w:val="20"/>
                <w:b w:val="1"/>
                <w:bCs w:val="1"/>
                <w:color w:val="auto"/>
                <w:w w:val="87"/>
                <w:vertAlign w:val="superscript"/>
              </w:rPr>
              <w:t>(2)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0"/>
              </w:rPr>
              <w:t>the Plan or Programs</w:t>
            </w:r>
          </w:p>
        </w:tc>
      </w:tr>
      <w:tr>
        <w:trPr>
          <w:trHeight w:val="232"/>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through April 30, 2023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1,447,121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1,447,121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220"/>
        </w:trPr>
        <w:tc>
          <w:tcPr>
            <w:tcW w:w="3700" w:type="dxa"/>
            <w:vAlign w:val="bottom"/>
          </w:tcPr>
          <w:p>
            <w:pPr>
              <w:ind w:left="20"/>
              <w:spacing w:after="0"/>
              <w:rPr>
                <w:sz w:val="20"/>
                <w:szCs w:val="20"/>
                <w:color w:val="auto"/>
              </w:rPr>
            </w:pPr>
            <w:r>
              <w:rPr>
                <w:rFonts w:ascii="Arial" w:cs="Arial" w:eastAsia="Arial" w:hAnsi="Arial"/>
                <w:sz w:val="16"/>
                <w:szCs w:val="16"/>
                <w:color w:val="auto"/>
              </w:rPr>
              <w:t>May 1 through May 31, 2023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1,404,890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21.41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1,400,000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31"/>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2"/>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1 through June 30, 2023</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20"/>
        </w:trPr>
        <w:tc>
          <w:tcPr>
            <w:tcW w:w="3700" w:type="dxa"/>
            <w:vAlign w:val="bottom"/>
          </w:tcPr>
          <w:p>
            <w:pPr>
              <w:ind w:left="220"/>
              <w:spacing w:after="0"/>
              <w:rPr>
                <w:sz w:val="20"/>
                <w:szCs w:val="20"/>
                <w:color w:val="auto"/>
              </w:rPr>
            </w:pPr>
            <w:r>
              <w:rPr>
                <w:rFonts w:ascii="Arial" w:cs="Arial" w:eastAsia="Arial" w:hAnsi="Arial"/>
                <w:sz w:val="16"/>
                <w:szCs w:val="16"/>
                <w:color w:val="auto"/>
              </w:rPr>
              <w:t>Total</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2,858,177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2,847,121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51" w:lineRule="exact"/>
        <w:rPr>
          <w:sz w:val="20"/>
          <w:szCs w:val="20"/>
          <w:color w:val="auto"/>
        </w:rPr>
      </w:pPr>
    </w:p>
    <w:p>
      <w:pPr>
        <w:ind w:firstLine="6"/>
        <w:spacing w:after="0" w:line="262" w:lineRule="auto"/>
        <w:tabs>
          <w:tab w:leader="none" w:pos="205" w:val="left"/>
        </w:tabs>
        <w:numPr>
          <w:ilvl w:val="0"/>
          <w:numId w:val="22"/>
        </w:numPr>
        <w:rPr>
          <w:rFonts w:ascii="Arial" w:cs="Arial" w:eastAsia="Arial" w:hAnsi="Arial"/>
          <w:sz w:val="14"/>
          <w:szCs w:val="14"/>
          <w:color w:val="auto"/>
        </w:rPr>
      </w:pPr>
      <w:r>
        <w:rPr>
          <w:rFonts w:ascii="Arial" w:cs="Arial" w:eastAsia="Arial" w:hAnsi="Arial"/>
          <w:sz w:val="14"/>
          <w:szCs w:val="14"/>
          <w:color w:val="auto"/>
        </w:rPr>
        <w:t>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ind w:firstLine="6"/>
        <w:spacing w:after="0" w:line="273" w:lineRule="auto"/>
        <w:tabs>
          <w:tab w:leader="none" w:pos="212"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March 2023, the Board of Directors authorized a program to repurchase up to $100.0 million of the Company’s Common Stock (the “Share Repurchase Program”). The Share Repurchase Program was announced on March 14, 2023. The Share Repurchase Program has no time limits and could be suspended or discontinued completely at any time.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Ali Dasdan, Chief Technology Officer of the Company, adopted a Rule 10b5-1 trading arrangement on June 15, 2023. The duration of the trading arrangement begins on September 14, 2023, and ends on June 15, 2024. The Rule 10b5-1 trading arrangement provides for the sale of a portion of the net shares acquired by Mr. Dasdan (net of shares withheld to cover the recipient’s tax liability in connection with vesting) resulting from the vesting of 475,797 restricted stock units granted on April 3, 2023, which vests as follows: (i) 16.5% on September 1, 2023, and (ii) the remainder in equal quarterly installments during the 30 months following September 1, 2023. The volume of sales will be determined, in part, based on pricing triggers outlined in the trading arrangement, with a maximum potential sale under the plan of up to 75% of the vested shares from such award during the term of the plan. Mr. Dasdan’s trading arrangement was entered into during an open insider trading window and is intended to satisfy the affirmative defense of Rule 10b5-1(c) under the Exchange Act and the Company’s policies regarding insider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88" w:lineRule="exact"/>
        <w:rPr>
          <w:sz w:val="20"/>
          <w:szCs w:val="20"/>
          <w:color w:val="auto"/>
        </w:rPr>
      </w:pPr>
    </w:p>
    <w:p>
      <w:pPr>
        <w:ind w:left="220"/>
        <w:spacing w:after="0"/>
        <w:tabs>
          <w:tab w:leader="none" w:pos="3540" w:val="left"/>
          <w:tab w:leader="none" w:pos="6840" w:val="left"/>
          <w:tab w:leader="none" w:pos="8960" w:val="left"/>
          <w:tab w:leader="none" w:pos="1038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Report or Registration</w:t>
      </w:r>
      <w:r>
        <w:rPr>
          <w:sz w:val="20"/>
          <w:szCs w:val="20"/>
          <w:color w:val="auto"/>
        </w:rPr>
        <w:tab/>
      </w:r>
      <w:r>
        <w:rPr>
          <w:rFonts w:ascii="Arial" w:cs="Arial" w:eastAsia="Arial" w:hAnsi="Arial"/>
          <w:sz w:val="18"/>
          <w:szCs w:val="18"/>
          <w:b w:val="1"/>
          <w:bCs w:val="1"/>
          <w:color w:val="auto"/>
        </w:rPr>
        <w:t>SEC File or</w:t>
      </w:r>
      <w:r>
        <w:rPr>
          <w:sz w:val="20"/>
          <w:szCs w:val="20"/>
          <w:color w:val="auto"/>
        </w:rPr>
        <w:tab/>
      </w:r>
      <w:r>
        <w:rPr>
          <w:rFonts w:ascii="Arial" w:cs="Arial" w:eastAsia="Arial" w:hAnsi="Arial"/>
          <w:sz w:val="15"/>
          <w:szCs w:val="15"/>
          <w:b w:val="1"/>
          <w:bCs w:val="1"/>
          <w:color w:val="auto"/>
        </w:rPr>
        <w:t>Exhibit</w:t>
      </w:r>
    </w:p>
    <w:p>
      <w:pPr>
        <w:spacing w:after="0" w:line="22" w:lineRule="exact"/>
        <w:rPr>
          <w:sz w:val="20"/>
          <w:szCs w:val="20"/>
          <w:color w:val="auto"/>
        </w:rPr>
      </w:pPr>
    </w:p>
    <w:p>
      <w:pPr>
        <w:ind w:left="180"/>
        <w:spacing w:after="0"/>
        <w:tabs>
          <w:tab w:leader="none" w:pos="7320" w:val="left"/>
          <w:tab w:leader="none" w:pos="8940" w:val="left"/>
          <w:tab w:leader="none" w:pos="102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Statement</w:t>
      </w:r>
      <w:r>
        <w:rPr>
          <w:sz w:val="20"/>
          <w:szCs w:val="20"/>
          <w:color w:val="auto"/>
        </w:rPr>
        <w:tab/>
      </w:r>
      <w:r>
        <w:rPr>
          <w:rFonts w:ascii="Arial" w:cs="Arial" w:eastAsia="Arial" w:hAnsi="Arial"/>
          <w:sz w:val="18"/>
          <w:szCs w:val="18"/>
          <w:b w:val="1"/>
          <w:bCs w:val="1"/>
          <w:color w:val="auto"/>
        </w:rPr>
        <w:t>Registration</w:t>
      </w:r>
      <w:r>
        <w:rPr>
          <w:sz w:val="20"/>
          <w:szCs w:val="20"/>
          <w:color w:val="auto"/>
        </w:rPr>
        <w:tab/>
      </w:r>
      <w:r>
        <w:rPr>
          <w:rFonts w:ascii="Arial" w:cs="Arial" w:eastAsia="Arial" w:hAnsi="Arial"/>
          <w:sz w:val="15"/>
          <w:szCs w:val="15"/>
          <w:b w:val="1"/>
          <w:bCs w:val="1"/>
          <w:color w:val="auto"/>
        </w:rPr>
        <w:t>Reference</w:t>
      </w:r>
    </w:p>
    <w:p>
      <w:pPr>
        <w:spacing w:after="0" w:line="5"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Number</w:t>
      </w:r>
    </w:p>
    <w:p>
      <w:pPr>
        <w:sectPr>
          <w:pgSz w:w="11900" w:h="16838" w:orient="portrait"/>
          <w:cols w:equalWidth="0" w:num="1">
            <w:col w:w="11240"/>
          </w:cols>
          <w:pgMar w:left="320" w:top="122" w:right="339" w:bottom="1440" w:gutter="0" w:footer="0" w:header="0"/>
        </w:sectPr>
      </w:pPr>
    </w:p>
    <w:p>
      <w:pPr>
        <w:spacing w:after="0" w:line="3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00" w:type="dxa"/>
            <w:vAlign w:val="bottom"/>
          </w:tcPr>
          <w:p>
            <w:pPr>
              <w:jc w:val="right"/>
              <w:ind w:right="349"/>
              <w:spacing w:after="0"/>
              <w:rPr>
                <w:sz w:val="20"/>
                <w:szCs w:val="20"/>
                <w:color w:val="auto"/>
              </w:rPr>
            </w:pPr>
            <w:r>
              <w:rPr>
                <w:rFonts w:ascii="Arial" w:cs="Arial" w:eastAsia="Arial" w:hAnsi="Arial"/>
                <w:sz w:val="14"/>
                <w:szCs w:val="14"/>
                <w:color w:val="auto"/>
                <w:w w:val="81"/>
              </w:rPr>
              <w:t>3.1</w:t>
            </w:r>
          </w:p>
        </w:tc>
        <w:tc>
          <w:tcPr>
            <w:tcW w:w="5420" w:type="dxa"/>
            <w:vAlign w:val="bottom"/>
            <w:gridSpan w:val="5"/>
          </w:tcPr>
          <w:p>
            <w:pPr>
              <w:spacing w:after="0"/>
              <w:rPr>
                <w:rFonts w:ascii="Arial" w:cs="Arial" w:eastAsia="Arial" w:hAnsi="Arial"/>
                <w:sz w:val="14"/>
                <w:szCs w:val="14"/>
                <w:color w:val="0000FF"/>
                <w:w w:val="96"/>
              </w:rPr>
            </w:pPr>
            <w:hyperlink r:id="rId89">
              <w:r>
                <w:rPr>
                  <w:rFonts w:ascii="Arial" w:cs="Arial" w:eastAsia="Arial" w:hAnsi="Arial"/>
                  <w:sz w:val="14"/>
                  <w:szCs w:val="14"/>
                  <w:color w:val="0000FF"/>
                  <w:w w:val="96"/>
                </w:rPr>
                <w:t>Second Amended and Restated Certificate of Incorporation of ZoomInfo Technologies Inc.</w:t>
              </w:r>
            </w:hyperlink>
          </w:p>
        </w:tc>
      </w:tr>
      <w:tr>
        <w:trPr>
          <w:trHeight w:val="245"/>
        </w:trPr>
        <w:tc>
          <w:tcPr>
            <w:tcW w:w="600" w:type="dxa"/>
            <w:vAlign w:val="bottom"/>
          </w:tcPr>
          <w:p>
            <w:pPr>
              <w:jc w:val="right"/>
              <w:ind w:right="349"/>
              <w:spacing w:after="0"/>
              <w:rPr>
                <w:sz w:val="20"/>
                <w:szCs w:val="20"/>
                <w:color w:val="auto"/>
              </w:rPr>
            </w:pPr>
            <w:r>
              <w:rPr>
                <w:rFonts w:ascii="Arial" w:cs="Arial" w:eastAsia="Arial" w:hAnsi="Arial"/>
                <w:sz w:val="14"/>
                <w:szCs w:val="14"/>
                <w:color w:val="auto"/>
                <w:w w:val="81"/>
              </w:rPr>
              <w:t>3.2</w:t>
            </w:r>
          </w:p>
        </w:tc>
        <w:tc>
          <w:tcPr>
            <w:tcW w:w="5120" w:type="dxa"/>
            <w:vAlign w:val="bottom"/>
            <w:tcBorders>
              <w:top w:val="single" w:sz="8" w:color="0000FF"/>
            </w:tcBorders>
            <w:gridSpan w:val="3"/>
          </w:tcPr>
          <w:p>
            <w:pPr>
              <w:spacing w:after="0"/>
              <w:rPr>
                <w:rFonts w:ascii="Arial" w:cs="Arial" w:eastAsia="Arial" w:hAnsi="Arial"/>
                <w:sz w:val="14"/>
                <w:szCs w:val="14"/>
                <w:color w:val="0000FF"/>
              </w:rPr>
            </w:pPr>
            <w:hyperlink r:id="rId90">
              <w:r>
                <w:rPr>
                  <w:rFonts w:ascii="Arial" w:cs="Arial" w:eastAsia="Arial" w:hAnsi="Arial"/>
                  <w:sz w:val="14"/>
                  <w:szCs w:val="14"/>
                  <w:color w:val="0000FF"/>
                </w:rPr>
                <w:t>Amended and Restated Bylaws of ZoomInfo New</w:t>
              </w:r>
              <w:r>
                <w:rPr>
                  <w:rFonts w:ascii="Arial" w:cs="Arial" w:eastAsia="Arial" w:hAnsi="Arial"/>
                  <w:sz w:val="17"/>
                  <w:szCs w:val="17"/>
                  <w:color w:val="0000FF"/>
                </w:rPr>
                <w:t>C</w:t>
              </w:r>
              <w:r>
                <w:rPr>
                  <w:rFonts w:ascii="Arial" w:cs="Arial" w:eastAsia="Arial" w:hAnsi="Arial"/>
                  <w:sz w:val="14"/>
                  <w:szCs w:val="14"/>
                  <w:color w:val="0000FF"/>
                </w:rPr>
                <w:t>o Inc.</w:t>
              </w:r>
            </w:hyperlink>
          </w:p>
        </w:tc>
        <w:tc>
          <w:tcPr>
            <w:tcW w:w="300" w:type="dxa"/>
            <w:vAlign w:val="bottom"/>
            <w:gridSpan w:val="2"/>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600" w:type="dxa"/>
            <w:vAlign w:val="bottom"/>
          </w:tcPr>
          <w:p>
            <w:pPr>
              <w:jc w:val="right"/>
              <w:ind w:right="349"/>
              <w:spacing w:after="0"/>
              <w:rPr>
                <w:sz w:val="20"/>
                <w:szCs w:val="20"/>
                <w:color w:val="auto"/>
              </w:rPr>
            </w:pPr>
            <w:r>
              <w:rPr>
                <w:rFonts w:ascii="Arial" w:cs="Arial" w:eastAsia="Arial" w:hAnsi="Arial"/>
                <w:sz w:val="14"/>
                <w:szCs w:val="14"/>
                <w:color w:val="auto"/>
                <w:w w:val="81"/>
              </w:rPr>
              <w:t>4.1</w:t>
            </w:r>
          </w:p>
        </w:tc>
        <w:tc>
          <w:tcPr>
            <w:tcW w:w="5420" w:type="dxa"/>
            <w:vAlign w:val="bottom"/>
            <w:tcBorders>
              <w:bottom w:val="single" w:sz="8" w:color="0000FF"/>
            </w:tcBorders>
            <w:gridSpan w:val="5"/>
          </w:tcPr>
          <w:p>
            <w:pPr>
              <w:spacing w:after="0"/>
              <w:rPr>
                <w:rFonts w:ascii="Arial" w:cs="Arial" w:eastAsia="Arial" w:hAnsi="Arial"/>
                <w:sz w:val="14"/>
                <w:szCs w:val="14"/>
                <w:color w:val="0000FF"/>
                <w:w w:val="91"/>
              </w:rPr>
            </w:pPr>
            <w:hyperlink r:id="rId91">
              <w:r>
                <w:rPr>
                  <w:rFonts w:ascii="Arial" w:cs="Arial" w:eastAsia="Arial" w:hAnsi="Arial"/>
                  <w:sz w:val="14"/>
                  <w:szCs w:val="14"/>
                  <w:color w:val="0000FF"/>
                  <w:w w:val="91"/>
                </w:rPr>
                <w:t>Indenture, dated as of February 2, 2021, by and among ZoomInfo Technologies LLC, ZoomInfo</w:t>
              </w:r>
            </w:hyperlink>
          </w:p>
        </w:tc>
      </w:tr>
      <w:tr>
        <w:trPr>
          <w:trHeight w:val="152"/>
        </w:trPr>
        <w:tc>
          <w:tcPr>
            <w:tcW w:w="600" w:type="dxa"/>
            <w:vAlign w:val="bottom"/>
          </w:tcPr>
          <w:p>
            <w:pPr>
              <w:spacing w:after="0"/>
              <w:rPr>
                <w:sz w:val="13"/>
                <w:szCs w:val="13"/>
                <w:color w:val="auto"/>
              </w:rPr>
            </w:pPr>
          </w:p>
        </w:tc>
        <w:tc>
          <w:tcPr>
            <w:tcW w:w="5420" w:type="dxa"/>
            <w:vAlign w:val="bottom"/>
            <w:gridSpan w:val="5"/>
          </w:tcPr>
          <w:p>
            <w:pPr>
              <w:spacing w:after="0" w:line="152" w:lineRule="exact"/>
              <w:rPr>
                <w:rFonts w:ascii="Arial" w:cs="Arial" w:eastAsia="Arial" w:hAnsi="Arial"/>
                <w:sz w:val="14"/>
                <w:szCs w:val="14"/>
                <w:color w:val="0000FF"/>
                <w:w w:val="91"/>
              </w:rPr>
            </w:pPr>
            <w:hyperlink r:id="rId91">
              <w:r>
                <w:rPr>
                  <w:rFonts w:ascii="Arial" w:cs="Arial" w:eastAsia="Arial" w:hAnsi="Arial"/>
                  <w:sz w:val="14"/>
                  <w:szCs w:val="14"/>
                  <w:color w:val="0000FF"/>
                  <w:w w:val="91"/>
                </w:rPr>
                <w:t>Finance Corp., the guarantors named on the signature pages thereto, and Wells Fargo National</w:t>
              </w:r>
            </w:hyperlink>
          </w:p>
        </w:tc>
      </w:tr>
      <w:tr>
        <w:trPr>
          <w:trHeight w:val="139"/>
        </w:trPr>
        <w:tc>
          <w:tcPr>
            <w:tcW w:w="600" w:type="dxa"/>
            <w:vAlign w:val="bottom"/>
          </w:tcPr>
          <w:p>
            <w:pPr>
              <w:spacing w:after="0"/>
              <w:rPr>
                <w:sz w:val="12"/>
                <w:szCs w:val="12"/>
                <w:color w:val="auto"/>
              </w:rPr>
            </w:pPr>
          </w:p>
        </w:tc>
        <w:tc>
          <w:tcPr>
            <w:tcW w:w="5320" w:type="dxa"/>
            <w:vAlign w:val="bottom"/>
            <w:tcBorders>
              <w:top w:val="single" w:sz="8" w:color="0000FF"/>
            </w:tcBorders>
            <w:gridSpan w:val="4"/>
          </w:tcPr>
          <w:p>
            <w:pPr>
              <w:spacing w:after="0" w:line="139" w:lineRule="exact"/>
              <w:rPr>
                <w:rFonts w:ascii="Arial" w:cs="Arial" w:eastAsia="Arial" w:hAnsi="Arial"/>
                <w:sz w:val="14"/>
                <w:szCs w:val="14"/>
                <w:color w:val="0000FF"/>
              </w:rPr>
            </w:pPr>
            <w:hyperlink r:id="rId91">
              <w:r>
                <w:rPr>
                  <w:rFonts w:ascii="Arial" w:cs="Arial" w:eastAsia="Arial" w:hAnsi="Arial"/>
                  <w:sz w:val="14"/>
                  <w:szCs w:val="14"/>
                  <w:color w:val="0000FF"/>
                </w:rPr>
                <w:t>Association, as trustee</w:t>
              </w:r>
            </w:hyperlink>
          </w:p>
        </w:tc>
        <w:tc>
          <w:tcPr>
            <w:tcW w:w="100" w:type="dxa"/>
            <w:vAlign w:val="bottom"/>
          </w:tcPr>
          <w:p>
            <w:pPr>
              <w:spacing w:after="0"/>
              <w:rPr>
                <w:sz w:val="12"/>
                <w:szCs w:val="12"/>
                <w:color w:val="auto"/>
              </w:rPr>
            </w:pP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900" w:type="dxa"/>
            <w:vAlign w:val="bottom"/>
          </w:tcPr>
          <w:p>
            <w:pPr>
              <w:jc w:val="center"/>
              <w:ind w:right="249"/>
              <w:spacing w:after="0"/>
              <w:rPr>
                <w:sz w:val="20"/>
                <w:szCs w:val="20"/>
                <w:color w:val="auto"/>
              </w:rPr>
            </w:pPr>
            <w:r>
              <w:rPr>
                <w:rFonts w:ascii="Arial" w:cs="Arial" w:eastAsia="Arial" w:hAnsi="Arial"/>
                <w:sz w:val="14"/>
                <w:szCs w:val="14"/>
                <w:color w:val="auto"/>
                <w:w w:val="95"/>
              </w:rPr>
              <w:t>8-K filed May 19, 2022</w:t>
            </w:r>
          </w:p>
        </w:tc>
        <w:tc>
          <w:tcPr>
            <w:tcW w:w="1340" w:type="dxa"/>
            <w:vAlign w:val="bottom"/>
          </w:tcPr>
          <w:p>
            <w:pPr>
              <w:jc w:val="right"/>
              <w:ind w:right="369"/>
              <w:spacing w:after="0"/>
              <w:rPr>
                <w:sz w:val="20"/>
                <w:szCs w:val="20"/>
                <w:color w:val="auto"/>
              </w:rPr>
            </w:pPr>
            <w:r>
              <w:rPr>
                <w:rFonts w:ascii="Arial" w:cs="Arial" w:eastAsia="Arial" w:hAnsi="Arial"/>
                <w:sz w:val="14"/>
                <w:szCs w:val="14"/>
                <w:color w:val="auto"/>
              </w:rPr>
              <w:t>001-39310</w:t>
            </w:r>
          </w:p>
        </w:tc>
        <w:tc>
          <w:tcPr>
            <w:tcW w:w="6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25"/>
        </w:trPr>
        <w:tc>
          <w:tcPr>
            <w:tcW w:w="1900" w:type="dxa"/>
            <w:vAlign w:val="bottom"/>
          </w:tcPr>
          <w:p>
            <w:pPr>
              <w:jc w:val="center"/>
              <w:ind w:right="229"/>
              <w:spacing w:after="0"/>
              <w:rPr>
                <w:sz w:val="20"/>
                <w:szCs w:val="20"/>
                <w:color w:val="auto"/>
              </w:rPr>
            </w:pPr>
            <w:r>
              <w:rPr>
                <w:rFonts w:ascii="Arial" w:cs="Arial" w:eastAsia="Arial" w:hAnsi="Arial"/>
                <w:sz w:val="14"/>
                <w:szCs w:val="14"/>
                <w:color w:val="auto"/>
                <w:w w:val="93"/>
              </w:rPr>
              <w:t>8-K filed November 1, 2021</w:t>
            </w:r>
          </w:p>
        </w:tc>
        <w:tc>
          <w:tcPr>
            <w:tcW w:w="1340" w:type="dxa"/>
            <w:vAlign w:val="bottom"/>
          </w:tcPr>
          <w:p>
            <w:pPr>
              <w:jc w:val="right"/>
              <w:ind w:right="369"/>
              <w:spacing w:after="0"/>
              <w:rPr>
                <w:sz w:val="20"/>
                <w:szCs w:val="20"/>
                <w:color w:val="auto"/>
              </w:rPr>
            </w:pPr>
            <w:r>
              <w:rPr>
                <w:rFonts w:ascii="Arial" w:cs="Arial" w:eastAsia="Arial" w:hAnsi="Arial"/>
                <w:sz w:val="14"/>
                <w:szCs w:val="14"/>
                <w:color w:val="auto"/>
              </w:rPr>
              <w:t>001-39310</w:t>
            </w:r>
          </w:p>
        </w:tc>
        <w:tc>
          <w:tcPr>
            <w:tcW w:w="6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65"/>
        </w:trPr>
        <w:tc>
          <w:tcPr>
            <w:tcW w:w="1900" w:type="dxa"/>
            <w:vAlign w:val="bottom"/>
          </w:tcPr>
          <w:p>
            <w:pPr>
              <w:jc w:val="center"/>
              <w:ind w:right="229"/>
              <w:spacing w:after="0"/>
              <w:rPr>
                <w:sz w:val="20"/>
                <w:szCs w:val="20"/>
                <w:color w:val="auto"/>
              </w:rPr>
            </w:pPr>
            <w:r>
              <w:rPr>
                <w:rFonts w:ascii="Arial" w:cs="Arial" w:eastAsia="Arial" w:hAnsi="Arial"/>
                <w:sz w:val="14"/>
                <w:szCs w:val="14"/>
                <w:color w:val="auto"/>
                <w:w w:val="95"/>
              </w:rPr>
              <w:t>8-K filed July 15, 2021</w:t>
            </w:r>
          </w:p>
        </w:tc>
        <w:tc>
          <w:tcPr>
            <w:tcW w:w="1340" w:type="dxa"/>
            <w:vAlign w:val="bottom"/>
          </w:tcPr>
          <w:p>
            <w:pPr>
              <w:jc w:val="right"/>
              <w:ind w:right="369"/>
              <w:spacing w:after="0"/>
              <w:rPr>
                <w:sz w:val="20"/>
                <w:szCs w:val="20"/>
                <w:color w:val="auto"/>
              </w:rPr>
            </w:pPr>
            <w:r>
              <w:rPr>
                <w:rFonts w:ascii="Arial" w:cs="Arial" w:eastAsia="Arial" w:hAnsi="Arial"/>
                <w:sz w:val="14"/>
                <w:szCs w:val="14"/>
                <w:color w:val="auto"/>
              </w:rPr>
              <w:t>001-39310</w:t>
            </w:r>
          </w:p>
        </w:tc>
        <w:tc>
          <w:tcPr>
            <w:tcW w:w="600" w:type="dxa"/>
            <w:vAlign w:val="bottom"/>
          </w:tcPr>
          <w:p>
            <w:pPr>
              <w:jc w:val="right"/>
              <w:spacing w:after="0"/>
              <w:rPr>
                <w:sz w:val="20"/>
                <w:szCs w:val="20"/>
                <w:color w:val="auto"/>
              </w:rPr>
            </w:pPr>
            <w:r>
              <w:rPr>
                <w:rFonts w:ascii="Arial" w:cs="Arial" w:eastAsia="Arial" w:hAnsi="Arial"/>
                <w:sz w:val="14"/>
                <w:szCs w:val="14"/>
                <w:color w:val="auto"/>
              </w:rPr>
              <w:t>4.1</w:t>
            </w:r>
          </w:p>
        </w:tc>
      </w:tr>
    </w:tbl>
    <w:p>
      <w:pPr>
        <w:spacing w:after="0" w:line="366" w:lineRule="exact"/>
        <w:rPr>
          <w:sz w:val="20"/>
          <w:szCs w:val="20"/>
          <w:color w:val="auto"/>
        </w:rPr>
      </w:pPr>
    </w:p>
    <w:p>
      <w:pPr>
        <w:sectPr>
          <w:pgSz w:w="11900" w:h="16838" w:orient="portrait"/>
          <w:cols w:equalWidth="0" w:num="2">
            <w:col w:w="6420" w:space="500"/>
            <w:col w:w="4320"/>
          </w:cols>
          <w:pgMar w:left="320" w:top="122" w:right="339" w:bottom="1440" w:gutter="0" w:footer="0" w:header="0"/>
          <w:type w:val="continuous"/>
        </w:sectPr>
      </w:pPr>
    </w:p>
    <w:tbl>
      <w:tblPr>
        <w:tblLayout w:type="fixed"/>
        <w:tblInd w:w="180" w:type="dxa"/>
        <w:tblCellMar>
          <w:top w:w="0" w:type="dxa"/>
          <w:left w:w="0" w:type="dxa"/>
          <w:bottom w:w="0" w:type="dxa"/>
          <w:right w:w="0" w:type="dxa"/>
        </w:tblCellMar>
      </w:tblPr>
      <w:tr>
        <w:trPr>
          <w:trHeight w:val="161"/>
        </w:trPr>
        <w:tc>
          <w:tcPr>
            <w:tcW w:w="820" w:type="dxa"/>
            <w:vAlign w:val="bottom"/>
          </w:tcPr>
          <w:p>
            <w:pPr>
              <w:jc w:val="center"/>
              <w:ind w:right="129"/>
              <w:spacing w:after="0"/>
              <w:rPr>
                <w:sz w:val="20"/>
                <w:szCs w:val="20"/>
                <w:color w:val="auto"/>
              </w:rPr>
            </w:pPr>
            <w:r>
              <w:rPr>
                <w:rFonts w:ascii="Arial" w:cs="Arial" w:eastAsia="Arial" w:hAnsi="Arial"/>
                <w:sz w:val="14"/>
                <w:szCs w:val="14"/>
                <w:color w:val="auto"/>
                <w:w w:val="92"/>
              </w:rPr>
              <w:t>4.2</w:t>
            </w:r>
          </w:p>
        </w:tc>
        <w:tc>
          <w:tcPr>
            <w:tcW w:w="5440" w:type="dxa"/>
            <w:vAlign w:val="bottom"/>
            <w:tcBorders>
              <w:bottom w:val="single" w:sz="8" w:color="0000FF"/>
            </w:tcBorders>
            <w:gridSpan w:val="7"/>
          </w:tcPr>
          <w:p>
            <w:pPr>
              <w:spacing w:after="0"/>
              <w:rPr>
                <w:rFonts w:ascii="Arial" w:cs="Arial" w:eastAsia="Arial" w:hAnsi="Arial"/>
                <w:sz w:val="14"/>
                <w:szCs w:val="14"/>
                <w:color w:val="0000FF"/>
                <w:w w:val="91"/>
              </w:rPr>
            </w:pPr>
            <w:hyperlink r:id="rId92">
              <w:r>
                <w:rPr>
                  <w:rFonts w:ascii="Arial" w:cs="Arial" w:eastAsia="Arial" w:hAnsi="Arial"/>
                  <w:sz w:val="14"/>
                  <w:szCs w:val="14"/>
                  <w:color w:val="0000FF"/>
                  <w:w w:val="91"/>
                </w:rPr>
                <w:t>Supplemental Indenture, dated as of July 15, 2021, by and among ZoomInfo Technologies LLC,</w:t>
              </w:r>
            </w:hyperlink>
          </w:p>
        </w:tc>
        <w:tc>
          <w:tcPr>
            <w:tcW w:w="100" w:type="dxa"/>
            <w:vAlign w:val="bottom"/>
          </w:tcPr>
          <w:p>
            <w:pPr>
              <w:spacing w:after="0"/>
              <w:rPr>
                <w:sz w:val="14"/>
                <w:szCs w:val="14"/>
                <w:color w:val="auto"/>
              </w:rPr>
            </w:pPr>
          </w:p>
        </w:tc>
        <w:tc>
          <w:tcPr>
            <w:tcW w:w="2200" w:type="dxa"/>
            <w:vAlign w:val="bottom"/>
          </w:tcPr>
          <w:p>
            <w:pPr>
              <w:ind w:left="520"/>
              <w:spacing w:after="0"/>
              <w:rPr>
                <w:sz w:val="20"/>
                <w:szCs w:val="20"/>
                <w:color w:val="auto"/>
              </w:rPr>
            </w:pPr>
            <w:r>
              <w:rPr>
                <w:rFonts w:ascii="Arial" w:cs="Arial" w:eastAsia="Arial" w:hAnsi="Arial"/>
                <w:sz w:val="14"/>
                <w:szCs w:val="14"/>
                <w:color w:val="auto"/>
              </w:rPr>
              <w:t>8-K filed July 15, 2021</w:t>
            </w:r>
          </w:p>
        </w:tc>
        <w:tc>
          <w:tcPr>
            <w:tcW w:w="1420" w:type="dxa"/>
            <w:vAlign w:val="bottom"/>
          </w:tcPr>
          <w:p>
            <w:pPr>
              <w:jc w:val="right"/>
              <w:ind w:right="369"/>
              <w:spacing w:after="0"/>
              <w:rPr>
                <w:sz w:val="20"/>
                <w:szCs w:val="20"/>
                <w:color w:val="auto"/>
              </w:rPr>
            </w:pPr>
            <w:r>
              <w:rPr>
                <w:rFonts w:ascii="Arial" w:cs="Arial" w:eastAsia="Arial" w:hAnsi="Arial"/>
                <w:sz w:val="14"/>
                <w:szCs w:val="14"/>
                <w:color w:val="auto"/>
              </w:rPr>
              <w:t>001-39310</w:t>
            </w:r>
          </w:p>
        </w:tc>
        <w:tc>
          <w:tcPr>
            <w:tcW w:w="6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52"/>
        </w:trPr>
        <w:tc>
          <w:tcPr>
            <w:tcW w:w="820" w:type="dxa"/>
            <w:vAlign w:val="bottom"/>
          </w:tcPr>
          <w:p>
            <w:pPr>
              <w:spacing w:after="0"/>
              <w:rPr>
                <w:sz w:val="13"/>
                <w:szCs w:val="13"/>
                <w:color w:val="auto"/>
              </w:rPr>
            </w:pPr>
          </w:p>
        </w:tc>
        <w:tc>
          <w:tcPr>
            <w:tcW w:w="5400" w:type="dxa"/>
            <w:vAlign w:val="bottom"/>
            <w:tcBorders>
              <w:bottom w:val="single" w:sz="8" w:color="0000FF"/>
            </w:tcBorders>
            <w:gridSpan w:val="5"/>
          </w:tcPr>
          <w:p>
            <w:pPr>
              <w:spacing w:after="0" w:line="152" w:lineRule="exact"/>
              <w:rPr>
                <w:rFonts w:ascii="Arial" w:cs="Arial" w:eastAsia="Arial" w:hAnsi="Arial"/>
                <w:sz w:val="14"/>
                <w:szCs w:val="14"/>
                <w:color w:val="0000FF"/>
                <w:w w:val="89"/>
              </w:rPr>
            </w:pPr>
            <w:hyperlink r:id="rId92">
              <w:r>
                <w:rPr>
                  <w:rFonts w:ascii="Arial" w:cs="Arial" w:eastAsia="Arial" w:hAnsi="Arial"/>
                  <w:sz w:val="14"/>
                  <w:szCs w:val="14"/>
                  <w:color w:val="0000FF"/>
                  <w:w w:val="89"/>
                </w:rPr>
                <w:t>ZoomInfo Finance Corp., the guarantors named on the signature pages thereto, and Wells Fargo</w:t>
              </w:r>
            </w:hyperlink>
          </w:p>
        </w:tc>
        <w:tc>
          <w:tcPr>
            <w:tcW w:w="140" w:type="dxa"/>
            <w:vAlign w:val="bottom"/>
            <w:gridSpan w:val="3"/>
          </w:tcPr>
          <w:p>
            <w:pPr>
              <w:spacing w:after="0"/>
              <w:rPr>
                <w:sz w:val="13"/>
                <w:szCs w:val="13"/>
                <w:color w:val="auto"/>
              </w:rPr>
            </w:pPr>
          </w:p>
        </w:tc>
        <w:tc>
          <w:tcPr>
            <w:tcW w:w="2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2"/>
        </w:trPr>
        <w:tc>
          <w:tcPr>
            <w:tcW w:w="820" w:type="dxa"/>
            <w:vAlign w:val="bottom"/>
          </w:tcPr>
          <w:p>
            <w:pPr>
              <w:spacing w:after="0"/>
              <w:rPr>
                <w:sz w:val="13"/>
                <w:szCs w:val="13"/>
                <w:color w:val="auto"/>
              </w:rPr>
            </w:pPr>
          </w:p>
        </w:tc>
        <w:tc>
          <w:tcPr>
            <w:tcW w:w="1780" w:type="dxa"/>
            <w:vAlign w:val="bottom"/>
            <w:tcBorders>
              <w:bottom w:val="single" w:sz="8" w:color="0000FF"/>
            </w:tcBorders>
          </w:tcPr>
          <w:p>
            <w:pPr>
              <w:spacing w:after="0" w:line="152" w:lineRule="exact"/>
              <w:rPr>
                <w:rFonts w:ascii="Arial" w:cs="Arial" w:eastAsia="Arial" w:hAnsi="Arial"/>
                <w:sz w:val="14"/>
                <w:szCs w:val="14"/>
                <w:color w:val="0000FF"/>
                <w:w w:val="89"/>
              </w:rPr>
            </w:pPr>
            <w:hyperlink r:id="rId92">
              <w:r>
                <w:rPr>
                  <w:rFonts w:ascii="Arial" w:cs="Arial" w:eastAsia="Arial" w:hAnsi="Arial"/>
                  <w:sz w:val="14"/>
                  <w:szCs w:val="14"/>
                  <w:color w:val="0000FF"/>
                  <w:w w:val="89"/>
                </w:rPr>
                <w:t>National Association, as trustee</w:t>
              </w:r>
            </w:hyperlink>
          </w:p>
        </w:tc>
        <w:tc>
          <w:tcPr>
            <w:tcW w:w="3760" w:type="dxa"/>
            <w:vAlign w:val="bottom"/>
            <w:gridSpan w:val="7"/>
          </w:tcPr>
          <w:p>
            <w:pPr>
              <w:spacing w:after="0"/>
              <w:rPr>
                <w:sz w:val="13"/>
                <w:szCs w:val="13"/>
                <w:color w:val="auto"/>
              </w:rPr>
            </w:pPr>
          </w:p>
        </w:tc>
        <w:tc>
          <w:tcPr>
            <w:tcW w:w="2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34"/>
        </w:trPr>
        <w:tc>
          <w:tcPr>
            <w:tcW w:w="820" w:type="dxa"/>
            <w:vAlign w:val="bottom"/>
          </w:tcPr>
          <w:p>
            <w:pPr>
              <w:jc w:val="center"/>
              <w:ind w:right="129"/>
              <w:spacing w:after="0"/>
              <w:rPr>
                <w:sz w:val="20"/>
                <w:szCs w:val="20"/>
                <w:color w:val="auto"/>
              </w:rPr>
            </w:pPr>
            <w:r>
              <w:rPr>
                <w:rFonts w:ascii="Arial" w:cs="Arial" w:eastAsia="Arial" w:hAnsi="Arial"/>
                <w:sz w:val="14"/>
                <w:szCs w:val="14"/>
                <w:color w:val="auto"/>
                <w:w w:val="92"/>
              </w:rPr>
              <w:t>4.3</w:t>
            </w:r>
          </w:p>
        </w:tc>
        <w:tc>
          <w:tcPr>
            <w:tcW w:w="5540" w:type="dxa"/>
            <w:vAlign w:val="bottom"/>
            <w:gridSpan w:val="8"/>
          </w:tcPr>
          <w:p>
            <w:pPr>
              <w:spacing w:after="0"/>
              <w:rPr>
                <w:sz w:val="20"/>
                <w:szCs w:val="20"/>
                <w:color w:val="auto"/>
              </w:rPr>
            </w:pPr>
            <w:r>
              <w:rPr>
                <w:rFonts w:ascii="Arial" w:cs="Arial" w:eastAsia="Arial" w:hAnsi="Arial"/>
                <w:sz w:val="14"/>
                <w:szCs w:val="14"/>
                <w:color w:val="auto"/>
              </w:rPr>
              <w:t>Form of 3.875% Senior Note due 2029 (included in Exhibit 4.1)</w:t>
            </w:r>
          </w:p>
        </w:tc>
        <w:tc>
          <w:tcPr>
            <w:tcW w:w="2200" w:type="dxa"/>
            <w:vAlign w:val="bottom"/>
          </w:tcPr>
          <w:p>
            <w:pPr>
              <w:ind w:left="520"/>
              <w:spacing w:after="0"/>
              <w:rPr>
                <w:sz w:val="20"/>
                <w:szCs w:val="20"/>
                <w:color w:val="auto"/>
              </w:rPr>
            </w:pPr>
            <w:r>
              <w:rPr>
                <w:rFonts w:ascii="Arial" w:cs="Arial" w:eastAsia="Arial" w:hAnsi="Arial"/>
                <w:sz w:val="14"/>
                <w:szCs w:val="14"/>
                <w:color w:val="auto"/>
              </w:rPr>
              <w:t>8-K filed July 15, 2021</w:t>
            </w:r>
          </w:p>
        </w:tc>
        <w:tc>
          <w:tcPr>
            <w:tcW w:w="1420" w:type="dxa"/>
            <w:vAlign w:val="bottom"/>
          </w:tcPr>
          <w:p>
            <w:pPr>
              <w:jc w:val="right"/>
              <w:ind w:right="369"/>
              <w:spacing w:after="0"/>
              <w:rPr>
                <w:sz w:val="20"/>
                <w:szCs w:val="20"/>
                <w:color w:val="auto"/>
              </w:rPr>
            </w:pPr>
            <w:r>
              <w:rPr>
                <w:rFonts w:ascii="Arial" w:cs="Arial" w:eastAsia="Arial" w:hAnsi="Arial"/>
                <w:sz w:val="14"/>
                <w:szCs w:val="14"/>
                <w:color w:val="auto"/>
              </w:rPr>
              <w:t>001-39310</w:t>
            </w:r>
          </w:p>
        </w:tc>
        <w:tc>
          <w:tcPr>
            <w:tcW w:w="6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3"/>
        </w:trPr>
        <w:tc>
          <w:tcPr>
            <w:tcW w:w="820" w:type="dxa"/>
            <w:vAlign w:val="bottom"/>
          </w:tcPr>
          <w:p>
            <w:pPr>
              <w:jc w:val="center"/>
              <w:ind w:right="129"/>
              <w:spacing w:after="0"/>
              <w:rPr>
                <w:sz w:val="20"/>
                <w:szCs w:val="20"/>
                <w:color w:val="auto"/>
              </w:rPr>
            </w:pPr>
            <w:r>
              <w:rPr>
                <w:rFonts w:ascii="Arial" w:cs="Arial" w:eastAsia="Arial" w:hAnsi="Arial"/>
                <w:sz w:val="14"/>
                <w:szCs w:val="14"/>
                <w:color w:val="auto"/>
                <w:w w:val="95"/>
              </w:rPr>
              <w:t>+31.1</w:t>
            </w:r>
          </w:p>
        </w:tc>
        <w:tc>
          <w:tcPr>
            <w:tcW w:w="542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92"/>
              </w:rPr>
              <w:t>Certification of Principal Executive Officer pursuant to Exchange Act Rules 13a-14(a) and 15d-</w:t>
            </w:r>
          </w:p>
        </w:tc>
        <w:tc>
          <w:tcPr>
            <w:tcW w:w="120" w:type="dxa"/>
            <w:vAlign w:val="bottom"/>
            <w:gridSpan w:val="2"/>
          </w:tcPr>
          <w:p>
            <w:pPr>
              <w:spacing w:after="0"/>
              <w:rPr>
                <w:sz w:val="15"/>
                <w:szCs w:val="15"/>
                <w:color w:val="auto"/>
              </w:rPr>
            </w:pPr>
          </w:p>
        </w:tc>
        <w:tc>
          <w:tcPr>
            <w:tcW w:w="2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52"/>
        </w:trPr>
        <w:tc>
          <w:tcPr>
            <w:tcW w:w="820" w:type="dxa"/>
            <w:vAlign w:val="bottom"/>
          </w:tcPr>
          <w:p>
            <w:pPr>
              <w:spacing w:after="0"/>
              <w:rPr>
                <w:sz w:val="13"/>
                <w:szCs w:val="13"/>
                <w:color w:val="auto"/>
              </w:rPr>
            </w:pPr>
          </w:p>
        </w:tc>
        <w:tc>
          <w:tcPr>
            <w:tcW w:w="4380" w:type="dxa"/>
            <w:vAlign w:val="bottom"/>
            <w:tcBorders>
              <w:bottom w:val="single" w:sz="8" w:color="0000FF"/>
            </w:tcBorders>
            <w:gridSpan w:val="2"/>
          </w:tcPr>
          <w:p>
            <w:pPr>
              <w:spacing w:after="0" w:line="152" w:lineRule="exact"/>
              <w:rPr>
                <w:sz w:val="20"/>
                <w:szCs w:val="20"/>
                <w:color w:val="auto"/>
              </w:rPr>
            </w:pPr>
            <w:r>
              <w:rPr>
                <w:rFonts w:ascii="Arial" w:cs="Arial" w:eastAsia="Arial" w:hAnsi="Arial"/>
                <w:sz w:val="14"/>
                <w:szCs w:val="14"/>
                <w:color w:val="0000FF"/>
                <w:w w:val="90"/>
              </w:rPr>
              <w:t>14(a), as adopted pursuant to Section 302 of the Sarbanes-Oxley Act of 2002.</w:t>
            </w:r>
          </w:p>
        </w:tc>
        <w:tc>
          <w:tcPr>
            <w:tcW w:w="1160" w:type="dxa"/>
            <w:vAlign w:val="bottom"/>
            <w:gridSpan w:val="6"/>
          </w:tcPr>
          <w:p>
            <w:pPr>
              <w:spacing w:after="0"/>
              <w:rPr>
                <w:sz w:val="13"/>
                <w:szCs w:val="13"/>
                <w:color w:val="auto"/>
              </w:rPr>
            </w:pPr>
          </w:p>
        </w:tc>
        <w:tc>
          <w:tcPr>
            <w:tcW w:w="2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5"/>
        </w:trPr>
        <w:tc>
          <w:tcPr>
            <w:tcW w:w="820" w:type="dxa"/>
            <w:vAlign w:val="bottom"/>
          </w:tcPr>
          <w:p>
            <w:pPr>
              <w:jc w:val="center"/>
              <w:ind w:right="129"/>
              <w:spacing w:after="0"/>
              <w:rPr>
                <w:sz w:val="20"/>
                <w:szCs w:val="20"/>
                <w:color w:val="auto"/>
              </w:rPr>
            </w:pPr>
            <w:r>
              <w:rPr>
                <w:rFonts w:ascii="Arial" w:cs="Arial" w:eastAsia="Arial" w:hAnsi="Arial"/>
                <w:sz w:val="14"/>
                <w:szCs w:val="14"/>
                <w:color w:val="auto"/>
                <w:w w:val="95"/>
              </w:rPr>
              <w:t>+31.2</w:t>
            </w:r>
          </w:p>
        </w:tc>
        <w:tc>
          <w:tcPr>
            <w:tcW w:w="538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2"/>
              </w:rPr>
              <w:t>Certification of Principal Financial Officer pursuant to Exchange Act Rules 13a-14(a) and 15d-</w:t>
            </w:r>
          </w:p>
        </w:tc>
        <w:tc>
          <w:tcPr>
            <w:tcW w:w="160" w:type="dxa"/>
            <w:vAlign w:val="bottom"/>
            <w:gridSpan w:val="4"/>
          </w:tcPr>
          <w:p>
            <w:pPr>
              <w:spacing w:after="0"/>
              <w:rPr>
                <w:sz w:val="17"/>
                <w:szCs w:val="17"/>
                <w:color w:val="auto"/>
              </w:rPr>
            </w:pP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52"/>
        </w:trPr>
        <w:tc>
          <w:tcPr>
            <w:tcW w:w="820" w:type="dxa"/>
            <w:vAlign w:val="bottom"/>
          </w:tcPr>
          <w:p>
            <w:pPr>
              <w:spacing w:after="0"/>
              <w:rPr>
                <w:sz w:val="13"/>
                <w:szCs w:val="13"/>
                <w:color w:val="auto"/>
              </w:rPr>
            </w:pPr>
          </w:p>
        </w:tc>
        <w:tc>
          <w:tcPr>
            <w:tcW w:w="4380" w:type="dxa"/>
            <w:vAlign w:val="bottom"/>
            <w:tcBorders>
              <w:bottom w:val="single" w:sz="8" w:color="0000FF"/>
            </w:tcBorders>
            <w:gridSpan w:val="2"/>
          </w:tcPr>
          <w:p>
            <w:pPr>
              <w:spacing w:after="0" w:line="152" w:lineRule="exact"/>
              <w:rPr>
                <w:sz w:val="20"/>
                <w:szCs w:val="20"/>
                <w:color w:val="auto"/>
              </w:rPr>
            </w:pPr>
            <w:r>
              <w:rPr>
                <w:rFonts w:ascii="Arial" w:cs="Arial" w:eastAsia="Arial" w:hAnsi="Arial"/>
                <w:sz w:val="14"/>
                <w:szCs w:val="14"/>
                <w:color w:val="0000FF"/>
                <w:w w:val="90"/>
              </w:rPr>
              <w:t>14(a), as adopted pursuant to Section 302 of the Sarbanes-Oxley Act of 2002.</w:t>
            </w:r>
          </w:p>
        </w:tc>
        <w:tc>
          <w:tcPr>
            <w:tcW w:w="1160" w:type="dxa"/>
            <w:vAlign w:val="bottom"/>
            <w:gridSpan w:val="6"/>
          </w:tcPr>
          <w:p>
            <w:pPr>
              <w:spacing w:after="0"/>
              <w:rPr>
                <w:sz w:val="13"/>
                <w:szCs w:val="13"/>
                <w:color w:val="auto"/>
              </w:rPr>
            </w:pPr>
          </w:p>
        </w:tc>
        <w:tc>
          <w:tcPr>
            <w:tcW w:w="2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5"/>
        </w:trPr>
        <w:tc>
          <w:tcPr>
            <w:tcW w:w="820" w:type="dxa"/>
            <w:vAlign w:val="bottom"/>
          </w:tcPr>
          <w:p>
            <w:pPr>
              <w:jc w:val="center"/>
              <w:ind w:right="129"/>
              <w:spacing w:after="0"/>
              <w:rPr>
                <w:sz w:val="20"/>
                <w:szCs w:val="20"/>
                <w:color w:val="auto"/>
              </w:rPr>
            </w:pPr>
            <w:r>
              <w:rPr>
                <w:rFonts w:ascii="Arial" w:cs="Arial" w:eastAsia="Arial" w:hAnsi="Arial"/>
                <w:sz w:val="14"/>
                <w:szCs w:val="14"/>
                <w:color w:val="auto"/>
                <w:w w:val="92"/>
              </w:rPr>
              <w:t>+32.1*</w:t>
            </w:r>
          </w:p>
        </w:tc>
        <w:tc>
          <w:tcPr>
            <w:tcW w:w="554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3"/>
              </w:rPr>
              <w:t>Certifications of Principal Executive Officer and Principal Financial Officer pursuant to 18 U.S.C.</w:t>
            </w: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39"/>
        </w:trPr>
        <w:tc>
          <w:tcPr>
            <w:tcW w:w="820" w:type="dxa"/>
            <w:vAlign w:val="bottom"/>
          </w:tcPr>
          <w:p>
            <w:pPr>
              <w:spacing w:after="0"/>
              <w:rPr>
                <w:sz w:val="12"/>
                <w:szCs w:val="12"/>
                <w:color w:val="auto"/>
              </w:rPr>
            </w:pPr>
          </w:p>
        </w:tc>
        <w:tc>
          <w:tcPr>
            <w:tcW w:w="4820" w:type="dxa"/>
            <w:vAlign w:val="bottom"/>
            <w:tcBorders>
              <w:bottom w:val="single" w:sz="8" w:color="0000FF"/>
            </w:tcBorders>
            <w:gridSpan w:val="3"/>
          </w:tcPr>
          <w:p>
            <w:pPr>
              <w:spacing w:after="0" w:line="139" w:lineRule="exact"/>
              <w:rPr>
                <w:sz w:val="20"/>
                <w:szCs w:val="20"/>
                <w:color w:val="auto"/>
              </w:rPr>
            </w:pPr>
            <w:r>
              <w:rPr>
                <w:rFonts w:ascii="Arial" w:cs="Arial" w:eastAsia="Arial" w:hAnsi="Arial"/>
                <w:sz w:val="14"/>
                <w:szCs w:val="14"/>
                <w:color w:val="0000FF"/>
                <w:w w:val="90"/>
              </w:rPr>
              <w:t>Section 1350, as adopted pursuant to Section 906 of the Sarbanes-Oxley Act of 2002.</w:t>
            </w:r>
          </w:p>
        </w:tc>
        <w:tc>
          <w:tcPr>
            <w:tcW w:w="720" w:type="dxa"/>
            <w:vAlign w:val="bottom"/>
            <w:gridSpan w:val="5"/>
          </w:tcPr>
          <w:p>
            <w:pPr>
              <w:spacing w:after="0"/>
              <w:rPr>
                <w:sz w:val="12"/>
                <w:szCs w:val="12"/>
                <w:color w:val="auto"/>
              </w:rPr>
            </w:pPr>
          </w:p>
        </w:tc>
        <w:tc>
          <w:tcPr>
            <w:tcW w:w="2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34"/>
        </w:trPr>
        <w:tc>
          <w:tcPr>
            <w:tcW w:w="820" w:type="dxa"/>
            <w:vAlign w:val="bottom"/>
          </w:tcPr>
          <w:p>
            <w:pPr>
              <w:jc w:val="center"/>
              <w:ind w:right="129"/>
              <w:spacing w:after="0"/>
              <w:rPr>
                <w:sz w:val="20"/>
                <w:szCs w:val="20"/>
                <w:color w:val="auto"/>
              </w:rPr>
            </w:pPr>
            <w:r>
              <w:rPr>
                <w:rFonts w:ascii="Arial" w:cs="Arial" w:eastAsia="Arial" w:hAnsi="Arial"/>
                <w:sz w:val="14"/>
                <w:szCs w:val="14"/>
                <w:color w:val="auto"/>
                <w:w w:val="91"/>
              </w:rPr>
              <w:t>+101.INS</w:t>
            </w:r>
          </w:p>
        </w:tc>
        <w:tc>
          <w:tcPr>
            <w:tcW w:w="5540" w:type="dxa"/>
            <w:vAlign w:val="bottom"/>
            <w:gridSpan w:val="8"/>
          </w:tcPr>
          <w:p>
            <w:pPr>
              <w:spacing w:after="0"/>
              <w:rPr>
                <w:sz w:val="20"/>
                <w:szCs w:val="20"/>
                <w:color w:val="auto"/>
              </w:rPr>
            </w:pPr>
            <w:r>
              <w:rPr>
                <w:rFonts w:ascii="Arial" w:cs="Arial" w:eastAsia="Arial" w:hAnsi="Arial"/>
                <w:sz w:val="14"/>
                <w:szCs w:val="14"/>
                <w:color w:val="auto"/>
              </w:rPr>
              <w:t>Inline XBRL Instance Document</w:t>
            </w:r>
          </w:p>
        </w:tc>
        <w:tc>
          <w:tcPr>
            <w:tcW w:w="2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25"/>
        </w:trPr>
        <w:tc>
          <w:tcPr>
            <w:tcW w:w="820" w:type="dxa"/>
            <w:vAlign w:val="bottom"/>
          </w:tcPr>
          <w:p>
            <w:pPr>
              <w:jc w:val="center"/>
              <w:ind w:right="109"/>
              <w:spacing w:after="0"/>
              <w:rPr>
                <w:sz w:val="20"/>
                <w:szCs w:val="20"/>
                <w:color w:val="auto"/>
              </w:rPr>
            </w:pPr>
            <w:r>
              <w:rPr>
                <w:rFonts w:ascii="Arial" w:cs="Arial" w:eastAsia="Arial" w:hAnsi="Arial"/>
                <w:sz w:val="14"/>
                <w:szCs w:val="14"/>
                <w:color w:val="auto"/>
                <w:w w:val="92"/>
              </w:rPr>
              <w:t>+101.SCH</w:t>
            </w:r>
          </w:p>
        </w:tc>
        <w:tc>
          <w:tcPr>
            <w:tcW w:w="5540" w:type="dxa"/>
            <w:vAlign w:val="bottom"/>
            <w:gridSpan w:val="8"/>
          </w:tcPr>
          <w:p>
            <w:pPr>
              <w:spacing w:after="0"/>
              <w:rPr>
                <w:sz w:val="20"/>
                <w:szCs w:val="20"/>
                <w:color w:val="auto"/>
              </w:rPr>
            </w:pPr>
            <w:r>
              <w:rPr>
                <w:rFonts w:ascii="Arial" w:cs="Arial" w:eastAsia="Arial" w:hAnsi="Arial"/>
                <w:sz w:val="14"/>
                <w:szCs w:val="14"/>
                <w:color w:val="auto"/>
              </w:rPr>
              <w:t>Inline XBRL Taxonomy Extension Schema Document</w:t>
            </w:r>
          </w:p>
        </w:tc>
        <w:tc>
          <w:tcPr>
            <w:tcW w:w="2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820" w:type="dxa"/>
            <w:vAlign w:val="bottom"/>
          </w:tcPr>
          <w:p>
            <w:pPr>
              <w:jc w:val="center"/>
              <w:ind w:right="129"/>
              <w:spacing w:after="0"/>
              <w:rPr>
                <w:sz w:val="20"/>
                <w:szCs w:val="20"/>
                <w:color w:val="auto"/>
              </w:rPr>
            </w:pPr>
            <w:r>
              <w:rPr>
                <w:rFonts w:ascii="Arial" w:cs="Arial" w:eastAsia="Arial" w:hAnsi="Arial"/>
                <w:sz w:val="14"/>
                <w:szCs w:val="14"/>
                <w:color w:val="auto"/>
                <w:w w:val="98"/>
              </w:rPr>
              <w:t>+101.CAL</w:t>
            </w:r>
          </w:p>
        </w:tc>
        <w:tc>
          <w:tcPr>
            <w:tcW w:w="5540" w:type="dxa"/>
            <w:vAlign w:val="bottom"/>
            <w:gridSpan w:val="8"/>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2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820" w:type="dxa"/>
            <w:vAlign w:val="bottom"/>
          </w:tcPr>
          <w:p>
            <w:pPr>
              <w:jc w:val="center"/>
              <w:ind w:right="129"/>
              <w:spacing w:after="0"/>
              <w:rPr>
                <w:sz w:val="20"/>
                <w:szCs w:val="20"/>
                <w:color w:val="auto"/>
              </w:rPr>
            </w:pPr>
            <w:r>
              <w:rPr>
                <w:rFonts w:ascii="Arial" w:cs="Arial" w:eastAsia="Arial" w:hAnsi="Arial"/>
                <w:sz w:val="14"/>
                <w:szCs w:val="14"/>
                <w:color w:val="auto"/>
                <w:w w:val="91"/>
              </w:rPr>
              <w:t>+101.DEF</w:t>
            </w:r>
          </w:p>
        </w:tc>
        <w:tc>
          <w:tcPr>
            <w:tcW w:w="5540" w:type="dxa"/>
            <w:vAlign w:val="bottom"/>
            <w:gridSpan w:val="8"/>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2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2"/>
        </w:trPr>
        <w:tc>
          <w:tcPr>
            <w:tcW w:w="820" w:type="dxa"/>
            <w:vAlign w:val="bottom"/>
          </w:tcPr>
          <w:p>
            <w:pPr>
              <w:jc w:val="center"/>
              <w:ind w:right="129"/>
              <w:spacing w:after="0"/>
              <w:rPr>
                <w:sz w:val="20"/>
                <w:szCs w:val="20"/>
                <w:color w:val="auto"/>
              </w:rPr>
            </w:pPr>
            <w:r>
              <w:rPr>
                <w:rFonts w:ascii="Arial" w:cs="Arial" w:eastAsia="Arial" w:hAnsi="Arial"/>
                <w:sz w:val="14"/>
                <w:szCs w:val="14"/>
                <w:color w:val="auto"/>
              </w:rPr>
              <w:t>+101.LAB</w:t>
            </w:r>
          </w:p>
        </w:tc>
        <w:tc>
          <w:tcPr>
            <w:tcW w:w="5540" w:type="dxa"/>
            <w:vAlign w:val="bottom"/>
            <w:gridSpan w:val="8"/>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2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5"/>
        </w:trPr>
        <w:tc>
          <w:tcPr>
            <w:tcW w:w="820" w:type="dxa"/>
            <w:vAlign w:val="bottom"/>
          </w:tcPr>
          <w:p>
            <w:pPr>
              <w:jc w:val="center"/>
              <w:ind w:right="129"/>
              <w:spacing w:after="0"/>
              <w:rPr>
                <w:sz w:val="20"/>
                <w:szCs w:val="20"/>
                <w:color w:val="auto"/>
              </w:rPr>
            </w:pPr>
            <w:r>
              <w:rPr>
                <w:rFonts w:ascii="Arial" w:cs="Arial" w:eastAsia="Arial" w:hAnsi="Arial"/>
                <w:sz w:val="14"/>
                <w:szCs w:val="14"/>
                <w:color w:val="auto"/>
                <w:w w:val="90"/>
              </w:rPr>
              <w:t>+101.PRE</w:t>
            </w:r>
          </w:p>
        </w:tc>
        <w:tc>
          <w:tcPr>
            <w:tcW w:w="5540" w:type="dxa"/>
            <w:vAlign w:val="bottom"/>
            <w:gridSpan w:val="8"/>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45" w:lineRule="exact"/>
        <w:rPr>
          <w:sz w:val="20"/>
          <w:szCs w:val="20"/>
          <w:color w:val="auto"/>
        </w:rPr>
      </w:pPr>
    </w:p>
    <w:p>
      <w:pPr>
        <w:ind w:left="1000" w:hanging="615"/>
        <w:spacing w:after="0"/>
        <w:tabs>
          <w:tab w:leader="none" w:pos="1000" w:val="left"/>
        </w:tabs>
        <w:numPr>
          <w:ilvl w:val="1"/>
          <w:numId w:val="2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76" w:lineRule="exact"/>
        <w:rPr>
          <w:rFonts w:ascii="Arial" w:cs="Arial" w:eastAsia="Arial" w:hAnsi="Arial"/>
          <w:sz w:val="14"/>
          <w:szCs w:val="14"/>
          <w:color w:val="auto"/>
        </w:rPr>
      </w:pPr>
    </w:p>
    <w:p>
      <w:pPr>
        <w:ind w:left="120" w:hanging="114"/>
        <w:spacing w:after="0"/>
        <w:tabs>
          <w:tab w:leader="none" w:pos="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70" w:lineRule="exact"/>
        <w:rPr>
          <w:sz w:val="20"/>
          <w:szCs w:val="20"/>
          <w:color w:val="auto"/>
        </w:rPr>
      </w:pPr>
    </w:p>
    <w:p>
      <w:pPr>
        <w:jc w:val="both"/>
        <w:ind w:firstLine="6"/>
        <w:spacing w:after="0" w:line="270" w:lineRule="auto"/>
        <w:tabs>
          <w:tab w:leader="none" w:pos="109"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ZOOMINFO TECHNOLOGIES INC.</w:t>
      </w:r>
    </w:p>
    <w:p>
      <w:pPr>
        <w:spacing w:after="0" w:line="257" w:lineRule="exact"/>
        <w:rPr>
          <w:sz w:val="20"/>
          <w:szCs w:val="20"/>
          <w:color w:val="auto"/>
        </w:rPr>
      </w:pPr>
    </w:p>
    <w:p>
      <w:pPr>
        <w:ind w:left="690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27940</wp:posOffset>
            </wp:positionV>
            <wp:extent cx="2423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5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P. Cameron Hyzer</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Chief Financial Officer</w:t>
      </w:r>
    </w:p>
    <w:p>
      <w:pPr>
        <w:spacing w:after="0" w:line="3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Officer and Authorized</w:t>
      </w:r>
    </w:p>
    <w:p>
      <w:pPr>
        <w:spacing w:after="0" w:line="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Signatory)</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July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 Henry Schuck, certify that:</w:t>
      </w:r>
    </w:p>
    <w:p>
      <w:pPr>
        <w:spacing w:after="0" w:line="244" w:lineRule="exact"/>
        <w:rPr>
          <w:sz w:val="20"/>
          <w:szCs w:val="20"/>
          <w:color w:val="auto"/>
        </w:rPr>
      </w:pPr>
    </w:p>
    <w:p>
      <w:pPr>
        <w:ind w:left="180" w:hanging="174"/>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43" w:lineRule="exact"/>
        <w:rPr>
          <w:rFonts w:ascii="Arial" w:cs="Arial" w:eastAsia="Arial" w:hAnsi="Arial"/>
          <w:sz w:val="18"/>
          <w:szCs w:val="18"/>
          <w:color w:val="auto"/>
        </w:rPr>
      </w:pPr>
    </w:p>
    <w:p>
      <w:pPr>
        <w:ind w:right="460" w:firstLine="6"/>
        <w:spacing w:after="0" w:line="365" w:lineRule="auto"/>
        <w:tabs>
          <w:tab w:leader="none" w:pos="177"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right="80" w:firstLine="6"/>
        <w:spacing w:after="0" w:line="264" w:lineRule="auto"/>
        <w:tabs>
          <w:tab w:leader="none" w:pos="1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ind w:right="80" w:firstLine="6"/>
        <w:spacing w:after="0" w:line="255" w:lineRule="auto"/>
        <w:tabs>
          <w:tab w:leader="none" w:pos="1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960" w:right="340" w:hanging="318"/>
        <w:spacing w:after="0" w:line="255" w:lineRule="auto"/>
        <w:tabs>
          <w:tab w:leader="none" w:pos="88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960" w:right="580" w:hanging="318"/>
        <w:spacing w:after="0" w:line="255"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960" w:right="740" w:hanging="318"/>
        <w:spacing w:after="0" w:line="365" w:lineRule="auto"/>
        <w:tabs>
          <w:tab w:leader="none" w:pos="882"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960" w:right="320" w:hanging="318"/>
        <w:spacing w:after="0" w:line="255"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680" w:firstLine="6"/>
        <w:spacing w:after="0" w:line="365" w:lineRule="auto"/>
        <w:tabs>
          <w:tab w:leader="none" w:pos="173"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960" w:right="160" w:hanging="318"/>
        <w:spacing w:after="0" w:line="294" w:lineRule="auto"/>
        <w:tabs>
          <w:tab w:leader="none" w:pos="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960" w:right="120" w:hanging="318"/>
        <w:spacing w:after="0" w:line="264" w:lineRule="auto"/>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74" w:name="page75"/>
    <w:bookmarkEnd w:id="74"/>
    <w:p>
      <w:pPr>
        <w:spacing w:after="0" w:line="200" w:lineRule="exact"/>
        <w:rPr>
          <w:sz w:val="20"/>
          <w:szCs w:val="20"/>
          <w:color w:val="auto"/>
        </w:rPr>
      </w:pPr>
    </w:p>
    <w:p>
      <w:pPr>
        <w:spacing w:after="0" w:line="3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3928745</wp:posOffset>
            </wp:positionH>
            <wp:positionV relativeFrom="paragraph">
              <wp:posOffset>36195</wp:posOffset>
            </wp:positionV>
            <wp:extent cx="3070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070860" cy="8255"/>
                    </a:xfrm>
                    <a:prstGeom prst="rect">
                      <a:avLst/>
                    </a:prstGeom>
                    <a:noFill/>
                  </pic:spPr>
                </pic:pic>
              </a:graphicData>
            </a:graphic>
          </wp:anchor>
        </w:drawing>
      </w:r>
    </w:p>
    <w:p>
      <w:pPr>
        <w:spacing w:after="0" w:line="51"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July 31, 2023</w:t>
      </w:r>
      <w:r>
        <w:rPr>
          <w:sz w:val="20"/>
          <w:szCs w:val="20"/>
          <w:color w:val="auto"/>
        </w:rPr>
        <w:tab/>
      </w:r>
      <w:r>
        <w:rPr>
          <w:rFonts w:ascii="Arial" w:cs="Arial" w:eastAsia="Arial" w:hAnsi="Arial"/>
          <w:sz w:val="15"/>
          <w:szCs w:val="15"/>
          <w:color w:val="auto"/>
        </w:rPr>
        <w:t>Henry Schuck</w:t>
      </w:r>
    </w:p>
    <w:p>
      <w:pPr>
        <w:spacing w:after="0" w:line="7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71" w:lineRule="exact"/>
        <w:rPr>
          <w:sz w:val="20"/>
          <w:szCs w:val="20"/>
          <w:color w:val="auto"/>
        </w:rPr>
      </w:pPr>
    </w:p>
    <w:p>
      <w:pPr>
        <w:ind w:left="620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 P. Cameron Hyzer, certify that:</w:t>
      </w:r>
    </w:p>
    <w:p>
      <w:pPr>
        <w:spacing w:after="0" w:line="244" w:lineRule="exact"/>
        <w:rPr>
          <w:sz w:val="20"/>
          <w:szCs w:val="20"/>
          <w:color w:val="auto"/>
        </w:rPr>
      </w:pPr>
    </w:p>
    <w:p>
      <w:pPr>
        <w:ind w:left="180" w:hanging="174"/>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43" w:lineRule="exact"/>
        <w:rPr>
          <w:rFonts w:ascii="Arial" w:cs="Arial" w:eastAsia="Arial" w:hAnsi="Arial"/>
          <w:sz w:val="18"/>
          <w:szCs w:val="18"/>
          <w:color w:val="auto"/>
        </w:rPr>
      </w:pPr>
    </w:p>
    <w:p>
      <w:pPr>
        <w:ind w:right="460" w:firstLine="6"/>
        <w:spacing w:after="0" w:line="365" w:lineRule="auto"/>
        <w:tabs>
          <w:tab w:leader="none" w:pos="177"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right="80" w:firstLine="6"/>
        <w:spacing w:after="0" w:line="264" w:lineRule="auto"/>
        <w:tabs>
          <w:tab w:leader="none" w:pos="1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ind w:right="80" w:firstLine="6"/>
        <w:spacing w:after="0" w:line="255" w:lineRule="auto"/>
        <w:tabs>
          <w:tab w:leader="none" w:pos="1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960" w:right="340" w:hanging="318"/>
        <w:spacing w:after="0" w:line="255" w:lineRule="auto"/>
        <w:tabs>
          <w:tab w:leader="none" w:pos="88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960" w:right="580" w:hanging="318"/>
        <w:spacing w:after="0" w:line="255"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960" w:right="740" w:hanging="318"/>
        <w:spacing w:after="0" w:line="365" w:lineRule="auto"/>
        <w:tabs>
          <w:tab w:leader="none" w:pos="882"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960" w:right="320" w:hanging="318"/>
        <w:spacing w:after="0" w:line="255"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680" w:firstLine="6"/>
        <w:spacing w:after="0" w:line="365" w:lineRule="auto"/>
        <w:tabs>
          <w:tab w:leader="none" w:pos="173"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960" w:right="160" w:hanging="318"/>
        <w:spacing w:after="0" w:line="294" w:lineRule="auto"/>
        <w:tabs>
          <w:tab w:leader="none" w:pos="9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960" w:right="200" w:hanging="318"/>
        <w:spacing w:after="0" w:line="264" w:lineRule="auto"/>
        <w:tabs>
          <w:tab w:leader="none" w:pos="88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76" w:name="page77"/>
    <w:bookmarkEnd w:id="76"/>
    <w:p>
      <w:pPr>
        <w:spacing w:after="0" w:line="200" w:lineRule="exact"/>
        <w:rPr>
          <w:sz w:val="20"/>
          <w:szCs w:val="20"/>
          <w:color w:val="auto"/>
        </w:rPr>
      </w:pPr>
    </w:p>
    <w:p>
      <w:pPr>
        <w:spacing w:after="0" w:line="343"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July 31, 2023</w:t>
      </w:r>
      <w:r>
        <w:rPr>
          <w:sz w:val="20"/>
          <w:szCs w:val="20"/>
          <w:color w:val="auto"/>
        </w:rPr>
        <w:tab/>
      </w:r>
      <w:r>
        <w:rPr>
          <w:rFonts w:ascii="Arial" w:cs="Arial" w:eastAsia="Arial" w:hAnsi="Arial"/>
          <w:sz w:val="15"/>
          <w:szCs w:val="15"/>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3928745</wp:posOffset>
            </wp:positionH>
            <wp:positionV relativeFrom="paragraph">
              <wp:posOffset>36195</wp:posOffset>
            </wp:positionV>
            <wp:extent cx="3070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070860" cy="8255"/>
                    </a:xfrm>
                    <a:prstGeom prst="rect">
                      <a:avLst/>
                    </a:prstGeom>
                    <a:noFill/>
                  </pic:spPr>
                </pic:pic>
              </a:graphicData>
            </a:graphic>
          </wp:anchor>
        </w:drawing>
      </w:r>
    </w:p>
    <w:p>
      <w:pPr>
        <w:spacing w:after="0" w:line="6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 Cameron Hyzer</w:t>
      </w:r>
    </w:p>
    <w:p>
      <w:pPr>
        <w:spacing w:after="0" w:line="5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71" w:lineRule="exact"/>
        <w:rPr>
          <w:sz w:val="20"/>
          <w:szCs w:val="20"/>
          <w:color w:val="auto"/>
        </w:rPr>
      </w:pPr>
    </w:p>
    <w:p>
      <w:pPr>
        <w:ind w:left="620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18 U.S.C. Section 1350,</w:t>
      </w:r>
    </w:p>
    <w:p>
      <w:pPr>
        <w:spacing w:after="0" w:line="1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2" w:lineRule="exact"/>
        <w:rPr>
          <w:sz w:val="20"/>
          <w:szCs w:val="20"/>
          <w:color w:val="auto"/>
        </w:rPr>
      </w:pPr>
    </w:p>
    <w:p>
      <w:pPr>
        <w:ind w:right="20" w:firstLine="636"/>
        <w:spacing w:after="0" w:line="287" w:lineRule="auto"/>
        <w:rPr>
          <w:sz w:val="20"/>
          <w:szCs w:val="20"/>
          <w:color w:val="auto"/>
        </w:rPr>
      </w:pPr>
      <w:r>
        <w:rPr>
          <w:rFonts w:ascii="Arial" w:cs="Arial" w:eastAsia="Arial" w:hAnsi="Arial"/>
          <w:sz w:val="18"/>
          <w:szCs w:val="18"/>
          <w:color w:val="auto"/>
        </w:rPr>
        <w:t>In connection with the Quarterly Report on Form 10-Q of ZoomInfo Technologies Inc. (the “Company”) for the quarterly period ended June 30, 2023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216" w:lineRule="exact"/>
        <w:rPr>
          <w:sz w:val="20"/>
          <w:szCs w:val="20"/>
          <w:color w:val="auto"/>
        </w:rPr>
      </w:pPr>
    </w:p>
    <w:p>
      <w:pPr>
        <w:ind w:left="880" w:hanging="23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83" w:lineRule="exact"/>
        <w:rPr>
          <w:rFonts w:ascii="Arial" w:cs="Arial" w:eastAsia="Arial" w:hAnsi="Arial"/>
          <w:sz w:val="18"/>
          <w:szCs w:val="18"/>
          <w:color w:val="auto"/>
        </w:rPr>
      </w:pPr>
    </w:p>
    <w:p>
      <w:pPr>
        <w:ind w:left="880" w:hanging="238"/>
        <w:spacing w:after="0"/>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36195</wp:posOffset>
            </wp:positionV>
            <wp:extent cx="30880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6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Henry Schuck</w:t>
      </w:r>
    </w:p>
    <w:p>
      <w:pPr>
        <w:spacing w:after="0" w:line="5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71"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3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36195</wp:posOffset>
            </wp:positionV>
            <wp:extent cx="30880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6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 Cameron Hyzer</w:t>
      </w:r>
    </w:p>
    <w:p>
      <w:pPr>
        <w:spacing w:after="0" w:line="7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4"/>
    </w:lvl>
  </w:abstractNum>
  <w:abstractNum w:abstractNumId="14">
    <w:nsid w:val="628C895D"/>
    <w:multiLevelType w:val="hybridMultilevel"/>
    <w:lvl w:ilvl="0">
      <w:lvlJc w:val="left"/>
      <w:lvlText w:val="(%1)"/>
      <w:numFmt w:val="lowerLetter"/>
      <w:start w:val="5"/>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4"/>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lvl w:ilvl="1">
      <w:lvlJc w:val="left"/>
      <w:lvlText w:val="%2"/>
      <w:numFmt w:val="decimal"/>
      <w:start w:val="104"/>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89" Type="http://schemas.openxmlformats.org/officeDocument/2006/relationships/hyperlink" Target="https://www.sec.gov/Archives/edgar/data/1794515/000179451522000095/zi-ex31x20220518.htm" TargetMode="External"/><Relationship Id="rId90" Type="http://schemas.openxmlformats.org/officeDocument/2006/relationships/hyperlink" Target="https://www.sec.gov/Archives/edgar/data/0001794515/000179451521000307/a32amendedandrestatedbylaw.htm" TargetMode="External"/><Relationship Id="rId91" Type="http://schemas.openxmlformats.org/officeDocument/2006/relationships/hyperlink" Target="https://www.sec.gov/Archives/edgar/data/0001794515/000179451521000034/exhibit041xclosingxindent.htm" TargetMode="External"/><Relationship Id="rId92" Type="http://schemas.openxmlformats.org/officeDocument/2006/relationships/hyperlink" Target="https://www.sec.gov/Archives/edgar/data/0001794515/000179451521000174/zi-8kex42x202107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2023-07-31T16:30:47Z</dcterms:created>
  <dcterms:modified xsi:type="dcterms:W3CDTF">2023-07-31T16:30:47Z</dcterms:modified>
</cp:coreProperties>
</file>