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652780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678180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74295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84455</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40"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(Mark One)</w:t>
      </w:r>
    </w:p>
    <w:p>
      <w:pPr>
        <w:spacing w:after="0" w:line="111" w:lineRule="exact"/>
        <w:rPr>
          <w:sz w:val="24"/>
          <w:szCs w:val="24"/>
          <w:color w:val="auto"/>
        </w:rPr>
      </w:pPr>
    </w:p>
    <w:p>
      <w:pPr>
        <w:ind w:left="680" w:hanging="356"/>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680" w:hanging="356"/>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60"/>
          </w:cols>
          <w:pgMar w:left="320" w:top="1190" w:right="319" w:bottom="1440" w:gutter="0" w:footer="0" w:header="0"/>
        </w:sectPr>
      </w:pPr>
    </w:p>
    <w:p>
      <w:pPr>
        <w:spacing w:after="0" w:line="123"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transition period from</w:t>
      </w:r>
    </w:p>
    <w:p>
      <w:pPr>
        <w:spacing w:after="0" w:line="22"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101600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40" w:lineRule="exact"/>
        <w:rPr>
          <w:sz w:val="24"/>
          <w:szCs w:val="24"/>
          <w:color w:val="auto"/>
        </w:rPr>
      </w:pPr>
    </w:p>
    <w:p>
      <w:pPr>
        <w:sectPr>
          <w:pgSz w:w="11900" w:h="16838" w:orient="portrait"/>
          <w:cols w:equalWidth="0" w:num="2">
            <w:col w:w="6820" w:space="40"/>
            <w:col w:w="4400"/>
          </w:cols>
          <w:pgMar w:left="320" w:top="1190" w:right="319" w:bottom="1440" w:gutter="0" w:footer="0" w:header="0"/>
          <w:type w:val="continuous"/>
        </w:sectPr>
      </w:pP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376"/>
        </w:trPr>
        <w:tc>
          <w:tcPr>
            <w:tcW w:w="3500" w:type="dxa"/>
            <w:vAlign w:val="bottom"/>
          </w:tcPr>
          <w:p>
            <w:pPr>
              <w:spacing w:after="0"/>
              <w:rPr>
                <w:sz w:val="24"/>
                <w:szCs w:val="24"/>
                <w:color w:val="auto"/>
              </w:rPr>
            </w:pPr>
          </w:p>
        </w:tc>
        <w:tc>
          <w:tcPr>
            <w:tcW w:w="4360" w:type="dxa"/>
            <w:vAlign w:val="bottom"/>
            <w:gridSpan w:val="7"/>
          </w:tcPr>
          <w:p>
            <w:pPr>
              <w:jc w:val="center"/>
              <w:ind w:right="100"/>
              <w:spacing w:after="0"/>
              <w:rPr>
                <w:sz w:val="20"/>
                <w:szCs w:val="20"/>
                <w:color w:val="auto"/>
              </w:rPr>
            </w:pPr>
            <w:r>
              <w:rPr>
                <w:rFonts w:ascii="Arial" w:cs="Arial" w:eastAsia="Arial" w:hAnsi="Arial"/>
                <w:sz w:val="32"/>
                <w:szCs w:val="32"/>
                <w:b w:val="1"/>
                <w:bCs w:val="1"/>
                <w:color w:val="auto"/>
                <w:w w:val="88"/>
              </w:rPr>
              <w:t>ZoomInfo Technologies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vMerge w:val="restart"/>
          </w:tcPr>
          <w:p>
            <w:pPr>
              <w:jc w:val="center"/>
              <w:ind w:left="170"/>
              <w:spacing w:after="0"/>
              <w:rPr>
                <w:sz w:val="20"/>
                <w:szCs w:val="20"/>
                <w:color w:val="auto"/>
              </w:rPr>
            </w:pPr>
            <w:r>
              <w:rPr>
                <w:rFonts w:ascii="Arial" w:cs="Arial" w:eastAsia="Arial" w:hAnsi="Arial"/>
                <w:sz w:val="14"/>
                <w:szCs w:val="14"/>
                <w:b w:val="1"/>
                <w:bCs w:val="1"/>
                <w:color w:val="auto"/>
                <w:w w:val="94"/>
              </w:rPr>
              <w:t>Delaware</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0" w:type="dxa"/>
            <w:vAlign w:val="bottom"/>
            <w:vMerge w:val="restart"/>
          </w:tcPr>
          <w:p>
            <w:pPr>
              <w:jc w:val="right"/>
              <w:ind w:right="1491"/>
              <w:spacing w:after="0"/>
              <w:rPr>
                <w:sz w:val="20"/>
                <w:szCs w:val="20"/>
                <w:color w:val="auto"/>
              </w:rPr>
            </w:pPr>
            <w:r>
              <w:rPr>
                <w:rFonts w:ascii="Arial" w:cs="Arial" w:eastAsia="Arial" w:hAnsi="Arial"/>
                <w:sz w:val="14"/>
                <w:szCs w:val="14"/>
                <w:b w:val="1"/>
                <w:bCs w:val="1"/>
                <w:color w:val="auto"/>
              </w:rPr>
              <w:t>87-3037521</w:t>
            </w:r>
          </w:p>
        </w:tc>
        <w:tc>
          <w:tcPr>
            <w:tcW w:w="0" w:type="dxa"/>
            <w:vAlign w:val="bottom"/>
          </w:tcPr>
          <w:p>
            <w:pPr>
              <w:spacing w:after="0"/>
              <w:rPr>
                <w:sz w:val="1"/>
                <w:szCs w:val="1"/>
                <w:color w:val="auto"/>
              </w:rPr>
            </w:pPr>
          </w:p>
        </w:tc>
      </w:tr>
      <w:tr>
        <w:trPr>
          <w:trHeight w:val="340"/>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00" w:type="dxa"/>
            <w:vAlign w:val="bottom"/>
          </w:tcPr>
          <w:p>
            <w:pPr>
              <w:jc w:val="center"/>
              <w:ind w:left="190"/>
              <w:spacing w:after="0" w:line="157" w:lineRule="exact"/>
              <w:rPr>
                <w:sz w:val="20"/>
                <w:szCs w:val="20"/>
                <w:color w:val="auto"/>
              </w:rPr>
            </w:pPr>
            <w:r>
              <w:rPr>
                <w:rFonts w:ascii="Arial" w:cs="Arial" w:eastAsia="Arial" w:hAnsi="Arial"/>
                <w:sz w:val="14"/>
                <w:szCs w:val="14"/>
                <w:b w:val="1"/>
                <w:bCs w:val="1"/>
                <w:color w:val="auto"/>
                <w:w w:val="91"/>
              </w:rPr>
              <w:t>(State or other jurisdiction of</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0" w:type="dxa"/>
            <w:vAlign w:val="bottom"/>
          </w:tcPr>
          <w:p>
            <w:pPr>
              <w:jc w:val="center"/>
              <w:ind w:right="311"/>
              <w:spacing w:after="0" w:line="157"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4"/>
        </w:trPr>
        <w:tc>
          <w:tcPr>
            <w:tcW w:w="3500" w:type="dxa"/>
            <w:vAlign w:val="bottom"/>
          </w:tcPr>
          <w:p>
            <w:pPr>
              <w:jc w:val="center"/>
              <w:ind w:left="190"/>
              <w:spacing w:after="0"/>
              <w:rPr>
                <w:sz w:val="20"/>
                <w:szCs w:val="20"/>
                <w:color w:val="auto"/>
              </w:rPr>
            </w:pPr>
            <w:r>
              <w:rPr>
                <w:rFonts w:ascii="Arial" w:cs="Arial" w:eastAsia="Arial" w:hAnsi="Arial"/>
                <w:sz w:val="14"/>
                <w:szCs w:val="14"/>
                <w:b w:val="1"/>
                <w:bCs w:val="1"/>
                <w:color w:val="auto"/>
                <w:w w:val="92"/>
              </w:rPr>
              <w:t>incorporation or organization)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tcPr>
          <w:p>
            <w:pPr>
              <w:jc w:val="center"/>
              <w:ind w:right="31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42"/>
        </w:trPr>
        <w:tc>
          <w:tcPr>
            <w:tcW w:w="3500" w:type="dxa"/>
            <w:vAlign w:val="bottom"/>
          </w:tcPr>
          <w:p>
            <w:pPr>
              <w:jc w:val="center"/>
              <w:ind w:left="510"/>
              <w:spacing w:after="0"/>
              <w:rPr>
                <w:sz w:val="20"/>
                <w:szCs w:val="20"/>
                <w:color w:val="auto"/>
              </w:rPr>
            </w:pPr>
            <w:r>
              <w:rPr>
                <w:rFonts w:ascii="Arial" w:cs="Arial" w:eastAsia="Arial" w:hAnsi="Arial"/>
                <w:sz w:val="14"/>
                <w:szCs w:val="14"/>
                <w:b w:val="1"/>
                <w:bCs w:val="1"/>
                <w:color w:val="auto"/>
                <w:w w:val="90"/>
              </w:rPr>
              <w:t>805 Broadway Street, Suite 900</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3500" w:type="dxa"/>
            <w:vAlign w:val="bottom"/>
          </w:tcPr>
          <w:p>
            <w:pPr>
              <w:jc w:val="center"/>
              <w:ind w:left="490"/>
              <w:spacing w:after="0"/>
              <w:rPr>
                <w:sz w:val="20"/>
                <w:szCs w:val="20"/>
                <w:color w:val="auto"/>
              </w:rPr>
            </w:pPr>
            <w:r>
              <w:rPr>
                <w:rFonts w:ascii="Arial" w:cs="Arial" w:eastAsia="Arial" w:hAnsi="Arial"/>
                <w:sz w:val="14"/>
                <w:szCs w:val="14"/>
                <w:b w:val="1"/>
                <w:bCs w:val="1"/>
                <w:color w:val="auto"/>
                <w:w w:val="89"/>
              </w:rPr>
              <w:t>Vancouver, Washington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491"/>
              <w:spacing w:after="0"/>
              <w:rPr>
                <w:sz w:val="20"/>
                <w:szCs w:val="20"/>
                <w:color w:val="auto"/>
              </w:rPr>
            </w:pPr>
            <w:r>
              <w:rPr>
                <w:rFonts w:ascii="Arial" w:cs="Arial" w:eastAsia="Arial" w:hAnsi="Arial"/>
                <w:sz w:val="14"/>
                <w:szCs w:val="14"/>
                <w:b w:val="1"/>
                <w:bCs w:val="1"/>
                <w:color w:val="auto"/>
              </w:rPr>
              <w:t>98660</w:t>
            </w:r>
          </w:p>
        </w:tc>
        <w:tc>
          <w:tcPr>
            <w:tcW w:w="0" w:type="dxa"/>
            <w:vAlign w:val="bottom"/>
          </w:tcPr>
          <w:p>
            <w:pPr>
              <w:spacing w:after="0"/>
              <w:rPr>
                <w:sz w:val="1"/>
                <w:szCs w:val="1"/>
                <w:color w:val="auto"/>
              </w:rPr>
            </w:pPr>
          </w:p>
        </w:tc>
      </w:tr>
      <w:tr>
        <w:trPr>
          <w:trHeight w:val="371"/>
        </w:trPr>
        <w:tc>
          <w:tcPr>
            <w:tcW w:w="3500" w:type="dxa"/>
            <w:vAlign w:val="bottom"/>
          </w:tcPr>
          <w:p>
            <w:pPr>
              <w:jc w:val="center"/>
              <w:ind w:left="510"/>
              <w:spacing w:after="0"/>
              <w:rPr>
                <w:sz w:val="20"/>
                <w:szCs w:val="20"/>
                <w:color w:val="auto"/>
              </w:rPr>
            </w:pPr>
            <w:r>
              <w:rPr>
                <w:rFonts w:ascii="Arial" w:cs="Arial" w:eastAsia="Arial" w:hAnsi="Arial"/>
                <w:sz w:val="14"/>
                <w:szCs w:val="14"/>
                <w:color w:val="auto"/>
                <w:w w:val="93"/>
              </w:rPr>
              <w:t>(Address of principal executive offices)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351"/>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3100" w:type="dxa"/>
            <w:vAlign w:val="bottom"/>
            <w:gridSpan w:val="4"/>
          </w:tcPr>
          <w:p>
            <w:pPr>
              <w:jc w:val="right"/>
              <w:ind w:right="305"/>
              <w:spacing w:after="0"/>
              <w:rPr>
                <w:sz w:val="20"/>
                <w:szCs w:val="20"/>
                <w:color w:val="auto"/>
              </w:rPr>
            </w:pPr>
            <w:r>
              <w:rPr>
                <w:rFonts w:ascii="Arial" w:cs="Arial" w:eastAsia="Arial" w:hAnsi="Arial"/>
                <w:sz w:val="14"/>
                <w:szCs w:val="14"/>
                <w:b w:val="1"/>
                <w:bCs w:val="1"/>
                <w:color w:val="auto"/>
              </w:rPr>
              <w:t>(800) 914-1220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6"/>
          </w:tcPr>
          <w:p>
            <w:pPr>
              <w:jc w:val="center"/>
              <w:ind w:right="60"/>
              <w:spacing w:after="0"/>
              <w:rPr>
                <w:sz w:val="20"/>
                <w:szCs w:val="20"/>
                <w:color w:val="auto"/>
              </w:rPr>
            </w:pPr>
            <w:r>
              <w:rPr>
                <w:rFonts w:ascii="Arial" w:cs="Arial" w:eastAsia="Arial" w:hAnsi="Arial"/>
                <w:sz w:val="14"/>
                <w:szCs w:val="14"/>
                <w:color w:val="auto"/>
                <w:w w:val="91"/>
              </w:rPr>
              <w:t>(Registrant’s telephone number, including area code)</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500" w:type="dxa"/>
            <w:vAlign w:val="bottom"/>
            <w:vMerge w:val="restart"/>
          </w:tcPr>
          <w:p>
            <w:pPr>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2"/>
                <w:szCs w:val="12"/>
                <w:b w:val="1"/>
                <w:bCs w:val="1"/>
                <w:color w:val="auto"/>
              </w:rPr>
              <w:t>Title of Each Class</w:t>
            </w:r>
          </w:p>
        </w:tc>
        <w:tc>
          <w:tcPr>
            <w:tcW w:w="2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right w:val="single" w:sz="8" w:color="auto"/>
            </w:tcBorders>
            <w:gridSpan w:val="3"/>
          </w:tcPr>
          <w:p>
            <w:pPr>
              <w:jc w:val="center"/>
              <w:ind w:right="1080"/>
              <w:spacing w:after="0"/>
              <w:rPr>
                <w:sz w:val="20"/>
                <w:szCs w:val="20"/>
                <w:color w:val="auto"/>
              </w:rPr>
            </w:pPr>
            <w:r>
              <w:rPr>
                <w:rFonts w:ascii="Arial" w:cs="Arial" w:eastAsia="Arial" w:hAnsi="Arial"/>
                <w:sz w:val="12"/>
                <w:szCs w:val="12"/>
                <w:b w:val="1"/>
                <w:bCs w:val="1"/>
                <w:color w:val="auto"/>
                <w:w w:val="92"/>
              </w:rPr>
              <w:t>Trading Symbol(s)</w:t>
            </w:r>
          </w:p>
        </w:tc>
        <w:tc>
          <w:tcPr>
            <w:tcW w:w="340" w:type="dxa"/>
            <w:vAlign w:val="bottom"/>
          </w:tcPr>
          <w:p>
            <w:pPr>
              <w:spacing w:after="0"/>
              <w:rPr>
                <w:sz w:val="14"/>
                <w:szCs w:val="14"/>
                <w:color w:val="auto"/>
              </w:rPr>
            </w:pPr>
          </w:p>
        </w:tc>
        <w:tc>
          <w:tcPr>
            <w:tcW w:w="3400" w:type="dxa"/>
            <w:vAlign w:val="bottom"/>
            <w:tcBorders>
              <w:right w:val="single" w:sz="8" w:color="auto"/>
            </w:tcBorders>
          </w:tcPr>
          <w:p>
            <w:pPr>
              <w:jc w:val="center"/>
              <w:ind w:right="311"/>
              <w:spacing w:after="0"/>
              <w:rPr>
                <w:sz w:val="20"/>
                <w:szCs w:val="20"/>
                <w:color w:val="auto"/>
              </w:rPr>
            </w:pPr>
            <w:r>
              <w:rPr>
                <w:rFonts w:ascii="Arial" w:cs="Arial" w:eastAsia="Arial" w:hAnsi="Arial"/>
                <w:sz w:val="12"/>
                <w:szCs w:val="12"/>
                <w:b w:val="1"/>
                <w:bCs w:val="1"/>
                <w:color w:val="auto"/>
                <w:w w:val="90"/>
              </w:rPr>
              <w:t>Name of each exchange on which registered</w:t>
            </w:r>
          </w:p>
        </w:tc>
        <w:tc>
          <w:tcPr>
            <w:tcW w:w="0" w:type="dxa"/>
            <w:vAlign w:val="bottom"/>
          </w:tcPr>
          <w:p>
            <w:pPr>
              <w:spacing w:after="0"/>
              <w:rPr>
                <w:sz w:val="1"/>
                <w:szCs w:val="1"/>
                <w:color w:val="auto"/>
              </w:rPr>
            </w:pPr>
          </w:p>
        </w:tc>
      </w:tr>
      <w:tr>
        <w:trPr>
          <w:trHeight w:val="30"/>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00" w:type="dxa"/>
            <w:vAlign w:val="bottom"/>
            <w:tcBorders>
              <w:left w:val="single" w:sz="8" w:color="auto"/>
            </w:tcBorders>
          </w:tcPr>
          <w:p>
            <w:pPr>
              <w:jc w:val="center"/>
              <w:ind w:left="190"/>
              <w:spacing w:after="0"/>
              <w:rPr>
                <w:sz w:val="20"/>
                <w:szCs w:val="20"/>
                <w:color w:val="auto"/>
              </w:rPr>
            </w:pPr>
            <w:r>
              <w:rPr>
                <w:rFonts w:ascii="Arial" w:cs="Arial" w:eastAsia="Arial" w:hAnsi="Arial"/>
                <w:sz w:val="14"/>
                <w:szCs w:val="14"/>
                <w:color w:val="auto"/>
                <w:w w:val="90"/>
              </w:rPr>
              <w:t>Class A common stock, par value $0.01 per share</w:t>
            </w:r>
          </w:p>
        </w:tc>
        <w:tc>
          <w:tcPr>
            <w:tcW w:w="26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tcBorders>
              <w:right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ZI</w:t>
            </w:r>
          </w:p>
        </w:tc>
        <w:tc>
          <w:tcPr>
            <w:tcW w:w="340" w:type="dxa"/>
            <w:vAlign w:val="bottom"/>
          </w:tcPr>
          <w:p>
            <w:pPr>
              <w:spacing w:after="0"/>
              <w:rPr>
                <w:sz w:val="20"/>
                <w:szCs w:val="20"/>
                <w:color w:val="auto"/>
              </w:rPr>
            </w:pPr>
          </w:p>
        </w:tc>
        <w:tc>
          <w:tcPr>
            <w:tcW w:w="3400" w:type="dxa"/>
            <w:vAlign w:val="bottom"/>
            <w:tcBorders>
              <w:right w:val="single" w:sz="8" w:color="auto"/>
            </w:tcBorders>
          </w:tcPr>
          <w:p>
            <w:pPr>
              <w:jc w:val="center"/>
              <w:ind w:right="311"/>
              <w:spacing w:after="0"/>
              <w:rPr>
                <w:sz w:val="20"/>
                <w:szCs w:val="20"/>
                <w:color w:val="auto"/>
              </w:rPr>
            </w:pPr>
            <w:r>
              <w:rPr>
                <w:rFonts w:ascii="Arial" w:cs="Arial" w:eastAsia="Arial" w:hAnsi="Arial"/>
                <w:sz w:val="14"/>
                <w:szCs w:val="14"/>
                <w:color w:val="auto"/>
                <w:w w:val="92"/>
              </w:rPr>
              <w:t>The Nasdaq Stock Market LLC</w:t>
            </w:r>
          </w:p>
        </w:tc>
        <w:tc>
          <w:tcPr>
            <w:tcW w:w="0" w:type="dxa"/>
            <w:vAlign w:val="bottom"/>
          </w:tcPr>
          <w:p>
            <w:pPr>
              <w:spacing w:after="0"/>
              <w:rPr>
                <w:sz w:val="1"/>
                <w:szCs w:val="1"/>
                <w:color w:val="auto"/>
              </w:rPr>
            </w:pPr>
          </w:p>
        </w:tc>
      </w:tr>
      <w:tr>
        <w:trPr>
          <w:trHeight w:val="24"/>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0" w:lineRule="exact"/>
        <w:rPr>
          <w:sz w:val="24"/>
          <w:szCs w:val="24"/>
          <w:color w:val="auto"/>
        </w:rPr>
      </w:pPr>
    </w:p>
    <w:p>
      <w:pPr>
        <w:jc w:val="both"/>
        <w:ind w:right="20" w:firstLine="318"/>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right="20" w:firstLine="318"/>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right="20" w:firstLine="318"/>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2"/>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9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5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300" w:type="dxa"/>
            <w:vAlign w:val="bottom"/>
          </w:tcPr>
          <w:p>
            <w:pPr>
              <w:ind w:left="356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9" w:lineRule="exact"/>
        <w:rPr>
          <w:sz w:val="24"/>
          <w:szCs w:val="24"/>
          <w:color w:val="auto"/>
        </w:rPr>
      </w:pPr>
    </w:p>
    <w:p>
      <w:pPr>
        <w:ind w:right="20" w:firstLine="318"/>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1" w:lineRule="exact"/>
        <w:rPr>
          <w:sz w:val="24"/>
          <w:szCs w:val="24"/>
          <w:color w:val="auto"/>
        </w:rPr>
      </w:pPr>
    </w:p>
    <w:p>
      <w:pPr>
        <w:ind w:left="320"/>
        <w:spacing w:after="0" w:line="150" w:lineRule="exact"/>
        <w:tabs>
          <w:tab w:leader="none" w:pos="7300" w:val="left"/>
        </w:tabs>
        <w:rPr>
          <w:sz w:val="20"/>
          <w:szCs w:val="20"/>
          <w:color w:val="auto"/>
        </w:rPr>
      </w:pPr>
      <w:r>
        <w:rPr>
          <w:rFonts w:ascii="Arial" w:cs="Arial" w:eastAsia="Arial" w:hAnsi="Arial"/>
          <w:sz w:val="13"/>
          <w:szCs w:val="13"/>
          <w:color w:val="auto"/>
        </w:rPr>
        <w:t xml:space="preserve">Indicate by check mark whether the registrant is a shell company (as defined by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100965</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October 25, 2021, the number of outstanding shares of the registrant's common stock was:</w:t>
      </w:r>
    </w:p>
    <w:p>
      <w:pPr>
        <w:spacing w:after="0" w:line="15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375,392,534 shares of Class A common stock.</w:t>
      </w:r>
    </w:p>
    <w:p>
      <w:pPr>
        <w:spacing w:after="0" w:line="15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22,338,777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368300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60"/>
          </w:cols>
          <w:pgMar w:left="320" w:top="1190" w:right="319" w:bottom="1440" w:gutter="0" w:footer="0" w:header="0"/>
          <w:type w:val="continuous"/>
        </w:sectPr>
      </w:pPr>
    </w:p>
    <w:bookmarkStart w:id="1" w:name="page2"/>
    <w:bookmarkEnd w:id="1"/>
    <w:p>
      <w:pPr>
        <w:spacing w:after="0" w:line="11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Quarterly Report on Form 10-Q</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4"/>
        </w:trPr>
        <w:tc>
          <w:tcPr>
            <w:tcW w:w="640" w:type="dxa"/>
            <w:vAlign w:val="bottom"/>
            <w:vMerge w:val="restart"/>
          </w:tcPr>
          <w:p>
            <w:pPr>
              <w:spacing w:after="0" w:line="203" w:lineRule="exact"/>
              <w:rPr>
                <w:rFonts w:ascii="Arial" w:cs="Arial" w:eastAsia="Arial" w:hAnsi="Arial"/>
                <w:sz w:val="18"/>
                <w:szCs w:val="18"/>
                <w:color w:val="0000FF"/>
                <w:w w:val="87"/>
              </w:rPr>
            </w:pPr>
            <w:hyperlink w:anchor="page2">
              <w:r>
                <w:rPr>
                  <w:rFonts w:ascii="Arial" w:cs="Arial" w:eastAsia="Arial" w:hAnsi="Arial"/>
                  <w:sz w:val="18"/>
                  <w:szCs w:val="18"/>
                  <w:color w:val="0000FF"/>
                  <w:w w:val="87"/>
                </w:rPr>
                <w:t>Glossary</w:t>
              </w:r>
            </w:hyperlink>
          </w:p>
        </w:tc>
        <w:tc>
          <w:tcPr>
            <w:tcW w:w="9800" w:type="dxa"/>
            <w:vAlign w:val="bottom"/>
            <w:gridSpan w:val="23"/>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40" w:type="dxa"/>
            <w:vAlign w:val="bottom"/>
            <w:tcBorders>
              <w:bottom w:val="single" w:sz="8" w:color="0000FF"/>
            </w:tcBorders>
            <w:vMerge w:val="continue"/>
          </w:tcPr>
          <w:p>
            <w:pPr>
              <w:spacing w:after="0"/>
              <w:rPr>
                <w:sz w:val="17"/>
                <w:szCs w:val="17"/>
                <w:color w:val="auto"/>
              </w:rPr>
            </w:pPr>
          </w:p>
        </w:tc>
        <w:tc>
          <w:tcPr>
            <w:tcW w:w="9800" w:type="dxa"/>
            <w:vAlign w:val="bottom"/>
            <w:gridSpan w:val="23"/>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4"/>
                <w:szCs w:val="14"/>
                <w:b w:val="1"/>
                <w:bCs w:val="1"/>
                <w:color w:val="0000FF"/>
              </w:rPr>
              <w:t>ii</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440" w:type="dxa"/>
            <w:vAlign w:val="bottom"/>
            <w:gridSpan w:val="24"/>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360" w:type="dxa"/>
            <w:vAlign w:val="bottom"/>
          </w:tcPr>
          <w:p>
            <w:pPr>
              <w:spacing w:after="0"/>
              <w:rPr>
                <w:sz w:val="19"/>
                <w:szCs w:val="19"/>
                <w:color w:val="auto"/>
              </w:rPr>
            </w:pPr>
          </w:p>
        </w:tc>
        <w:tc>
          <w:tcPr>
            <w:tcW w:w="4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0000FF"/>
                <w:w w:val="73"/>
              </w:rPr>
              <w:t>iv</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80" w:type="dxa"/>
            <w:vAlign w:val="bottom"/>
            <w:gridSpan w:val="8"/>
          </w:tcPr>
          <w:p>
            <w:pPr>
              <w:jc w:val="center"/>
              <w:ind w:right="3400"/>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PART I - FINANCIAL INFORMATION</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16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Item 1. Financial Statements</w:t>
              </w:r>
            </w:hyperlink>
          </w:p>
        </w:tc>
        <w:tc>
          <w:tcPr>
            <w:tcW w:w="2880" w:type="dxa"/>
            <w:vAlign w:val="bottom"/>
            <w:tcBorders>
              <w:top w:val="single" w:sz="8" w:color="0000FF"/>
            </w:tcBorders>
            <w:gridSpan w:val="7"/>
          </w:tcPr>
          <w:p>
            <w:pPr>
              <w:spacing w:after="0"/>
              <w:rPr>
                <w:sz w:val="21"/>
                <w:szCs w:val="21"/>
                <w:color w:val="auto"/>
              </w:rPr>
            </w:pPr>
          </w:p>
        </w:tc>
        <w:tc>
          <w:tcPr>
            <w:tcW w:w="3400" w:type="dxa"/>
            <w:vAlign w:val="bottom"/>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1</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Balance Sheets</w:t>
              </w:r>
            </w:hyperlink>
          </w:p>
        </w:tc>
        <w:tc>
          <w:tcPr>
            <w:tcW w:w="480" w:type="dxa"/>
            <w:vAlign w:val="bottom"/>
            <w:gridSpan w:val="3"/>
          </w:tcPr>
          <w:p>
            <w:pPr>
              <w:jc w:val="center"/>
              <w:ind w:left="213"/>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2</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Consolidated Statements of Operations</w:t>
              </w:r>
            </w:hyperlink>
          </w:p>
        </w:tc>
        <w:tc>
          <w:tcPr>
            <w:tcW w:w="6960" w:type="dxa"/>
            <w:vAlign w:val="bottom"/>
            <w:gridSpan w:val="11"/>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3</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13"/>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Consolidated Statements of Comprehensive Loss</w:t>
              </w:r>
            </w:hyperlink>
          </w:p>
        </w:tc>
        <w:tc>
          <w:tcPr>
            <w:tcW w:w="6300" w:type="dxa"/>
            <w:vAlign w:val="bottom"/>
            <w:gridSpan w:val="9"/>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4</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Consolidated Statements of Changes in Equity (Deficit)</w:t>
              </w:r>
            </w:hyperlink>
          </w:p>
        </w:tc>
        <w:tc>
          <w:tcPr>
            <w:tcW w:w="480" w:type="dxa"/>
            <w:vAlign w:val="bottom"/>
            <w:gridSpan w:val="3"/>
          </w:tcPr>
          <w:p>
            <w:pPr>
              <w:jc w:val="center"/>
              <w:ind w:left="213"/>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17"/>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Consolidated Statements of Cash Flows</w:t>
              </w:r>
            </w:hyperlink>
          </w:p>
        </w:tc>
        <w:tc>
          <w:tcPr>
            <w:tcW w:w="5840" w:type="dxa"/>
            <w:vAlign w:val="bottom"/>
            <w:gridSpan w:val="5"/>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8</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tcBorders>
              <w:bottom w:val="single" w:sz="8" w:color="0000FF"/>
            </w:tcBorders>
            <w:gridSpan w:val="12"/>
          </w:tcPr>
          <w:p>
            <w:pPr>
              <w:spacing w:after="0"/>
              <w:rPr>
                <w:rFonts w:ascii="Arial" w:cs="Arial" w:eastAsia="Arial" w:hAnsi="Arial"/>
                <w:sz w:val="18"/>
                <w:szCs w:val="18"/>
                <w:color w:val="0000FF"/>
                <w:w w:val="87"/>
              </w:rPr>
            </w:pPr>
            <w:hyperlink w:anchor="page15">
              <w:r>
                <w:rPr>
                  <w:rFonts w:ascii="Arial" w:cs="Arial" w:eastAsia="Arial" w:hAnsi="Arial"/>
                  <w:sz w:val="18"/>
                  <w:szCs w:val="18"/>
                  <w:color w:val="0000FF"/>
                  <w:w w:val="87"/>
                </w:rPr>
                <w:t>Notes to the Consolidated Financial Statements</w:t>
              </w:r>
            </w:hyperlink>
          </w:p>
        </w:tc>
        <w:tc>
          <w:tcPr>
            <w:tcW w:w="6420" w:type="dxa"/>
            <w:vAlign w:val="bottom"/>
            <w:gridSpan w:val="10"/>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15">
              <w:r>
                <w:rPr>
                  <w:rFonts w:ascii="Arial" w:cs="Arial" w:eastAsia="Arial" w:hAnsi="Arial"/>
                  <w:sz w:val="15"/>
                  <w:szCs w:val="15"/>
                  <w:color w:val="0000FF"/>
                  <w:w w:val="71"/>
                </w:rPr>
                <w:t>10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2. Management's Discussion and Analysis of Financial Condition and Results of Operations</w:t>
              </w:r>
            </w:hyperlink>
          </w:p>
        </w:tc>
        <w:tc>
          <w:tcPr>
            <w:tcW w:w="780" w:type="dxa"/>
            <w:vAlign w:val="bottom"/>
            <w:gridSpan w:val="4"/>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49</w:t>
              </w:r>
            </w:hyperlink>
          </w:p>
        </w:tc>
        <w:tc>
          <w:tcPr>
            <w:tcW w:w="0" w:type="dxa"/>
            <w:vAlign w:val="bottom"/>
          </w:tcPr>
          <w:p>
            <w:pPr>
              <w:spacing w:after="0"/>
              <w:rPr>
                <w:sz w:val="1"/>
                <w:szCs w:val="1"/>
                <w:color w:val="auto"/>
              </w:rPr>
            </w:pPr>
          </w:p>
        </w:tc>
      </w:tr>
      <w:tr>
        <w:trPr>
          <w:trHeight w:val="245"/>
        </w:trPr>
        <w:tc>
          <w:tcPr>
            <w:tcW w:w="6860" w:type="dxa"/>
            <w:vAlign w:val="bottom"/>
            <w:tcBorders>
              <w:top w:val="single" w:sz="8" w:color="0000FF"/>
            </w:tcBorders>
            <w:gridSpan w:val="21"/>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Item 3. Quantitative and Qualitative Disclosures About Market Risk</w:t>
              </w:r>
            </w:hyperlink>
          </w:p>
        </w:tc>
        <w:tc>
          <w:tcPr>
            <w:tcW w:w="358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73</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820" w:type="dxa"/>
            <w:vAlign w:val="bottom"/>
            <w:tcBorders>
              <w:top w:val="single" w:sz="8" w:color="0000FF"/>
            </w:tcBorders>
            <w:gridSpan w:val="20"/>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Item 4. Controls and Procedures</w:t>
              </w:r>
            </w:hyperlink>
          </w:p>
        </w:tc>
        <w:tc>
          <w:tcPr>
            <w:tcW w:w="562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80">
              <w:r>
                <w:rPr>
                  <w:rFonts w:ascii="Arial" w:cs="Arial" w:eastAsia="Arial" w:hAnsi="Arial"/>
                  <w:sz w:val="15"/>
                  <w:szCs w:val="15"/>
                  <w:color w:val="0000FF"/>
                  <w:w w:val="71"/>
                </w:rPr>
                <w:t>74</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tcBorders>
              <w:bottom w:val="single" w:sz="8" w:color="0000FF"/>
            </w:tcBorders>
            <w:gridSpan w:val="5"/>
          </w:tcPr>
          <w:p>
            <w:pPr>
              <w:jc w:val="center"/>
              <w:spacing w:after="0"/>
              <w:rPr>
                <w:rFonts w:ascii="Arial" w:cs="Arial" w:eastAsia="Arial" w:hAnsi="Arial"/>
                <w:sz w:val="18"/>
                <w:szCs w:val="18"/>
                <w:color w:val="0000FF"/>
                <w:w w:val="94"/>
              </w:rPr>
            </w:pPr>
            <w:hyperlink w:anchor="page80">
              <w:r>
                <w:rPr>
                  <w:rFonts w:ascii="Arial" w:cs="Arial" w:eastAsia="Arial" w:hAnsi="Arial"/>
                  <w:sz w:val="18"/>
                  <w:szCs w:val="18"/>
                  <w:color w:val="0000FF"/>
                  <w:w w:val="94"/>
                </w:rPr>
                <w:t>PART II - OTHER INFORMATION</w:t>
              </w:r>
            </w:hyperlink>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820" w:type="dxa"/>
            <w:vAlign w:val="bottom"/>
            <w:tcBorders>
              <w:bottom w:val="single" w:sz="8" w:color="0000FF"/>
            </w:tcBorders>
            <w:gridSpan w:val="11"/>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Item 1. Legal Proceedings</w:t>
              </w:r>
            </w:hyperlink>
          </w:p>
        </w:tc>
        <w:tc>
          <w:tcPr>
            <w:tcW w:w="7620" w:type="dxa"/>
            <w:vAlign w:val="bottom"/>
            <w:gridSpan w:val="13"/>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75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Item 1A. Risk Factors</w:t>
              </w:r>
            </w:hyperlink>
          </w:p>
        </w:tc>
        <w:tc>
          <w:tcPr>
            <w:tcW w:w="780" w:type="dxa"/>
            <w:vAlign w:val="bottom"/>
            <w:gridSpan w:val="4"/>
          </w:tcPr>
          <w:p>
            <w:pPr>
              <w:jc w:val="cente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440" w:type="dxa"/>
            <w:vAlign w:val="bottom"/>
            <w:tcBorders>
              <w:bottom w:val="single" w:sz="8" w:color="0000FF"/>
            </w:tcBorders>
            <w:gridSpan w:val="24"/>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Item 2. Unregistered Sales of Equity Securities and Use of Proceeds</w:t>
              </w:r>
            </w:hyperlink>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75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tcBorders>
              <w:bottom w:val="single" w:sz="8" w:color="0000FF"/>
            </w:tcBorders>
            <w:gridSpan w:val="24"/>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Item 3. Defaults Upon Senior Securities</w:t>
              </w:r>
            </w:hyperlink>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75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tcBorders>
              <w:bottom w:val="single" w:sz="8" w:color="0000FF"/>
            </w:tcBorders>
            <w:gridSpan w:val="24"/>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Item 4. Mine Safety Disclosures</w:t>
              </w:r>
            </w:hyperlink>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75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Item 5. Other Information</w:t>
              </w:r>
            </w:hyperlink>
          </w:p>
        </w:tc>
        <w:tc>
          <w:tcPr>
            <w:tcW w:w="8600" w:type="dxa"/>
            <w:vAlign w:val="bottom"/>
            <w:gridSpan w:val="17"/>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75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1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Item 6. Exhibits</w:t>
              </w:r>
            </w:hyperlink>
          </w:p>
        </w:tc>
        <w:tc>
          <w:tcPr>
            <w:tcW w:w="9300" w:type="dxa"/>
            <w:vAlign w:val="bottom"/>
            <w:gridSpan w:val="19"/>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76</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Signatures</w:t>
              </w:r>
            </w:hyperlink>
          </w:p>
        </w:tc>
        <w:tc>
          <w:tcPr>
            <w:tcW w:w="780" w:type="dxa"/>
            <w:vAlign w:val="bottom"/>
            <w:gridSpan w:val="4"/>
          </w:tcPr>
          <w:p>
            <w:pPr>
              <w:jc w:val="cente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77</w:t>
              </w:r>
            </w:hyperlink>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GLOSSARY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used in this quarterly report on Form 10-Q (this “</w:t>
      </w:r>
      <w:r>
        <w:rPr>
          <w:rFonts w:ascii="Arial" w:cs="Arial" w:eastAsia="Arial" w:hAnsi="Arial"/>
          <w:sz w:val="15"/>
          <w:szCs w:val="15"/>
          <w:u w:val="single" w:color="auto"/>
          <w:color w:val="auto"/>
        </w:rPr>
        <w:t>Form 10-Q</w:t>
      </w:r>
      <w:r>
        <w:rPr>
          <w:rFonts w:ascii="Arial" w:cs="Arial" w:eastAsia="Arial" w:hAnsi="Arial"/>
          <w:sz w:val="15"/>
          <w:szCs w:val="15"/>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98" w:lineRule="exact"/>
        <w:rPr>
          <w:sz w:val="20"/>
          <w:szCs w:val="20"/>
          <w:color w:val="auto"/>
        </w:rPr>
      </w:pPr>
    </w:p>
    <w:p>
      <w:pPr>
        <w:ind w:left="6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Form 10-K</w:t>
      </w:r>
      <w:r>
        <w:rPr>
          <w:rFonts w:ascii="Arial" w:cs="Arial" w:eastAsia="Arial" w:hAnsi="Arial"/>
          <w:sz w:val="18"/>
          <w:szCs w:val="18"/>
          <w:color w:val="auto"/>
        </w:rPr>
        <w:t>” refers to the Annual Report on Form 10-K of ZoomInfo Technologies Inc. for the fiscal year ended December 31, 2020 as filed with the SEC on February 26, 2021.</w:t>
      </w: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ACV</w:t>
      </w:r>
      <w:r>
        <w:rPr>
          <w:rFonts w:ascii="Arial" w:cs="Arial" w:eastAsia="Arial" w:hAnsi="Arial"/>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Blocker Companies</w:t>
      </w:r>
      <w:r>
        <w:rPr>
          <w:rFonts w:ascii="Arial" w:cs="Arial" w:eastAsia="Arial" w:hAnsi="Arial"/>
          <w:sz w:val="15"/>
          <w:szCs w:val="15"/>
          <w:color w:val="auto"/>
        </w:rPr>
        <w:t>” refers to certain of our Pre-IPO OpCo Unitholders that are taxable as corporations for U.S. federal income tax purposes.</w:t>
      </w:r>
    </w:p>
    <w:p>
      <w:pPr>
        <w:spacing w:after="0" w:line="39" w:lineRule="exact"/>
        <w:rPr>
          <w:rFonts w:ascii="Arial" w:cs="Arial" w:eastAsia="Arial" w:hAnsi="Arial"/>
          <w:sz w:val="15"/>
          <w:szCs w:val="15"/>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Mergers</w:t>
      </w:r>
      <w:r>
        <w:rPr>
          <w:rFonts w:ascii="Arial" w:cs="Arial" w:eastAsia="Arial" w:hAnsi="Arial"/>
          <w:sz w:val="18"/>
          <w:szCs w:val="18"/>
          <w:color w:val="auto"/>
        </w:rPr>
        <w:t>” refers to the mergers described under “Reorganization Transactions” in Note 1 to our unaudited consolidated financial statements included in Part I, Item 1 of this Form 10-Q.</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w:t>
      </w:r>
      <w:r>
        <w:rPr>
          <w:rFonts w:ascii="Arial" w:cs="Arial" w:eastAsia="Arial" w:hAnsi="Arial"/>
          <w:sz w:val="18"/>
          <w:szCs w:val="18"/>
          <w:color w:val="auto"/>
        </w:rPr>
        <w:t>” refers to investment funds associated with The Carlyle Group.</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 Option</w:t>
      </w:r>
      <w:r>
        <w:rPr>
          <w:rFonts w:ascii="Arial" w:cs="Arial" w:eastAsia="Arial" w:hAnsi="Arial"/>
          <w:sz w:val="18"/>
          <w:szCs w:val="18"/>
          <w:color w:val="auto"/>
        </w:rPr>
        <w:t>” refers to an Award granted under Section 7 of the 2020 Omnibus Incentive Plan.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Units</w:t>
      </w:r>
      <w:r>
        <w:rPr>
          <w:rFonts w:ascii="Arial" w:cs="Arial" w:eastAsia="Arial" w:hAnsi="Arial"/>
          <w:sz w:val="18"/>
          <w:szCs w:val="18"/>
          <w:color w:val="auto"/>
        </w:rPr>
        <w:t>” refers to Class P Units (including, without limitation, any indirectly held Class P Units) of ZoomInfo OpCo.</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Class P Unitholders</w:t>
      </w:r>
      <w:r>
        <w:rPr>
          <w:rFonts w:ascii="Arial" w:cs="Arial" w:eastAsia="Arial" w:hAnsi="Arial"/>
          <w:sz w:val="18"/>
          <w:szCs w:val="18"/>
          <w:color w:val="auto"/>
        </w:rPr>
        <w:t>” refers to certain Pre-IPO Owners who continued to hold Class P Units following the consummation of the Reorganization Transactions and the IPO.</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members</w:t>
      </w:r>
      <w:r>
        <w:rPr>
          <w:rFonts w:ascii="Arial" w:cs="Arial" w:eastAsia="Arial" w:hAnsi="Arial"/>
          <w:sz w:val="18"/>
          <w:szCs w:val="18"/>
          <w:color w:val="auto"/>
        </w:rPr>
        <w:t>” refers to Pre-IPO Owners who continue to hold HoldCo Units or OpCo Units following the Reorganization Transactions and the IPO.</w:t>
      </w:r>
    </w:p>
    <w:p>
      <w:pPr>
        <w:spacing w:after="0" w:line="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Customers</w:t>
      </w:r>
      <w:r>
        <w:rPr>
          <w:rFonts w:ascii="Arial" w:cs="Arial" w:eastAsia="Arial" w:hAnsi="Arial"/>
          <w:sz w:val="15"/>
          <w:szCs w:val="15"/>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Tax Receivable Agreement</w:t>
      </w:r>
      <w:r>
        <w:rPr>
          <w:rFonts w:ascii="Arial" w:cs="Arial" w:eastAsia="Arial" w:hAnsi="Arial"/>
          <w:sz w:val="18"/>
          <w:szCs w:val="18"/>
          <w:color w:val="auto"/>
        </w:rPr>
        <w:t>” refers to the tax receivable agreement entered into with certain Pre-IPO OpCo Unitholders.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refers to Henry Schuck, our Chief Executive Officer, and Kirk Brown.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Units</w:t>
      </w:r>
      <w:r>
        <w:rPr>
          <w:rFonts w:ascii="Arial" w:cs="Arial" w:eastAsia="Arial" w:hAnsi="Arial"/>
          <w:sz w:val="18"/>
          <w:szCs w:val="18"/>
          <w:color w:val="auto"/>
        </w:rPr>
        <w:t>” refers to the class of units of ZoomInfo HoldCo.</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w:t>
      </w:r>
      <w:r>
        <w:rPr>
          <w:rFonts w:ascii="Arial" w:cs="Arial" w:eastAsia="Arial" w:hAnsi="Arial"/>
          <w:sz w:val="18"/>
          <w:szCs w:val="18"/>
          <w:color w:val="auto"/>
        </w:rPr>
        <w:t>” and “</w:t>
      </w:r>
      <w:r>
        <w:rPr>
          <w:rFonts w:ascii="Arial" w:cs="Arial" w:eastAsia="Arial" w:hAnsi="Arial"/>
          <w:sz w:val="18"/>
          <w:szCs w:val="18"/>
          <w:u w:val="single" w:color="auto"/>
          <w:color w:val="auto"/>
        </w:rPr>
        <w:t>HSKB I</w:t>
      </w:r>
      <w:r>
        <w:rPr>
          <w:rFonts w:ascii="Arial" w:cs="Arial" w:eastAsia="Arial" w:hAnsi="Arial"/>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 II</w:t>
      </w:r>
      <w:r>
        <w:rPr>
          <w:rFonts w:ascii="Arial" w:cs="Arial" w:eastAsia="Arial" w:hAnsi="Arial"/>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ZoomInfo Technologies Inc.</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Units</w:t>
      </w:r>
      <w:r>
        <w:rPr>
          <w:rFonts w:ascii="Arial" w:cs="Arial" w:eastAsia="Arial" w:hAnsi="Arial"/>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refers to the class of units of ZoomInfo OpCo and does not include Class P Units.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Pre-Acquisition ZI</w:t>
      </w:r>
      <w:r>
        <w:rPr>
          <w:rFonts w:ascii="Arial" w:cs="Arial" w:eastAsia="Arial" w:hAnsi="Arial"/>
          <w:sz w:val="18"/>
          <w:szCs w:val="18"/>
          <w:color w:val="auto"/>
        </w:rPr>
        <w:t>” refers to Zoom Information Inc.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Pre-IPO Blocker Holders</w:t>
      </w:r>
      <w:r>
        <w:rPr>
          <w:rFonts w:ascii="Arial" w:cs="Arial" w:eastAsia="Arial" w:hAnsi="Arial"/>
          <w:sz w:val="15"/>
          <w:szCs w:val="15"/>
          <w:color w:val="auto"/>
        </w:rPr>
        <w:t>” refers to the Pre-IPO Owners that held their interests in us through the Blocker Companies immediately prior to the IPO.</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HoldCo Unitholders</w:t>
      </w:r>
      <w:r>
        <w:rPr>
          <w:rFonts w:ascii="Arial" w:cs="Arial" w:eastAsia="Arial" w:hAnsi="Arial"/>
          <w:sz w:val="18"/>
          <w:szCs w:val="18"/>
          <w:color w:val="auto"/>
        </w:rPr>
        <w:t>” refers to the Pre-IPO Owners that held HoldCo Units immediately prior to the IPO.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OpCo Unitholders</w:t>
      </w:r>
      <w:r>
        <w:rPr>
          <w:rFonts w:ascii="Arial" w:cs="Arial" w:eastAsia="Arial" w:hAnsi="Arial"/>
          <w:sz w:val="18"/>
          <w:szCs w:val="18"/>
          <w:color w:val="auto"/>
        </w:rPr>
        <w:t>” refers to the Pre-IPO Owners that held OpCo Units immediately prior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line="25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Owners</w:t>
      </w:r>
      <w:r>
        <w:rPr>
          <w:rFonts w:ascii="Arial" w:cs="Arial" w:eastAsia="Arial" w:hAnsi="Arial"/>
          <w:sz w:val="18"/>
          <w:szCs w:val="18"/>
          <w:color w:val="auto"/>
        </w:rPr>
        <w:t>” refers collectively to the Sponsors, the Founders, and the management and other equity holders who were the owners of ZoomInfo OpCo immediately prior to the Reorganization Transactions.</w:t>
      </w: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Tax Receivable Agreement</w:t>
      </w:r>
      <w:r>
        <w:rPr>
          <w:rFonts w:ascii="Arial" w:cs="Arial" w:eastAsia="Arial" w:hAnsi="Arial"/>
          <w:sz w:val="18"/>
          <w:szCs w:val="18"/>
          <w:color w:val="auto"/>
        </w:rPr>
        <w:t>” refers to the tax receivable agreement entered into with the Pre-IPO Blocker Holders.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the transactions described under “Reorganization Transactions” in Note 1 to our unaudited consolidated financial statements included in Part I, Item 1 of this Form 10-Q.</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refers to Common Stock, subject to certain specified restrictions (which may include, without limitation, a requirement that the Participant remain continuously employed or provide continuous services for a specified period of time), granted under Section 8 of the 2020 Omnibus Incentive Plan.</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refers to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8 of the 2020 Omnibus Incentive Plan.</w:t>
      </w: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refers to the Securities and Exchange Commission.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refers to the Securities Act of 1933, as amended.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refers to the Series A preferred units of ZoomInfo OpCo outstanding immediately prior to the IPO.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TA Associates, Carlyle, and investment funds associated with 22C Capital LLC and its predecessor.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 Associates</w:t>
      </w:r>
      <w:r>
        <w:rPr>
          <w:rFonts w:ascii="Arial" w:cs="Arial" w:eastAsia="Arial" w:hAnsi="Arial"/>
          <w:sz w:val="18"/>
          <w:szCs w:val="18"/>
          <w:color w:val="auto"/>
        </w:rPr>
        <w:t>” refers to investment funds associated with TA Associates.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Agreements</w:t>
      </w:r>
      <w:r>
        <w:rPr>
          <w:rFonts w:ascii="Arial" w:cs="Arial" w:eastAsia="Arial" w:hAnsi="Arial"/>
          <w:sz w:val="18"/>
          <w:szCs w:val="18"/>
          <w:color w:val="auto"/>
        </w:rPr>
        <w:t>” or “</w:t>
      </w:r>
      <w:r>
        <w:rPr>
          <w:rFonts w:ascii="Arial" w:cs="Arial" w:eastAsia="Arial" w:hAnsi="Arial"/>
          <w:sz w:val="18"/>
          <w:szCs w:val="18"/>
          <w:u w:val="single" w:color="auto"/>
          <w:color w:val="auto"/>
        </w:rPr>
        <w:t>TRA</w:t>
      </w:r>
      <w:r>
        <w:rPr>
          <w:rFonts w:ascii="Arial" w:cs="Arial" w:eastAsia="Arial" w:hAnsi="Arial"/>
          <w:sz w:val="18"/>
          <w:szCs w:val="18"/>
          <w:color w:val="auto"/>
        </w:rPr>
        <w:t>” refers collectively to the Exchange Tax Receivable Agreement and the Reorganization Tax Receivable Agreement.</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HoldCo</w:t>
      </w:r>
      <w:r>
        <w:rPr>
          <w:rFonts w:ascii="Arial" w:cs="Arial" w:eastAsia="Arial" w:hAnsi="Arial"/>
          <w:sz w:val="18"/>
          <w:szCs w:val="18"/>
          <w:color w:val="auto"/>
        </w:rPr>
        <w:t>” refers to ZoomInfo Intermediate Holdings LLC, a Delaware limited liability company, and a direct subsidiary of ZoomInfo Technologies Inc.</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OpCo</w:t>
      </w:r>
      <w:r>
        <w:rPr>
          <w:rFonts w:ascii="Arial" w:cs="Arial" w:eastAsia="Arial" w:hAnsi="Arial"/>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0"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4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3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our forward-looking statements, including forward-looking statements contained in this Quarterly Report on Form 10-Q:</w:t>
      </w:r>
    </w:p>
    <w:p>
      <w:pPr>
        <w:spacing w:after="0" w:line="128" w:lineRule="exact"/>
        <w:rPr>
          <w:sz w:val="20"/>
          <w:szCs w:val="20"/>
          <w:color w:val="auto"/>
        </w:rPr>
      </w:pPr>
    </w:p>
    <w:p>
      <w:pPr>
        <w:ind w:left="64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including the global economic uncertainty and measures taken in response, could materially impact our business and future results of operations;</w:t>
      </w: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companies more effectively catering to our customers by offering more tailored products or platforms at lower costs;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reliance on third-party systems that we do not control to integrate with our system and our potential inability to continue to support integration;</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new customers and expand existing subscriptions;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 over financial reporting;</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services, databases and technologies into our operations;</w:t>
      </w:r>
    </w:p>
    <w:p>
      <w:pPr>
        <w:spacing w:after="0" w:line="5" w:lineRule="exact"/>
        <w:rPr>
          <w:rFonts w:ascii="Arial" w:cs="Arial" w:eastAsia="Arial" w:hAnsi="Arial"/>
          <w:sz w:val="18"/>
          <w:szCs w:val="18"/>
          <w:color w:val="auto"/>
        </w:rPr>
      </w:pPr>
    </w:p>
    <w:p>
      <w:pPr>
        <w:ind w:left="640" w:right="260" w:hanging="316"/>
        <w:spacing w:after="0" w:line="24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parties to our stockholders agreement controlling us and their interests conflicting with ours or our other stockholders in the future;</w:t>
      </w:r>
    </w:p>
    <w:p>
      <w:pPr>
        <w:spacing w:after="0" w:line="16" w:lineRule="exact"/>
        <w:rPr>
          <w:rFonts w:ascii="Arial" w:cs="Arial" w:eastAsia="Arial" w:hAnsi="Arial"/>
          <w:sz w:val="17"/>
          <w:szCs w:val="17"/>
          <w:color w:val="auto"/>
        </w:rPr>
      </w:pPr>
    </w:p>
    <w:p>
      <w:pPr>
        <w:ind w:left="640" w:right="360" w:hanging="316"/>
        <w:spacing w:after="0" w:line="24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being a “controlled company” within the meaning of the Nasdaq rules and, as a result, qualifying for exemptions from certain corporate governance requirements, as a result of which our stockholders will not have the same protections afforded to stockholders of companies that are subject to such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factors described under “Risk Factors” in Part I, Item 1A of our 2020 Form 10-K, and in other reports we file from time to time with the SEC.</w:t>
      </w:r>
    </w:p>
    <w:p>
      <w:pPr>
        <w:spacing w:after="0" w:line="1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80" w:type="dxa"/>
            <w:vAlign w:val="bottom"/>
            <w:gridSpan w:val="4"/>
          </w:tcPr>
          <w:p>
            <w:pPr>
              <w:jc w:val="center"/>
              <w:ind w:right="374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19"/>
                <w:szCs w:val="19"/>
                <w:color w:val="auto"/>
              </w:rPr>
            </w:pPr>
          </w:p>
        </w:tc>
      </w:tr>
      <w:tr>
        <w:trPr>
          <w:trHeight w:val="371"/>
        </w:trPr>
        <w:tc>
          <w:tcPr>
            <w:tcW w:w="1124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r>
      <w:tr>
        <w:trPr>
          <w:trHeight w:val="769"/>
        </w:trPr>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80" w:type="dxa"/>
            <w:vAlign w:val="bottom"/>
            <w:gridSpan w:val="4"/>
          </w:tcPr>
          <w:p>
            <w:pPr>
              <w:jc w:val="center"/>
              <w:ind w:right="3740"/>
              <w:spacing w:after="0"/>
              <w:rPr>
                <w:sz w:val="20"/>
                <w:szCs w:val="20"/>
                <w:color w:val="auto"/>
              </w:rPr>
            </w:pPr>
            <w:r>
              <w:rPr>
                <w:rFonts w:ascii="Arial" w:cs="Arial" w:eastAsia="Arial" w:hAnsi="Arial"/>
                <w:sz w:val="18"/>
                <w:szCs w:val="18"/>
                <w:b w:val="1"/>
                <w:bCs w:val="1"/>
                <w:color w:val="auto"/>
                <w:w w:val="99"/>
              </w:rPr>
              <w:t>INDEX TO FINANCIAL STATEMENTS</w:t>
            </w:r>
          </w:p>
        </w:tc>
        <w:tc>
          <w:tcPr>
            <w:tcW w:w="100" w:type="dxa"/>
            <w:vAlign w:val="bottom"/>
          </w:tcPr>
          <w:p>
            <w:pPr>
              <w:spacing w:after="0"/>
              <w:rPr>
                <w:sz w:val="24"/>
                <w:szCs w:val="24"/>
                <w:color w:val="auto"/>
              </w:rPr>
            </w:pPr>
          </w:p>
        </w:tc>
      </w:tr>
      <w:tr>
        <w:trPr>
          <w:trHeight w:val="676"/>
        </w:trPr>
        <w:tc>
          <w:tcPr>
            <w:tcW w:w="11240" w:type="dxa"/>
            <w:vAlign w:val="bottom"/>
            <w:gridSpan w:val="8"/>
          </w:tcPr>
          <w:p>
            <w:pPr>
              <w:ind w:left="380"/>
              <w:spacing w:after="0"/>
              <w:rPr>
                <w:sz w:val="20"/>
                <w:szCs w:val="20"/>
                <w:color w:val="auto"/>
              </w:rPr>
            </w:pPr>
            <w:r>
              <w:rPr>
                <w:rFonts w:ascii="Arial" w:cs="Arial" w:eastAsia="Arial" w:hAnsi="Arial"/>
                <w:sz w:val="18"/>
                <w:szCs w:val="18"/>
                <w:b w:val="1"/>
                <w:bCs w:val="1"/>
                <w:color w:val="auto"/>
              </w:rPr>
              <w:t>Unaudited Consolidated Financial Statements of ZoomInfo Technologies Inc. and Subsidiaries</w:t>
            </w:r>
          </w:p>
        </w:tc>
        <w:tc>
          <w:tcPr>
            <w:tcW w:w="100" w:type="dxa"/>
            <w:vAlign w:val="bottom"/>
          </w:tcPr>
          <w:p>
            <w:pPr>
              <w:spacing w:after="0"/>
              <w:rPr>
                <w:sz w:val="24"/>
                <w:szCs w:val="24"/>
                <w:color w:val="auto"/>
              </w:rPr>
            </w:pPr>
          </w:p>
        </w:tc>
      </w:tr>
      <w:tr>
        <w:trPr>
          <w:trHeight w:val="491"/>
        </w:trPr>
        <w:tc>
          <w:tcPr>
            <w:tcW w:w="88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rFonts w:ascii="Arial" w:cs="Arial" w:eastAsia="Arial" w:hAnsi="Arial"/>
                <w:sz w:val="18"/>
                <w:szCs w:val="18"/>
                <w:color w:val="0000FF"/>
                <w:w w:val="85"/>
              </w:rPr>
            </w:pPr>
            <w:hyperlink w:anchor="page8">
              <w:r>
                <w:rPr>
                  <w:rFonts w:ascii="Arial" w:cs="Arial" w:eastAsia="Arial" w:hAnsi="Arial"/>
                  <w:sz w:val="18"/>
                  <w:szCs w:val="18"/>
                  <w:color w:val="0000FF"/>
                  <w:w w:val="85"/>
                </w:rPr>
                <w:t>Condensed Consolidated Balance Sheets</w:t>
              </w:r>
            </w:hyperlink>
          </w:p>
        </w:tc>
        <w:tc>
          <w:tcPr>
            <w:tcW w:w="7480" w:type="dxa"/>
            <w:vAlign w:val="bottom"/>
            <w:gridSpan w:val="4"/>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2</w:t>
              </w:r>
            </w:hyperlink>
          </w:p>
        </w:tc>
      </w:tr>
      <w:tr>
        <w:trPr>
          <w:trHeight w:val="245"/>
        </w:trPr>
        <w:tc>
          <w:tcPr>
            <w:tcW w:w="880" w:type="dxa"/>
            <w:vAlign w:val="bottom"/>
          </w:tcPr>
          <w:p>
            <w:pPr>
              <w:spacing w:after="0"/>
              <w:rPr>
                <w:sz w:val="21"/>
                <w:szCs w:val="21"/>
                <w:color w:val="auto"/>
              </w:rPr>
            </w:pPr>
          </w:p>
        </w:tc>
        <w:tc>
          <w:tcPr>
            <w:tcW w:w="2760" w:type="dxa"/>
            <w:vAlign w:val="bottom"/>
            <w:tcBorders>
              <w:bottom w:val="single" w:sz="8" w:color="0000FF"/>
            </w:tcBorders>
          </w:tcPr>
          <w:p>
            <w:pPr>
              <w:spacing w:after="0"/>
              <w:rPr>
                <w:rFonts w:ascii="Arial" w:cs="Arial" w:eastAsia="Arial" w:hAnsi="Arial"/>
                <w:sz w:val="18"/>
                <w:szCs w:val="18"/>
                <w:color w:val="0000FF"/>
                <w:w w:val="87"/>
              </w:rPr>
            </w:pPr>
            <w:hyperlink w:anchor="page8">
              <w:r>
                <w:rPr>
                  <w:rFonts w:ascii="Arial" w:cs="Arial" w:eastAsia="Arial" w:hAnsi="Arial"/>
                  <w:sz w:val="18"/>
                  <w:szCs w:val="18"/>
                  <w:color w:val="0000FF"/>
                  <w:w w:val="87"/>
                </w:rPr>
                <w:t>Consolidated Statements of Operations</w:t>
              </w:r>
            </w:hyperlink>
          </w:p>
        </w:tc>
        <w:tc>
          <w:tcPr>
            <w:tcW w:w="7600" w:type="dxa"/>
            <w:vAlign w:val="bottom"/>
            <w:gridSpan w:val="6"/>
          </w:tcPr>
          <w:p>
            <w:pPr>
              <w:spacing w:after="0"/>
              <w:rPr>
                <w:sz w:val="21"/>
                <w:szCs w:val="21"/>
                <w:color w:val="auto"/>
              </w:rPr>
            </w:pPr>
          </w:p>
        </w:tc>
        <w:tc>
          <w:tcPr>
            <w:tcW w:w="100" w:type="dxa"/>
            <w:vAlign w:val="bottom"/>
          </w:tcPr>
          <w:p>
            <w:pPr>
              <w:jc w:val="right"/>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3</w:t>
              </w:r>
            </w:hyperlink>
          </w:p>
        </w:tc>
      </w:tr>
      <w:tr>
        <w:trPr>
          <w:trHeight w:val="245"/>
        </w:trPr>
        <w:tc>
          <w:tcPr>
            <w:tcW w:w="880" w:type="dxa"/>
            <w:vAlign w:val="bottom"/>
          </w:tcPr>
          <w:p>
            <w:pPr>
              <w:spacing w:after="0"/>
              <w:rPr>
                <w:sz w:val="21"/>
                <w:szCs w:val="21"/>
                <w:color w:val="auto"/>
              </w:rPr>
            </w:pPr>
          </w:p>
        </w:tc>
        <w:tc>
          <w:tcPr>
            <w:tcW w:w="416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Consolidated Statements of Comprehensive Income (Loss)</w:t>
              </w:r>
            </w:hyperlink>
          </w:p>
        </w:tc>
        <w:tc>
          <w:tcPr>
            <w:tcW w:w="6200" w:type="dxa"/>
            <w:vAlign w:val="bottom"/>
          </w:tcPr>
          <w:p>
            <w:pPr>
              <w:spacing w:after="0"/>
              <w:rPr>
                <w:sz w:val="21"/>
                <w:szCs w:val="21"/>
                <w:color w:val="auto"/>
              </w:rPr>
            </w:pPr>
          </w:p>
        </w:tc>
        <w:tc>
          <w:tcPr>
            <w:tcW w:w="100" w:type="dxa"/>
            <w:vAlign w:val="bottom"/>
          </w:tcPr>
          <w:p>
            <w:pPr>
              <w:jc w:val="right"/>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4</w:t>
              </w:r>
            </w:hyperlink>
          </w:p>
        </w:tc>
      </w:tr>
      <w:tr>
        <w:trPr>
          <w:trHeight w:val="245"/>
        </w:trPr>
        <w:tc>
          <w:tcPr>
            <w:tcW w:w="880" w:type="dxa"/>
            <w:vAlign w:val="bottom"/>
          </w:tcPr>
          <w:p>
            <w:pPr>
              <w:spacing w:after="0"/>
              <w:rPr>
                <w:sz w:val="21"/>
                <w:szCs w:val="21"/>
                <w:color w:val="auto"/>
              </w:rPr>
            </w:pPr>
          </w:p>
        </w:tc>
        <w:tc>
          <w:tcPr>
            <w:tcW w:w="39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Consolidated Statements of Changes in Equity (Deficit)</w:t>
              </w:r>
            </w:hyperlink>
          </w:p>
        </w:tc>
        <w:tc>
          <w:tcPr>
            <w:tcW w:w="6420" w:type="dxa"/>
            <w:vAlign w:val="bottom"/>
            <w:gridSpan w:val="2"/>
          </w:tcPr>
          <w:p>
            <w:pPr>
              <w:spacing w:after="0"/>
              <w:rPr>
                <w:sz w:val="21"/>
                <w:szCs w:val="21"/>
                <w:color w:val="auto"/>
              </w:rPr>
            </w:pPr>
          </w:p>
        </w:tc>
        <w:tc>
          <w:tcPr>
            <w:tcW w:w="100" w:type="dxa"/>
            <w:vAlign w:val="bottom"/>
          </w:tcPr>
          <w:p>
            <w:pPr>
              <w:jc w:val="right"/>
              <w:spacing w:after="0"/>
              <w:rPr>
                <w:rFonts w:ascii="Arial" w:cs="Arial" w:eastAsia="Arial" w:hAnsi="Arial"/>
                <w:sz w:val="18"/>
                <w:szCs w:val="18"/>
                <w:u w:val="single" w:color="auto"/>
                <w:color w:val="0000FF"/>
                <w:w w:val="79"/>
              </w:rPr>
            </w:pPr>
            <w:hyperlink w:anchor="page10">
              <w:r>
                <w:rPr>
                  <w:rFonts w:ascii="Arial" w:cs="Arial" w:eastAsia="Arial" w:hAnsi="Arial"/>
                  <w:sz w:val="18"/>
                  <w:szCs w:val="18"/>
                  <w:u w:val="single" w:color="auto"/>
                  <w:color w:val="0000FF"/>
                  <w:w w:val="79"/>
                </w:rPr>
                <w:t>5</w:t>
              </w:r>
            </w:hyperlink>
          </w:p>
        </w:tc>
      </w:tr>
      <w:tr>
        <w:trPr>
          <w:trHeight w:val="245"/>
        </w:trPr>
        <w:tc>
          <w:tcPr>
            <w:tcW w:w="880" w:type="dxa"/>
            <w:vAlign w:val="bottom"/>
          </w:tcPr>
          <w:p>
            <w:pPr>
              <w:spacing w:after="0"/>
              <w:rPr>
                <w:sz w:val="21"/>
                <w:szCs w:val="21"/>
                <w:color w:val="auto"/>
              </w:rPr>
            </w:pPr>
          </w:p>
        </w:tc>
        <w:tc>
          <w:tcPr>
            <w:tcW w:w="10360" w:type="dxa"/>
            <w:vAlign w:val="bottom"/>
            <w:gridSpan w:val="7"/>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Consolidated Statements of Cash Flows</w:t>
              </w:r>
            </w:hyperlink>
          </w:p>
        </w:tc>
        <w:tc>
          <w:tcPr>
            <w:tcW w:w="100" w:type="dxa"/>
            <w:vAlign w:val="bottom"/>
          </w:tcPr>
          <w:p>
            <w:pPr>
              <w:jc w:val="right"/>
              <w:spacing w:after="0"/>
              <w:rPr>
                <w:rFonts w:ascii="Arial" w:cs="Arial" w:eastAsia="Arial" w:hAnsi="Arial"/>
                <w:sz w:val="18"/>
                <w:szCs w:val="18"/>
                <w:u w:val="single" w:color="auto"/>
                <w:color w:val="0000FF"/>
                <w:w w:val="79"/>
              </w:rPr>
            </w:pPr>
            <w:hyperlink w:anchor="page13">
              <w:r>
                <w:rPr>
                  <w:rFonts w:ascii="Arial" w:cs="Arial" w:eastAsia="Arial" w:hAnsi="Arial"/>
                  <w:sz w:val="18"/>
                  <w:szCs w:val="18"/>
                  <w:u w:val="single" w:color="auto"/>
                  <w:color w:val="0000FF"/>
                  <w:w w:val="79"/>
                </w:rPr>
                <w:t>8</w:t>
              </w:r>
            </w:hyperlink>
          </w:p>
        </w:tc>
      </w:tr>
      <w:tr>
        <w:trPr>
          <w:trHeight w:val="20"/>
        </w:trPr>
        <w:tc>
          <w:tcPr>
            <w:tcW w:w="88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880" w:type="dxa"/>
            <w:vAlign w:val="bottom"/>
          </w:tcPr>
          <w:p>
            <w:pPr>
              <w:spacing w:after="0"/>
              <w:rPr>
                <w:sz w:val="21"/>
                <w:szCs w:val="21"/>
                <w:color w:val="auto"/>
              </w:rPr>
            </w:pPr>
          </w:p>
        </w:tc>
        <w:tc>
          <w:tcPr>
            <w:tcW w:w="10360" w:type="dxa"/>
            <w:vAlign w:val="bottom"/>
            <w:gridSpan w:val="7"/>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Notes to the Consolidated Financial Statements</w:t>
              </w:r>
            </w:hyperlink>
          </w:p>
        </w:tc>
        <w:tc>
          <w:tcPr>
            <w:tcW w:w="100" w:type="dxa"/>
            <w:vAlign w:val="bottom"/>
          </w:tcPr>
          <w:p>
            <w:pPr>
              <w:jc w:val="right"/>
              <w:spacing w:after="0"/>
              <w:rPr>
                <w:rFonts w:ascii="Arial" w:cs="Arial" w:eastAsia="Arial" w:hAnsi="Arial"/>
                <w:sz w:val="15"/>
                <w:szCs w:val="15"/>
                <w:color w:val="0000FF"/>
                <w:w w:val="71"/>
              </w:rPr>
            </w:pPr>
            <w:hyperlink w:anchor="page15">
              <w:r>
                <w:rPr>
                  <w:rFonts w:ascii="Arial" w:cs="Arial" w:eastAsia="Arial" w:hAnsi="Arial"/>
                  <w:sz w:val="15"/>
                  <w:szCs w:val="15"/>
                  <w:color w:val="0000FF"/>
                  <w:w w:val="71"/>
                </w:rPr>
                <w:t>1</w:t>
              </w:r>
            </w:hyperlink>
          </w:p>
        </w:tc>
      </w:tr>
      <w:tr>
        <w:trPr>
          <w:trHeight w:val="20"/>
        </w:trPr>
        <w:tc>
          <w:tcPr>
            <w:tcW w:w="8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Pr>
          <w:p>
            <w:pPr>
              <w:spacing w:after="0"/>
              <w:rPr>
                <w:sz w:val="15"/>
                <w:szCs w:val="15"/>
                <w:color w:val="auto"/>
              </w:rPr>
            </w:pPr>
          </w:p>
        </w:tc>
        <w:tc>
          <w:tcPr>
            <w:tcW w:w="3580" w:type="dxa"/>
            <w:vAlign w:val="bottom"/>
            <w:gridSpan w:val="2"/>
          </w:tcPr>
          <w:p>
            <w:pPr>
              <w:jc w:val="right"/>
              <w:ind w:right="1612"/>
              <w:spacing w:after="0"/>
              <w:rPr>
                <w:sz w:val="20"/>
                <w:szCs w:val="20"/>
                <w:color w:val="auto"/>
              </w:rPr>
            </w:pPr>
            <w:r>
              <w:rPr>
                <w:rFonts w:ascii="Arial" w:cs="Arial" w:eastAsia="Arial" w:hAnsi="Arial"/>
                <w:sz w:val="14"/>
                <w:szCs w:val="14"/>
                <w:b w:val="1"/>
                <w:bCs w:val="1"/>
                <w:i w:val="1"/>
                <w:iCs w:val="1"/>
                <w:color w:val="auto"/>
                <w:w w:val="90"/>
              </w:rPr>
              <w:t>(in millions, except share data)</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46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0"/>
                <w:szCs w:val="20"/>
                <w:color w:val="auto"/>
              </w:rPr>
            </w:pPr>
          </w:p>
        </w:tc>
        <w:tc>
          <w:tcPr>
            <w:tcW w:w="132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58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37"/>
        </w:trPr>
        <w:tc>
          <w:tcPr>
            <w:tcW w:w="46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cash, current</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6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464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46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139"/>
        </w:trPr>
        <w:tc>
          <w:tcPr>
            <w:tcW w:w="46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8"/>
        </w:trPr>
        <w:tc>
          <w:tcPr>
            <w:tcW w:w="4640" w:type="dxa"/>
            <w:vAlign w:val="bottom"/>
          </w:tcPr>
          <w:p>
            <w:pPr>
              <w:ind w:left="240"/>
              <w:spacing w:after="0"/>
              <w:rPr>
                <w:sz w:val="20"/>
                <w:szCs w:val="20"/>
                <w:color w:val="auto"/>
              </w:rPr>
            </w:pPr>
            <w:r>
              <w:rPr>
                <w:rFonts w:ascii="Arial" w:cs="Arial" w:eastAsia="Arial" w:hAnsi="Arial"/>
                <w:sz w:val="18"/>
                <w:szCs w:val="18"/>
                <w:color w:val="auto"/>
              </w:rPr>
              <w:t>Operating lease right-of-use assets, net</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37"/>
        </w:trPr>
        <w:tc>
          <w:tcPr>
            <w:tcW w:w="46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37"/>
        </w:trPr>
        <w:tc>
          <w:tcPr>
            <w:tcW w:w="4640" w:type="dxa"/>
            <w:vAlign w:val="bottom"/>
          </w:tcPr>
          <w:p>
            <w:pPr>
              <w:ind w:left="220"/>
              <w:spacing w:after="0"/>
              <w:rPr>
                <w:sz w:val="20"/>
                <w:szCs w:val="20"/>
                <w:color w:val="auto"/>
              </w:rPr>
            </w:pPr>
            <w:r>
              <w:rPr>
                <w:rFonts w:ascii="Arial" w:cs="Arial" w:eastAsia="Arial" w:hAnsi="Arial"/>
                <w:sz w:val="18"/>
                <w:szCs w:val="18"/>
                <w:color w:val="auto"/>
              </w:rPr>
              <w:t>Deferred costs and other assets, net of current portion</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cash, non-current</w:t>
            </w:r>
          </w:p>
        </w:tc>
        <w:tc>
          <w:tcPr>
            <w:tcW w:w="3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46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3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2,327.4</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640" w:type="dxa"/>
            <w:vAlign w:val="bottom"/>
            <w:shd w:val="clear" w:color="auto" w:fill="CCEEFF"/>
          </w:tcPr>
          <w:p>
            <w:pPr>
              <w:spacing w:after="0"/>
              <w:rPr>
                <w:sz w:val="10"/>
                <w:szCs w:val="10"/>
                <w:color w:val="auto"/>
              </w:rPr>
            </w:pPr>
          </w:p>
        </w:tc>
        <w:tc>
          <w:tcPr>
            <w:tcW w:w="3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Liabilities, Temporary, and Permanent Equity (Deficit)</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Unearned revenue, current portion</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Current portion of tax receivable agreements liability</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1"/>
        </w:trPr>
        <w:tc>
          <w:tcPr>
            <w:tcW w:w="46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3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8"/>
        </w:trPr>
        <w:tc>
          <w:tcPr>
            <w:tcW w:w="46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640" w:type="dxa"/>
            <w:vAlign w:val="bottom"/>
            <w:shd w:val="clear" w:color="auto" w:fill="CCEEFF"/>
          </w:tcPr>
          <w:p>
            <w:pPr>
              <w:spacing w:after="0"/>
              <w:rPr>
                <w:sz w:val="10"/>
                <w:szCs w:val="10"/>
                <w:color w:val="auto"/>
              </w:rPr>
            </w:pPr>
          </w:p>
        </w:tc>
        <w:tc>
          <w:tcPr>
            <w:tcW w:w="3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Unearned revenue, net of current portion</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receivable agreements liability, net of current portion</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1"/>
        </w:trPr>
        <w:tc>
          <w:tcPr>
            <w:tcW w:w="46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33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4,773.4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1,387.8</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6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Permanent Equity (Deficit)</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 par value $0.01</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Class B common stock, par value $0.01</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C common stock, par value $0.01</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31"/>
        </w:trPr>
        <w:tc>
          <w:tcPr>
            <w:tcW w:w="4640" w:type="dxa"/>
            <w:vAlign w:val="bottom"/>
          </w:tcPr>
          <w:p>
            <w:pPr>
              <w:ind w:left="460"/>
              <w:spacing w:after="0"/>
              <w:rPr>
                <w:sz w:val="20"/>
                <w:szCs w:val="20"/>
                <w:color w:val="auto"/>
              </w:rPr>
            </w:pPr>
            <w:r>
              <w:rPr>
                <w:rFonts w:ascii="Arial" w:cs="Arial" w:eastAsia="Arial" w:hAnsi="Arial"/>
                <w:sz w:val="18"/>
                <w:szCs w:val="18"/>
                <w:color w:val="auto"/>
              </w:rPr>
              <w:t>Total equity (deficit)</w:t>
            </w:r>
          </w:p>
        </w:tc>
        <w:tc>
          <w:tcPr>
            <w:tcW w:w="33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8"/>
        </w:trPr>
        <w:tc>
          <w:tcPr>
            <w:tcW w:w="46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6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640" w:type="dxa"/>
            <w:vAlign w:val="bottom"/>
          </w:tcPr>
          <w:p>
            <w:pPr>
              <w:ind w:left="460"/>
              <w:spacing w:after="0"/>
              <w:rPr>
                <w:sz w:val="20"/>
                <w:szCs w:val="20"/>
                <w:color w:val="auto"/>
              </w:rPr>
            </w:pPr>
            <w:r>
              <w:rPr>
                <w:rFonts w:ascii="Arial" w:cs="Arial" w:eastAsia="Arial" w:hAnsi="Arial"/>
                <w:sz w:val="18"/>
                <w:szCs w:val="18"/>
                <w:color w:val="auto"/>
                <w:w w:val="91"/>
              </w:rPr>
              <w:t>Total liabilities, temporary, and permanent equity (deficit)</w:t>
            </w:r>
          </w:p>
        </w:tc>
        <w:tc>
          <w:tcPr>
            <w:tcW w:w="3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6,608.1</w:t>
            </w:r>
          </w:p>
        </w:tc>
        <w:tc>
          <w:tcPr>
            <w:tcW w:w="12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2,327.4</w:t>
            </w: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3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4640" w:type="dxa"/>
            <w:vAlign w:val="bottom"/>
            <w:vMerge w:val="continue"/>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firstLine="6"/>
        <w:spacing w:after="0" w:line="247" w:lineRule="auto"/>
        <w:tabs>
          <w:tab w:leader="none" w:pos="205"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Condensed Consolidated Balance Sheet as of December 31, 2020 has been derived from the audited consolidated financial statements at that date but does not include all of the information and footnotes required by generally accepted accounting principles for complete financial statements.</w:t>
      </w:r>
    </w:p>
    <w:p>
      <w:pPr>
        <w:sectPr>
          <w:pgSz w:w="11900" w:h="16838" w:orient="portrait"/>
          <w:cols w:equalWidth="0" w:num="1">
            <w:col w:w="11240"/>
          </w:cols>
          <w:pgMar w:left="320" w:top="121" w:right="339" w:bottom="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7240" w:type="dxa"/>
            <w:vAlign w:val="bottom"/>
            <w:gridSpan w:val="5"/>
          </w:tcPr>
          <w:p>
            <w:pPr>
              <w:ind w:left="4000"/>
              <w:spacing w:after="0"/>
              <w:rPr>
                <w:sz w:val="20"/>
                <w:szCs w:val="20"/>
                <w:color w:val="auto"/>
              </w:rPr>
            </w:pPr>
            <w:r>
              <w:rPr>
                <w:rFonts w:ascii="Arial" w:cs="Arial" w:eastAsia="Arial" w:hAnsi="Arial"/>
                <w:sz w:val="14"/>
                <w:szCs w:val="14"/>
                <w:b w:val="1"/>
                <w:bCs w:val="1"/>
                <w:i w:val="1"/>
                <w:iCs w:val="1"/>
                <w:color w:val="auto"/>
                <w:w w:val="96"/>
              </w:rPr>
              <w:t>(in millions, except per share amounts; unaudited)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00" w:type="dxa"/>
            <w:vAlign w:val="bottom"/>
          </w:tcPr>
          <w:p>
            <w:pPr>
              <w:spacing w:after="0"/>
              <w:rPr>
                <w:sz w:val="23"/>
                <w:szCs w:val="23"/>
                <w:color w:val="auto"/>
              </w:rPr>
            </w:pPr>
          </w:p>
        </w:tc>
        <w:tc>
          <w:tcPr>
            <w:tcW w:w="31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23"/>
                <w:szCs w:val="23"/>
                <w:color w:val="auto"/>
              </w:rPr>
            </w:pPr>
          </w:p>
        </w:tc>
        <w:tc>
          <w:tcPr>
            <w:tcW w:w="27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7"/>
        </w:trPr>
        <w:tc>
          <w:tcPr>
            <w:tcW w:w="4700" w:type="dxa"/>
            <w:vAlign w:val="bottom"/>
          </w:tcPr>
          <w:p>
            <w:pPr>
              <w:ind w:left="240"/>
              <w:spacing w:after="0"/>
              <w:rPr>
                <w:sz w:val="20"/>
                <w:szCs w:val="20"/>
                <w:color w:val="auto"/>
              </w:rPr>
            </w:pPr>
            <w:r>
              <w:rPr>
                <w:rFonts w:ascii="Arial" w:cs="Arial" w:eastAsia="Arial" w:hAnsi="Arial"/>
                <w:sz w:val="18"/>
                <w:szCs w:val="18"/>
                <w:color w:val="auto"/>
              </w:rPr>
              <w:t>Amortization of acquired technology</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65"/>
        </w:trPr>
        <w:tc>
          <w:tcPr>
            <w:tcW w:w="4700" w:type="dxa"/>
            <w:vAlign w:val="bottom"/>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8"/>
        </w:trPr>
        <w:tc>
          <w:tcPr>
            <w:tcW w:w="4700" w:type="dxa"/>
            <w:vAlign w:val="bottom"/>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transaction-related expenses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1"/>
        </w:trPr>
        <w:tc>
          <w:tcPr>
            <w:tcW w:w="470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139.5</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47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modification and extinguishment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8"/>
        </w:trPr>
        <w:tc>
          <w:tcPr>
            <w:tcW w:w="47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8"/>
        </w:trPr>
        <w:tc>
          <w:tcPr>
            <w:tcW w:w="4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income (loss)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6"/>
        </w:trPr>
        <w:tc>
          <w:tcPr>
            <w:tcW w:w="4700" w:type="dxa"/>
            <w:vAlign w:val="bottom"/>
          </w:tcPr>
          <w:p>
            <w:pPr>
              <w:ind w:left="20"/>
              <w:spacing w:after="0"/>
              <w:rPr>
                <w:sz w:val="20"/>
                <w:szCs w:val="20"/>
                <w:color w:val="auto"/>
              </w:rPr>
            </w:pPr>
            <w:r>
              <w:rPr>
                <w:rFonts w:ascii="Arial" w:cs="Arial" w:eastAsia="Arial" w:hAnsi="Arial"/>
                <w:sz w:val="18"/>
                <w:szCs w:val="18"/>
                <w:color w:val="auto"/>
                <w:w w:val="93"/>
              </w:rPr>
              <w:t>Less: Net income (loss) attributable to ZoomInfo OpCo prior to</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the Reorganization Transactions</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Less: Net income (loss) attributable to noncontrolling interests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0"/>
        </w:trPr>
        <w:tc>
          <w:tcPr>
            <w:tcW w:w="4700" w:type="dxa"/>
            <w:vAlign w:val="bottom"/>
          </w:tcPr>
          <w:p>
            <w:pPr>
              <w:ind w:left="240"/>
              <w:spacing w:after="0" w:line="201" w:lineRule="exact"/>
              <w:rPr>
                <w:sz w:val="20"/>
                <w:szCs w:val="20"/>
                <w:color w:val="auto"/>
              </w:rPr>
            </w:pPr>
            <w:r>
              <w:rPr>
                <w:rFonts w:ascii="Arial" w:cs="Arial" w:eastAsia="Arial" w:hAnsi="Arial"/>
                <w:sz w:val="18"/>
                <w:szCs w:val="18"/>
                <w:b w:val="1"/>
                <w:bCs w:val="1"/>
                <w:color w:val="auto"/>
                <w:w w:val="91"/>
              </w:rPr>
              <w:t>Net income (loss) attributable to ZoomInfo Technologies</w:t>
            </w:r>
          </w:p>
        </w:tc>
        <w:tc>
          <w:tcPr>
            <w:tcW w:w="940" w:type="dxa"/>
            <w:vAlign w:val="bottom"/>
            <w:tcBorders>
              <w:top w:val="single" w:sz="8" w:color="auto"/>
            </w:tcBorders>
            <w:vMerge w:val="restart"/>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7"/>
                <w:szCs w:val="17"/>
                <w:color w:val="auto"/>
              </w:rPr>
            </w:pPr>
          </w:p>
        </w:tc>
        <w:tc>
          <w:tcPr>
            <w:tcW w:w="960" w:type="dxa"/>
            <w:vAlign w:val="bottom"/>
            <w:tcBorders>
              <w:top w:val="single" w:sz="8" w:color="auto"/>
            </w:tcBorders>
            <w:vMerge w:val="restart"/>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5"/>
        </w:trPr>
        <w:tc>
          <w:tcPr>
            <w:tcW w:w="4700" w:type="dxa"/>
            <w:vAlign w:val="bottom"/>
          </w:tcPr>
          <w:p>
            <w:pPr>
              <w:ind w:left="240"/>
              <w:spacing w:after="0"/>
              <w:rPr>
                <w:sz w:val="20"/>
                <w:szCs w:val="20"/>
                <w:color w:val="auto"/>
              </w:rPr>
            </w:pPr>
            <w:r>
              <w:rPr>
                <w:rFonts w:ascii="Arial" w:cs="Arial" w:eastAsia="Arial" w:hAnsi="Arial"/>
                <w:sz w:val="18"/>
                <w:szCs w:val="18"/>
                <w:b w:val="1"/>
                <w:bCs w:val="1"/>
                <w:color w:val="auto"/>
              </w:rPr>
              <w:t>Inc.</w:t>
            </w:r>
          </w:p>
        </w:tc>
        <w:tc>
          <w:tcPr>
            <w:tcW w:w="94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w w:val="96"/>
              </w:rPr>
              <w:t>Net income (loss) per share of Class A and Class C common</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stock:</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8"/>
        </w:trPr>
        <w:tc>
          <w:tcPr>
            <w:tcW w:w="4700" w:type="dxa"/>
            <w:vAlign w:val="bottom"/>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58"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26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Pr>
          <w:p>
            <w:pPr>
              <w:spacing w:after="0"/>
              <w:rPr>
                <w:sz w:val="15"/>
                <w:szCs w:val="15"/>
                <w:color w:val="auto"/>
              </w:rPr>
            </w:pPr>
          </w:p>
        </w:tc>
      </w:tr>
      <w:tr>
        <w:trPr>
          <w:trHeight w:val="24"/>
        </w:trPr>
        <w:tc>
          <w:tcPr>
            <w:tcW w:w="3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1"/>
        </w:trPr>
        <w:tc>
          <w:tcPr>
            <w:tcW w:w="326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r>
      <w:tr>
        <w:trPr>
          <w:trHeight w:val="24"/>
        </w:trPr>
        <w:tc>
          <w:tcPr>
            <w:tcW w:w="3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000" w:type="dxa"/>
            <w:vAlign w:val="bottom"/>
            <w:tcBorders>
              <w:bottom w:val="single" w:sz="8" w:color="CCEEFF"/>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23.8</w:t>
            </w:r>
          </w:p>
        </w:tc>
      </w:tr>
      <w:tr>
        <w:trPr>
          <w:trHeight w:val="188"/>
        </w:trPr>
        <w:tc>
          <w:tcPr>
            <w:tcW w:w="32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53.6</w:t>
            </w:r>
          </w:p>
        </w:tc>
      </w:tr>
      <w:tr>
        <w:trPr>
          <w:trHeight w:val="24"/>
        </w:trPr>
        <w:tc>
          <w:tcPr>
            <w:tcW w:w="3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92"/>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11.9</w:t>
            </w:r>
          </w:p>
        </w:tc>
      </w:tr>
      <w:tr>
        <w:trPr>
          <w:trHeight w:val="188"/>
        </w:trPr>
        <w:tc>
          <w:tcPr>
            <w:tcW w:w="32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14.9</w:t>
            </w:r>
          </w:p>
        </w:tc>
      </w:tr>
      <w:tr>
        <w:trPr>
          <w:trHeight w:val="24"/>
        </w:trPr>
        <w:tc>
          <w:tcPr>
            <w:tcW w:w="3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6"/>
              </w:rPr>
              <w:t>104.2</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5"/>
                <w:szCs w:val="15"/>
                <w:color w:val="auto"/>
              </w:rPr>
            </w:pPr>
          </w:p>
        </w:tc>
        <w:tc>
          <w:tcPr>
            <w:tcW w:w="27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5"/>
                <w:szCs w:val="15"/>
                <w:color w:val="auto"/>
              </w:rPr>
            </w:pPr>
          </w:p>
        </w:tc>
        <w:tc>
          <w:tcPr>
            <w:tcW w:w="24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9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59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4"/>
        </w:trPr>
        <w:tc>
          <w:tcPr>
            <w:tcW w:w="59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86"/>
        </w:trPr>
        <w:tc>
          <w:tcPr>
            <w:tcW w:w="5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45"/>
        </w:trPr>
        <w:tc>
          <w:tcPr>
            <w:tcW w:w="5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800" w:type="dxa"/>
            <w:vAlign w:val="bottom"/>
            <w:tcBorders>
              <w:bottom w:val="single" w:sz="8" w:color="CCEEFF"/>
            </w:tcBorders>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8"/>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8"/>
        </w:trPr>
        <w:tc>
          <w:tcPr>
            <w:tcW w:w="5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8"/>
        </w:trPr>
        <w:tc>
          <w:tcPr>
            <w:tcW w:w="5900" w:type="dxa"/>
            <w:vAlign w:val="bottom"/>
          </w:tcPr>
          <w:p>
            <w:pPr>
              <w:ind w:left="220"/>
              <w:spacing w:after="0"/>
              <w:rPr>
                <w:sz w:val="20"/>
                <w:szCs w:val="20"/>
                <w:color w:val="auto"/>
              </w:rPr>
            </w:pPr>
            <w:r>
              <w:rPr>
                <w:rFonts w:ascii="Arial" w:cs="Arial" w:eastAsia="Arial" w:hAnsi="Arial"/>
                <w:sz w:val="18"/>
                <w:szCs w:val="18"/>
                <w:color w:val="auto"/>
              </w:rPr>
              <w:t>Realized loss on settlement of cash flow hedges</w:t>
            </w: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
        </w:trPr>
        <w:tc>
          <w:tcPr>
            <w:tcW w:w="5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89"/>
              </w:rPr>
              <w:t>Amortization of deferred losses related to the dedesignated Interest Rate Swap</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1"/>
        </w:trPr>
        <w:tc>
          <w:tcPr>
            <w:tcW w:w="5900" w:type="dxa"/>
            <w:vAlign w:val="bottom"/>
          </w:tcPr>
          <w:p>
            <w:pPr>
              <w:ind w:left="440"/>
              <w:spacing w:after="0"/>
              <w:rPr>
                <w:sz w:val="20"/>
                <w:szCs w:val="20"/>
                <w:color w:val="auto"/>
              </w:rPr>
            </w:pPr>
            <w:r>
              <w:rPr>
                <w:rFonts w:ascii="Arial" w:cs="Arial" w:eastAsia="Arial" w:hAnsi="Arial"/>
                <w:sz w:val="18"/>
                <w:szCs w:val="18"/>
                <w:color w:val="auto"/>
              </w:rPr>
              <w:t>Other comprehensive income (loss) before tax</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8"/>
        </w:trPr>
        <w:tc>
          <w:tcPr>
            <w:tcW w:w="59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59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Tax effect</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5900" w:type="dxa"/>
            <w:vAlign w:val="bottom"/>
          </w:tcPr>
          <w:p>
            <w:pPr>
              <w:ind w:left="440"/>
              <w:spacing w:after="0"/>
              <w:rPr>
                <w:sz w:val="20"/>
                <w:szCs w:val="20"/>
                <w:color w:val="auto"/>
              </w:rPr>
            </w:pPr>
            <w:r>
              <w:rPr>
                <w:rFonts w:ascii="Arial" w:cs="Arial" w:eastAsia="Arial" w:hAnsi="Arial"/>
                <w:sz w:val="18"/>
                <w:szCs w:val="18"/>
                <w:color w:val="auto"/>
              </w:rPr>
              <w:t>Other comprehensive income (loss), net of tax</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8"/>
        </w:trPr>
        <w:tc>
          <w:tcPr>
            <w:tcW w:w="59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5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26"/>
        </w:trPr>
        <w:tc>
          <w:tcPr>
            <w:tcW w:w="5900" w:type="dxa"/>
            <w:vAlign w:val="bottom"/>
          </w:tcPr>
          <w:p>
            <w:pPr>
              <w:ind w:left="240"/>
              <w:spacing w:after="0"/>
              <w:rPr>
                <w:sz w:val="20"/>
                <w:szCs w:val="20"/>
                <w:color w:val="auto"/>
              </w:rPr>
            </w:pPr>
            <w:r>
              <w:rPr>
                <w:rFonts w:ascii="Arial" w:cs="Arial" w:eastAsia="Arial" w:hAnsi="Arial"/>
                <w:sz w:val="18"/>
                <w:szCs w:val="18"/>
                <w:color w:val="auto"/>
                <w:w w:val="98"/>
              </w:rPr>
              <w:t>Less: Comprehensive income attributable to ZoomInfo OpCo prior to the</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5900" w:type="dxa"/>
            <w:vAlign w:val="bottom"/>
          </w:tcPr>
          <w:p>
            <w:pPr>
              <w:ind w:left="240"/>
              <w:spacing w:after="0"/>
              <w:rPr>
                <w:sz w:val="20"/>
                <w:szCs w:val="20"/>
                <w:color w:val="auto"/>
              </w:rPr>
            </w:pPr>
            <w:r>
              <w:rPr>
                <w:rFonts w:ascii="Arial" w:cs="Arial" w:eastAsia="Arial" w:hAnsi="Arial"/>
                <w:sz w:val="18"/>
                <w:szCs w:val="18"/>
                <w:color w:val="auto"/>
              </w:rPr>
              <w:t>Reorganization Transactions</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8"/>
        </w:trPr>
        <w:tc>
          <w:tcPr>
            <w:tcW w:w="5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5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5"/>
              </w:rPr>
              <w:t>Less: Comprehensive income (loss) attributable to noncontrolling interests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58"/>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w w:val="93"/>
              </w:rPr>
              <w:t>Comprehensive income (loss) attributable to ZoomInfo Technologies Inc.</w:t>
            </w:r>
          </w:p>
        </w:tc>
        <w:tc>
          <w:tcPr>
            <w:tcW w:w="80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5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 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14"/>
          </w:tcPr>
          <w:p>
            <w:pPr>
              <w:ind w:left="340"/>
              <w:spacing w:after="0"/>
              <w:rPr>
                <w:sz w:val="20"/>
                <w:szCs w:val="20"/>
                <w:color w:val="auto"/>
              </w:rPr>
            </w:pPr>
            <w:r>
              <w:rPr>
                <w:rFonts w:ascii="Arial" w:cs="Arial" w:eastAsia="Arial" w:hAnsi="Arial"/>
                <w:sz w:val="14"/>
                <w:szCs w:val="14"/>
                <w:b w:val="1"/>
                <w:bCs w:val="1"/>
                <w:color w:val="auto"/>
                <w:w w:val="90"/>
              </w:rPr>
              <w:t>ZoomInfo Technologies Inc. Stockholders' Equity</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2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6"/>
        </w:trPr>
        <w:tc>
          <w:tcPr>
            <w:tcW w:w="2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9"/>
        </w:trPr>
        <w:tc>
          <w:tcPr>
            <w:tcW w:w="2240" w:type="dxa"/>
            <w:vAlign w:val="bottom"/>
          </w:tcPr>
          <w:p>
            <w:pPr>
              <w:spacing w:after="0"/>
              <w:rPr>
                <w:sz w:val="13"/>
                <w:szCs w:val="13"/>
                <w:color w:val="auto"/>
              </w:rPr>
            </w:pPr>
          </w:p>
        </w:tc>
        <w:tc>
          <w:tcPr>
            <w:tcW w:w="860" w:type="dxa"/>
            <w:vAlign w:val="bottom"/>
            <w:gridSpan w:val="2"/>
          </w:tcPr>
          <w:p>
            <w:pPr>
              <w:ind w:left="160"/>
              <w:spacing w:after="0" w:line="159" w:lineRule="exact"/>
              <w:rPr>
                <w:sz w:val="20"/>
                <w:szCs w:val="20"/>
                <w:color w:val="auto"/>
              </w:rPr>
            </w:pPr>
            <w:r>
              <w:rPr>
                <w:rFonts w:ascii="Arial" w:cs="Arial" w:eastAsia="Arial" w:hAnsi="Arial"/>
                <w:sz w:val="14"/>
                <w:szCs w:val="14"/>
                <w:b w:val="1"/>
                <w:bCs w:val="1"/>
                <w:color w:val="auto"/>
              </w:rPr>
              <w:t>Class A</w:t>
            </w: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Class B</w:t>
            </w:r>
          </w:p>
        </w:tc>
        <w:tc>
          <w:tcPr>
            <w:tcW w:w="8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89"/>
              </w:rPr>
              <w:t>Class C</w:t>
            </w: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3"/>
                <w:szCs w:val="13"/>
                <w:color w:val="auto"/>
              </w:rPr>
            </w:pPr>
          </w:p>
        </w:tc>
        <w:tc>
          <w:tcPr>
            <w:tcW w:w="6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3"/>
                <w:szCs w:val="13"/>
                <w:color w:val="auto"/>
              </w:rPr>
            </w:pPr>
          </w:p>
        </w:tc>
        <w:tc>
          <w:tcPr>
            <w:tcW w:w="6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Class C</w:t>
            </w:r>
          </w:p>
        </w:tc>
        <w:tc>
          <w:tcPr>
            <w:tcW w:w="120" w:type="dxa"/>
            <w:vAlign w:val="bottom"/>
          </w:tcPr>
          <w:p>
            <w:pPr>
              <w:spacing w:after="0"/>
              <w:rPr>
                <w:sz w:val="13"/>
                <w:szCs w:val="13"/>
                <w:color w:val="auto"/>
              </w:rPr>
            </w:pPr>
          </w:p>
        </w:tc>
        <w:tc>
          <w:tcPr>
            <w:tcW w:w="6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paid-in</w:t>
            </w:r>
          </w:p>
        </w:tc>
        <w:tc>
          <w:tcPr>
            <w:tcW w:w="78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w w:val="98"/>
              </w:rPr>
              <w:t>Noncontrolling</w:t>
            </w:r>
          </w:p>
        </w:tc>
        <w:tc>
          <w:tcPr>
            <w:tcW w:w="120" w:type="dxa"/>
            <w:vAlign w:val="bottom"/>
          </w:tcPr>
          <w:p>
            <w:pPr>
              <w:spacing w:after="0"/>
              <w:rPr>
                <w:sz w:val="13"/>
                <w:szCs w:val="13"/>
                <w:color w:val="auto"/>
              </w:rPr>
            </w:pPr>
          </w:p>
        </w:tc>
        <w:tc>
          <w:tcPr>
            <w:tcW w:w="560" w:type="dxa"/>
            <w:vAlign w:val="bottom"/>
          </w:tcPr>
          <w:p>
            <w:pPr>
              <w:jc w:val="right"/>
              <w:ind w:right="109"/>
              <w:spacing w:after="0" w:line="159" w:lineRule="exact"/>
              <w:rPr>
                <w:sz w:val="20"/>
                <w:szCs w:val="20"/>
                <w:color w:val="auto"/>
              </w:rPr>
            </w:pPr>
            <w:r>
              <w:rPr>
                <w:rFonts w:ascii="Arial" w:cs="Arial" w:eastAsia="Arial" w:hAnsi="Arial"/>
                <w:sz w:val="14"/>
                <w:szCs w:val="14"/>
                <w:b w:val="1"/>
                <w:bCs w:val="1"/>
                <w:color w:val="auto"/>
              </w:rPr>
              <w:t>Total</w:t>
            </w:r>
          </w:p>
        </w:tc>
      </w:tr>
      <w:tr>
        <w:trPr>
          <w:trHeight w:val="184"/>
        </w:trPr>
        <w:tc>
          <w:tcPr>
            <w:tcW w:w="224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w w:val="93"/>
              </w:rPr>
              <w:t>Equity</w:t>
            </w:r>
          </w:p>
        </w:tc>
      </w:tr>
      <w:tr>
        <w:trPr>
          <w:trHeight w:val="24"/>
        </w:trPr>
        <w:tc>
          <w:tcPr>
            <w:tcW w:w="2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87,697,381</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216,652,704</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86,123,230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0.9</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Effect of LLC Unit Exchanges</w:t>
            </w:r>
          </w:p>
        </w:tc>
        <w:tc>
          <w:tcPr>
            <w:tcW w:w="780" w:type="dxa"/>
            <w:vAlign w:val="bottom"/>
          </w:tcPr>
          <w:p>
            <w:pPr>
              <w:jc w:val="right"/>
              <w:spacing w:after="0"/>
              <w:rPr>
                <w:sz w:val="20"/>
                <w:szCs w:val="20"/>
                <w:color w:val="auto"/>
              </w:rPr>
            </w:pPr>
            <w:r>
              <w:rPr>
                <w:rFonts w:ascii="Arial" w:cs="Arial" w:eastAsia="Arial" w:hAnsi="Arial"/>
                <w:sz w:val="14"/>
                <w:szCs w:val="14"/>
                <w:color w:val="auto"/>
                <w:w w:val="99"/>
              </w:rPr>
              <w:t>14,500,582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(9,776,683)</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(3,869,894)</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7"/>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Class A common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8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upon vesting of RSUs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20,439</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2240" w:type="dxa"/>
            <w:vAlign w:val="bottom"/>
          </w:tcPr>
          <w:p>
            <w:pPr>
              <w:ind w:left="20"/>
              <w:spacing w:after="0"/>
              <w:rPr>
                <w:sz w:val="20"/>
                <w:szCs w:val="20"/>
                <w:color w:val="auto"/>
              </w:rPr>
            </w:pPr>
            <w:r>
              <w:rPr>
                <w:rFonts w:ascii="Arial" w:cs="Arial" w:eastAsia="Arial" w:hAnsi="Arial"/>
                <w:sz w:val="14"/>
                <w:szCs w:val="14"/>
                <w:color w:val="auto"/>
                <w:w w:val="98"/>
              </w:rPr>
              <w:t>Shares withheld related to net share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0"/>
        </w:trPr>
        <w:tc>
          <w:tcPr>
            <w:tcW w:w="2240" w:type="dxa"/>
            <w:vAlign w:val="bottom"/>
          </w:tcPr>
          <w:p>
            <w:pPr>
              <w:ind w:left="20"/>
              <w:spacing w:after="0"/>
              <w:rPr>
                <w:sz w:val="20"/>
                <w:szCs w:val="20"/>
                <w:color w:val="auto"/>
              </w:rPr>
            </w:pPr>
            <w:r>
              <w:rPr>
                <w:rFonts w:ascii="Arial" w:cs="Arial" w:eastAsia="Arial" w:hAnsi="Arial"/>
                <w:sz w:val="14"/>
                <w:szCs w:val="14"/>
                <w:color w:val="auto"/>
              </w:rPr>
              <w:t>settlement and other</w:t>
            </w:r>
          </w:p>
        </w:tc>
        <w:tc>
          <w:tcPr>
            <w:tcW w:w="780" w:type="dxa"/>
            <w:vAlign w:val="bottom"/>
          </w:tcPr>
          <w:p>
            <w:pPr>
              <w:jc w:val="right"/>
              <w:spacing w:after="0"/>
              <w:rPr>
                <w:sz w:val="20"/>
                <w:szCs w:val="20"/>
                <w:color w:val="auto"/>
              </w:rPr>
            </w:pPr>
            <w:r>
              <w:rPr>
                <w:rFonts w:ascii="Arial" w:cs="Arial" w:eastAsia="Arial" w:hAnsi="Arial"/>
                <w:sz w:val="14"/>
                <w:szCs w:val="14"/>
                <w:color w:val="auto"/>
              </w:rPr>
              <w:t>(30,936)</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Forfeitures / cancellations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(7,852)</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Paid and accrued tax distributions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4"/>
        </w:trPr>
        <w:tc>
          <w:tcPr>
            <w:tcW w:w="2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102,212,224</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206,868,169</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82,253,336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946.9</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Effect of LLC Unit Exchanges</w:t>
            </w:r>
          </w:p>
        </w:tc>
        <w:tc>
          <w:tcPr>
            <w:tcW w:w="780" w:type="dxa"/>
            <w:vAlign w:val="bottom"/>
          </w:tcPr>
          <w:p>
            <w:pPr>
              <w:jc w:val="right"/>
              <w:spacing w:after="0"/>
              <w:rPr>
                <w:sz w:val="20"/>
                <w:szCs w:val="20"/>
                <w:color w:val="auto"/>
              </w:rPr>
            </w:pPr>
            <w:r>
              <w:rPr>
                <w:rFonts w:ascii="Arial" w:cs="Arial" w:eastAsia="Arial" w:hAnsi="Arial"/>
                <w:sz w:val="14"/>
                <w:szCs w:val="14"/>
                <w:color w:val="auto"/>
                <w:w w:val="99"/>
              </w:rPr>
              <w:t>19,514,930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8"/>
              </w:rPr>
              <w:t>(15,259,859)</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(4,040,025)</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7"/>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Class A common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8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upon vesting of RSUs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123,729</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2240" w:type="dxa"/>
            <w:vAlign w:val="bottom"/>
          </w:tcPr>
          <w:p>
            <w:pPr>
              <w:ind w:left="20"/>
              <w:spacing w:after="0"/>
              <w:rPr>
                <w:sz w:val="20"/>
                <w:szCs w:val="20"/>
                <w:color w:val="auto"/>
              </w:rPr>
            </w:pPr>
            <w:r>
              <w:rPr>
                <w:rFonts w:ascii="Arial" w:cs="Arial" w:eastAsia="Arial" w:hAnsi="Arial"/>
                <w:sz w:val="14"/>
                <w:szCs w:val="14"/>
                <w:color w:val="auto"/>
                <w:w w:val="98"/>
              </w:rPr>
              <w:t>Shares withheld related to net share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0"/>
        </w:trPr>
        <w:tc>
          <w:tcPr>
            <w:tcW w:w="2240" w:type="dxa"/>
            <w:vAlign w:val="bottom"/>
          </w:tcPr>
          <w:p>
            <w:pPr>
              <w:ind w:left="20"/>
              <w:spacing w:after="0"/>
              <w:rPr>
                <w:sz w:val="20"/>
                <w:szCs w:val="20"/>
                <w:color w:val="auto"/>
              </w:rPr>
            </w:pPr>
            <w:r>
              <w:rPr>
                <w:rFonts w:ascii="Arial" w:cs="Arial" w:eastAsia="Arial" w:hAnsi="Arial"/>
                <w:sz w:val="14"/>
                <w:szCs w:val="14"/>
                <w:color w:val="auto"/>
              </w:rPr>
              <w:t>settlement and other</w:t>
            </w:r>
          </w:p>
        </w:tc>
        <w:tc>
          <w:tcPr>
            <w:tcW w:w="780" w:type="dxa"/>
            <w:vAlign w:val="bottom"/>
          </w:tcPr>
          <w:p>
            <w:pPr>
              <w:jc w:val="right"/>
              <w:spacing w:after="0"/>
              <w:rPr>
                <w:sz w:val="20"/>
                <w:szCs w:val="20"/>
                <w:color w:val="auto"/>
              </w:rPr>
            </w:pPr>
            <w:r>
              <w:rPr>
                <w:rFonts w:ascii="Arial" w:cs="Arial" w:eastAsia="Arial" w:hAnsi="Arial"/>
                <w:sz w:val="14"/>
                <w:szCs w:val="14"/>
                <w:color w:val="auto"/>
              </w:rPr>
              <w:t>(14,333)</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11,056</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Forfeitures / cancellations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(32,424)</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Paid and accrued tax distributions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24"/>
        </w:trPr>
        <w:tc>
          <w:tcPr>
            <w:tcW w:w="2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121,847,606</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191,575,886</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78,213,311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991.7</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Effect of LLC Unit Exchanges</w:t>
            </w:r>
          </w:p>
        </w:tc>
        <w:tc>
          <w:tcPr>
            <w:tcW w:w="780" w:type="dxa"/>
            <w:vAlign w:val="bottom"/>
          </w:tcPr>
          <w:p>
            <w:pPr>
              <w:jc w:val="right"/>
              <w:spacing w:after="0"/>
              <w:rPr>
                <w:sz w:val="20"/>
                <w:szCs w:val="20"/>
                <w:color w:val="auto"/>
              </w:rPr>
            </w:pPr>
            <w:r>
              <w:rPr>
                <w:rFonts w:ascii="Arial" w:cs="Arial" w:eastAsia="Arial" w:hAnsi="Arial"/>
                <w:sz w:val="14"/>
                <w:szCs w:val="14"/>
                <w:color w:val="auto"/>
                <w:w w:val="89"/>
              </w:rPr>
              <w:t>252,796,919</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1"/>
              </w:rPr>
              <w:t>(168,693,583)</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(78,213,311)</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1,222.5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860.5</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reorganization transaction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7"/>
        </w:trPr>
        <w:tc>
          <w:tcPr>
            <w:tcW w:w="2240" w:type="dxa"/>
            <w:vAlign w:val="bottom"/>
          </w:tcPr>
          <w:p>
            <w:pPr>
              <w:ind w:left="20"/>
              <w:spacing w:after="0"/>
              <w:rPr>
                <w:sz w:val="20"/>
                <w:szCs w:val="20"/>
                <w:color w:val="auto"/>
              </w:rPr>
            </w:pPr>
            <w:r>
              <w:rPr>
                <w:rFonts w:ascii="Arial" w:cs="Arial" w:eastAsia="Arial" w:hAnsi="Arial"/>
                <w:sz w:val="14"/>
                <w:szCs w:val="14"/>
                <w:color w:val="auto"/>
              </w:rPr>
              <w:t>Issuance of Class A common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0"/>
        </w:trPr>
        <w:tc>
          <w:tcPr>
            <w:tcW w:w="2240" w:type="dxa"/>
            <w:vAlign w:val="bottom"/>
          </w:tcPr>
          <w:p>
            <w:pPr>
              <w:ind w:left="20"/>
              <w:spacing w:after="0"/>
              <w:rPr>
                <w:sz w:val="20"/>
                <w:szCs w:val="20"/>
                <w:color w:val="auto"/>
              </w:rPr>
            </w:pPr>
            <w:r>
              <w:rPr>
                <w:rFonts w:ascii="Arial" w:cs="Arial" w:eastAsia="Arial" w:hAnsi="Arial"/>
                <w:sz w:val="14"/>
                <w:szCs w:val="14"/>
                <w:color w:val="auto"/>
              </w:rPr>
              <w:t>upon vesting of RSUs</w:t>
            </w:r>
          </w:p>
        </w:tc>
        <w:tc>
          <w:tcPr>
            <w:tcW w:w="780" w:type="dxa"/>
            <w:vAlign w:val="bottom"/>
          </w:tcPr>
          <w:p>
            <w:pPr>
              <w:jc w:val="right"/>
              <w:spacing w:after="0"/>
              <w:rPr>
                <w:sz w:val="20"/>
                <w:szCs w:val="20"/>
                <w:color w:val="auto"/>
              </w:rPr>
            </w:pPr>
            <w:r>
              <w:rPr>
                <w:rFonts w:ascii="Arial" w:cs="Arial" w:eastAsia="Arial" w:hAnsi="Arial"/>
                <w:sz w:val="14"/>
                <w:szCs w:val="14"/>
                <w:color w:val="auto"/>
              </w:rPr>
              <w:t>147,368</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7"/>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Shares withheld related to net share</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8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 and other</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(68,803)</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28,705</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Forfeitures / cancellations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(3,281)</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Registered offering costs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4"/>
        </w:trPr>
        <w:tc>
          <w:tcPr>
            <w:tcW w:w="2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Paid and accrued tax distributions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24"/>
        </w:trPr>
        <w:tc>
          <w:tcPr>
            <w:tcW w:w="2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5"/>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374,751,795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22,879,022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1,834.7</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1300"/>
        <w:spacing w:after="0"/>
        <w:rPr>
          <w:sz w:val="20"/>
          <w:szCs w:val="20"/>
          <w:color w:val="auto"/>
        </w:rPr>
      </w:pPr>
      <w:r>
        <w:rPr>
          <w:rFonts w:ascii="Arial" w:cs="Arial" w:eastAsia="Arial" w:hAnsi="Arial"/>
          <w:sz w:val="12"/>
          <w:szCs w:val="12"/>
          <w:b w:val="1"/>
          <w:bCs w:val="1"/>
          <w:color w:val="auto"/>
        </w:rPr>
        <w:t>ZoomInfo</w:t>
      </w:r>
    </w:p>
    <w:p>
      <w:pPr>
        <w:spacing w:after="0" w:line="22" w:lineRule="exact"/>
        <w:rPr>
          <w:sz w:val="20"/>
          <w:szCs w:val="20"/>
          <w:color w:val="auto"/>
        </w:rPr>
      </w:pPr>
    </w:p>
    <w:p>
      <w:pPr>
        <w:jc w:val="center"/>
        <w:ind w:left="1300"/>
        <w:spacing w:after="0"/>
        <w:rPr>
          <w:sz w:val="20"/>
          <w:szCs w:val="20"/>
          <w:color w:val="auto"/>
        </w:rPr>
      </w:pPr>
      <w:r>
        <w:rPr>
          <w:rFonts w:ascii="Arial" w:cs="Arial" w:eastAsia="Arial" w:hAnsi="Arial"/>
          <w:sz w:val="12"/>
          <w:szCs w:val="12"/>
          <w:b w:val="1"/>
          <w:bCs w:val="1"/>
          <w:color w:val="auto"/>
        </w:rPr>
        <w:t>Holdings LLC</w:t>
      </w:r>
    </w:p>
    <w:p>
      <w:pPr>
        <w:spacing w:after="0" w:line="8" w:lineRule="exact"/>
        <w:rPr>
          <w:sz w:val="20"/>
          <w:szCs w:val="20"/>
          <w:color w:val="auto"/>
        </w:rPr>
      </w:pPr>
    </w:p>
    <w:p>
      <w:pPr>
        <w:jc w:val="center"/>
        <w:ind w:left="1300"/>
        <w:spacing w:after="0"/>
        <w:rPr>
          <w:sz w:val="20"/>
          <w:szCs w:val="20"/>
          <w:color w:val="auto"/>
        </w:rPr>
      </w:pPr>
      <w:r>
        <w:rPr>
          <w:rFonts w:ascii="Arial" w:cs="Arial" w:eastAsia="Arial" w:hAnsi="Arial"/>
          <w:sz w:val="12"/>
          <w:szCs w:val="12"/>
          <w:b w:val="1"/>
          <w:bCs w:val="1"/>
          <w:color w:val="auto"/>
        </w:rPr>
        <w:t>(Prior to</w:t>
      </w:r>
    </w:p>
    <w:p>
      <w:pPr>
        <w:spacing w:after="0" w:line="8" w:lineRule="exact"/>
        <w:rPr>
          <w:sz w:val="20"/>
          <w:szCs w:val="20"/>
          <w:color w:val="auto"/>
        </w:rPr>
      </w:pPr>
    </w:p>
    <w:p>
      <w:pPr>
        <w:jc w:val="center"/>
        <w:ind w:left="1300"/>
        <w:spacing w:after="0"/>
        <w:rPr>
          <w:sz w:val="20"/>
          <w:szCs w:val="20"/>
          <w:color w:val="auto"/>
        </w:rPr>
      </w:pPr>
      <w:r>
        <w:rPr>
          <w:rFonts w:ascii="Arial" w:cs="Arial" w:eastAsia="Arial" w:hAnsi="Arial"/>
          <w:sz w:val="11"/>
          <w:szCs w:val="11"/>
          <w:b w:val="1"/>
          <w:bCs w:val="1"/>
          <w:color w:val="auto"/>
        </w:rPr>
        <w:t>Reorganization</w:t>
      </w:r>
    </w:p>
    <w:p>
      <w:pPr>
        <w:spacing w:after="0" w:line="19" w:lineRule="exact"/>
        <w:rPr>
          <w:sz w:val="20"/>
          <w:szCs w:val="20"/>
          <w:color w:val="auto"/>
        </w:rPr>
      </w:pPr>
    </w:p>
    <w:p>
      <w:pPr>
        <w:jc w:val="center"/>
        <w:ind w:left="1300"/>
        <w:spacing w:after="0"/>
        <w:rPr>
          <w:sz w:val="20"/>
          <w:szCs w:val="20"/>
          <w:color w:val="auto"/>
        </w:rPr>
      </w:pPr>
      <w:r>
        <w:rPr>
          <w:rFonts w:ascii="Arial" w:cs="Arial" w:eastAsia="Arial" w:hAnsi="Arial"/>
          <w:sz w:val="12"/>
          <w:szCs w:val="12"/>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24130</wp:posOffset>
            </wp:positionV>
            <wp:extent cx="639445" cy="694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9445" cy="6941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ind w:right="3540"/>
        <w:spacing w:after="0"/>
        <w:rPr>
          <w:sz w:val="20"/>
          <w:szCs w:val="20"/>
          <w:color w:val="auto"/>
        </w:rPr>
      </w:pPr>
      <w:r>
        <w:rPr>
          <w:rFonts w:ascii="Arial" w:cs="Arial" w:eastAsia="Arial" w:hAnsi="Arial"/>
          <w:sz w:val="15"/>
          <w:szCs w:val="15"/>
          <w:b w:val="1"/>
          <w:bCs w:val="1"/>
          <w:color w:val="auto"/>
        </w:rPr>
        <w:t>Consolidated Statements of Changes in Equity (Deficit)</w:t>
      </w:r>
    </w:p>
    <w:p>
      <w:pPr>
        <w:spacing w:after="0" w:line="40" w:lineRule="exact"/>
        <w:rPr>
          <w:sz w:val="20"/>
          <w:szCs w:val="20"/>
          <w:color w:val="auto"/>
        </w:rPr>
      </w:pPr>
    </w:p>
    <w:p>
      <w:pPr>
        <w:jc w:val="center"/>
        <w:ind w:right="3540"/>
        <w:spacing w:after="0"/>
        <w:rPr>
          <w:sz w:val="20"/>
          <w:szCs w:val="20"/>
          <w:color w:val="auto"/>
        </w:rPr>
      </w:pPr>
      <w:r>
        <w:rPr>
          <w:rFonts w:ascii="Arial" w:cs="Arial" w:eastAsia="Arial" w:hAnsi="Arial"/>
          <w:sz w:val="15"/>
          <w:szCs w:val="15"/>
          <w:b w:val="1"/>
          <w:bCs w:val="1"/>
          <w:i w:val="1"/>
          <w:iCs w:val="1"/>
          <w:color w:val="auto"/>
        </w:rPr>
        <w:t>(in millions, except share data; unaudited)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ZoomInfo Technologies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29845</wp:posOffset>
            </wp:positionV>
            <wp:extent cx="4375150" cy="6941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5150" cy="6941185"/>
                    </a:xfrm>
                    <a:prstGeom prst="rect">
                      <a:avLst/>
                    </a:prstGeom>
                    <a:noFill/>
                  </pic:spPr>
                </pic:pic>
              </a:graphicData>
            </a:graphic>
          </wp:anchor>
        </w:drawing>
      </w:r>
    </w:p>
    <w:p>
      <w:pPr>
        <w:spacing w:after="0" w:line="44" w:lineRule="exact"/>
        <w:rPr>
          <w:sz w:val="20"/>
          <w:szCs w:val="20"/>
          <w:color w:val="auto"/>
        </w:rPr>
      </w:pPr>
    </w:p>
    <w:p>
      <w:pPr>
        <w:jc w:val="right"/>
        <w:ind w:right="3100"/>
        <w:spacing w:after="0"/>
        <w:rPr>
          <w:sz w:val="20"/>
          <w:szCs w:val="20"/>
          <w:color w:val="auto"/>
        </w:rPr>
      </w:pPr>
      <w:r>
        <w:rPr>
          <w:rFonts w:ascii="Arial" w:cs="Arial" w:eastAsia="Arial" w:hAnsi="Arial"/>
          <w:sz w:val="14"/>
          <w:szCs w:val="14"/>
          <w:b w:val="1"/>
          <w:bCs w:val="1"/>
          <w:color w:val="auto"/>
        </w:rPr>
        <w:t>Additional</w:t>
      </w:r>
    </w:p>
    <w:p>
      <w:pPr>
        <w:spacing w:after="0" w:line="1" w:lineRule="exact"/>
        <w:rPr>
          <w:sz w:val="20"/>
          <w:szCs w:val="20"/>
          <w:color w:val="auto"/>
        </w:rPr>
      </w:pPr>
    </w:p>
    <w:p>
      <w:pPr>
        <w:sectPr>
          <w:pgSz w:w="11900" w:h="16838" w:orient="portrait"/>
          <w:cols w:equalWidth="0" w:num="2">
            <w:col w:w="2820" w:space="720"/>
            <w:col w:w="7700"/>
          </w:cols>
          <w:pgMar w:left="320" w:top="122" w:right="339" w:bottom="1440" w:gutter="0" w:footer="0" w:header="0"/>
        </w:sectPr>
      </w:pPr>
    </w:p>
    <w:p>
      <w:pPr>
        <w:spacing w:after="0" w:line="372" w:lineRule="exact"/>
        <w:rPr>
          <w:sz w:val="20"/>
          <w:szCs w:val="20"/>
          <w:color w:val="auto"/>
        </w:rPr>
      </w:pPr>
    </w:p>
    <w:p>
      <w:pPr>
        <w:ind w:left="20" w:right="240"/>
        <w:spacing w:after="0" w:line="265" w:lineRule="auto"/>
        <w:rPr>
          <w:sz w:val="20"/>
          <w:szCs w:val="20"/>
          <w:color w:val="auto"/>
        </w:rPr>
      </w:pPr>
      <w:r>
        <w:rPr>
          <w:rFonts w:ascii="Arial" w:cs="Arial" w:eastAsia="Arial" w:hAnsi="Arial"/>
          <w:sz w:val="14"/>
          <w:szCs w:val="14"/>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-229870</wp:posOffset>
            </wp:positionV>
            <wp:extent cx="1623695" cy="235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3695" cy="235585"/>
                    </a:xfrm>
                    <a:prstGeom prst="rect">
                      <a:avLst/>
                    </a:prstGeom>
                    <a:noFill/>
                  </pic:spPr>
                </pic:pic>
              </a:graphicData>
            </a:graphic>
          </wp:anchor>
        </w:drawing>
      </w:r>
    </w:p>
    <w:p>
      <w:pPr>
        <w:ind w:left="20" w:right="340"/>
        <w:spacing w:after="0" w:line="340" w:lineRule="auto"/>
        <w:rPr>
          <w:sz w:val="20"/>
          <w:szCs w:val="20"/>
          <w:color w:val="auto"/>
        </w:rPr>
      </w:pPr>
      <w:r>
        <w:rPr>
          <w:rFonts w:ascii="Arial" w:cs="Arial" w:eastAsia="Arial" w:hAnsi="Arial"/>
          <w:sz w:val="13"/>
          <w:szCs w:val="13"/>
          <w:color w:val="auto"/>
        </w:rPr>
        <w:t>Net income (loss) Member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1623695"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3695" cy="134620"/>
                    </a:xfrm>
                    <a:prstGeom prst="rect">
                      <a:avLst/>
                    </a:prstGeom>
                    <a:noFill/>
                  </pic:spPr>
                </pic:pic>
              </a:graphicData>
            </a:graphic>
          </wp:anchor>
        </w:drawing>
      </w:r>
    </w:p>
    <w:p>
      <w:pPr>
        <w:ind w:left="20" w:right="340"/>
        <w:spacing w:after="0" w:line="322" w:lineRule="auto"/>
        <w:rPr>
          <w:sz w:val="20"/>
          <w:szCs w:val="20"/>
          <w:color w:val="auto"/>
        </w:rPr>
      </w:pPr>
      <w:r>
        <w:rPr>
          <w:rFonts w:ascii="Arial" w:cs="Arial" w:eastAsia="Arial" w:hAnsi="Arial"/>
          <w:sz w:val="12"/>
          <w:szCs w:val="12"/>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623695"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369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Equity-based compensation</w:t>
      </w:r>
    </w:p>
    <w:p>
      <w:pPr>
        <w:spacing w:after="0" w:line="70" w:lineRule="exact"/>
        <w:rPr>
          <w:sz w:val="20"/>
          <w:szCs w:val="20"/>
          <w:color w:val="auto"/>
        </w:rPr>
      </w:pPr>
    </w:p>
    <w:p>
      <w:pPr>
        <w:ind w:left="20" w:right="280"/>
        <w:spacing w:after="0" w:line="271" w:lineRule="auto"/>
        <w:rPr>
          <w:sz w:val="20"/>
          <w:szCs w:val="20"/>
          <w:color w:val="auto"/>
        </w:rPr>
      </w:pPr>
      <w:r>
        <w:rPr>
          <w:rFonts w:ascii="Arial" w:cs="Arial" w:eastAsia="Arial" w:hAnsi="Arial"/>
          <w:sz w:val="14"/>
          <w:szCs w:val="14"/>
          <w:b w:val="1"/>
          <w:bCs w:val="1"/>
          <w:color w:val="auto"/>
        </w:rPr>
        <w:t>Balance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623695" cy="336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3695" cy="336550"/>
                    </a:xfrm>
                    <a:prstGeom prst="rect">
                      <a:avLst/>
                    </a:prstGeom>
                    <a:noFill/>
                  </pic:spPr>
                </pic:pic>
              </a:graphicData>
            </a:graphic>
          </wp:anchor>
        </w:drawing>
      </w:r>
    </w:p>
    <w:p>
      <w:pPr>
        <w:ind w:left="20" w:right="100"/>
        <w:spacing w:after="0" w:line="251" w:lineRule="auto"/>
        <w:rPr>
          <w:sz w:val="20"/>
          <w:szCs w:val="20"/>
          <w:color w:val="auto"/>
        </w:rPr>
      </w:pPr>
      <w:r>
        <w:rPr>
          <w:rFonts w:ascii="Arial" w:cs="Arial" w:eastAsia="Arial" w:hAnsi="Arial"/>
          <w:sz w:val="14"/>
          <w:szCs w:val="14"/>
          <w:color w:val="auto"/>
        </w:rPr>
        <w:t>Net income (loss) prior to Reorganization Transactions</w:t>
      </w:r>
    </w:p>
    <w:p>
      <w:pPr>
        <w:spacing w:after="0" w:line="25" w:lineRule="exact"/>
        <w:rPr>
          <w:sz w:val="20"/>
          <w:szCs w:val="20"/>
          <w:color w:val="auto"/>
        </w:rPr>
      </w:pPr>
    </w:p>
    <w:p>
      <w:pPr>
        <w:ind w:left="20" w:right="80"/>
        <w:spacing w:after="0" w:line="307" w:lineRule="auto"/>
        <w:rPr>
          <w:sz w:val="20"/>
          <w:szCs w:val="20"/>
          <w:color w:val="auto"/>
        </w:rPr>
      </w:pPr>
      <w:r>
        <w:rPr>
          <w:rFonts w:ascii="Arial" w:cs="Arial" w:eastAsia="Arial" w:hAnsi="Arial"/>
          <w:sz w:val="12"/>
          <w:szCs w:val="12"/>
          <w:color w:val="auto"/>
        </w:rPr>
        <w:t>Other comprehensive loss prior to Reorganization Transactions and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623695" cy="336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3695" cy="336550"/>
                    </a:xfrm>
                    <a:prstGeom prst="rect">
                      <a:avLst/>
                    </a:prstGeom>
                    <a:noFill/>
                  </pic:spPr>
                </pic:pic>
              </a:graphicData>
            </a:graphic>
          </wp:anchor>
        </w:drawing>
      </w:r>
    </w:p>
    <w:p>
      <w:pPr>
        <w:ind w:left="20" w:right="20"/>
        <w:spacing w:after="0" w:line="251" w:lineRule="auto"/>
        <w:rPr>
          <w:sz w:val="20"/>
          <w:szCs w:val="20"/>
          <w:color w:val="auto"/>
        </w:rPr>
      </w:pPr>
      <w:r>
        <w:rPr>
          <w:rFonts w:ascii="Arial" w:cs="Arial" w:eastAsia="Arial" w:hAnsi="Arial"/>
          <w:sz w:val="14"/>
          <w:szCs w:val="14"/>
          <w:color w:val="auto"/>
        </w:rPr>
        <w:t>Member distributions prior to Reorganization Transactions</w:t>
      </w:r>
    </w:p>
    <w:p>
      <w:pPr>
        <w:spacing w:after="0" w:line="25" w:lineRule="exact"/>
        <w:rPr>
          <w:sz w:val="20"/>
          <w:szCs w:val="20"/>
          <w:color w:val="auto"/>
        </w:rPr>
      </w:pPr>
    </w:p>
    <w:p>
      <w:pPr>
        <w:ind w:left="20"/>
        <w:spacing w:after="0" w:line="307" w:lineRule="auto"/>
        <w:rPr>
          <w:sz w:val="20"/>
          <w:szCs w:val="20"/>
          <w:color w:val="auto"/>
        </w:rPr>
      </w:pPr>
      <w:r>
        <w:rPr>
          <w:rFonts w:ascii="Arial" w:cs="Arial" w:eastAsia="Arial" w:hAnsi="Arial"/>
          <w:sz w:val="12"/>
          <w:szCs w:val="12"/>
          <w:color w:val="auto"/>
        </w:rPr>
        <w:t>Equity-based compensation prior to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623695" cy="235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3695" cy="235585"/>
                    </a:xfrm>
                    <a:prstGeom prst="rect">
                      <a:avLst/>
                    </a:prstGeom>
                    <a:noFill/>
                  </pic:spPr>
                </pic:pic>
              </a:graphicData>
            </a:graphic>
          </wp:anchor>
        </w:drawing>
      </w:r>
    </w:p>
    <w:p>
      <w:pPr>
        <w:ind w:left="20" w:right="20"/>
        <w:spacing w:after="0" w:line="322" w:lineRule="auto"/>
        <w:rPr>
          <w:sz w:val="20"/>
          <w:szCs w:val="20"/>
          <w:color w:val="auto"/>
        </w:rPr>
      </w:pPr>
      <w:r>
        <w:rPr>
          <w:rFonts w:ascii="Arial" w:cs="Arial" w:eastAsia="Arial" w:hAnsi="Arial"/>
          <w:sz w:val="12"/>
          <w:szCs w:val="12"/>
          <w:b w:val="1"/>
          <w:bCs w:val="1"/>
          <w:i w:val="1"/>
          <w:iCs w:val="1"/>
          <w:color w:val="auto"/>
        </w:rPr>
        <w:t>Impacts of Reorganization Transactions and IPO</w:t>
      </w:r>
    </w:p>
    <w:p>
      <w:pPr>
        <w:spacing w:after="0" w:line="1" w:lineRule="exact"/>
        <w:rPr>
          <w:sz w:val="20"/>
          <w:szCs w:val="20"/>
          <w:color w:val="auto"/>
        </w:rPr>
      </w:pPr>
    </w:p>
    <w:p>
      <w:pPr>
        <w:ind w:left="20" w:right="160"/>
        <w:spacing w:after="0" w:line="299" w:lineRule="auto"/>
        <w:rPr>
          <w:sz w:val="20"/>
          <w:szCs w:val="20"/>
          <w:color w:val="auto"/>
        </w:rPr>
      </w:pPr>
      <w:r>
        <w:rPr>
          <w:rFonts w:ascii="Arial" w:cs="Arial" w:eastAsia="Arial" w:hAnsi="Arial"/>
          <w:sz w:val="12"/>
          <w:szCs w:val="12"/>
          <w:color w:val="auto"/>
        </w:rPr>
        <w:t>Initial effect of the Reorganization Transactions and IPO on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623695" cy="336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3695" cy="336550"/>
                    </a:xfrm>
                    <a:prstGeom prst="rect">
                      <a:avLst/>
                    </a:prstGeom>
                    <a:noFill/>
                  </pic:spPr>
                </pic:pic>
              </a:graphicData>
            </a:graphic>
          </wp:anchor>
        </w:drawing>
      </w:r>
    </w:p>
    <w:p>
      <w:pPr>
        <w:ind w:left="20" w:right="80"/>
        <w:spacing w:after="0" w:line="251" w:lineRule="auto"/>
        <w:rPr>
          <w:sz w:val="20"/>
          <w:szCs w:val="20"/>
          <w:color w:val="auto"/>
        </w:rPr>
      </w:pPr>
      <w:r>
        <w:rPr>
          <w:rFonts w:ascii="Arial" w:cs="Arial" w:eastAsia="Arial" w:hAnsi="Arial"/>
          <w:sz w:val="14"/>
          <w:szCs w:val="14"/>
          <w:color w:val="auto"/>
        </w:rPr>
        <w:t>Issuance of Class A common stock in IPO, net of costs</w:t>
      </w:r>
    </w:p>
    <w:p>
      <w:pPr>
        <w:spacing w:after="0" w:line="25" w:lineRule="exact"/>
        <w:rPr>
          <w:sz w:val="20"/>
          <w:szCs w:val="20"/>
          <w:color w:val="auto"/>
        </w:rPr>
      </w:pPr>
    </w:p>
    <w:p>
      <w:pPr>
        <w:ind w:left="20" w:right="80"/>
        <w:spacing w:after="0" w:line="251" w:lineRule="auto"/>
        <w:rPr>
          <w:sz w:val="20"/>
          <w:szCs w:val="20"/>
          <w:color w:val="auto"/>
        </w:rPr>
      </w:pPr>
      <w:r>
        <w:rPr>
          <w:rFonts w:ascii="Arial" w:cs="Arial" w:eastAsia="Arial" w:hAnsi="Arial"/>
          <w:sz w:val="14"/>
          <w:szCs w:val="14"/>
          <w:color w:val="auto"/>
        </w:rPr>
        <w:t>Purchases of ZoomInfo OpCo Units in connection with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623695" cy="235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3695" cy="235585"/>
                    </a:xfrm>
                    <a:prstGeom prst="rect">
                      <a:avLst/>
                    </a:prstGeom>
                    <a:noFill/>
                  </pic:spPr>
                </pic:pic>
              </a:graphicData>
            </a:graphic>
          </wp:anchor>
        </w:drawing>
      </w:r>
    </w:p>
    <w:p>
      <w:pPr>
        <w:spacing w:after="0" w:line="5" w:lineRule="exact"/>
        <w:rPr>
          <w:sz w:val="20"/>
          <w:szCs w:val="20"/>
          <w:color w:val="auto"/>
        </w:rPr>
      </w:pPr>
    </w:p>
    <w:p>
      <w:pPr>
        <w:ind w:left="20" w:right="60"/>
        <w:spacing w:after="0" w:line="322" w:lineRule="auto"/>
        <w:rPr>
          <w:sz w:val="20"/>
          <w:szCs w:val="20"/>
          <w:color w:val="auto"/>
        </w:rPr>
      </w:pPr>
      <w:r>
        <w:rPr>
          <w:rFonts w:ascii="Arial" w:cs="Arial" w:eastAsia="Arial" w:hAnsi="Arial"/>
          <w:sz w:val="12"/>
          <w:szCs w:val="12"/>
          <w:color w:val="auto"/>
        </w:rPr>
        <w:t>Purchases of Class C units in connection with IPO</w:t>
      </w:r>
    </w:p>
    <w:p>
      <w:pPr>
        <w:spacing w:after="0" w:line="1" w:lineRule="exact"/>
        <w:rPr>
          <w:sz w:val="20"/>
          <w:szCs w:val="20"/>
          <w:color w:val="auto"/>
        </w:rPr>
      </w:pPr>
    </w:p>
    <w:p>
      <w:pPr>
        <w:ind w:left="20" w:right="20"/>
        <w:spacing w:after="0" w:line="265" w:lineRule="auto"/>
        <w:rPr>
          <w:sz w:val="20"/>
          <w:szCs w:val="20"/>
          <w:color w:val="auto"/>
        </w:rPr>
      </w:pPr>
      <w:r>
        <w:rPr>
          <w:rFonts w:ascii="Arial" w:cs="Arial" w:eastAsia="Arial" w:hAnsi="Arial"/>
          <w:sz w:val="14"/>
          <w:szCs w:val="14"/>
          <w:color w:val="auto"/>
        </w:rPr>
        <w:t>Opco Units exchanged into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1623695"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3695"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Forfeitures / cancellations</w:t>
      </w:r>
    </w:p>
    <w:p>
      <w:pPr>
        <w:spacing w:after="0" w:line="63" w:lineRule="exact"/>
        <w:rPr>
          <w:sz w:val="20"/>
          <w:szCs w:val="20"/>
          <w:color w:val="auto"/>
        </w:rPr>
      </w:pPr>
    </w:p>
    <w:p>
      <w:pPr>
        <w:ind w:left="20" w:right="220"/>
        <w:spacing w:after="0" w:line="297" w:lineRule="auto"/>
        <w:rPr>
          <w:sz w:val="20"/>
          <w:szCs w:val="20"/>
          <w:color w:val="auto"/>
        </w:rPr>
      </w:pPr>
      <w:r>
        <w:rPr>
          <w:rFonts w:ascii="Arial" w:cs="Arial" w:eastAsia="Arial" w:hAnsi="Arial"/>
          <w:sz w:val="13"/>
          <w:szCs w:val="13"/>
          <w:color w:val="auto"/>
        </w:rPr>
        <w:t>Series A Preferred Unit redemption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623695" cy="504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23695" cy="504825"/>
                    </a:xfrm>
                    <a:prstGeom prst="rect">
                      <a:avLst/>
                    </a:prstGeom>
                    <a:noFill/>
                  </pic:spPr>
                </pic:pic>
              </a:graphicData>
            </a:graphic>
          </wp:anchor>
        </w:drawing>
      </w:r>
    </w:p>
    <w:p>
      <w:pPr>
        <w:ind w:left="20" w:right="20"/>
        <w:spacing w:after="0" w:line="260" w:lineRule="auto"/>
        <w:rPr>
          <w:sz w:val="20"/>
          <w:szCs w:val="20"/>
          <w:color w:val="auto"/>
        </w:rPr>
      </w:pPr>
      <w:r>
        <w:rPr>
          <w:rFonts w:ascii="Arial" w:cs="Arial" w:eastAsia="Arial" w:hAnsi="Arial"/>
          <w:sz w:val="12"/>
          <w:szCs w:val="12"/>
          <w:color w:val="auto"/>
        </w:rPr>
        <w:t>Increase in deferred tax asset from step-up in tax basis under TRA related to unit exchanges (as revised)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9"/>
          <w:szCs w:val="9"/>
          <w:color w:val="auto"/>
        </w:rPr>
        <w:t>(1)</w:t>
      </w:r>
    </w:p>
    <w:p>
      <w:pPr>
        <w:spacing w:after="0" w:line="92" w:lineRule="exact"/>
        <w:rPr>
          <w:sz w:val="20"/>
          <w:szCs w:val="20"/>
          <w:color w:val="auto"/>
        </w:rPr>
      </w:pPr>
    </w:p>
    <w:p>
      <w:pPr>
        <w:ind w:left="20" w:right="100"/>
        <w:spacing w:after="0" w:line="279" w:lineRule="auto"/>
        <w:rPr>
          <w:sz w:val="20"/>
          <w:szCs w:val="20"/>
          <w:color w:val="auto"/>
        </w:rPr>
      </w:pPr>
      <w:r>
        <w:rPr>
          <w:rFonts w:ascii="Arial" w:cs="Arial" w:eastAsia="Arial" w:hAnsi="Arial"/>
          <w:sz w:val="13"/>
          <w:szCs w:val="13"/>
          <w:color w:val="auto"/>
        </w:rPr>
        <w:t>Net income subsequent to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623695" cy="43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3695" cy="437515"/>
                    </a:xfrm>
                    <a:prstGeom prst="rect">
                      <a:avLst/>
                    </a:prstGeom>
                    <a:noFill/>
                  </pic:spPr>
                </pic:pic>
              </a:graphicData>
            </a:graphic>
          </wp:anchor>
        </w:drawing>
      </w:r>
    </w:p>
    <w:p>
      <w:pPr>
        <w:ind w:left="20" w:right="80"/>
        <w:spacing w:after="0" w:line="246" w:lineRule="auto"/>
        <w:rPr>
          <w:sz w:val="20"/>
          <w:szCs w:val="20"/>
          <w:color w:val="auto"/>
        </w:rPr>
      </w:pPr>
      <w:r>
        <w:rPr>
          <w:rFonts w:ascii="Arial" w:cs="Arial" w:eastAsia="Arial" w:hAnsi="Arial"/>
          <w:sz w:val="14"/>
          <w:szCs w:val="14"/>
          <w:color w:val="auto"/>
        </w:rPr>
        <w:t>Other comprehensive loss subsequent to Reorganization Transactions and IPO</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Equity-based compensation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subsequent to</w:t>
      </w:r>
    </w:p>
    <w:p>
      <w:pPr>
        <w:ind w:left="20"/>
        <w:spacing w:after="0" w:line="237" w:lineRule="auto"/>
        <w:rPr>
          <w:sz w:val="20"/>
          <w:szCs w:val="20"/>
          <w:color w:val="auto"/>
        </w:rPr>
      </w:pPr>
      <w:r>
        <w:rPr>
          <w:rFonts w:ascii="Arial" w:cs="Arial" w:eastAsia="Arial" w:hAnsi="Arial"/>
          <w:sz w:val="14"/>
          <w:szCs w:val="14"/>
          <w:color w:val="auto"/>
        </w:rPr>
        <w:t>Reorganization</w:t>
      </w:r>
    </w:p>
    <w:p>
      <w:pPr>
        <w:ind w:left="20"/>
        <w:spacing w:after="0"/>
        <w:rPr>
          <w:sz w:val="20"/>
          <w:szCs w:val="20"/>
          <w:color w:val="auto"/>
        </w:rPr>
      </w:pPr>
      <w:r>
        <w:rPr>
          <w:rFonts w:ascii="Arial" w:cs="Arial" w:eastAsia="Arial" w:hAnsi="Arial"/>
          <w:sz w:val="14"/>
          <w:szCs w:val="14"/>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623695" cy="235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3695" cy="235585"/>
                    </a:xfrm>
                    <a:prstGeom prst="rect">
                      <a:avLst/>
                    </a:prstGeom>
                    <a:noFill/>
                  </pic:spPr>
                </pic:pic>
              </a:graphicData>
            </a:graphic>
          </wp:anchor>
        </w:drawing>
      </w:r>
    </w:p>
    <w:p>
      <w:pPr>
        <w:spacing w:after="0" w:line="15" w:lineRule="exact"/>
        <w:rPr>
          <w:sz w:val="20"/>
          <w:szCs w:val="20"/>
          <w:color w:val="auto"/>
        </w:rPr>
      </w:pPr>
    </w:p>
    <w:p>
      <w:pPr>
        <w:ind w:left="20" w:right="60"/>
        <w:spacing w:after="0" w:line="273" w:lineRule="auto"/>
        <w:rPr>
          <w:sz w:val="20"/>
          <w:szCs w:val="20"/>
          <w:color w:val="auto"/>
        </w:rPr>
      </w:pPr>
      <w:r>
        <w:rPr>
          <w:rFonts w:ascii="Arial" w:cs="Arial" w:eastAsia="Arial" w:hAnsi="Arial"/>
          <w:sz w:val="14"/>
          <w:szCs w:val="14"/>
          <w:b w:val="1"/>
          <w:bCs w:val="1"/>
          <w:color w:val="auto"/>
        </w:rPr>
        <w:t>Balance at June 30, 2020 (as revised)</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jc w:val="center"/>
        <w:ind w:left="-6"/>
        <w:spacing w:after="0"/>
        <w:rPr>
          <w:sz w:val="20"/>
          <w:szCs w:val="20"/>
          <w:color w:val="auto"/>
        </w:rPr>
      </w:pPr>
      <w:r>
        <w:rPr>
          <w:rFonts w:ascii="Arial" w:cs="Arial" w:eastAsia="Arial" w:hAnsi="Arial"/>
          <w:sz w:val="14"/>
          <w:szCs w:val="14"/>
          <w:b w:val="1"/>
          <w:bCs w:val="1"/>
          <w:color w:val="auto"/>
        </w:rPr>
        <w:t>Members'</w:t>
      </w:r>
    </w:p>
    <w:p>
      <w:pPr>
        <w:jc w:val="center"/>
        <w:ind w:left="-6"/>
        <w:spacing w:after="0"/>
        <w:rPr>
          <w:sz w:val="20"/>
          <w:szCs w:val="20"/>
          <w:color w:val="auto"/>
        </w:rPr>
      </w:pPr>
      <w:r>
        <w:rPr>
          <w:rFonts w:ascii="Arial" w:cs="Arial" w:eastAsia="Arial" w:hAnsi="Arial"/>
          <w:sz w:val="14"/>
          <w:szCs w:val="14"/>
          <w:b w:val="1"/>
          <w:bCs w:val="1"/>
          <w:color w:val="auto"/>
        </w:rPr>
        <w:t>Deficit</w:t>
      </w:r>
    </w:p>
    <w:p>
      <w:pPr>
        <w:spacing w:after="0" w:line="198" w:lineRule="exact"/>
        <w:rPr>
          <w:sz w:val="20"/>
          <w:szCs w:val="20"/>
          <w:color w:val="auto"/>
        </w:rPr>
      </w:pPr>
    </w:p>
    <w:p>
      <w:pPr>
        <w:ind w:left="387" w:hanging="387"/>
        <w:spacing w:after="0"/>
        <w:tabs>
          <w:tab w:leader="none" w:pos="387" w:val="left"/>
        </w:tabs>
        <w:numPr>
          <w:ilvl w:val="0"/>
          <w:numId w:val="9"/>
        </w:numPr>
        <w:rPr>
          <w:rFonts w:ascii="Arial" w:cs="Arial" w:eastAsia="Arial" w:hAnsi="Arial"/>
          <w:sz w:val="13"/>
          <w:szCs w:val="13"/>
          <w:color w:val="auto"/>
        </w:rPr>
      </w:pPr>
      <w:r>
        <w:rPr>
          <w:rFonts w:ascii="Arial" w:cs="Arial" w:eastAsia="Arial" w:hAnsi="Arial"/>
          <w:sz w:val="13"/>
          <w:szCs w:val="13"/>
          <w:color w:val="auto"/>
        </w:rPr>
        <w:t>(207.8)</w:t>
      </w:r>
    </w:p>
    <w:p>
      <w:pPr>
        <w:spacing w:after="0" w:line="62" w:lineRule="exact"/>
        <w:rPr>
          <w:rFonts w:ascii="Arial" w:cs="Arial" w:eastAsia="Arial" w:hAnsi="Arial"/>
          <w:sz w:val="13"/>
          <w:szCs w:val="13"/>
          <w:color w:val="auto"/>
        </w:rPr>
      </w:pPr>
    </w:p>
    <w:p>
      <w:pPr>
        <w:ind w:left="547"/>
        <w:spacing w:after="0"/>
        <w:rPr>
          <w:rFonts w:ascii="Arial" w:cs="Arial" w:eastAsia="Arial" w:hAnsi="Arial"/>
          <w:sz w:val="13"/>
          <w:szCs w:val="13"/>
          <w:color w:val="auto"/>
        </w:rPr>
      </w:pPr>
      <w:r>
        <w:rPr>
          <w:rFonts w:ascii="Arial" w:cs="Arial" w:eastAsia="Arial" w:hAnsi="Arial"/>
          <w:sz w:val="12"/>
          <w:szCs w:val="12"/>
          <w:color w:val="auto"/>
        </w:rPr>
        <w:t>(5.9)</w:t>
      </w:r>
    </w:p>
    <w:p>
      <w:pPr>
        <w:spacing w:after="0" w:line="74" w:lineRule="exact"/>
        <w:rPr>
          <w:rFonts w:ascii="Arial" w:cs="Arial" w:eastAsia="Arial" w:hAnsi="Arial"/>
          <w:sz w:val="13"/>
          <w:szCs w:val="13"/>
          <w:color w:val="auto"/>
        </w:rPr>
      </w:pPr>
    </w:p>
    <w:p>
      <w:pPr>
        <w:ind w:left="547"/>
        <w:spacing w:after="0"/>
        <w:rPr>
          <w:rFonts w:ascii="Arial" w:cs="Arial" w:eastAsia="Arial" w:hAnsi="Arial"/>
          <w:sz w:val="13"/>
          <w:szCs w:val="13"/>
          <w:color w:val="auto"/>
        </w:rPr>
      </w:pPr>
      <w:r>
        <w:rPr>
          <w:rFonts w:ascii="Arial" w:cs="Arial" w:eastAsia="Arial" w:hAnsi="Arial"/>
          <w:sz w:val="12"/>
          <w:szCs w:val="12"/>
          <w:color w:val="auto"/>
        </w:rPr>
        <w:t>(5.0)</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5384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190" w:lineRule="exact"/>
        <w:rPr>
          <w:sz w:val="20"/>
          <w:szCs w:val="20"/>
          <w:color w:val="auto"/>
        </w:rPr>
      </w:pPr>
    </w:p>
    <w:p>
      <w:pPr>
        <w:ind w:left="387" w:hanging="387"/>
        <w:spacing w:after="0"/>
        <w:tabs>
          <w:tab w:leader="none" w:pos="387" w:val="left"/>
        </w:tabs>
        <w:numPr>
          <w:ilvl w:val="0"/>
          <w:numId w:val="10"/>
        </w:numPr>
        <w:rPr>
          <w:rFonts w:ascii="Arial" w:cs="Arial" w:eastAsia="Arial" w:hAnsi="Arial"/>
          <w:sz w:val="13"/>
          <w:szCs w:val="13"/>
          <w:color w:val="auto"/>
        </w:rPr>
      </w:pPr>
      <w:r>
        <w:rPr>
          <w:rFonts w:ascii="Arial" w:cs="Arial" w:eastAsia="Arial" w:hAnsi="Arial"/>
          <w:sz w:val="13"/>
          <w:szCs w:val="13"/>
          <w:color w:val="auto"/>
        </w:rPr>
        <w:t>(207.4)</w:t>
      </w:r>
    </w:p>
    <w:p>
      <w:pPr>
        <w:spacing w:after="0" w:line="380" w:lineRule="exact"/>
        <w:rPr>
          <w:rFonts w:ascii="Arial" w:cs="Arial" w:eastAsia="Arial" w:hAnsi="Arial"/>
          <w:sz w:val="13"/>
          <w:szCs w:val="13"/>
          <w:color w:val="auto"/>
        </w:rPr>
      </w:pPr>
    </w:p>
    <w:p>
      <w:pPr>
        <w:ind w:left="627"/>
        <w:spacing w:after="0"/>
        <w:rPr>
          <w:rFonts w:ascii="Arial" w:cs="Arial" w:eastAsia="Arial" w:hAnsi="Arial"/>
          <w:sz w:val="13"/>
          <w:szCs w:val="13"/>
          <w:color w:val="auto"/>
        </w:rPr>
      </w:pPr>
      <w:r>
        <w:rPr>
          <w:rFonts w:ascii="Arial" w:cs="Arial" w:eastAsia="Arial" w:hAnsi="Arial"/>
          <w:sz w:val="12"/>
          <w:szCs w:val="12"/>
          <w:color w:val="auto"/>
        </w:rPr>
        <w:t>0.8</w:t>
      </w:r>
    </w:p>
    <w:p>
      <w:pPr>
        <w:spacing w:after="0" w:line="392" w:lineRule="exact"/>
        <w:rPr>
          <w:rFonts w:ascii="Arial" w:cs="Arial" w:eastAsia="Arial" w:hAnsi="Arial"/>
          <w:sz w:val="13"/>
          <w:szCs w:val="13"/>
          <w:color w:val="auto"/>
        </w:rPr>
      </w:pPr>
    </w:p>
    <w:p>
      <w:pPr>
        <w:ind w:left="667"/>
        <w:spacing w:after="0"/>
        <w:rPr>
          <w:rFonts w:ascii="Arial" w:cs="Arial" w:eastAsia="Arial" w:hAnsi="Arial"/>
          <w:sz w:val="13"/>
          <w:szCs w:val="13"/>
          <w:color w:val="auto"/>
        </w:rPr>
      </w:pPr>
      <w:r>
        <w:rPr>
          <w:rFonts w:ascii="Arial" w:cs="Arial" w:eastAsia="Arial" w:hAnsi="Arial"/>
          <w:sz w:val="14"/>
          <w:szCs w:val="14"/>
          <w:color w:val="auto"/>
        </w:rPr>
        <w:t>—</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369" w:lineRule="exact"/>
        <w:rPr>
          <w:sz w:val="20"/>
          <w:szCs w:val="20"/>
          <w:color w:val="auto"/>
        </w:rPr>
      </w:pPr>
    </w:p>
    <w:p>
      <w:pPr>
        <w:ind w:left="627"/>
        <w:spacing w:after="0"/>
        <w:rPr>
          <w:sz w:val="20"/>
          <w:szCs w:val="20"/>
          <w:color w:val="auto"/>
        </w:rPr>
      </w:pPr>
      <w:r>
        <w:rPr>
          <w:rFonts w:ascii="Arial" w:cs="Arial" w:eastAsia="Arial" w:hAnsi="Arial"/>
          <w:sz w:val="12"/>
          <w:szCs w:val="12"/>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7"/>
        <w:spacing w:after="0"/>
        <w:rPr>
          <w:sz w:val="20"/>
          <w:szCs w:val="20"/>
          <w:color w:val="auto"/>
        </w:rPr>
      </w:pPr>
      <w:r>
        <w:rPr>
          <w:rFonts w:ascii="Arial" w:cs="Arial" w:eastAsia="Arial" w:hAnsi="Arial"/>
          <w:sz w:val="12"/>
          <w:szCs w:val="12"/>
          <w:color w:val="auto"/>
        </w:rPr>
        <w:t>203.9</w:t>
      </w:r>
    </w:p>
    <w:p>
      <w:pPr>
        <w:spacing w:after="0" w:line="392"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369"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210"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210"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51"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210"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369"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667"/>
        <w:spacing w:after="0"/>
        <w:rPr>
          <w:sz w:val="20"/>
          <w:szCs w:val="20"/>
          <w:color w:val="auto"/>
        </w:rPr>
      </w:pPr>
      <w:r>
        <w:rPr>
          <w:rFonts w:ascii="Arial" w:cs="Arial" w:eastAsia="Arial" w:hAnsi="Arial"/>
          <w:sz w:val="14"/>
          <w:szCs w:val="14"/>
          <w:color w:val="auto"/>
        </w:rPr>
        <w:t>—</w:t>
      </w:r>
    </w:p>
    <w:p>
      <w:pPr>
        <w:spacing w:after="0" w:line="210" w:lineRule="exact"/>
        <w:rPr>
          <w:sz w:val="20"/>
          <w:szCs w:val="20"/>
          <w:color w:val="auto"/>
        </w:rPr>
      </w:pPr>
    </w:p>
    <w:p>
      <w:pPr>
        <w:ind w:left="627" w:hanging="627"/>
        <w:spacing w:after="0"/>
        <w:tabs>
          <w:tab w:leader="none" w:pos="6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780" w:type="dxa"/>
            <w:vAlign w:val="bottom"/>
            <w:gridSpan w:val="2"/>
          </w:tcPr>
          <w:p>
            <w:pPr>
              <w:ind w:left="120"/>
              <w:spacing w:after="0" w:line="157" w:lineRule="exact"/>
              <w:rPr>
                <w:sz w:val="20"/>
                <w:szCs w:val="20"/>
                <w:color w:val="auto"/>
              </w:rPr>
            </w:pPr>
            <w:r>
              <w:rPr>
                <w:rFonts w:ascii="Arial" w:cs="Arial" w:eastAsia="Arial" w:hAnsi="Arial"/>
                <w:sz w:val="14"/>
                <w:szCs w:val="14"/>
                <w:b w:val="1"/>
                <w:bCs w:val="1"/>
                <w:color w:val="auto"/>
              </w:rPr>
              <w:t>Class A</w:t>
            </w:r>
          </w:p>
        </w:tc>
        <w:tc>
          <w:tcPr>
            <w:tcW w:w="82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Class B</w:t>
            </w:r>
          </w:p>
        </w:tc>
        <w:tc>
          <w:tcPr>
            <w:tcW w:w="80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Class C</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3"/>
                <w:szCs w:val="13"/>
                <w:color w:val="auto"/>
              </w:rPr>
            </w:pPr>
          </w:p>
        </w:tc>
        <w:tc>
          <w:tcPr>
            <w:tcW w:w="6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3"/>
                <w:szCs w:val="13"/>
                <w:color w:val="auto"/>
              </w:rPr>
            </w:pPr>
          </w:p>
        </w:tc>
        <w:tc>
          <w:tcPr>
            <w:tcW w:w="64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Class C</w:t>
            </w:r>
          </w:p>
        </w:tc>
        <w:tc>
          <w:tcPr>
            <w:tcW w:w="120" w:type="dxa"/>
            <w:vAlign w:val="bottom"/>
          </w:tcPr>
          <w:p>
            <w:pPr>
              <w:spacing w:after="0"/>
              <w:rPr>
                <w:sz w:val="13"/>
                <w:szCs w:val="13"/>
                <w:color w:val="auto"/>
              </w:rPr>
            </w:pPr>
          </w:p>
        </w:tc>
        <w:tc>
          <w:tcPr>
            <w:tcW w:w="6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paid-in</w:t>
            </w:r>
          </w:p>
        </w:tc>
        <w:tc>
          <w:tcPr>
            <w:tcW w:w="70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w w:val="98"/>
              </w:rPr>
              <w:t>Noncontrolling</w:t>
            </w:r>
          </w:p>
        </w:tc>
        <w:tc>
          <w:tcPr>
            <w:tcW w:w="10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b w:val="1"/>
                <w:bCs w:val="1"/>
                <w:color w:val="auto"/>
              </w:rPr>
              <w:t>Total</w:t>
            </w:r>
          </w:p>
        </w:tc>
      </w:tr>
      <w:tr>
        <w:trPr>
          <w:trHeight w:val="184"/>
        </w:trPr>
        <w:tc>
          <w:tcPr>
            <w:tcW w:w="8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5"/>
                <w:szCs w:val="15"/>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b w:val="1"/>
                <w:bCs w:val="1"/>
                <w:color w:val="auto"/>
                <w:w w:val="88"/>
              </w:rPr>
              <w:t>Equity</w:t>
            </w:r>
          </w:p>
        </w:tc>
      </w:tr>
      <w:tr>
        <w:trPr>
          <w:trHeight w:val="24"/>
        </w:trPr>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331"/>
        </w:trPr>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(213.8)</w:t>
            </w:r>
          </w:p>
        </w:tc>
      </w:tr>
      <w:tr>
        <w:trPr>
          <w:trHeight w:val="188"/>
        </w:trPr>
        <w:tc>
          <w:tcPr>
            <w:tcW w:w="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2"/>
        </w:trPr>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347"/>
        </w:trPr>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2"/>
        </w:trPr>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327"/>
        </w:trPr>
        <w:tc>
          <w:tcPr>
            <w:tcW w:w="8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(220.1)</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510"/>
        </w:trPr>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506"/>
        </w:trPr>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510"/>
        </w:trPr>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506"/>
        </w:trPr>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71"/>
        </w:trPr>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665"/>
        </w:trPr>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89"/>
              </w:rPr>
              <w:t>242,414,027</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98,381,656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(628.1)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510"/>
        </w:trPr>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48,528,783</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1,016.1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1,016.6</w:t>
            </w:r>
          </w:p>
        </w:tc>
      </w:tr>
      <w:tr>
        <w:trPr>
          <w:trHeight w:val="506"/>
        </w:trPr>
        <w:tc>
          <w:tcPr>
            <w:tcW w:w="780" w:type="dxa"/>
            <w:vAlign w:val="bottom"/>
            <w:gridSpan w:val="2"/>
          </w:tcPr>
          <w:p>
            <w:pPr>
              <w:jc w:val="right"/>
              <w:spacing w:after="0"/>
              <w:rPr>
                <w:sz w:val="20"/>
                <w:szCs w:val="20"/>
                <w:color w:val="auto"/>
              </w:rPr>
            </w:pPr>
            <w:r>
              <w:rPr>
                <w:rFonts w:ascii="Arial" w:cs="Arial" w:eastAsia="Arial" w:hAnsi="Arial"/>
                <w:sz w:val="14"/>
                <w:szCs w:val="14"/>
                <w:color w:val="auto"/>
              </w:rPr>
              <w:t>2,370,948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7"/>
              </w:rPr>
              <w:t>(2,370,948)</w:t>
            </w:r>
          </w:p>
        </w:tc>
        <w:tc>
          <w:tcPr>
            <w:tcW w:w="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(47.2)</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51"/>
        </w:trPr>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275,269</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(275,269)</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347"/>
        </w:trPr>
        <w:tc>
          <w:tcPr>
            <w:tcW w:w="780" w:type="dxa"/>
            <w:vAlign w:val="bottom"/>
            <w:gridSpan w:val="2"/>
          </w:tcPr>
          <w:p>
            <w:pPr>
              <w:jc w:val="right"/>
              <w:spacing w:after="0"/>
              <w:rPr>
                <w:sz w:val="20"/>
                <w:szCs w:val="20"/>
                <w:color w:val="auto"/>
              </w:rPr>
            </w:pPr>
            <w:r>
              <w:rPr>
                <w:rFonts w:ascii="Arial" w:cs="Arial" w:eastAsia="Arial" w:hAnsi="Arial"/>
                <w:sz w:val="14"/>
                <w:szCs w:val="14"/>
                <w:color w:val="auto"/>
              </w:rPr>
              <w:t>878,984</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(878,984)</w:t>
            </w:r>
          </w:p>
        </w:tc>
        <w:tc>
          <w:tcPr>
            <w:tcW w:w="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2"/>
        </w:trPr>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(59,693)</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(10,882)</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347"/>
        </w:trPr>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(74.0)</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775"/>
        </w:trPr>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w:t>
            </w:r>
          </w:p>
        </w:tc>
      </w:tr>
      <w:tr>
        <w:trPr>
          <w:trHeight w:val="506"/>
        </w:trPr>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(78.7)</w:t>
            </w:r>
          </w:p>
        </w:tc>
      </w:tr>
      <w:tr>
        <w:trPr>
          <w:trHeight w:val="24"/>
        </w:trPr>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669"/>
        </w:trPr>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665"/>
        </w:trPr>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4"/>
        </w:trPr>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327"/>
        </w:trPr>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51,994,291</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239,153,213</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98,106,387</w:t>
            </w:r>
          </w:p>
        </w:tc>
        <w:tc>
          <w:tcPr>
            <w:tcW w:w="8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808.5</w:t>
            </w:r>
          </w:p>
        </w:tc>
      </w:tr>
      <w:tr>
        <w:trPr>
          <w:trHeight w:val="24"/>
        </w:trPr>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sectPr>
          <w:pgSz w:w="11900" w:h="16838" w:orient="portrait"/>
          <w:cols w:equalWidth="0" w:num="3">
            <w:col w:w="1580" w:space="73"/>
            <w:col w:w="807" w:space="180"/>
            <w:col w:w="8600"/>
          </w:cols>
          <w:pgMar w:left="320" w:top="122"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10"/>
          </w:tcPr>
          <w:p>
            <w:pPr>
              <w:jc w:val="center"/>
              <w:ind w:left="48"/>
              <w:spacing w:after="0"/>
              <w:rPr>
                <w:sz w:val="20"/>
                <w:szCs w:val="20"/>
                <w:color w:val="auto"/>
              </w:rPr>
            </w:pPr>
            <w:r>
              <w:rPr>
                <w:rFonts w:ascii="Arial" w:cs="Arial" w:eastAsia="Arial" w:hAnsi="Arial"/>
                <w:sz w:val="18"/>
                <w:szCs w:val="18"/>
                <w:b w:val="1"/>
                <w:bCs w:val="1"/>
                <w:color w:val="auto"/>
                <w:w w:val="87"/>
              </w:rPr>
              <w:t>ZoomInfo Technologies Inc.</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18"/>
          </w:tcPr>
          <w:p>
            <w:pPr>
              <w:jc w:val="center"/>
              <w:ind w:right="560"/>
              <w:spacing w:after="0"/>
              <w:rPr>
                <w:sz w:val="20"/>
                <w:szCs w:val="20"/>
                <w:color w:val="auto"/>
              </w:rPr>
            </w:pPr>
            <w:r>
              <w:rPr>
                <w:rFonts w:ascii="Arial" w:cs="Arial" w:eastAsia="Arial" w:hAnsi="Arial"/>
                <w:sz w:val="18"/>
                <w:szCs w:val="18"/>
                <w:b w:val="1"/>
                <w:bCs w:val="1"/>
                <w:color w:val="auto"/>
                <w:w w:val="88"/>
              </w:rPr>
              <w:t>Consolidated Statements of Changes in Equity (Deficit)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gridSpan w:val="16"/>
          </w:tcPr>
          <w:p>
            <w:pPr>
              <w:jc w:val="center"/>
              <w:ind w:left="26"/>
              <w:spacing w:after="0"/>
              <w:rPr>
                <w:sz w:val="20"/>
                <w:szCs w:val="20"/>
                <w:color w:val="auto"/>
              </w:rPr>
            </w:pPr>
            <w:r>
              <w:rPr>
                <w:rFonts w:ascii="Arial" w:cs="Arial" w:eastAsia="Arial" w:hAnsi="Arial"/>
                <w:sz w:val="18"/>
                <w:szCs w:val="18"/>
                <w:b w:val="1"/>
                <w:bCs w:val="1"/>
                <w:i w:val="1"/>
                <w:iCs w:val="1"/>
                <w:color w:val="auto"/>
                <w:w w:val="85"/>
              </w:rPr>
              <w:t>(in millions, except share data; unaudited) (continued)</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ZoomInfo</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64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7"/>
              </w:rPr>
              <w:t>Holdings LLC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(Prior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40" w:type="dxa"/>
            <w:vAlign w:val="bottom"/>
          </w:tcPr>
          <w:p>
            <w:pPr>
              <w:spacing w:after="0"/>
              <w:rPr>
                <w:sz w:val="12"/>
                <w:szCs w:val="1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2"/>
              </w:rPr>
              <w:t>Reorganization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gridSpan w:val="14"/>
            <w:vMerge w:val="restart"/>
          </w:tcPr>
          <w:p>
            <w:pPr>
              <w:jc w:val="right"/>
              <w:spacing w:after="0"/>
              <w:rPr>
                <w:sz w:val="20"/>
                <w:szCs w:val="20"/>
                <w:color w:val="auto"/>
              </w:rPr>
            </w:pPr>
            <w:r>
              <w:rPr>
                <w:rFonts w:ascii="Arial" w:cs="Arial" w:eastAsia="Arial" w:hAnsi="Arial"/>
                <w:sz w:val="14"/>
                <w:szCs w:val="14"/>
                <w:b w:val="1"/>
                <w:bCs w:val="1"/>
                <w:color w:val="auto"/>
                <w:w w:val="99"/>
              </w:rPr>
              <w:t>ZoomInfo Technologies Inc. Stockholders' Equity</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1"/>
              </w:rPr>
              <w:t>Transactions)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gridSpan w:val="14"/>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80"/>
              <w:spacing w:after="0" w:line="156" w:lineRule="exact"/>
              <w:rPr>
                <w:sz w:val="20"/>
                <w:szCs w:val="20"/>
                <w:color w:val="auto"/>
              </w:rPr>
            </w:pPr>
            <w:r>
              <w:rPr>
                <w:rFonts w:ascii="Arial" w:cs="Arial" w:eastAsia="Arial" w:hAnsi="Arial"/>
                <w:sz w:val="14"/>
                <w:szCs w:val="14"/>
                <w:b w:val="1"/>
                <w:bCs w:val="1"/>
                <w:color w:val="auto"/>
                <w:w w:val="96"/>
              </w:rPr>
              <w:t>Additional</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2"/>
              </w:rPr>
              <w:t>Members'</w:t>
            </w: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85"/>
              </w:rPr>
              <w:t>Class A</w:t>
            </w:r>
          </w:p>
        </w:tc>
        <w:tc>
          <w:tcPr>
            <w:tcW w:w="840" w:type="dxa"/>
            <w:vAlign w:val="bottom"/>
            <w:gridSpan w:val="2"/>
          </w:tcPr>
          <w:p>
            <w:pPr>
              <w:ind w:left="160"/>
              <w:spacing w:after="0" w:line="159" w:lineRule="exact"/>
              <w:rPr>
                <w:sz w:val="20"/>
                <w:szCs w:val="20"/>
                <w:color w:val="auto"/>
              </w:rPr>
            </w:pPr>
            <w:r>
              <w:rPr>
                <w:rFonts w:ascii="Arial" w:cs="Arial" w:eastAsia="Arial" w:hAnsi="Arial"/>
                <w:sz w:val="14"/>
                <w:szCs w:val="14"/>
                <w:b w:val="1"/>
                <w:bCs w:val="1"/>
                <w:color w:val="auto"/>
              </w:rPr>
              <w:t>Class B</w:t>
            </w:r>
          </w:p>
        </w:tc>
        <w:tc>
          <w:tcPr>
            <w:tcW w:w="80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89"/>
              </w:rPr>
              <w:t>Class C</w:t>
            </w: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89"/>
              </w:rPr>
              <w:t>Class A</w:t>
            </w:r>
          </w:p>
        </w:tc>
        <w:tc>
          <w:tcPr>
            <w:tcW w:w="10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3"/>
                <w:szCs w:val="13"/>
                <w:color w:val="auto"/>
              </w:rPr>
            </w:pPr>
          </w:p>
        </w:tc>
        <w:tc>
          <w:tcPr>
            <w:tcW w:w="6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Class C</w:t>
            </w:r>
          </w:p>
        </w:tc>
        <w:tc>
          <w:tcPr>
            <w:tcW w:w="140" w:type="dxa"/>
            <w:vAlign w:val="bottom"/>
          </w:tcPr>
          <w:p>
            <w:pPr>
              <w:spacing w:after="0"/>
              <w:rPr>
                <w:sz w:val="13"/>
                <w:szCs w:val="13"/>
                <w:color w:val="auto"/>
              </w:rPr>
            </w:pPr>
          </w:p>
        </w:tc>
        <w:tc>
          <w:tcPr>
            <w:tcW w:w="6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1"/>
              </w:rPr>
              <w:t>paid-in</w:t>
            </w:r>
          </w:p>
        </w:tc>
        <w:tc>
          <w:tcPr>
            <w:tcW w:w="70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Retained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Noncontrolling</w:t>
            </w: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Earnings</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Exchanges</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17,179,135</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(10,655,101)</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(6,524,034)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640" w:type="dxa"/>
            <w:vAlign w:val="bottom"/>
          </w:tcPr>
          <w:p>
            <w:pPr>
              <w:ind w:left="20"/>
              <w:spacing w:after="0"/>
              <w:rPr>
                <w:sz w:val="20"/>
                <w:szCs w:val="20"/>
                <w:color w:val="auto"/>
              </w:rPr>
            </w:pPr>
            <w:r>
              <w:rPr>
                <w:rFonts w:ascii="Arial" w:cs="Arial" w:eastAsia="Arial" w:hAnsi="Arial"/>
                <w:sz w:val="14"/>
                <w:szCs w:val="14"/>
                <w:color w:val="auto"/>
              </w:rPr>
              <w:t>Forfeitures / cancellations</w:t>
            </w: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(6,511)</w:t>
            </w: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7"/>
        </w:trPr>
        <w:tc>
          <w:tcPr>
            <w:tcW w:w="1640" w:type="dxa"/>
            <w:vAlign w:val="bottom"/>
          </w:tcPr>
          <w:p>
            <w:pPr>
              <w:ind w:left="20"/>
              <w:spacing w:after="0"/>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40" w:type="dxa"/>
            <w:vAlign w:val="bottom"/>
          </w:tcPr>
          <w:p>
            <w:pPr>
              <w:ind w:left="20"/>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Paid and accrued tax</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8"/>
        </w:trPr>
        <w:tc>
          <w:tcPr>
            <w:tcW w:w="1640" w:type="dxa"/>
            <w:vAlign w:val="bottom"/>
          </w:tcPr>
          <w:p>
            <w:pPr>
              <w:ind w:left="20"/>
              <w:spacing w:after="0"/>
              <w:rPr>
                <w:sz w:val="20"/>
                <w:szCs w:val="20"/>
                <w:color w:val="auto"/>
              </w:rPr>
            </w:pPr>
            <w:r>
              <w:rPr>
                <w:rFonts w:ascii="Arial" w:cs="Arial" w:eastAsia="Arial" w:hAnsi="Arial"/>
                <w:sz w:val="14"/>
                <w:szCs w:val="14"/>
                <w:color w:val="auto"/>
                <w:w w:val="92"/>
              </w:rPr>
              <w:t>Equity-based compensation</w:t>
            </w: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Tax receivable agreement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0"/>
        </w:trPr>
        <w:tc>
          <w:tcPr>
            <w:tcW w:w="1640" w:type="dxa"/>
            <w:vAlign w:val="bottom"/>
          </w:tcPr>
          <w:p>
            <w:pPr>
              <w:ind w:left="20"/>
              <w:spacing w:after="0" w:line="140" w:lineRule="exact"/>
              <w:rPr>
                <w:sz w:val="20"/>
                <w:szCs w:val="20"/>
                <w:color w:val="auto"/>
              </w:rPr>
            </w:pPr>
            <w:r>
              <w:rPr>
                <w:rFonts w:ascii="Arial" w:cs="Arial" w:eastAsia="Arial" w:hAnsi="Arial"/>
                <w:sz w:val="14"/>
                <w:szCs w:val="14"/>
                <w:b w:val="1"/>
                <w:bCs w:val="1"/>
                <w:color w:val="auto"/>
                <w:w w:val="94"/>
              </w:rPr>
              <w:t>Balance at September 30,</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80" w:type="dxa"/>
            <w:vAlign w:val="bottom"/>
            <w:tcBorders>
              <w:top w:val="single" w:sz="8" w:color="auto"/>
            </w:tcBorders>
            <w:shd w:val="clear" w:color="auto" w:fill="000000"/>
          </w:tcPr>
          <w:p>
            <w:pPr>
              <w:spacing w:after="0"/>
              <w:rPr>
                <w:sz w:val="12"/>
                <w:szCs w:val="12"/>
                <w:color w:val="auto"/>
              </w:rPr>
            </w:pPr>
          </w:p>
        </w:tc>
        <w:tc>
          <w:tcPr>
            <w:tcW w:w="80" w:type="dxa"/>
            <w:vAlign w:val="bottom"/>
            <w:vMerge w:val="restart"/>
          </w:tcPr>
          <w:p>
            <w:pPr>
              <w:spacing w:after="0"/>
              <w:rPr>
                <w:sz w:val="12"/>
                <w:szCs w:val="1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69,173,426</w:t>
            </w:r>
          </w:p>
        </w:tc>
        <w:tc>
          <w:tcPr>
            <w:tcW w:w="80" w:type="dxa"/>
            <w:vAlign w:val="bottom"/>
          </w:tcPr>
          <w:p>
            <w:pPr>
              <w:spacing w:after="0"/>
              <w:rPr>
                <w:sz w:val="12"/>
                <w:szCs w:val="1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2"/>
              </w:rPr>
              <w:t>228,491,601</w:t>
            </w:r>
          </w:p>
        </w:tc>
        <w:tc>
          <w:tcPr>
            <w:tcW w:w="80" w:type="dxa"/>
            <w:vAlign w:val="bottom"/>
          </w:tcPr>
          <w:p>
            <w:pPr>
              <w:spacing w:after="0"/>
              <w:rPr>
                <w:sz w:val="12"/>
                <w:szCs w:val="1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91,582,353</w:t>
            </w:r>
          </w:p>
        </w:tc>
        <w:tc>
          <w:tcPr>
            <w:tcW w:w="80" w:type="dxa"/>
            <w:vAlign w:val="bottom"/>
          </w:tcPr>
          <w:p>
            <w:pPr>
              <w:spacing w:after="0"/>
              <w:rPr>
                <w:sz w:val="12"/>
                <w:szCs w:val="12"/>
                <w:color w:val="auto"/>
              </w:rPr>
            </w:pPr>
          </w:p>
        </w:tc>
        <w:tc>
          <w:tcPr>
            <w:tcW w:w="80" w:type="dxa"/>
            <w:vAlign w:val="bottom"/>
            <w:tcBorders>
              <w:top w:val="single" w:sz="8" w:color="auto"/>
            </w:tcBorders>
            <w:shd w:val="clear" w:color="auto" w:fill="000000"/>
          </w:tcPr>
          <w:p>
            <w:pPr>
              <w:spacing w:after="0"/>
              <w:rPr>
                <w:sz w:val="12"/>
                <w:szCs w:val="12"/>
                <w:color w:val="auto"/>
              </w:rPr>
            </w:pPr>
          </w:p>
        </w:tc>
        <w:tc>
          <w:tcPr>
            <w:tcW w:w="80" w:type="dxa"/>
            <w:vAlign w:val="bottom"/>
            <w:vMerge w:val="restart"/>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427.3</w:t>
            </w:r>
          </w:p>
        </w:tc>
        <w:tc>
          <w:tcPr>
            <w:tcW w:w="80" w:type="dxa"/>
            <w:vAlign w:val="bottom"/>
          </w:tcPr>
          <w:p>
            <w:pPr>
              <w:spacing w:after="0"/>
              <w:rPr>
                <w:sz w:val="12"/>
                <w:szCs w:val="12"/>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   (29.5)</w:t>
            </w:r>
          </w:p>
        </w:tc>
        <w:tc>
          <w:tcPr>
            <w:tcW w:w="80" w:type="dxa"/>
            <w:vAlign w:val="bottom"/>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   (2.9)</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446.9</w:t>
            </w:r>
          </w:p>
        </w:tc>
        <w:tc>
          <w:tcPr>
            <w:tcW w:w="80" w:type="dxa"/>
            <w:vAlign w:val="bottom"/>
          </w:tcPr>
          <w:p>
            <w:pPr>
              <w:spacing w:after="0"/>
              <w:rPr>
                <w:sz w:val="12"/>
                <w:szCs w:val="12"/>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4"/>
              </w:rPr>
              <w:t>$  845.7</w:t>
            </w:r>
          </w:p>
        </w:tc>
        <w:tc>
          <w:tcPr>
            <w:tcW w:w="0" w:type="dxa"/>
            <w:vAlign w:val="bottom"/>
          </w:tcPr>
          <w:p>
            <w:pPr>
              <w:spacing w:after="0"/>
              <w:rPr>
                <w:sz w:val="1"/>
                <w:szCs w:val="1"/>
                <w:color w:val="auto"/>
              </w:rPr>
            </w:pPr>
          </w:p>
        </w:tc>
      </w:tr>
      <w:tr>
        <w:trPr>
          <w:trHeight w:val="205"/>
        </w:trPr>
        <w:tc>
          <w:tcPr>
            <w:tcW w:w="1640" w:type="dxa"/>
            <w:vAlign w:val="bottom"/>
          </w:tcPr>
          <w:p>
            <w:pPr>
              <w:ind w:left="20"/>
              <w:spacing w:after="0" w:line="185" w:lineRule="exact"/>
              <w:rPr>
                <w:sz w:val="20"/>
                <w:szCs w:val="20"/>
                <w:color w:val="auto"/>
              </w:rPr>
            </w:pPr>
            <w:r>
              <w:rPr>
                <w:rFonts w:ascii="Arial" w:cs="Arial" w:eastAsia="Arial" w:hAnsi="Arial"/>
                <w:sz w:val="14"/>
                <w:szCs w:val="14"/>
                <w:b w:val="1"/>
                <w:bCs w:val="1"/>
                <w:color w:val="auto"/>
              </w:rPr>
              <w:t>2020 (as revised)</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80" w:type="dxa"/>
            <w:vAlign w:val="bottom"/>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58" w:lineRule="exact"/>
        <w:rPr>
          <w:sz w:val="20"/>
          <w:szCs w:val="20"/>
          <w:color w:val="auto"/>
        </w:rPr>
      </w:pPr>
    </w:p>
    <w:p>
      <w:pPr>
        <w:jc w:val="both"/>
        <w:ind w:firstLine="324"/>
        <w:spacing w:after="0" w:line="265" w:lineRule="auto"/>
        <w:tabs>
          <w:tab w:leader="none" w:pos="628"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In connection with the preparation of its financial statements, the Company determined that the Condensed Consolidated Balance Sheet as of June 30, 2020 and the Consolidated Statement of Changes in Equity for the six months ended June 30, 2020 contained an immaterial error related to the calculation of the tax receivable agreement liability and deferred tax assets and liabilities. While the impact of the error was not material to the previously issued financial statements taken as a whole, the Company has revised the Consolidated Statement of Changes in Equity for the six months ended June 30, 2020 in the accompanying financial statements to correct the error. The impacts of the error correction to the previously issued Condensed Consolidated Balance Sheet as of June 30, 2020 are as follows: a decrease to </w:t>
      </w:r>
      <w:r>
        <w:rPr>
          <w:rFonts w:ascii="Arial" w:cs="Arial" w:eastAsia="Arial" w:hAnsi="Arial"/>
          <w:sz w:val="13"/>
          <w:szCs w:val="13"/>
          <w:i w:val="1"/>
          <w:iCs w:val="1"/>
          <w:color w:val="auto"/>
        </w:rPr>
        <w:t>Deferred tax assets</w:t>
      </w:r>
      <w:r>
        <w:rPr>
          <w:rFonts w:ascii="Arial" w:cs="Arial" w:eastAsia="Arial" w:hAnsi="Arial"/>
          <w:sz w:val="13"/>
          <w:szCs w:val="13"/>
          <w:color w:val="auto"/>
        </w:rPr>
        <w:t xml:space="preserve"> of $0.2 million; a decrease to </w:t>
      </w:r>
      <w:r>
        <w:rPr>
          <w:rFonts w:ascii="Arial" w:cs="Arial" w:eastAsia="Arial" w:hAnsi="Arial"/>
          <w:sz w:val="13"/>
          <w:szCs w:val="13"/>
          <w:i w:val="1"/>
          <w:iCs w:val="1"/>
          <w:color w:val="auto"/>
        </w:rPr>
        <w:t>Tax receivable agreements liability, net of current portion</w:t>
      </w:r>
      <w:r>
        <w:rPr>
          <w:rFonts w:ascii="Arial" w:cs="Arial" w:eastAsia="Arial" w:hAnsi="Arial"/>
          <w:sz w:val="13"/>
          <w:szCs w:val="13"/>
          <w:color w:val="auto"/>
        </w:rPr>
        <w:t xml:space="preserve"> of $21.2 million; a decrease to </w:t>
      </w:r>
      <w:r>
        <w:rPr>
          <w:rFonts w:ascii="Arial" w:cs="Arial" w:eastAsia="Arial" w:hAnsi="Arial"/>
          <w:sz w:val="13"/>
          <w:szCs w:val="13"/>
          <w:i w:val="1"/>
          <w:iCs w:val="1"/>
          <w:color w:val="auto"/>
        </w:rPr>
        <w:t>Deferred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tax liabilities </w:t>
      </w:r>
      <w:r>
        <w:rPr>
          <w:rFonts w:ascii="Arial" w:cs="Arial" w:eastAsia="Arial" w:hAnsi="Arial"/>
          <w:sz w:val="13"/>
          <w:szCs w:val="13"/>
          <w:color w:val="auto"/>
        </w:rPr>
        <w:t>of $4.2 million; and an increase to</w:t>
      </w:r>
      <w:r>
        <w:rPr>
          <w:rFonts w:ascii="Arial" w:cs="Arial" w:eastAsia="Arial" w:hAnsi="Arial"/>
          <w:sz w:val="13"/>
          <w:szCs w:val="13"/>
          <w:i w:val="1"/>
          <w:iCs w:val="1"/>
          <w:color w:val="auto"/>
        </w:rPr>
        <w:t xml:space="preserve"> Additional paid-in capital </w:t>
      </w:r>
      <w:r>
        <w:rPr>
          <w:rFonts w:ascii="Arial" w:cs="Arial" w:eastAsia="Arial" w:hAnsi="Arial"/>
          <w:sz w:val="13"/>
          <w:szCs w:val="13"/>
          <w:color w:val="auto"/>
        </w:rPr>
        <w:t>of $25.2 million. September 30, 2020 balances have been updated accordingly.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5"/>
                <w:szCs w:val="15"/>
                <w:color w:val="auto"/>
              </w:rPr>
            </w:pPr>
          </w:p>
        </w:tc>
      </w:tr>
      <w:tr>
        <w:trPr>
          <w:trHeight w:val="24"/>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9"/>
                <w:szCs w:val="19"/>
                <w:color w:val="auto"/>
              </w:rPr>
            </w:pP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(72.7)</w:t>
            </w:r>
          </w:p>
        </w:tc>
      </w:tr>
      <w:tr>
        <w:trPr>
          <w:trHeight w:val="248"/>
        </w:trPr>
        <w:tc>
          <w:tcPr>
            <w:tcW w:w="8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 impairments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Loss on debt modification and extinguishment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consideration valuation adjustments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Equity-based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104.2</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Tax receivable agreement remeasurement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bad debt expense</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costs and other assets, net of current portion</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Income tax receivable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Unearned revenue</w:t>
            </w: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r>
      <w:tr>
        <w:trPr>
          <w:trHeight w:val="185"/>
        </w:trPr>
        <w:tc>
          <w:tcPr>
            <w:tcW w:w="8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Maturities of short-term investments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185"/>
        </w:trPr>
        <w:tc>
          <w:tcPr>
            <w:tcW w:w="8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debt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1,071.8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debt</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(510.9)</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Payments of debt issuance and modification costs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outstanding equity / member units</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(332.4)</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6"/>
              </w:rPr>
              <w:t>1,023.7</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equity issuance costs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2"/>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Tax distributions</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32"/>
        </w:trPr>
        <w:tc>
          <w:tcPr>
            <w:tcW w:w="8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2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r>
      <w:tr>
        <w:trPr>
          <w:trHeight w:val="185"/>
        </w:trPr>
        <w:tc>
          <w:tcPr>
            <w:tcW w:w="8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w:t>
            </w:r>
          </w:p>
        </w:tc>
      </w:tr>
      <w:tr>
        <w:trPr>
          <w:trHeight w:val="23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5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3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 current</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2"/>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Restricted cash, non-current</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8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w:t>
            </w:r>
          </w:p>
        </w:tc>
      </w:tr>
    </w:tbl>
    <w:p>
      <w:pPr>
        <w:spacing w:after="0" w:line="200" w:lineRule="exact"/>
        <w:rPr>
          <w:sz w:val="20"/>
          <w:szCs w:val="20"/>
          <w:color w:val="auto"/>
        </w:rPr>
      </w:pPr>
    </w:p>
    <w:p>
      <w:pPr>
        <w:sectPr>
          <w:pgSz w:w="11900" w:h="16838" w:orient="portrait"/>
          <w:cols w:equalWidth="0" w:num="1">
            <w:col w:w="11240"/>
          </w:cols>
          <w:pgMar w:left="320" w:top="122" w:right="339"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244"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2020</w:t>
            </w:r>
          </w:p>
        </w:tc>
      </w:tr>
      <w:tr>
        <w:trPr>
          <w:trHeight w:val="24"/>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9"/>
        </w:trPr>
        <w:tc>
          <w:tcPr>
            <w:tcW w:w="8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Interest paid in cash</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taxes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199"/>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Property and equipment included in accounts payable and accrued expenses and other current liabilities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Estimated business combination consideration receivable (see Note 4)</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ZoomInfo Technologies Inc.</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 except share/unit data and per share/unit amounts, unless otherwise noted)</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80" w:type="dxa"/>
            <w:vAlign w:val="bottom"/>
          </w:tcPr>
          <w:p>
            <w:pPr>
              <w:spacing w:after="0"/>
              <w:rPr>
                <w:rFonts w:ascii="Arial" w:cs="Arial" w:eastAsia="Arial" w:hAnsi="Arial"/>
                <w:sz w:val="18"/>
                <w:szCs w:val="18"/>
                <w:color w:val="0000FF"/>
                <w:w w:val="86"/>
              </w:rPr>
            </w:pPr>
            <w:hyperlink w:anchor="page16">
              <w:r>
                <w:rPr>
                  <w:rFonts w:ascii="Arial" w:cs="Arial" w:eastAsia="Arial" w:hAnsi="Arial"/>
                  <w:sz w:val="18"/>
                  <w:szCs w:val="18"/>
                  <w:color w:val="0000FF"/>
                  <w:w w:val="86"/>
                </w:rPr>
                <w:t>Note 1</w:t>
              </w:r>
            </w:hyperlink>
          </w:p>
        </w:tc>
        <w:tc>
          <w:tcPr>
            <w:tcW w:w="80" w:type="dxa"/>
            <w:vAlign w:val="bottom"/>
          </w:tcPr>
          <w:p>
            <w:pPr>
              <w:spacing w:after="0"/>
              <w:rPr>
                <w:sz w:val="17"/>
                <w:szCs w:val="17"/>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16">
              <w:r>
                <w:rPr>
                  <w:rFonts w:ascii="Arial" w:cs="Arial" w:eastAsia="Arial" w:hAnsi="Arial"/>
                  <w:sz w:val="18"/>
                  <w:szCs w:val="18"/>
                  <w:color w:val="0000FF"/>
                </w:rPr>
                <w:t>Organization and Background</w:t>
              </w:r>
            </w:hyperlink>
          </w:p>
        </w:tc>
        <w:tc>
          <w:tcPr>
            <w:tcW w:w="2280" w:type="dxa"/>
            <w:vAlign w:val="bottom"/>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18">
              <w:r>
                <w:rPr>
                  <w:rFonts w:ascii="Arial" w:cs="Arial" w:eastAsia="Arial" w:hAnsi="Arial"/>
                  <w:sz w:val="18"/>
                  <w:szCs w:val="18"/>
                  <w:color w:val="0000FF"/>
                  <w:w w:val="86"/>
                </w:rPr>
                <w:t>Note 2</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18">
              <w:r>
                <w:rPr>
                  <w:rFonts w:ascii="Arial" w:cs="Arial" w:eastAsia="Arial" w:hAnsi="Arial"/>
                  <w:sz w:val="18"/>
                  <w:szCs w:val="18"/>
                  <w:color w:val="0000FF"/>
                </w:rPr>
                <w:t>Basis of Presentation and Summary of Significant Accounting Policies</w:t>
              </w:r>
            </w:hyperlink>
          </w:p>
        </w:tc>
        <w:tc>
          <w:tcPr>
            <w:tcW w:w="2280" w:type="dxa"/>
            <w:vAlign w:val="bottom"/>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26">
              <w:r>
                <w:rPr>
                  <w:rFonts w:ascii="Arial" w:cs="Arial" w:eastAsia="Arial" w:hAnsi="Arial"/>
                  <w:sz w:val="18"/>
                  <w:szCs w:val="18"/>
                  <w:color w:val="0000FF"/>
                  <w:w w:val="86"/>
                </w:rPr>
                <w:t>Note 3</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26">
              <w:r>
                <w:rPr>
                  <w:rFonts w:ascii="Arial" w:cs="Arial" w:eastAsia="Arial" w:hAnsi="Arial"/>
                  <w:sz w:val="18"/>
                  <w:szCs w:val="18"/>
                  <w:color w:val="0000FF"/>
                </w:rPr>
                <w:t>Revenue from Contracts with Customers</w:t>
              </w:r>
            </w:hyperlink>
          </w:p>
        </w:tc>
        <w:tc>
          <w:tcPr>
            <w:tcW w:w="228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28">
              <w:r>
                <w:rPr>
                  <w:rFonts w:ascii="Arial" w:cs="Arial" w:eastAsia="Arial" w:hAnsi="Arial"/>
                  <w:sz w:val="18"/>
                  <w:szCs w:val="18"/>
                  <w:color w:val="0000FF"/>
                  <w:w w:val="86"/>
                </w:rPr>
                <w:t>Note 4</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28">
              <w:r>
                <w:rPr>
                  <w:rFonts w:ascii="Arial" w:cs="Arial" w:eastAsia="Arial" w:hAnsi="Arial"/>
                  <w:sz w:val="18"/>
                  <w:szCs w:val="18"/>
                  <w:color w:val="0000FF"/>
                </w:rPr>
                <w:t>Business Combinations</w:t>
              </w:r>
            </w:hyperlink>
          </w:p>
        </w:tc>
        <w:tc>
          <w:tcPr>
            <w:tcW w:w="228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1">
              <w:r>
                <w:rPr>
                  <w:rFonts w:ascii="Arial" w:cs="Arial" w:eastAsia="Arial" w:hAnsi="Arial"/>
                  <w:sz w:val="18"/>
                  <w:szCs w:val="18"/>
                  <w:color w:val="0000FF"/>
                  <w:w w:val="86"/>
                </w:rPr>
                <w:t>Note 5</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1">
              <w:r>
                <w:rPr>
                  <w:rFonts w:ascii="Arial" w:cs="Arial" w:eastAsia="Arial" w:hAnsi="Arial"/>
                  <w:sz w:val="18"/>
                  <w:szCs w:val="18"/>
                  <w:color w:val="0000FF"/>
                </w:rPr>
                <w:t>Cash, Cash Equivalents, and Short-term Investments</w:t>
              </w:r>
            </w:hyperlink>
          </w:p>
        </w:tc>
        <w:tc>
          <w:tcPr>
            <w:tcW w:w="22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3">
              <w:r>
                <w:rPr>
                  <w:rFonts w:ascii="Arial" w:cs="Arial" w:eastAsia="Arial" w:hAnsi="Arial"/>
                  <w:sz w:val="18"/>
                  <w:szCs w:val="18"/>
                  <w:color w:val="0000FF"/>
                  <w:w w:val="86"/>
                </w:rPr>
                <w:t>Note 6</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3">
              <w:r>
                <w:rPr>
                  <w:rFonts w:ascii="Arial" w:cs="Arial" w:eastAsia="Arial" w:hAnsi="Arial"/>
                  <w:sz w:val="18"/>
                  <w:szCs w:val="18"/>
                  <w:color w:val="0000FF"/>
                </w:rPr>
                <w:t>Property and Equipment</w:t>
              </w:r>
            </w:hyperlink>
          </w:p>
        </w:tc>
        <w:tc>
          <w:tcPr>
            <w:tcW w:w="22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3">
              <w:r>
                <w:rPr>
                  <w:rFonts w:ascii="Arial" w:cs="Arial" w:eastAsia="Arial" w:hAnsi="Arial"/>
                  <w:sz w:val="18"/>
                  <w:szCs w:val="18"/>
                  <w:color w:val="0000FF"/>
                  <w:w w:val="86"/>
                </w:rPr>
                <w:t>Note 7</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3">
              <w:r>
                <w:rPr>
                  <w:rFonts w:ascii="Arial" w:cs="Arial" w:eastAsia="Arial" w:hAnsi="Arial"/>
                  <w:sz w:val="18"/>
                  <w:szCs w:val="18"/>
                  <w:color w:val="0000FF"/>
                </w:rPr>
                <w:t>Goodwill and Acquired Intangible Assets</w:t>
              </w:r>
            </w:hyperlink>
          </w:p>
        </w:tc>
        <w:tc>
          <w:tcPr>
            <w:tcW w:w="22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4">
              <w:r>
                <w:rPr>
                  <w:rFonts w:ascii="Arial" w:cs="Arial" w:eastAsia="Arial" w:hAnsi="Arial"/>
                  <w:sz w:val="18"/>
                  <w:szCs w:val="18"/>
                  <w:color w:val="0000FF"/>
                  <w:w w:val="86"/>
                </w:rPr>
                <w:t>Note 8</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4">
              <w:r>
                <w:rPr>
                  <w:rFonts w:ascii="Arial" w:cs="Arial" w:eastAsia="Arial" w:hAnsi="Arial"/>
                  <w:sz w:val="18"/>
                  <w:szCs w:val="18"/>
                  <w:color w:val="0000FF"/>
                </w:rPr>
                <w:t>Financing Arrangements</w:t>
              </w:r>
            </w:hyperlink>
          </w:p>
        </w:tc>
        <w:tc>
          <w:tcPr>
            <w:tcW w:w="228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6">
              <w:r>
                <w:rPr>
                  <w:rFonts w:ascii="Arial" w:cs="Arial" w:eastAsia="Arial" w:hAnsi="Arial"/>
                  <w:sz w:val="18"/>
                  <w:szCs w:val="18"/>
                  <w:color w:val="0000FF"/>
                  <w:w w:val="86"/>
                </w:rPr>
                <w:t>Note 9</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6">
              <w:r>
                <w:rPr>
                  <w:rFonts w:ascii="Arial" w:cs="Arial" w:eastAsia="Arial" w:hAnsi="Arial"/>
                  <w:sz w:val="18"/>
                  <w:szCs w:val="18"/>
                  <w:color w:val="0000FF"/>
                </w:rPr>
                <w:t>Derivatives and Hedging Activities</w:t>
              </w:r>
            </w:hyperlink>
          </w:p>
        </w:tc>
        <w:tc>
          <w:tcPr>
            <w:tcW w:w="22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Note 10</w:t>
              </w:r>
            </w:hyperlink>
          </w:p>
        </w:tc>
        <w:tc>
          <w:tcPr>
            <w:tcW w:w="7840" w:type="dxa"/>
            <w:vAlign w:val="bottom"/>
            <w:gridSpan w:val="17"/>
          </w:tcPr>
          <w:p>
            <w:pPr>
              <w:ind w:left="640"/>
              <w:spacing w:after="0"/>
              <w:rPr>
                <w:rFonts w:ascii="Arial" w:cs="Arial" w:eastAsia="Arial" w:hAnsi="Arial"/>
                <w:sz w:val="18"/>
                <w:szCs w:val="18"/>
                <w:color w:val="0000FF"/>
              </w:rPr>
            </w:pPr>
            <w:hyperlink w:anchor="page38">
              <w:r>
                <w:rPr>
                  <w:rFonts w:ascii="Arial" w:cs="Arial" w:eastAsia="Arial" w:hAnsi="Arial"/>
                  <w:sz w:val="18"/>
                  <w:szCs w:val="18"/>
                  <w:color w:val="0000FF"/>
                </w:rPr>
                <w:t>Fair Value</w:t>
              </w:r>
            </w:hyperlink>
          </w:p>
        </w:tc>
        <w:tc>
          <w:tcPr>
            <w:tcW w:w="228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Note 11</w:t>
              </w:r>
            </w:hyperlink>
          </w:p>
        </w:tc>
        <w:tc>
          <w:tcPr>
            <w:tcW w:w="7840" w:type="dxa"/>
            <w:vAlign w:val="bottom"/>
            <w:gridSpan w:val="17"/>
          </w:tcPr>
          <w:p>
            <w:pPr>
              <w:ind w:left="640"/>
              <w:spacing w:after="0"/>
              <w:rPr>
                <w:rFonts w:ascii="Arial" w:cs="Arial" w:eastAsia="Arial" w:hAnsi="Arial"/>
                <w:sz w:val="18"/>
                <w:szCs w:val="18"/>
                <w:color w:val="0000FF"/>
              </w:rPr>
            </w:pPr>
            <w:hyperlink w:anchor="page41">
              <w:r>
                <w:rPr>
                  <w:rFonts w:ascii="Arial" w:cs="Arial" w:eastAsia="Arial" w:hAnsi="Arial"/>
                  <w:sz w:val="18"/>
                  <w:szCs w:val="18"/>
                  <w:color w:val="0000FF"/>
                </w:rPr>
                <w:t>Commitments and Contingencies</w:t>
              </w:r>
            </w:hyperlink>
          </w:p>
        </w:tc>
        <w:tc>
          <w:tcPr>
            <w:tcW w:w="228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Note 12</w:t>
              </w:r>
            </w:hyperlink>
          </w:p>
        </w:tc>
        <w:tc>
          <w:tcPr>
            <w:tcW w:w="7840" w:type="dxa"/>
            <w:vAlign w:val="bottom"/>
            <w:gridSpan w:val="17"/>
          </w:tcPr>
          <w:p>
            <w:pPr>
              <w:ind w:left="640"/>
              <w:spacing w:after="0"/>
              <w:rPr>
                <w:rFonts w:ascii="Arial" w:cs="Arial" w:eastAsia="Arial" w:hAnsi="Arial"/>
                <w:sz w:val="18"/>
                <w:szCs w:val="18"/>
                <w:color w:val="0000FF"/>
              </w:rPr>
            </w:pPr>
            <w:hyperlink w:anchor="page41">
              <w:r>
                <w:rPr>
                  <w:rFonts w:ascii="Arial" w:cs="Arial" w:eastAsia="Arial" w:hAnsi="Arial"/>
                  <w:sz w:val="18"/>
                  <w:szCs w:val="18"/>
                  <w:color w:val="0000FF"/>
                </w:rPr>
                <w:t>Noncontrolling Interest</w:t>
              </w:r>
            </w:hyperlink>
          </w:p>
        </w:tc>
        <w:tc>
          <w:tcPr>
            <w:tcW w:w="228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Note 13</w:t>
              </w:r>
            </w:hyperlink>
          </w:p>
        </w:tc>
        <w:tc>
          <w:tcPr>
            <w:tcW w:w="7840" w:type="dxa"/>
            <w:vAlign w:val="bottom"/>
            <w:gridSpan w:val="17"/>
          </w:tcPr>
          <w:p>
            <w:pPr>
              <w:ind w:left="640"/>
              <w:spacing w:after="0"/>
              <w:rPr>
                <w:rFonts w:ascii="Arial" w:cs="Arial" w:eastAsia="Arial" w:hAnsi="Arial"/>
                <w:sz w:val="18"/>
                <w:szCs w:val="18"/>
                <w:color w:val="0000FF"/>
              </w:rPr>
            </w:pPr>
            <w:hyperlink w:anchor="page42">
              <w:r>
                <w:rPr>
                  <w:rFonts w:ascii="Arial" w:cs="Arial" w:eastAsia="Arial" w:hAnsi="Arial"/>
                  <w:sz w:val="18"/>
                  <w:szCs w:val="18"/>
                  <w:color w:val="0000FF"/>
                </w:rPr>
                <w:t>Earnings Per Share</w:t>
              </w:r>
            </w:hyperlink>
          </w:p>
        </w:tc>
        <w:tc>
          <w:tcPr>
            <w:tcW w:w="228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Note 14</w:t>
              </w:r>
            </w:hyperlink>
          </w:p>
        </w:tc>
        <w:tc>
          <w:tcPr>
            <w:tcW w:w="7840" w:type="dxa"/>
            <w:vAlign w:val="bottom"/>
            <w:gridSpan w:val="17"/>
          </w:tcPr>
          <w:p>
            <w:pPr>
              <w:ind w:left="640"/>
              <w:spacing w:after="0"/>
              <w:rPr>
                <w:rFonts w:ascii="Arial" w:cs="Arial" w:eastAsia="Arial" w:hAnsi="Arial"/>
                <w:sz w:val="18"/>
                <w:szCs w:val="18"/>
                <w:color w:val="0000FF"/>
              </w:rPr>
            </w:pPr>
            <w:hyperlink w:anchor="page45">
              <w:r>
                <w:rPr>
                  <w:rFonts w:ascii="Arial" w:cs="Arial" w:eastAsia="Arial" w:hAnsi="Arial"/>
                  <w:sz w:val="18"/>
                  <w:szCs w:val="18"/>
                  <w:color w:val="0000FF"/>
                </w:rPr>
                <w:t>Leases</w:t>
              </w:r>
            </w:hyperlink>
          </w:p>
        </w:tc>
        <w:tc>
          <w:tcPr>
            <w:tcW w:w="2280" w:type="dxa"/>
            <w:vAlign w:val="bottom"/>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Note 15</w:t>
              </w:r>
            </w:hyperlink>
          </w:p>
        </w:tc>
        <w:tc>
          <w:tcPr>
            <w:tcW w:w="7840" w:type="dxa"/>
            <w:vAlign w:val="bottom"/>
            <w:gridSpan w:val="17"/>
          </w:tcPr>
          <w:p>
            <w:pPr>
              <w:ind w:left="640"/>
              <w:spacing w:after="0"/>
              <w:rPr>
                <w:rFonts w:ascii="Arial" w:cs="Arial" w:eastAsia="Arial" w:hAnsi="Arial"/>
                <w:sz w:val="18"/>
                <w:szCs w:val="18"/>
                <w:color w:val="0000FF"/>
              </w:rPr>
            </w:pPr>
            <w:hyperlink w:anchor="page47">
              <w:r>
                <w:rPr>
                  <w:rFonts w:ascii="Arial" w:cs="Arial" w:eastAsia="Arial" w:hAnsi="Arial"/>
                  <w:sz w:val="18"/>
                  <w:szCs w:val="18"/>
                  <w:color w:val="0000FF"/>
                </w:rPr>
                <w:t>Equity-Based Compensation</w:t>
              </w:r>
            </w:hyperlink>
          </w:p>
        </w:tc>
        <w:tc>
          <w:tcPr>
            <w:tcW w:w="2280" w:type="dxa"/>
            <w:vAlign w:val="bottom"/>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53">
              <w:r>
                <w:rPr>
                  <w:rFonts w:ascii="Arial" w:cs="Arial" w:eastAsia="Arial" w:hAnsi="Arial"/>
                  <w:sz w:val="18"/>
                  <w:szCs w:val="18"/>
                  <w:color w:val="0000FF"/>
                  <w:w w:val="85"/>
                </w:rPr>
                <w:t>Note 16</w:t>
              </w:r>
            </w:hyperlink>
          </w:p>
        </w:tc>
        <w:tc>
          <w:tcPr>
            <w:tcW w:w="7840" w:type="dxa"/>
            <w:vAlign w:val="bottom"/>
            <w:gridSpan w:val="17"/>
          </w:tcPr>
          <w:p>
            <w:pPr>
              <w:ind w:left="640"/>
              <w:spacing w:after="0"/>
              <w:rPr>
                <w:rFonts w:ascii="Arial" w:cs="Arial" w:eastAsia="Arial" w:hAnsi="Arial"/>
                <w:sz w:val="18"/>
                <w:szCs w:val="18"/>
                <w:color w:val="0000FF"/>
              </w:rPr>
            </w:pPr>
            <w:hyperlink w:anchor="page53">
              <w:r>
                <w:rPr>
                  <w:rFonts w:ascii="Arial" w:cs="Arial" w:eastAsia="Arial" w:hAnsi="Arial"/>
                  <w:sz w:val="18"/>
                  <w:szCs w:val="18"/>
                  <w:color w:val="0000FF"/>
                </w:rPr>
                <w:t>Tax Receivable Agreements</w:t>
              </w:r>
            </w:hyperlink>
          </w:p>
        </w:tc>
        <w:tc>
          <w:tcPr>
            <w:tcW w:w="2280" w:type="dxa"/>
            <w:vAlign w:val="bottom"/>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53">
              <w:r>
                <w:rPr>
                  <w:rFonts w:ascii="Arial" w:cs="Arial" w:eastAsia="Arial" w:hAnsi="Arial"/>
                  <w:sz w:val="18"/>
                  <w:szCs w:val="18"/>
                  <w:color w:val="0000FF"/>
                  <w:w w:val="85"/>
                </w:rPr>
                <w:t>Note 17</w:t>
              </w:r>
            </w:hyperlink>
          </w:p>
        </w:tc>
        <w:tc>
          <w:tcPr>
            <w:tcW w:w="7840" w:type="dxa"/>
            <w:vAlign w:val="bottom"/>
            <w:gridSpan w:val="17"/>
          </w:tcPr>
          <w:p>
            <w:pPr>
              <w:ind w:left="640"/>
              <w:spacing w:after="0"/>
              <w:rPr>
                <w:rFonts w:ascii="Arial" w:cs="Arial" w:eastAsia="Arial" w:hAnsi="Arial"/>
                <w:sz w:val="18"/>
                <w:szCs w:val="18"/>
                <w:color w:val="0000FF"/>
              </w:rPr>
            </w:pPr>
            <w:hyperlink w:anchor="page53">
              <w:r>
                <w:rPr>
                  <w:rFonts w:ascii="Arial" w:cs="Arial" w:eastAsia="Arial" w:hAnsi="Arial"/>
                  <w:sz w:val="18"/>
                  <w:szCs w:val="18"/>
                  <w:color w:val="0000FF"/>
                </w:rPr>
                <w:t>Income Taxes</w:t>
              </w:r>
            </w:hyperlink>
          </w:p>
        </w:tc>
        <w:tc>
          <w:tcPr>
            <w:tcW w:w="2280" w:type="dxa"/>
            <w:vAlign w:val="bottom"/>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60" w:type="dxa"/>
            <w:vAlign w:val="bottom"/>
            <w:gridSpan w:val="1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54">
              <w:r>
                <w:rPr>
                  <w:rFonts w:ascii="Arial" w:cs="Arial" w:eastAsia="Arial" w:hAnsi="Arial"/>
                  <w:sz w:val="18"/>
                  <w:szCs w:val="18"/>
                  <w:color w:val="0000FF"/>
                  <w:w w:val="85"/>
                </w:rPr>
                <w:t>Note 18</w:t>
              </w:r>
            </w:hyperlink>
          </w:p>
        </w:tc>
        <w:tc>
          <w:tcPr>
            <w:tcW w:w="7840" w:type="dxa"/>
            <w:vAlign w:val="bottom"/>
            <w:gridSpan w:val="17"/>
          </w:tcPr>
          <w:p>
            <w:pPr>
              <w:ind w:left="640"/>
              <w:spacing w:after="0"/>
              <w:rPr>
                <w:rFonts w:ascii="Arial" w:cs="Arial" w:eastAsia="Arial" w:hAnsi="Arial"/>
                <w:sz w:val="18"/>
                <w:szCs w:val="18"/>
                <w:color w:val="0000FF"/>
              </w:rPr>
            </w:pPr>
            <w:hyperlink w:anchor="page54">
              <w:r>
                <w:rPr>
                  <w:rFonts w:ascii="Arial" w:cs="Arial" w:eastAsia="Arial" w:hAnsi="Arial"/>
                  <w:sz w:val="18"/>
                  <w:szCs w:val="18"/>
                  <w:color w:val="0000FF"/>
                </w:rPr>
                <w:t>Subsequent Events</w:t>
              </w:r>
            </w:hyperlink>
          </w:p>
        </w:tc>
        <w:tc>
          <w:tcPr>
            <w:tcW w:w="228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ZoomInfo Technologies Inc., through its operating subsidiaries provides a go-to-market intelligence and engagement platform for sales and marketing teams. The Company’s cloud-based platform provides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41" w:lineRule="exact"/>
        <w:rPr>
          <w:sz w:val="20"/>
          <w:szCs w:val="20"/>
          <w:color w:val="auto"/>
        </w:rPr>
      </w:pPr>
    </w:p>
    <w:p>
      <w:pPr>
        <w:ind w:right="1220" w:firstLine="318"/>
        <w:spacing w:after="0" w:line="430" w:lineRule="auto"/>
        <w:rPr>
          <w:sz w:val="20"/>
          <w:szCs w:val="20"/>
          <w:color w:val="auto"/>
        </w:rPr>
      </w:pPr>
      <w:r>
        <w:rPr>
          <w:rFonts w:ascii="Arial" w:cs="Arial" w:eastAsia="Arial" w:hAnsi="Arial"/>
          <w:sz w:val="18"/>
          <w:szCs w:val="18"/>
          <w:color w:val="auto"/>
        </w:rPr>
        <w:t xml:space="preserve">The Company headquarters are located in Vancouver, WA, and we operate in eleven offices throughout the U.S. and two offices in Israel. </w:t>
      </w:r>
      <w:r>
        <w:rPr>
          <w:rFonts w:ascii="Arial" w:cs="Arial" w:eastAsia="Arial" w:hAnsi="Arial"/>
          <w:sz w:val="18"/>
          <w:szCs w:val="18"/>
          <w:b w:val="1"/>
          <w:bCs w:val="1"/>
          <w:i w:val="1"/>
          <w:iCs w:val="1"/>
          <w:color w:val="auto"/>
        </w:rPr>
        <w:t>Initial Public Offering</w:t>
      </w:r>
    </w:p>
    <w:p>
      <w:pPr>
        <w:jc w:val="both"/>
        <w:ind w:firstLine="318"/>
        <w:spacing w:after="0" w:line="265"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the IPO, the Company completed the following transactions (“Reorganization Transactions”):</w:t>
      </w:r>
    </w:p>
    <w:p>
      <w:pPr>
        <w:spacing w:after="0" w:line="164"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ZoomInfo OpCo effected a four—for—one reverse unit split;</w:t>
      </w:r>
    </w:p>
    <w:p>
      <w:pPr>
        <w:spacing w:after="0" w:line="164" w:lineRule="exact"/>
        <w:rPr>
          <w:rFonts w:ascii="Arial" w:cs="Arial" w:eastAsia="Arial" w:hAnsi="Arial"/>
          <w:sz w:val="18"/>
          <w:szCs w:val="18"/>
          <w:color w:val="auto"/>
        </w:rPr>
      </w:pPr>
    </w:p>
    <w:p>
      <w:pPr>
        <w:jc w:val="both"/>
        <w:ind w:left="640" w:hanging="316"/>
        <w:spacing w:after="0" w:line="249"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35" w:lineRule="exact"/>
        <w:rPr>
          <w:sz w:val="20"/>
          <w:szCs w:val="20"/>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35"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the Reorganization Transactions and the IPO, ZoomInfo Technologies Inc. entered into two tax receivable agreements. See Note 16.</w:t>
      </w:r>
    </w:p>
    <w:p>
      <w:pPr>
        <w:spacing w:after="0" w:line="1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243" w:lineRule="exact"/>
        <w:rPr>
          <w:sz w:val="20"/>
          <w:szCs w:val="20"/>
          <w:color w:val="auto"/>
        </w:rPr>
      </w:pPr>
    </w:p>
    <w:p>
      <w:pPr>
        <w:ind w:right="5340"/>
        <w:spacing w:after="0" w:line="433"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2020.</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of operations for the three and nine months ended September 30, 2021 are not necessarily indicative of the operating results that may be expected for the full fiscal year ending December 31, 2021 or any future period.</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accompanying unaudited consolidated financial statements contain all adjustments necessary for a fair statement of financial position as of September 30, 2021, and results of operations for the three and nine months ended September 30, 2021 and 2020, and cash flows for the nine months ended September 30, 2021 and 2020. The Condensed Consolidated Balance Sheet as of December 31, 2020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ZoomInfo Technologies Inc. operates and has the power to control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and, for the nine months ended September 30, 2021, ZoomInfo Technologies Inc. did not provide support to ZoomInfo OpCo. Accordingly, ZoomInfo Technologies Inc. is considered the primary beneficiary and consolidates ZoomInfo OpCo in the Company’s consolidated financial statements.</w:t>
      </w:r>
    </w:p>
    <w:p>
      <w:pPr>
        <w:spacing w:after="0" w:line="9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w:t>
      </w:r>
    </w:p>
    <w:p>
      <w:pPr>
        <w:spacing w:after="0" w:line="1" w:lineRule="exact"/>
        <w:rPr>
          <w:sz w:val="20"/>
          <w:szCs w:val="20"/>
          <w:color w:val="auto"/>
        </w:rPr>
      </w:pPr>
    </w:p>
    <w:p>
      <w:pPr>
        <w:jc w:val="both"/>
        <w:ind w:firstLine="6"/>
        <w:spacing w:after="0" w:line="322" w:lineRule="auto"/>
        <w:tabs>
          <w:tab w:leader="none" w:pos="212"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8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reduces revenue recognized.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in our Condensed Consolidated Balance Sheets. Gains and losses are determined using the specific identification method and recognized when realized in our Consolidated Statements of Operations. If we were to determine that an other-than-temporary decline in fair value has occurred, the amount of the decline related to a credit loss will be recognized in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Level 3 - Unobservable inputs that are supported by little or no market activity, including the Company’s own assumptions in determining fair value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nine months ended September 30, 2021 and 2020, or accounted for more than 10% of accounts receivable as of September 30, 2021 and December 31, 2020. Net assets located outside of the United States were immaterial as of September 30, 2021 and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does not bear interest. We consider receivables past due based on the contractual payment terms.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September 30, 2021 and December 31, 2020.</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Arial" w:cs="Arial" w:eastAsia="Arial" w:hAnsi="Arial"/>
          <w:sz w:val="18"/>
          <w:szCs w:val="18"/>
          <w:i w:val="1"/>
          <w:iCs w:val="1"/>
          <w:color w:val="auto"/>
        </w:rPr>
        <w:t>Deferred costs and other assets, net of current portion</w:t>
      </w:r>
      <w:r>
        <w:rPr>
          <w:rFonts w:ascii="Arial" w:cs="Arial" w:eastAsia="Arial" w:hAnsi="Arial"/>
          <w:sz w:val="18"/>
          <w:szCs w:val="18"/>
          <w:color w:val="auto"/>
        </w:rPr>
        <w:t xml:space="preserve"> in our Condensed Consolidated Balance Sheets. Deferred sales commissions are amortized on a straight-line basis over the estimated period 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w:t>
      </w:r>
      <w:r>
        <w:rPr>
          <w:rFonts w:ascii="Arial" w:cs="Arial" w:eastAsia="Arial" w:hAnsi="Arial"/>
          <w:sz w:val="18"/>
          <w:szCs w:val="18"/>
          <w:i w:val="1"/>
          <w:iCs w:val="1"/>
          <w:color w:val="auto"/>
        </w:rPr>
        <w:t>Sales and marketing</w:t>
      </w:r>
      <w:r>
        <w:rPr>
          <w:rFonts w:ascii="Arial" w:cs="Arial" w:eastAsia="Arial" w:hAnsi="Arial"/>
          <w:sz w:val="18"/>
          <w:szCs w:val="18"/>
          <w:color w:val="auto"/>
        </w:rPr>
        <w:t xml:space="preserve"> expense on the Consolidated Statements of Operations.</w:t>
      </w:r>
    </w:p>
    <w:p>
      <w:pPr>
        <w:spacing w:after="0" w:line="1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Commissions payable at September 30, 2021 were $24.6 million, of which the current portion of $22.5 million was included in </w:t>
      </w:r>
      <w:r>
        <w:rPr>
          <w:rFonts w:ascii="Arial" w:cs="Arial" w:eastAsia="Arial" w:hAnsi="Arial"/>
          <w:sz w:val="17"/>
          <w:szCs w:val="17"/>
          <w:i w:val="1"/>
          <w:iCs w:val="1"/>
          <w:color w:val="auto"/>
        </w:rPr>
        <w:t>Accrued expenses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current liabilities </w:t>
      </w:r>
      <w:r>
        <w:rPr>
          <w:rFonts w:ascii="Arial" w:cs="Arial" w:eastAsia="Arial" w:hAnsi="Arial"/>
          <w:sz w:val="17"/>
          <w:szCs w:val="17"/>
          <w:color w:val="auto"/>
        </w:rPr>
        <w:t>in our Condensed Consolidated Balance Sheets, and the long-term portion of $2.1 million was included in</w:t>
      </w:r>
      <w:r>
        <w:rPr>
          <w:rFonts w:ascii="Arial" w:cs="Arial" w:eastAsia="Arial" w:hAnsi="Arial"/>
          <w:sz w:val="17"/>
          <w:szCs w:val="17"/>
          <w:i w:val="1"/>
          <w:iCs w:val="1"/>
          <w:color w:val="auto"/>
        </w:rPr>
        <w:t xml:space="preserve"> Other long-term liabilities </w:t>
      </w:r>
      <w:r>
        <w:rPr>
          <w:rFonts w:ascii="Arial" w:cs="Arial" w:eastAsia="Arial" w:hAnsi="Arial"/>
          <w:sz w:val="17"/>
          <w:szCs w:val="17"/>
          <w:color w:val="auto"/>
        </w:rPr>
        <w:t xml:space="preserve">in our Condensed Consolidated Balance Sheets. Commissions payable at December 31, 2020 were $25.6 million, of which the current portion of $23.3 million was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in our Condensed Consolidated Balance Sheets, and the long-term portion of $2.3 million was included in </w:t>
      </w:r>
      <w:r>
        <w:rPr>
          <w:rFonts w:ascii="Arial" w:cs="Arial" w:eastAsia="Arial" w:hAnsi="Arial"/>
          <w:sz w:val="17"/>
          <w:szCs w:val="17"/>
          <w:i w:val="1"/>
          <w:iCs w:val="1"/>
          <w:color w:val="auto"/>
        </w:rPr>
        <w:t>Other long-term liabilities</w:t>
      </w:r>
      <w:r>
        <w:rPr>
          <w:rFonts w:ascii="Arial" w:cs="Arial" w:eastAsia="Arial" w:hAnsi="Arial"/>
          <w:sz w:val="17"/>
          <w:szCs w:val="17"/>
          <w:color w:val="auto"/>
        </w:rPr>
        <w:t xml:space="preserve"> in our Condensed Consolidated Balance Sheets.</w:t>
      </w:r>
    </w:p>
    <w:p>
      <w:pPr>
        <w:spacing w:after="0" w:line="128" w:lineRule="exact"/>
        <w:rPr>
          <w:sz w:val="20"/>
          <w:szCs w:val="20"/>
          <w:color w:val="auto"/>
        </w:rPr>
      </w:pPr>
    </w:p>
    <w:p>
      <w:pPr>
        <w:ind w:right="220" w:firstLine="318"/>
        <w:spacing w:after="0" w:line="430" w:lineRule="auto"/>
        <w:rPr>
          <w:sz w:val="20"/>
          <w:szCs w:val="20"/>
          <w:color w:val="auto"/>
        </w:rPr>
      </w:pPr>
      <w:r>
        <w:rPr>
          <w:rFonts w:ascii="Arial" w:cs="Arial" w:eastAsia="Arial" w:hAnsi="Arial"/>
          <w:sz w:val="18"/>
          <w:szCs w:val="18"/>
          <w:color w:val="auto"/>
        </w:rPr>
        <w:t xml:space="preserve">Certain commissions are not capitalized as they do not represent incremental costs of obtaining a contract. Such commissions are expensed as incurred. </w:t>
      </w:r>
      <w:r>
        <w:rPr>
          <w:rFonts w:ascii="Arial" w:cs="Arial" w:eastAsia="Arial" w:hAnsi="Arial"/>
          <w:sz w:val="18"/>
          <w:szCs w:val="18"/>
          <w:b w:val="1"/>
          <w:bCs w:val="1"/>
          <w:i w:val="1"/>
          <w:iCs w:val="1"/>
          <w:color w:val="auto"/>
        </w:rPr>
        <w:t>Advertising and Promotional Expenses</w:t>
      </w:r>
    </w:p>
    <w:p>
      <w:pPr>
        <w:jc w:val="both"/>
        <w:ind w:firstLine="318"/>
        <w:spacing w:after="0" w:line="277" w:lineRule="auto"/>
        <w:rPr>
          <w:sz w:val="20"/>
          <w:szCs w:val="20"/>
          <w:color w:val="auto"/>
        </w:rPr>
      </w:pPr>
      <w:r>
        <w:rPr>
          <w:rFonts w:ascii="Arial" w:cs="Arial" w:eastAsia="Arial" w:hAnsi="Arial"/>
          <w:sz w:val="17"/>
          <w:szCs w:val="17"/>
          <w:color w:val="auto"/>
        </w:rPr>
        <w:t xml:space="preserve">The Company expenses advertising costs as incurred. Advertising expenses of $7.1 million and $15.7 million were recorded for the three and nine months ended September 30, 2021. Advertising expenses of $3.4 million and $8.9 million were recorded for the three and nine months ended September 30, 2020. Advertising expenses are included in </w:t>
      </w:r>
      <w:r>
        <w:rPr>
          <w:rFonts w:ascii="Arial" w:cs="Arial" w:eastAsia="Arial" w:hAnsi="Arial"/>
          <w:sz w:val="17"/>
          <w:szCs w:val="17"/>
          <w:i w:val="1"/>
          <w:iCs w:val="1"/>
          <w:color w:val="auto"/>
        </w:rPr>
        <w:t>Sales and marketing</w:t>
      </w:r>
      <w:r>
        <w:rPr>
          <w:rFonts w:ascii="Arial" w:cs="Arial" w:eastAsia="Arial" w:hAnsi="Arial"/>
          <w:sz w:val="17"/>
          <w:szCs w:val="17"/>
          <w:color w:val="auto"/>
        </w:rPr>
        <w:t xml:space="preserve"> on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(see Note 7).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and nine month periods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Arial" w:cs="Arial" w:eastAsia="Arial" w:hAnsi="Arial"/>
          <w:sz w:val="18"/>
          <w:szCs w:val="18"/>
          <w:i w:val="1"/>
          <w:iCs w:val="1"/>
          <w:color w:val="auto"/>
        </w:rPr>
        <w:t>Unearned revenue, current</w:t>
      </w:r>
      <w:r>
        <w:rPr>
          <w:rFonts w:ascii="Arial" w:cs="Arial" w:eastAsia="Arial" w:hAnsi="Arial"/>
          <w:sz w:val="18"/>
          <w:szCs w:val="18"/>
          <w:color w:val="auto"/>
        </w:rPr>
        <w:t xml:space="preserve"> portion and the remaining portion is included in </w:t>
      </w:r>
      <w:r>
        <w:rPr>
          <w:rFonts w:ascii="Arial" w:cs="Arial" w:eastAsia="Arial" w:hAnsi="Arial"/>
          <w:sz w:val="18"/>
          <w:szCs w:val="18"/>
          <w:i w:val="1"/>
          <w:iCs w:val="1"/>
          <w:color w:val="auto"/>
        </w:rPr>
        <w:t xml:space="preserve">Unearned revenue, net of current portion </w:t>
      </w:r>
      <w:r>
        <w:rPr>
          <w:rFonts w:ascii="Arial" w:cs="Arial" w:eastAsia="Arial" w:hAnsi="Arial"/>
          <w:sz w:val="18"/>
          <w:szCs w:val="18"/>
          <w:color w:val="auto"/>
        </w:rPr>
        <w:t>in our Condensed Consolidated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w:t>
      </w:r>
      <w:r>
        <w:rPr>
          <w:rFonts w:ascii="Arial" w:cs="Arial" w:eastAsia="Arial" w:hAnsi="Arial"/>
          <w:sz w:val="17"/>
          <w:szCs w:val="17"/>
          <w:i w:val="1"/>
          <w:iCs w:val="1"/>
          <w:color w:val="auto"/>
        </w:rPr>
        <w:t>Loss on debt modification and extinguishment</w:t>
      </w:r>
      <w:r>
        <w:rPr>
          <w:rFonts w:ascii="Arial" w:cs="Arial" w:eastAsia="Arial" w:hAnsi="Arial"/>
          <w:sz w:val="17"/>
          <w:szCs w:val="17"/>
          <w:color w:val="auto"/>
        </w:rPr>
        <w: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in the Company’s Condensed Consolidated Balance Sheets under the captions </w:t>
      </w:r>
      <w:r>
        <w:rPr>
          <w:rFonts w:ascii="Arial" w:cs="Arial" w:eastAsia="Arial" w:hAnsi="Arial"/>
          <w:sz w:val="18"/>
          <w:szCs w:val="18"/>
          <w:i w:val="1"/>
          <w:iCs w:val="1"/>
          <w:color w:val="auto"/>
        </w:rPr>
        <w:t>Current portion of tax receivable agreements liability</w:t>
      </w:r>
      <w:r>
        <w:rPr>
          <w:rFonts w:ascii="Arial" w:cs="Arial" w:eastAsia="Arial" w:hAnsi="Arial"/>
          <w:sz w:val="18"/>
          <w:szCs w:val="18"/>
          <w:color w:val="auto"/>
        </w:rPr>
        <w:t xml:space="preserve"> and </w:t>
      </w:r>
      <w:r>
        <w:rPr>
          <w:rFonts w:ascii="Arial" w:cs="Arial" w:eastAsia="Arial" w:hAnsi="Arial"/>
          <w:sz w:val="18"/>
          <w:szCs w:val="18"/>
          <w:i w:val="1"/>
          <w:iCs w:val="1"/>
          <w:color w:val="auto"/>
        </w:rPr>
        <w:t>Tax receivable agreements liability, net of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portion, </w:t>
      </w:r>
      <w:r>
        <w:rPr>
          <w:rFonts w:ascii="Arial" w:cs="Arial" w:eastAsia="Arial" w:hAnsi="Arial"/>
          <w:sz w:val="18"/>
          <w:szCs w:val="18"/>
          <w:color w:val="auto"/>
        </w:rPr>
        <w:t>respectively. Subsequent changes to the measurement of the TRA liability are recognized in the statements of income as a component of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See Note 16 for further details on the TRA liability.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ZoomInfo Technologies Inc. is a corporation and is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However, ZoomInfo Holdings is subject to the Texas Margins Tax. Additionally, our operations in Israel are subject to local country income taxes. See Note 17 for additional information regarding income taxes.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periodically grants incentive units to employees and non-employees, which generally vest over a four-year period. Incentive units may be in the form of various equity-based awards such as Restricted Stock and Restricted Stock Units, Class A Common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Compensation expense for incentive units is measured at the estimated fair value of the incentive units and is included as compensation expense over the vesting period during which an employee provides service in exchange for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4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4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comprised the following service offerings: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5"/>
                <w:szCs w:val="15"/>
                <w:color w:val="auto"/>
              </w:rPr>
            </w:pPr>
          </w:p>
        </w:tc>
        <w:tc>
          <w:tcPr>
            <w:tcW w:w="3400" w:type="dxa"/>
            <w:vAlign w:val="bottom"/>
            <w:gridSpan w:val="4"/>
          </w:tcPr>
          <w:p>
            <w:pPr>
              <w:jc w:val="right"/>
              <w:ind w:right="77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Arial" w:cs="Arial" w:eastAsia="Arial" w:hAnsi="Arial"/>
                <w:sz w:val="18"/>
                <w:szCs w:val="18"/>
                <w:color w:val="auto"/>
              </w:rPr>
              <w:t>Usage-based</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
        </w:trPr>
        <w:tc>
          <w:tcPr>
            <w:tcW w:w="35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Usage-based revenue is comprised largely of email verification and intent-driven audience and targeting services,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Of the total revenue recognized in the three and nine months ended September 30, 2021, $37.8 million and $205.5 million were included in the unearned revenue balance as of December 31, 2020, respectively. Of the total revenue recognized in the three and nine months ended September 30, 2020, $26.0 million and $142.8 million were included in the unearned revenue balance as of December 31, 2019, respectively. Revenue recognized from performance obligations satisfied (or partially satisfied) in previous periods was not material.</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Revenues derived from customers and partners located outside the United States, as determined based on the address provided by our customers and partners, accounted for approximately 11% and 9% of our total revenues for the three months ended September 30, 2021 and 2020, respectively. Revenues derived from customers and partners located outside the United States accounted for approximately 11% and 9% of our total revenues in the nine months ended September 30, 2021 and 2020, respectively. We have no Company sales offices located in a foreign country as of September 30, 2021, and contracts denominated in currencies other than U.S. Dollar were not material for the three and nine months ended September 30, 2021 and 2020.</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As of September 30, 2021 and December 31, 2020, the Company had contract assets of $2.0 million and $2.4 million, respectively, which are recorded as current assets within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in the Company’s Condensed Consolidated Balance Sheets. As of September 30, 2021 and December 31, 2020, the Company had unearned revenue of $287.9 million and $222.7 million, respectively.</w:t>
      </w:r>
    </w:p>
    <w:p>
      <w:pPr>
        <w:spacing w:after="0" w:line="11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Recognized within one</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year</w:t>
            </w:r>
          </w:p>
        </w:tc>
        <w:tc>
          <w:tcPr>
            <w:tcW w:w="260" w:type="dxa"/>
            <w:vAlign w:val="bottom"/>
          </w:tcPr>
          <w:p>
            <w:pPr>
              <w:spacing w:after="0"/>
              <w:rPr>
                <w:sz w:val="15"/>
                <w:szCs w:val="15"/>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September 30, 2021</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552.2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8"/>
        </w:trPr>
        <w:tc>
          <w:tcPr>
            <w:tcW w:w="6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nine months ended September 30, 2021, the Company consummated the following acquisitions (collectively, “2021 Acquired Companies”) which have been accounted for as business combinations under ASC Topic 805.</w:t>
      </w:r>
    </w:p>
    <w:p>
      <w:pPr>
        <w:spacing w:after="0" w:line="128" w:lineRule="exact"/>
        <w:rPr>
          <w:sz w:val="20"/>
          <w:szCs w:val="20"/>
          <w:color w:val="auto"/>
        </w:rPr>
      </w:pPr>
    </w:p>
    <w:p>
      <w:pPr>
        <w:jc w:val="both"/>
        <w:ind w:left="640" w:hanging="316"/>
        <w:spacing w:after="0" w:line="267"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June 7, 2021, the Company acquired all of the outstanding equity interests of Insent, Inc. (“Insent”) for total purchase consideration of $34.0 million, consisting of $32.9 million in cash and estimated deferred purchase consideration of $1.1 million. During the three months ended September 30, 2021, the Company recorded adjustments to the working capital balances acquired from Insent resulting in a $0.1 million net reduction to purchase consideration previously reported. The purchase accounting for this transaction has been finalized. As part of the acquisition, the Company issued 36,118 RSUs, at a total grant date fair value of $2.4 million, and agreed to pay $2.0 million of incentive compensation to acquired employees, subject to continued employment, to be recognized in the post-combination periods.</w:t>
      </w:r>
    </w:p>
    <w:p>
      <w:pPr>
        <w:spacing w:after="0" w:line="126" w:lineRule="exact"/>
        <w:rPr>
          <w:rFonts w:ascii="Arial" w:cs="Arial" w:eastAsia="Arial" w:hAnsi="Arial"/>
          <w:sz w:val="17"/>
          <w:szCs w:val="17"/>
          <w:color w:val="auto"/>
        </w:rPr>
      </w:pPr>
    </w:p>
    <w:p>
      <w:pPr>
        <w:jc w:val="both"/>
        <w:ind w:left="640" w:hanging="316"/>
        <w:spacing w:after="0" w:line="264"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On July 12, 2021, the Company acquired substantially all of the net assets of AffectLayer, Inc. (d/b/a Chorus.ai) (“Chorus.ai”). At the time of purchase, the Company reserved a portion of cash transferred to settle the Seller’s estimated tax liability arising from the sale of Chorus.ai’s net assets. The Seller has since completed the final determination of its tax liability, resulting in an expected refund to the Company of approximately $33.9 million in cash, which is expected to be received in the fourth quarter of 2021 and is included in the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balance as of September 30, 2021. After adjustment for this refund, purchase consideration transferred for the assets of Chorus.ai is $547.5 million in cash. The total purchase consideration includes $31.8 million attributable to certain unvested options issued by Chorus.ai that were accelerated in contemplation of the acquisition by ZoomInfo. The purchase accounting for this transaction is not yet finalized. As part of the acquisition, the Company issued 572,921 RSUs that replaced previously unvested equity in Chorus.ai or were issued as incremental incentive grants at a total grant date fair value of $30.3 million, and agreed to pay $6.0 million of compensation to acquired employees, subject to continued employment, to be recognized in the post-combination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35" w:lineRule="exact"/>
        <w:rPr>
          <w:sz w:val="20"/>
          <w:szCs w:val="20"/>
          <w:color w:val="auto"/>
        </w:rPr>
      </w:pPr>
    </w:p>
    <w:p>
      <w:pPr>
        <w:jc w:val="both"/>
        <w:ind w:left="640" w:hanging="316"/>
        <w:spacing w:after="0" w:line="25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8, 2021, the Company acquired substantially all of the net assets of RingLead, Inc. (“RingLead”) for total purchase consideration of $118.4 million, consisting of $117.3 million in cash and estimated deferred purchase consideration of $1.1 million. The purchase accounting for this transaction is not yet finalized. As part of the acquisition, the Company issued 42,854 replacement RSUs, at a total grant date fair value of $2.8 million and agreed to pay $3.7 million of incentive compensation to acquired employees, subject to continued employment, to be recognized in the post-combination periods.</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has included the financial results of the 2021 Acquired Companies in the consolidated financial statements from each date of acquisition. During the three and nine months ended September 30, 2021, the 2021 Acquired Companies contributed $3.9 million and $4.0 million to revenue, respectively. Due to the integration of the 2021 Acquired Companies into the operations of ZoomInfo, the Company cannot practicably determine the contribution of the 2021 Acquired Companies to consolidated net earnings. Transaction costs associated with each acquisition were not material.</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7"/>
        </w:trPr>
        <w:tc>
          <w:tcPr>
            <w:tcW w:w="9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Deferred purchase consideration</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consideration</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dates of the acquisition for the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8"/>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8"/>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1"/>
        </w:trPr>
        <w:tc>
          <w:tcPr>
            <w:tcW w:w="968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w:t>
            </w:r>
          </w:p>
        </w:tc>
      </w:tr>
      <w:tr>
        <w:trPr>
          <w:trHeight w:val="28"/>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r>
      <w:tr>
        <w:trPr>
          <w:trHeight w:val="231"/>
        </w:trPr>
        <w:tc>
          <w:tcPr>
            <w:tcW w:w="968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699.9</w:t>
            </w:r>
          </w:p>
        </w:tc>
      </w:tr>
      <w:tr>
        <w:trPr>
          <w:trHeight w:val="28"/>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refund from Chorus.ai acquisition</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8"/>
        </w:trPr>
        <w:tc>
          <w:tcPr>
            <w:tcW w:w="9680" w:type="dxa"/>
            <w:vAlign w:val="bottom"/>
          </w:tcPr>
          <w:p>
            <w:pPr>
              <w:ind w:left="340"/>
              <w:spacing w:after="0"/>
              <w:rPr>
                <w:sz w:val="20"/>
                <w:szCs w:val="20"/>
                <w:color w:val="auto"/>
              </w:rPr>
            </w:pPr>
            <w:r>
              <w:rPr>
                <w:rFonts w:ascii="Arial" w:cs="Arial" w:eastAsia="Arial" w:hAnsi="Arial"/>
                <w:sz w:val="18"/>
                <w:szCs w:val="18"/>
                <w:color w:val="auto"/>
              </w:rPr>
              <w:t>Deferred consideration</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Accruals from adjustments to working capital balances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8"/>
        </w:trPr>
        <w:tc>
          <w:tcPr>
            <w:tcW w:w="9680" w:type="dxa"/>
            <w:vAlign w:val="bottom"/>
          </w:tcPr>
          <w:p>
            <w:pPr>
              <w:ind w:left="340"/>
              <w:spacing w:after="0"/>
              <w:rPr>
                <w:sz w:val="20"/>
                <w:szCs w:val="20"/>
                <w:color w:val="auto"/>
              </w:rPr>
            </w:pPr>
            <w:r>
              <w:rPr>
                <w:rFonts w:ascii="Arial" w:cs="Arial" w:eastAsia="Arial" w:hAnsi="Arial"/>
                <w:sz w:val="18"/>
                <w:szCs w:val="18"/>
                <w:color w:val="auto"/>
              </w:rPr>
              <w:t>Cash paid for 2020 acquisitions in 2021 (see "2020 Acquisitions")</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acquired</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58"/>
        </w:trPr>
        <w:tc>
          <w:tcPr>
            <w:tcW w:w="968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Chorus.ai and Ringlead acquisitions may be subject to change as additional information is received regarding working capital balances at the acquisition dates, the values of the identifiable intangible assets, and the finalization of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84"/>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4"/>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6.1 years</w:t>
            </w:r>
          </w:p>
        </w:tc>
      </w:tr>
      <w:tr>
        <w:trPr>
          <w:trHeight w:val="28"/>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7.7 years</w:t>
            </w:r>
          </w:p>
        </w:tc>
      </w:tr>
      <w:tr>
        <w:trPr>
          <w:trHeight w:val="258"/>
        </w:trPr>
        <w:tc>
          <w:tcPr>
            <w:tcW w:w="802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nine months ended September 30, 2021 is expected to be deductible for U.S. income tax purposes.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following table presents the unaudited pro forma results for the three and nine months ended September 30, 2021 and 2020. The unaudited pro forma financial information combines the results of operations of the 2021 Acquired Companies and ZoomInfo as though each of the acquisitions had been completed on January 1, 2020. The pro forma information is presented for informational purposes only and is not indicative of the results of operations that would have been achieved if the acquisitions had taken place at such time. The unaudited pro forma results presented below primarily include adjustments for amortization of identifiable intangible assets, the valuation of deferred revenue assumed in the acquisitions (“the deferred revenue write-down”), and related tax effects of the adjustments: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318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0" w:type="dxa"/>
            <w:vAlign w:val="bottom"/>
            <w:gridSpan w:val="4"/>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1240" w:type="dxa"/>
            <w:vAlign w:val="bottom"/>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7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71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7"/>
              </w:rPr>
              <w:t>541.6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7"/>
              </w:rPr>
              <w:t>346.1</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40" w:type="dxa"/>
            <w:vAlign w:val="bottom"/>
          </w:tcPr>
          <w:p>
            <w:pPr>
              <w:jc w:val="right"/>
              <w:ind w:right="1041"/>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160"/>
              <w:spacing w:after="0"/>
              <w:rPr>
                <w:sz w:val="20"/>
                <w:szCs w:val="20"/>
                <w:color w:val="auto"/>
              </w:rPr>
            </w:pPr>
            <w:r>
              <w:rPr>
                <w:rFonts w:ascii="Arial" w:cs="Arial" w:eastAsia="Arial" w:hAnsi="Arial"/>
                <w:sz w:val="18"/>
                <w:szCs w:val="18"/>
                <w:color w:val="auto"/>
                <w:w w:val="93"/>
              </w:rPr>
              <w:t>(41.0)</w:t>
            </w:r>
          </w:p>
        </w:tc>
        <w:tc>
          <w:tcPr>
            <w:tcW w:w="100" w:type="dxa"/>
            <w:vAlign w:val="bottom"/>
          </w:tcPr>
          <w:p>
            <w:pPr>
              <w:spacing w:after="0"/>
              <w:rPr>
                <w:sz w:val="20"/>
                <w:szCs w:val="20"/>
                <w:color w:val="auto"/>
              </w:rPr>
            </w:pPr>
          </w:p>
        </w:tc>
        <w:tc>
          <w:tcPr>
            <w:tcW w:w="1220" w:type="dxa"/>
            <w:vAlign w:val="bottom"/>
          </w:tcPr>
          <w:p>
            <w:pPr>
              <w:jc w:val="right"/>
              <w:ind w:right="103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980"/>
              <w:spacing w:after="0"/>
              <w:rPr>
                <w:sz w:val="20"/>
                <w:szCs w:val="20"/>
                <w:color w:val="auto"/>
              </w:rPr>
            </w:pPr>
            <w:r>
              <w:rPr>
                <w:rFonts w:ascii="Arial" w:cs="Arial" w:eastAsia="Arial" w:hAnsi="Arial"/>
                <w:sz w:val="18"/>
                <w:szCs w:val="18"/>
                <w:color w:val="auto"/>
                <w:w w:val="89"/>
              </w:rPr>
              <w:t>(67.6)</w:t>
            </w:r>
          </w:p>
        </w:tc>
        <w:tc>
          <w:tcPr>
            <w:tcW w:w="10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960"/>
              <w:spacing w:after="0"/>
              <w:rPr>
                <w:sz w:val="20"/>
                <w:szCs w:val="20"/>
                <w:color w:val="auto"/>
              </w:rPr>
            </w:pPr>
            <w:r>
              <w:rPr>
                <w:rFonts w:ascii="Arial" w:cs="Arial" w:eastAsia="Arial" w:hAnsi="Arial"/>
                <w:sz w:val="18"/>
                <w:szCs w:val="18"/>
                <w:color w:val="auto"/>
                <w:w w:val="93"/>
              </w:rPr>
              <w:t>(98.9)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acquired all of the assets of Clickagy, LLC on October 14, 2020 and all of the membership interests in EverString Technology, LLC on November 3, 2020 for a total purchase consideration of $72.0 million. During the first half of fiscal year 2021, the Company recorded immaterial post-close net working capital adjustments. The preliminary purchase price allocation was updated to reflect the $0.3 million increase in consideration paid as well as to reflect the $0.2 million adjustment to unearned revenue and $0.1 million adjustment to goodwill. The purchase accounting from these transactions has been finalized. The Company included the financial results of these businesses in the consolidated financial statements from each date of acquisition. Transaction costs associated with each acquisition were not material. As part of the acquisitions, the Company agreed to issue 49,932 RSUs, at a total grant date fair value of $2.1 million, and agreed to pay $4.8 million of incentive compensation to acquired employees, subject to continued employment, to be recognized in the post-combination periods. The Company classifies compensation expense in its Consolidated Statements of Operations in the same manner in which the award recipient’s salary is 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tcPr>
          <w:p>
            <w:pPr>
              <w:spacing w:after="0"/>
              <w:rPr>
                <w:sz w:val="20"/>
                <w:szCs w:val="20"/>
                <w:color w:val="auto"/>
              </w:rPr>
            </w:pPr>
            <w:r>
              <w:rPr>
                <w:rFonts w:ascii="Arial" w:cs="Arial" w:eastAsia="Arial" w:hAnsi="Arial"/>
                <w:sz w:val="18"/>
                <w:szCs w:val="18"/>
                <w:b w:val="1"/>
                <w:bCs w:val="1"/>
                <w:color w:val="auto"/>
              </w:rPr>
              <w:t>Note 4 - Business Combinations (continued)</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636"/>
        </w:trPr>
        <w:tc>
          <w:tcPr>
            <w:tcW w:w="9680" w:type="dxa"/>
            <w:vAlign w:val="bottom"/>
          </w:tcPr>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7"/>
        </w:trPr>
        <w:tc>
          <w:tcPr>
            <w:tcW w:w="9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Purchase consideration liabilities</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67,075 Class A shares</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58"/>
        </w:trPr>
        <w:tc>
          <w:tcPr>
            <w:tcW w:w="9680" w:type="dxa"/>
            <w:vAlign w:val="bottom"/>
          </w:tcPr>
          <w:p>
            <w:pPr>
              <w:ind w:left="24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 of the acquisitions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8"/>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8"/>
        </w:trPr>
        <w:tc>
          <w:tcPr>
            <w:tcW w:w="9680" w:type="dxa"/>
            <w:vAlign w:val="bottom"/>
          </w:tcPr>
          <w:p>
            <w:pPr>
              <w:ind w:left="46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8"/>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37"/>
        </w:trPr>
        <w:tc>
          <w:tcPr>
            <w:tcW w:w="9680" w:type="dxa"/>
            <w:vAlign w:val="bottom"/>
          </w:tcPr>
          <w:p>
            <w:pPr>
              <w:ind w:left="460"/>
              <w:spacing w:after="0"/>
              <w:rPr>
                <w:sz w:val="20"/>
                <w:szCs w:val="20"/>
                <w:color w:val="auto"/>
              </w:rPr>
            </w:pPr>
            <w:r>
              <w:rPr>
                <w:rFonts w:ascii="Arial" w:cs="Arial" w:eastAsia="Arial" w:hAnsi="Arial"/>
                <w:sz w:val="18"/>
                <w:szCs w:val="18"/>
                <w:color w:val="auto"/>
              </w:rPr>
              <w:t>Issuance of 67,075 Class A shares</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acquired</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58"/>
        </w:trPr>
        <w:tc>
          <w:tcPr>
            <w:tcW w:w="9680" w:type="dxa"/>
            <w:vAlign w:val="bottom"/>
          </w:tcPr>
          <w:p>
            <w:pPr>
              <w:ind w:left="20"/>
              <w:spacing w:after="0"/>
              <w:rPr>
                <w:sz w:val="20"/>
                <w:szCs w:val="20"/>
                <w:color w:val="auto"/>
              </w:rPr>
            </w:pPr>
            <w:r>
              <w:rPr>
                <w:rFonts w:ascii="Arial" w:cs="Arial" w:eastAsia="Arial" w:hAnsi="Arial"/>
                <w:sz w:val="18"/>
                <w:szCs w:val="18"/>
                <w:color w:val="auto"/>
              </w:rPr>
              <w:t>Cash paid for acquisitions</w:t>
            </w: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84"/>
        </w:trPr>
        <w:tc>
          <w:tcPr>
            <w:tcW w:w="80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4"/>
        </w:trPr>
        <w:tc>
          <w:tcPr>
            <w:tcW w:w="8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140" w:type="dxa"/>
            <w:vAlign w:val="bottom"/>
            <w:tcBorders>
              <w:bottom w:val="single" w:sz="8" w:color="CCEEFF"/>
            </w:tcBorders>
            <w:shd w:val="clear" w:color="auto" w:fill="CCEEFF"/>
          </w:tcPr>
          <w:p>
            <w:pPr>
              <w:jc w:val="right"/>
              <w:ind w:right="95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29.6</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7.0 years</w:t>
            </w:r>
          </w:p>
        </w:tc>
      </w:tr>
      <w:tr>
        <w:trPr>
          <w:trHeight w:val="28"/>
        </w:trPr>
        <w:tc>
          <w:tcPr>
            <w:tcW w:w="8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Database</w:t>
            </w: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9.3 years</w:t>
            </w:r>
          </w:p>
        </w:tc>
      </w:tr>
      <w:tr>
        <w:trPr>
          <w:trHeight w:val="28"/>
        </w:trPr>
        <w:tc>
          <w:tcPr>
            <w:tcW w:w="8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37.0</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The goodwill balance from both acquisitions is expected to be deductible for U.S. income tax purposes.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September 30, 2021:</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36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15"/>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84"/>
        </w:trPr>
        <w:tc>
          <w:tcPr>
            <w:tcW w:w="5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15"/>
                <w:szCs w:val="15"/>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30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4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Money market mutual funds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1"/>
        </w:trPr>
        <w:tc>
          <w:tcPr>
            <w:tcW w:w="5360" w:type="dxa"/>
            <w:vAlign w:val="bottom"/>
          </w:tcPr>
          <w:p>
            <w:pPr>
              <w:ind w:left="52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7"/>
        </w:trPr>
        <w:tc>
          <w:tcPr>
            <w:tcW w:w="5360" w:type="dxa"/>
            <w:vAlign w:val="bottom"/>
          </w:tcPr>
          <w:p>
            <w:pPr>
              <w:ind w:left="30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7"/>
        </w:trPr>
        <w:tc>
          <w:tcPr>
            <w:tcW w:w="5360" w:type="dxa"/>
            <w:vAlign w:val="bottom"/>
          </w:tcPr>
          <w:p>
            <w:pPr>
              <w:ind w:left="400"/>
              <w:spacing w:after="0"/>
              <w:rPr>
                <w:sz w:val="20"/>
                <w:szCs w:val="20"/>
                <w:color w:val="auto"/>
              </w:rPr>
            </w:pPr>
            <w:r>
              <w:rPr>
                <w:rFonts w:ascii="Arial" w:cs="Arial" w:eastAsia="Arial" w:hAnsi="Arial"/>
                <w:sz w:val="18"/>
                <w:szCs w:val="18"/>
                <w:color w:val="auto"/>
              </w:rPr>
              <w:t>Securities guaranteed by U.S. government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governmental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1"/>
        </w:trPr>
        <w:tc>
          <w:tcPr>
            <w:tcW w:w="5360" w:type="dxa"/>
            <w:vAlign w:val="bottom"/>
          </w:tcPr>
          <w:p>
            <w:pPr>
              <w:ind w:left="52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cash, cash equivalents, and short-term investments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4"/>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8"/>
        </w:trPr>
        <w:tc>
          <w:tcPr>
            <w:tcW w:w="556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8"/>
        </w:trPr>
        <w:tc>
          <w:tcPr>
            <w:tcW w:w="5560" w:type="dxa"/>
            <w:vAlign w:val="bottom"/>
          </w:tcPr>
          <w:p>
            <w:pPr>
              <w:ind w:left="320"/>
              <w:spacing w:after="0"/>
              <w:rPr>
                <w:sz w:val="20"/>
                <w:szCs w:val="20"/>
                <w:color w:val="auto"/>
              </w:rPr>
            </w:pPr>
            <w:r>
              <w:rPr>
                <w:rFonts w:ascii="Arial" w:cs="Arial" w:eastAsia="Arial" w:hAnsi="Arial"/>
                <w:sz w:val="18"/>
                <w:szCs w:val="18"/>
                <w:color w:val="auto"/>
              </w:rPr>
              <w:t>Money market mutual funds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1"/>
        </w:trPr>
        <w:tc>
          <w:tcPr>
            <w:tcW w:w="5560" w:type="dxa"/>
            <w:vAlign w:val="bottom"/>
          </w:tcPr>
          <w:p>
            <w:pPr>
              <w:ind w:left="44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8"/>
        </w:trPr>
        <w:tc>
          <w:tcPr>
            <w:tcW w:w="55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8"/>
        </w:trPr>
        <w:tc>
          <w:tcPr>
            <w:tcW w:w="5560" w:type="dxa"/>
            <w:vAlign w:val="bottom"/>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58"/>
        </w:trPr>
        <w:tc>
          <w:tcPr>
            <w:tcW w:w="5560" w:type="dxa"/>
            <w:vAlign w:val="bottom"/>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See Note 10 for further information regarding the fair value of our financial instruments.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unrealized losses on our available-for sale securities were immaterial at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cost and estimated fair value of the securities classified as short-term investments based on stated effective maturities as of September 30, 2021 and December 31,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5"/>
                <w:szCs w:val="15"/>
                <w:color w:val="auto"/>
              </w:rPr>
            </w:pPr>
          </w:p>
        </w:tc>
        <w:tc>
          <w:tcPr>
            <w:tcW w:w="4020" w:type="dxa"/>
            <w:vAlign w:val="bottom"/>
            <w:gridSpan w:val="4"/>
          </w:tcPr>
          <w:p>
            <w:pPr>
              <w:ind w:left="1380"/>
              <w:spacing w:after="0"/>
              <w:rPr>
                <w:sz w:val="20"/>
                <w:szCs w:val="20"/>
                <w:color w:val="auto"/>
              </w:rPr>
            </w:pPr>
            <w:r>
              <w:rPr>
                <w:rFonts w:ascii="Arial" w:cs="Arial" w:eastAsia="Arial" w:hAnsi="Arial"/>
                <w:sz w:val="14"/>
                <w:szCs w:val="14"/>
                <w:b w:val="1"/>
                <w:bCs w:val="1"/>
                <w:color w:val="auto"/>
              </w:rPr>
              <w:t>September 30, 2021</w:t>
            </w:r>
          </w:p>
        </w:tc>
        <w:tc>
          <w:tcPr>
            <w:tcW w:w="940" w:type="dxa"/>
            <w:vAlign w:val="bottom"/>
          </w:tcPr>
          <w:p>
            <w:pPr>
              <w:spacing w:after="0"/>
              <w:rPr>
                <w:sz w:val="15"/>
                <w:szCs w:val="15"/>
                <w:color w:val="auto"/>
              </w:rPr>
            </w:pPr>
          </w:p>
        </w:tc>
        <w:tc>
          <w:tcPr>
            <w:tcW w:w="1760" w:type="dxa"/>
            <w:vAlign w:val="bottom"/>
            <w:gridSpan w:val="7"/>
          </w:tcPr>
          <w:p>
            <w:pPr>
              <w:jc w:val="right"/>
              <w:ind w:right="72"/>
              <w:spacing w:after="0"/>
              <w:rPr>
                <w:sz w:val="20"/>
                <w:szCs w:val="20"/>
                <w:color w:val="auto"/>
              </w:rPr>
            </w:pPr>
            <w:r>
              <w:rPr>
                <w:rFonts w:ascii="Arial" w:cs="Arial" w:eastAsia="Arial" w:hAnsi="Arial"/>
                <w:sz w:val="14"/>
                <w:szCs w:val="14"/>
                <w:b w:val="1"/>
                <w:bCs w:val="1"/>
                <w:color w:val="auto"/>
              </w:rPr>
              <w:t>December 31, 2020</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80" w:type="dxa"/>
            <w:vAlign w:val="bottom"/>
            <w:vMerge w:val="continue"/>
          </w:tcPr>
          <w:p>
            <w:pPr>
              <w:spacing w:after="0"/>
              <w:rPr>
                <w:sz w:val="19"/>
                <w:szCs w:val="19"/>
                <w:color w:val="auto"/>
              </w:rPr>
            </w:pPr>
          </w:p>
        </w:tc>
        <w:tc>
          <w:tcPr>
            <w:tcW w:w="2020" w:type="dxa"/>
            <w:vAlign w:val="bottom"/>
            <w:gridSpan w:val="2"/>
          </w:tcPr>
          <w:p>
            <w:pPr>
              <w:ind w:left="480"/>
              <w:spacing w:after="0"/>
              <w:rPr>
                <w:sz w:val="20"/>
                <w:szCs w:val="20"/>
                <w:color w:val="auto"/>
              </w:rPr>
            </w:pPr>
            <w:r>
              <w:rPr>
                <w:rFonts w:ascii="Arial" w:cs="Arial" w:eastAsia="Arial" w:hAnsi="Arial"/>
                <w:sz w:val="14"/>
                <w:szCs w:val="14"/>
                <w:b w:val="1"/>
                <w:bCs w:val="1"/>
                <w:color w:val="auto"/>
              </w:rPr>
              <w:t>Amortized Cost</w:t>
            </w:r>
          </w:p>
        </w:tc>
        <w:tc>
          <w:tcPr>
            <w:tcW w:w="2000" w:type="dxa"/>
            <w:vAlign w:val="bottom"/>
            <w:gridSpan w:val="2"/>
          </w:tcPr>
          <w:p>
            <w:pPr>
              <w:ind w:left="320"/>
              <w:spacing w:after="0"/>
              <w:rPr>
                <w:sz w:val="20"/>
                <w:szCs w:val="20"/>
                <w:color w:val="auto"/>
              </w:rPr>
            </w:pPr>
            <w:r>
              <w:rPr>
                <w:rFonts w:ascii="Arial" w:cs="Arial" w:eastAsia="Arial" w:hAnsi="Arial"/>
                <w:sz w:val="14"/>
                <w:szCs w:val="14"/>
                <w:b w:val="1"/>
                <w:bCs w:val="1"/>
                <w:color w:val="auto"/>
              </w:rPr>
              <w:t>Estimated Fair Value</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 Cost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2"/>
              </w:rPr>
              <w:t>Estimated Fair Value</w:t>
            </w:r>
          </w:p>
        </w:tc>
        <w:tc>
          <w:tcPr>
            <w:tcW w:w="0" w:type="dxa"/>
            <w:vAlign w:val="bottom"/>
          </w:tcPr>
          <w:p>
            <w:pPr>
              <w:spacing w:after="0"/>
              <w:rPr>
                <w:sz w:val="1"/>
                <w:szCs w:val="1"/>
                <w:color w:val="auto"/>
              </w:rPr>
            </w:pPr>
          </w:p>
        </w:tc>
      </w:tr>
      <w:tr>
        <w:trPr>
          <w:trHeight w:val="24"/>
        </w:trPr>
        <w:tc>
          <w:tcPr>
            <w:tcW w:w="32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4"/>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57"/>
        </w:trPr>
        <w:tc>
          <w:tcPr>
            <w:tcW w:w="3280" w:type="dxa"/>
            <w:vAlign w:val="bottom"/>
          </w:tcPr>
          <w:p>
            <w:pPr>
              <w:ind w:left="2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$30.6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Note 6 - Property and Equipment</w:t>
            </w: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32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00" w:type="dxa"/>
            <w:vAlign w:val="bottom"/>
            <w:gridSpan w:val="3"/>
          </w:tcPr>
          <w:p>
            <w:pPr>
              <w:ind w:left="320"/>
              <w:spacing w:after="0"/>
              <w:rPr>
                <w:sz w:val="20"/>
                <w:szCs w:val="20"/>
                <w:color w:val="auto"/>
              </w:rPr>
            </w:pPr>
            <w:r>
              <w:rPr>
                <w:rFonts w:ascii="Arial" w:cs="Arial" w:eastAsia="Arial" w:hAnsi="Arial"/>
                <w:sz w:val="18"/>
                <w:szCs w:val="18"/>
                <w:color w:val="auto"/>
              </w:rPr>
              <w:t>The Company’s fixed assets consist of the following:</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8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6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3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Arial" w:cs="Arial" w:eastAsia="Arial" w:hAnsi="Arial"/>
                <w:sz w:val="18"/>
                <w:szCs w:val="18"/>
                <w:color w:val="auto"/>
              </w:rPr>
              <w:t>Internal use developed software</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1"/>
        </w:trPr>
        <w:tc>
          <w:tcPr>
            <w:tcW w:w="3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65.0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58"/>
        </w:trPr>
        <w:tc>
          <w:tcPr>
            <w:tcW w:w="32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During the nine months ended September 30, 2021, in relation to our Waltham office relocation, we recorded an impairment charge of $2.7 million, comprised of $1.5 million relating to the operating lease right-of-use asset, and $1.2 million relating to the leasehold improvements. We also recorded accelerated depreciation of furniture and fixtures of $2.1 million. These charges were recognized within </w:t>
      </w:r>
      <w:r>
        <w:rPr>
          <w:rFonts w:ascii="Arial" w:cs="Arial" w:eastAsia="Arial" w:hAnsi="Arial"/>
          <w:sz w:val="18"/>
          <w:szCs w:val="18"/>
          <w:i w:val="1"/>
          <w:iCs w:val="1"/>
          <w:color w:val="auto"/>
        </w:rPr>
        <w:t>Restructuring and transaction-related expenses</w:t>
      </w:r>
      <w:r>
        <w:rPr>
          <w:rFonts w:ascii="Arial" w:cs="Arial" w:eastAsia="Arial" w:hAnsi="Arial"/>
          <w:sz w:val="18"/>
          <w:szCs w:val="18"/>
          <w:color w:val="auto"/>
        </w:rPr>
        <w:t xml:space="preserve"> in our Consolidated Statements of Operations.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expense was $2.9 million and $2.4 million for the three months ended September 30, 2021 and 2020, respectively. Depreciation expense was $10.4 million and $6.4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September 30,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59"/>
        </w:trPr>
        <w:tc>
          <w:tcPr>
            <w:tcW w:w="4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Amortization Period in</w:t>
            </w:r>
          </w:p>
        </w:tc>
        <w:tc>
          <w:tcPr>
            <w:tcW w:w="0" w:type="dxa"/>
            <w:vAlign w:val="bottom"/>
          </w:tcPr>
          <w:p>
            <w:pPr>
              <w:spacing w:after="0"/>
              <w:rPr>
                <w:sz w:val="1"/>
                <w:szCs w:val="1"/>
                <w:color w:val="auto"/>
              </w:rPr>
            </w:pPr>
          </w:p>
        </w:tc>
      </w:tr>
      <w:tr>
        <w:trPr>
          <w:trHeight w:val="184"/>
        </w:trPr>
        <w:tc>
          <w:tcPr>
            <w:tcW w:w="4640" w:type="dxa"/>
            <w:vAlign w:val="bottom"/>
            <w:vMerge w:val="continue"/>
          </w:tcPr>
          <w:p>
            <w:pPr>
              <w:spacing w:after="0"/>
              <w:rPr>
                <w:sz w:val="15"/>
                <w:szCs w:val="15"/>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5"/>
                <w:szCs w:val="15"/>
                <w:color w:val="auto"/>
              </w:rPr>
            </w:pPr>
          </w:p>
        </w:tc>
        <w:tc>
          <w:tcPr>
            <w:tcW w:w="1180" w:type="dxa"/>
            <w:vAlign w:val="bottom"/>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4"/>
        </w:trPr>
        <w:tc>
          <w:tcPr>
            <w:tcW w:w="4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284.2</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
        </w:trPr>
        <w:tc>
          <w:tcPr>
            <w:tcW w:w="4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Amortization expense was $16.1 million and $10.1 million for the three months ended September 30, 2021 and 2020, respectively. Amortization expense was $39.2 million and $30.6 million for the nine months ended September 30, 2021 and 2020,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0" w:type="dxa"/>
            <w:vAlign w:val="bottom"/>
          </w:tcPr>
          <w:p>
            <w:pPr>
              <w:ind w:left="320"/>
              <w:spacing w:after="0"/>
              <w:rPr>
                <w:sz w:val="20"/>
                <w:szCs w:val="20"/>
                <w:color w:val="auto"/>
              </w:rPr>
            </w:pPr>
            <w:r>
              <w:rPr>
                <w:rFonts w:ascii="Arial" w:cs="Arial" w:eastAsia="Arial" w:hAnsi="Arial"/>
                <w:sz w:val="18"/>
                <w:szCs w:val="18"/>
                <w:color w:val="auto"/>
              </w:rPr>
              <w:t>The following summarized changes to the Company’s goodwill (in millions):</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6"/>
        </w:trPr>
        <w:tc>
          <w:tcPr>
            <w:tcW w:w="9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1,000.1</w:t>
            </w:r>
          </w:p>
        </w:tc>
      </w:tr>
      <w:tr>
        <w:trPr>
          <w:trHeight w:val="238"/>
        </w:trPr>
        <w:tc>
          <w:tcPr>
            <w:tcW w:w="9600" w:type="dxa"/>
            <w:vAlign w:val="bottom"/>
          </w:tcPr>
          <w:p>
            <w:pPr>
              <w:ind w:left="240"/>
              <w:spacing w:after="0"/>
              <w:rPr>
                <w:sz w:val="20"/>
                <w:szCs w:val="20"/>
                <w:color w:val="auto"/>
              </w:rPr>
            </w:pPr>
            <w:r>
              <w:rPr>
                <w:rFonts w:ascii="Arial" w:cs="Arial" w:eastAsia="Arial" w:hAnsi="Arial"/>
                <w:sz w:val="18"/>
                <w:szCs w:val="18"/>
                <w:color w:val="auto"/>
              </w:rPr>
              <w:t>Adjustment from 2020 acquisition</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Goodwill from 2021 acquisitions</w:t>
            </w: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r>
      <w:tr>
        <w:trPr>
          <w:trHeight w:val="258"/>
        </w:trPr>
        <w:tc>
          <w:tcPr>
            <w:tcW w:w="960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1,575.4</w:t>
            </w: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nine months ended September 30, 2021 or September 30,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and December 31, 2020, the carrying values of the Company’s borrowings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24"/>
        </w:trPr>
        <w:tc>
          <w:tcPr>
            <w:tcW w:w="21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Instrument</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Date of Issuance</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Maturity Date</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Elected Interest Rate</w:t>
            </w: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180" w:type="dxa"/>
            <w:vAlign w:val="bottom"/>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5"/>
                <w:szCs w:val="15"/>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4"/>
        </w:trPr>
        <w:tc>
          <w:tcPr>
            <w:tcW w:w="21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2026</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LIBOR + 3.00%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38"/>
        </w:trPr>
        <w:tc>
          <w:tcPr>
            <w:tcW w:w="2180" w:type="dxa"/>
            <w:vAlign w:val="bottom"/>
          </w:tcPr>
          <w:p>
            <w:pPr>
              <w:ind w:left="20"/>
              <w:spacing w:after="0"/>
              <w:rPr>
                <w:sz w:val="20"/>
                <w:szCs w:val="20"/>
                <w:color w:val="auto"/>
              </w:rPr>
            </w:pPr>
            <w:r>
              <w:rPr>
                <w:rFonts w:ascii="Arial" w:cs="Arial" w:eastAsia="Arial" w:hAnsi="Arial"/>
                <w:sz w:val="18"/>
                <w:szCs w:val="18"/>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November 2, 2025</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LIBOR + 2.00%</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2, 2021</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2029</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Arial" w:cs="Arial" w:eastAsia="Arial" w:hAnsi="Arial"/>
                <w:sz w:val="18"/>
                <w:szCs w:val="18"/>
                <w:color w:val="auto"/>
              </w:rPr>
              <w:t>Total Carrying Value of</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2180" w:type="dxa"/>
            <w:vAlign w:val="bottom"/>
          </w:tcPr>
          <w:p>
            <w:pPr>
              <w:ind w:left="20"/>
              <w:spacing w:after="0"/>
              <w:rPr>
                <w:sz w:val="20"/>
                <w:szCs w:val="20"/>
                <w:color w:val="auto"/>
              </w:rPr>
            </w:pPr>
            <w:r>
              <w:rPr>
                <w:rFonts w:ascii="Arial" w:cs="Arial" w:eastAsia="Arial" w:hAnsi="Arial"/>
                <w:sz w:val="18"/>
                <w:szCs w:val="18"/>
                <w:color w:val="auto"/>
              </w:rPr>
              <w:t>Total Long Term Debt</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February 2021, ZoomInfo Technologies LLC and ZoomInfo Finance Corp., indirect subsidiaries of ZoomInfo Technologies Inc.,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2021, ZoomInfo Technologies LLC and ZoomInfo Finance Corp., indirect subsidiaries of ZoomInfo Technologies Inc., issued and sold $300.0 million in aggregate principal amount of additional 3.875% senior notes due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February 2021, we used all of the net proceeds from issuance of the Senior Notes, along with cash on hand, to prepay $356.4 million aggregate principal amount of our first lien term loans outstanding under the First Lien Credit Agreement (the “Debt Prepayment”). Following the Debt Prepayment, $400.0 million aggregate principal amount of first lien term loans were outstanding under our First Lien Credit Agreement. In February 2021, we entered into an amendment to our First Lien Credit Agreement (the “Second Amendment”), pursuant to which the Company completed a repricing of its First Lien Term Loan Facility, which decreased the interest rate from LIBOR plus 3.75% per annum to LIBOR plus 3.00% per annum. The Company recognized $7.7 million in the nine months ended September 30, 2021 within </w:t>
      </w:r>
      <w:r>
        <w:rPr>
          <w:rFonts w:ascii="Arial" w:cs="Arial" w:eastAsia="Arial" w:hAnsi="Arial"/>
          <w:sz w:val="17"/>
          <w:szCs w:val="17"/>
          <w:i w:val="1"/>
          <w:iCs w:val="1"/>
          <w:color w:val="auto"/>
        </w:rPr>
        <w:t>Loss on debt modification and extinguishment</w:t>
      </w:r>
      <w:r>
        <w:rPr>
          <w:rFonts w:ascii="Arial" w:cs="Arial" w:eastAsia="Arial" w:hAnsi="Arial"/>
          <w:sz w:val="17"/>
          <w:szCs w:val="17"/>
          <w:color w:val="auto"/>
        </w:rPr>
        <w:t xml:space="preserve"> on the Consolidated Statements of Operations, primarily comprised of the write-off of unamortized issuance costs associated with the Debt Prepayment.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we entered into an amendment to our existing First Lien Credit Agreement, that provided for the incurrence of an additional $200.0 million aggregate principal amount of additional term loans under our existing First Lien Credit Agreement.</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first lien term debt has a variable interest rate whereby the Company can elect to use a Base Rate or the London Interbank Offer Rate (“LIBOR”) plus an applicable rate. The applicable rate is 2.00% for Base Rate loans or 3.00% for LIBOR Based Loans. The effective interest rate on the first lien debt was 3.39% and 4.30% as of September 30, 2021 and December 31, 2020,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Revolving Credit Facility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Pursuant to the Second Amendment to the First Lien Credit Agreement entered into in February 2021, the Company increased the aggregate commitments to $250.0 million under our first lien revolving credit facility. The Second Amendment also provided an extension of the maturity date of our first lien revolving credit facility to November 2025. The first lien revolving debt has a variable interest rate whereby the Company can elect to use a Base Rate or the London Interbank Offer Rate (“LIBOR”) plus an applicable rate. The applicable margin is 1.00% to 1.25% for Base Rate loans or 2.00% to 2.25% for LIBOR Based Loans, depending on the Company’s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March 2020, the Company drew down $35.0 million under the revolving credit facility. In June 2020, the Company paid off the outstanding $35.0 million balance of the revolving credit facility with proceeds from the IPO. The effective interest rate was 3.70% as of the repayment date. In July 2021, the Company drew down $225.0 million under the revolving credit facility and then paid off the outstanding $225.0 million balance of the revolving credit facility with proceeds from the Credit Agreement Amendment and proceeds from the Senior Notes. The effective interest rate was 4.44% as of the repayment date. Immaterial debt issuance costs were incurred in connection with these entries into the revolving credit facility. These debt issuance costs are amortized into interest expense over the expected life of the arrangement. Unamortized debt issuance costs included in </w:t>
      </w:r>
      <w:r>
        <w:rPr>
          <w:rFonts w:ascii="Arial" w:cs="Arial" w:eastAsia="Arial" w:hAnsi="Arial"/>
          <w:sz w:val="15"/>
          <w:szCs w:val="15"/>
          <w:i w:val="1"/>
          <w:iCs w:val="1"/>
          <w:color w:val="auto"/>
        </w:rPr>
        <w:t>Deferred costs, net of current portion</w:t>
      </w:r>
      <w:r>
        <w:rPr>
          <w:rFonts w:ascii="Arial" w:cs="Arial" w:eastAsia="Arial" w:hAnsi="Arial"/>
          <w:sz w:val="15"/>
          <w:szCs w:val="15"/>
          <w:color w:val="auto"/>
        </w:rPr>
        <w:t xml:space="preserve"> on the accompanying Condensed Consolidated Balance Sheets were immaterial as of September 30, 2021 and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28"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19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We recognize derivative instruments and hedging activities on a gross basis as either assets or liabilities on the Company’s Condensed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effective portion of the derivative is recognized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on our Condensed Consolidated Balance Sheets. To receive hedge accounting treatment, all hedging relationships are formally documented at the inception of the hedge, and the hedges must be highly effective in offsetting changes to future cash flows on hedged transactions.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February 2021, concurrent with the prepayment of $356.4 million aggregate principal amount of the first lien term loans outstanding under the First Lien Credit Agreement, we fully dedesignated the interest rate cap contract and partially dedesignated $100.0 million of the notional amount of one of the forward-starting interest rate swap contracts. In July 2021, the Company redesignated $100.0 million of available notional of the partially dedesignated forward-starting interest rate swap contract and redesignated $100.0 million of available notional of the interest-rate cap contract in connection with the incurrence of an incremental $200.0 million of variable-rate debt under the First Lien Credit Agreement. As of September 30, 2021, $400.0 million of the notional amount of the interest rate cap contract is not designated as an accounting hedge. Gains and losses resulting from valuation adjustments on dedesignated portions of our derivative contract subsequent to dedesignation of hedge accounting are recorded within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in our Consolidated Statements of Operations. As it is not probable the forecasted transaction will not occur, the amounts in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xml:space="preserve"> as of the date of dedesignation will be released based on our original forecast.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the Company had the following outstanding interest rate derivatives that were designated as cash flow hedges of interest rate risk ($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ind w:left="1020"/>
              <w:spacing w:after="0"/>
              <w:rPr>
                <w:sz w:val="20"/>
                <w:szCs w:val="20"/>
                <w:color w:val="auto"/>
              </w:rPr>
            </w:pPr>
            <w:r>
              <w:rPr>
                <w:rFonts w:ascii="Arial" w:cs="Arial" w:eastAsia="Arial" w:hAnsi="Arial"/>
                <w:sz w:val="14"/>
                <w:szCs w:val="14"/>
                <w:b w:val="1"/>
                <w:bCs w:val="1"/>
                <w:color w:val="auto"/>
              </w:rPr>
              <w:t>Interest Rate Derivatives</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Notional Aggregate</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84"/>
        </w:trPr>
        <w:tc>
          <w:tcPr>
            <w:tcW w:w="3640" w:type="dxa"/>
            <w:vAlign w:val="bottom"/>
            <w:gridSpan w:val="2"/>
          </w:tcPr>
          <w:p>
            <w:pPr>
              <w:ind w:left="1500"/>
              <w:spacing w:after="0"/>
              <w:rPr>
                <w:sz w:val="20"/>
                <w:szCs w:val="20"/>
                <w:color w:val="auto"/>
              </w:rPr>
            </w:pPr>
            <w:r>
              <w:rPr>
                <w:rFonts w:ascii="Arial" w:cs="Arial" w:eastAsia="Arial" w:hAnsi="Arial"/>
                <w:sz w:val="14"/>
                <w:szCs w:val="14"/>
                <w:b w:val="1"/>
                <w:bCs w:val="1"/>
                <w:color w:val="auto"/>
              </w:rPr>
              <w:t>(Level 2)</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of Instruments</w:t>
            </w: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Principal Amount</w:t>
            </w:r>
          </w:p>
        </w:tc>
        <w:tc>
          <w:tcPr>
            <w:tcW w:w="20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 Cap / Swap Rate</w:t>
            </w:r>
          </w:p>
        </w:tc>
        <w:tc>
          <w:tcPr>
            <w:tcW w:w="1760" w:type="dxa"/>
            <w:vAlign w:val="bottom"/>
          </w:tcPr>
          <w:p>
            <w:pPr>
              <w:jc w:val="right"/>
              <w:ind w:right="376"/>
              <w:spacing w:after="0"/>
              <w:rPr>
                <w:sz w:val="20"/>
                <w:szCs w:val="20"/>
                <w:color w:val="auto"/>
              </w:rPr>
            </w:pPr>
            <w:r>
              <w:rPr>
                <w:rFonts w:ascii="Arial" w:cs="Arial" w:eastAsia="Arial" w:hAnsi="Arial"/>
                <w:sz w:val="14"/>
                <w:szCs w:val="14"/>
                <w:b w:val="1"/>
                <w:bCs w:val="1"/>
                <w:color w:val="auto"/>
              </w:rPr>
              <w:t>Maturity Date</w:t>
            </w:r>
          </w:p>
        </w:tc>
      </w:tr>
      <w:tr>
        <w:trPr>
          <w:trHeight w:val="24"/>
        </w:trPr>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One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30, 2024</w:t>
            </w:r>
          </w:p>
        </w:tc>
      </w:tr>
      <w:tr>
        <w:trPr>
          <w:trHeight w:val="238"/>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Two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2.301 %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April 29, 2022</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6"/>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Forward-starting interest rate swap contracts -</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2022</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Two</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30, 2026</w:t>
            </w:r>
          </w:p>
        </w:tc>
      </w:tr>
      <w:tr>
        <w:trPr>
          <w:trHeight w:val="28"/>
        </w:trPr>
        <w:tc>
          <w:tcPr>
            <w:tcW w:w="3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ind w:left="320"/>
              <w:spacing w:after="0"/>
              <w:rPr>
                <w:sz w:val="20"/>
                <w:szCs w:val="20"/>
                <w:color w:val="auto"/>
              </w:rPr>
            </w:pPr>
            <w:r>
              <w:rPr>
                <w:rFonts w:ascii="Arial" w:cs="Arial" w:eastAsia="Arial" w:hAnsi="Arial"/>
                <w:sz w:val="18"/>
                <w:szCs w:val="18"/>
                <w:color w:val="auto"/>
              </w:rPr>
              <w:t>The following table summarizes the fair value</w:t>
            </w:r>
          </w:p>
        </w:tc>
        <w:tc>
          <w:tcPr>
            <w:tcW w:w="3700" w:type="dxa"/>
            <w:vAlign w:val="bottom"/>
            <w:gridSpan w:val="7"/>
          </w:tcPr>
          <w:p>
            <w:pPr>
              <w:jc w:val="right"/>
              <w:ind w:right="14"/>
              <w:spacing w:after="0"/>
              <w:rPr>
                <w:sz w:val="20"/>
                <w:szCs w:val="20"/>
                <w:color w:val="auto"/>
              </w:rPr>
            </w:pPr>
            <w:r>
              <w:rPr>
                <w:rFonts w:ascii="Arial" w:cs="Arial" w:eastAsia="Arial" w:hAnsi="Arial"/>
                <w:sz w:val="18"/>
                <w:szCs w:val="18"/>
                <w:color w:val="auto"/>
                <w:w w:val="95"/>
              </w:rPr>
              <w:t>and presentation in the Company’s Condensed</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85"/>
              </w:rPr>
              <w:t>Consolidated</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w w:val="95"/>
              </w:rPr>
              <w:t>Balance Sheets for</w:t>
            </w: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derivatives as</w:t>
            </w:r>
          </w:p>
        </w:tc>
        <w:tc>
          <w:tcPr>
            <w:tcW w:w="0" w:type="dxa"/>
            <w:vAlign w:val="bottom"/>
          </w:tcPr>
          <w:p>
            <w:pPr>
              <w:spacing w:after="0"/>
              <w:rPr>
                <w:sz w:val="1"/>
                <w:szCs w:val="1"/>
                <w:color w:val="auto"/>
              </w:rPr>
            </w:pPr>
          </w:p>
        </w:tc>
      </w:tr>
      <w:tr>
        <w:trPr>
          <w:trHeight w:val="223"/>
        </w:trPr>
        <w:tc>
          <w:tcPr>
            <w:tcW w:w="4500" w:type="dxa"/>
            <w:vAlign w:val="bottom"/>
            <w:gridSpan w:val="4"/>
          </w:tcPr>
          <w:p>
            <w:pPr>
              <w:spacing w:after="0"/>
              <w:rPr>
                <w:sz w:val="20"/>
                <w:szCs w:val="20"/>
                <w:color w:val="auto"/>
              </w:rPr>
            </w:pPr>
            <w:r>
              <w:rPr>
                <w:rFonts w:ascii="Arial" w:cs="Arial" w:eastAsia="Arial" w:hAnsi="Arial"/>
                <w:sz w:val="18"/>
                <w:szCs w:val="18"/>
                <w:color w:val="auto"/>
                <w:w w:val="92"/>
              </w:rPr>
              <w:t>of September 30, 2021 and December 31, 2020 (in millions):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6"/>
          </w:tcPr>
          <w:p>
            <w:pPr>
              <w:ind w:left="520"/>
              <w:spacing w:after="0"/>
              <w:rPr>
                <w:sz w:val="20"/>
                <w:szCs w:val="20"/>
                <w:color w:val="auto"/>
              </w:rPr>
            </w:pPr>
            <w:r>
              <w:rPr>
                <w:rFonts w:ascii="Arial" w:cs="Arial" w:eastAsia="Arial" w:hAnsi="Arial"/>
                <w:sz w:val="14"/>
                <w:szCs w:val="14"/>
                <w:b w:val="1"/>
                <w:bCs w:val="1"/>
                <w:color w:val="auto"/>
              </w:rPr>
              <w:t>Fair Value of Derivative Liabilities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96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Instrument</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Derivative Liabilities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ind w:left="300"/>
              <w:spacing w:after="0"/>
              <w:rPr>
                <w:sz w:val="20"/>
                <w:szCs w:val="20"/>
                <w:color w:val="auto"/>
              </w:rPr>
            </w:pPr>
            <w:r>
              <w:rPr>
                <w:rFonts w:ascii="Arial" w:cs="Arial" w:eastAsia="Arial" w:hAnsi="Arial"/>
                <w:sz w:val="14"/>
                <w:szCs w:val="14"/>
                <w:b w:val="1"/>
                <w:bCs w:val="1"/>
                <w:color w:val="auto"/>
              </w:rPr>
              <w:t>Derivative Assets</w:t>
            </w:r>
          </w:p>
        </w:tc>
        <w:tc>
          <w:tcPr>
            <w:tcW w:w="1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4"/>
        </w:trPr>
        <w:tc>
          <w:tcPr>
            <w:tcW w:w="3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960" w:type="dxa"/>
            <w:vAlign w:val="bottom"/>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5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980" w:type="dxa"/>
            <w:vAlign w:val="bottom"/>
            <w:gridSpan w:val="3"/>
          </w:tcPr>
          <w:p>
            <w:pPr>
              <w:jc w:val="right"/>
              <w:ind w:right="64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18"/>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5"/>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5"/>
        </w:trPr>
        <w:tc>
          <w:tcPr>
            <w:tcW w:w="3960" w:type="dxa"/>
            <w:vAlign w:val="bottom"/>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5"/>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5"/>
        </w:trPr>
        <w:tc>
          <w:tcPr>
            <w:tcW w:w="3960" w:type="dxa"/>
            <w:vAlign w:val="bottom"/>
          </w:tcPr>
          <w:p>
            <w:pPr>
              <w:ind w:left="240"/>
              <w:spacing w:after="0"/>
              <w:rPr>
                <w:sz w:val="20"/>
                <w:szCs w:val="20"/>
                <w:color w:val="auto"/>
              </w:rPr>
            </w:pPr>
            <w:r>
              <w:rPr>
                <w:rFonts w:ascii="Arial" w:cs="Arial" w:eastAsia="Arial" w:hAnsi="Arial"/>
                <w:sz w:val="18"/>
                <w:szCs w:val="18"/>
                <w:color w:val="auto"/>
                <w:w w:val="98"/>
              </w:rPr>
              <w:t>Forward-starting interest rate swap contracts</w:t>
            </w:r>
            <w:r>
              <w:rPr>
                <w:rFonts w:ascii="Arial" w:cs="Arial" w:eastAsia="Arial" w:hAnsi="Arial"/>
                <w:sz w:val="22"/>
                <w:szCs w:val="22"/>
                <w:color w:val="auto"/>
                <w:w w:val="98"/>
                <w:vertAlign w:val="superscript"/>
              </w:rPr>
              <w:t>(1)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Forward-starting interest rate swap contracts</w:t>
            </w:r>
            <w:r>
              <w:rPr>
                <w:rFonts w:ascii="Arial" w:cs="Arial" w:eastAsia="Arial" w:hAnsi="Arial"/>
                <w:sz w:val="22"/>
                <w:szCs w:val="22"/>
                <w:color w:val="auto"/>
                <w:w w:val="98"/>
                <w:vertAlign w:val="superscript"/>
              </w:rPr>
              <w:t>(3)</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3960" w:type="dxa"/>
            <w:vAlign w:val="bottom"/>
          </w:tcPr>
          <w:p>
            <w:pPr>
              <w:ind w:left="20"/>
              <w:spacing w:after="0"/>
              <w:rPr>
                <w:sz w:val="20"/>
                <w:szCs w:val="20"/>
                <w:color w:val="auto"/>
              </w:rPr>
            </w:pPr>
            <w:r>
              <w:rPr>
                <w:rFonts w:ascii="Arial" w:cs="Arial" w:eastAsia="Arial" w:hAnsi="Arial"/>
                <w:sz w:val="18"/>
                <w:szCs w:val="18"/>
                <w:color w:val="auto"/>
              </w:rPr>
              <w:t>Total designated derivative fair 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8"/>
        </w:trPr>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w w:val="97"/>
              </w:rPr>
              <w:t>Derivatives not designated as hedging instruments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5"/>
        </w:trPr>
        <w:tc>
          <w:tcPr>
            <w:tcW w:w="3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(2)</w:t>
            </w:r>
          </w:p>
        </w:tc>
        <w:tc>
          <w:tcPr>
            <w:tcW w:w="2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undesignated derivative fair value</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8"/>
        </w:trPr>
        <w:tc>
          <w:tcPr>
            <w:tcW w:w="3960" w:type="dxa"/>
            <w:vAlign w:val="bottom"/>
          </w:tcPr>
          <w:p>
            <w:pPr>
              <w:ind w:left="20"/>
              <w:spacing w:after="0"/>
              <w:rPr>
                <w:sz w:val="20"/>
                <w:szCs w:val="20"/>
                <w:color w:val="auto"/>
              </w:rPr>
            </w:pPr>
            <w:r>
              <w:rPr>
                <w:rFonts w:ascii="Arial" w:cs="Arial" w:eastAsia="Arial" w:hAnsi="Arial"/>
                <w:sz w:val="18"/>
                <w:szCs w:val="18"/>
                <w:color w:val="auto"/>
              </w:rPr>
              <w:t>Total derivative fair value</w:t>
            </w:r>
          </w:p>
        </w:tc>
        <w:tc>
          <w:tcPr>
            <w:tcW w:w="3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 w:lineRule="exact"/>
        <w:rPr>
          <w:sz w:val="20"/>
          <w:szCs w:val="20"/>
          <w:color w:val="auto"/>
        </w:rPr>
      </w:pPr>
    </w:p>
    <w:p>
      <w:pPr>
        <w:ind w:left="200" w:hanging="194"/>
        <w:spacing w:after="0"/>
        <w:tabs>
          <w:tab w:leader="none" w:pos="2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on our Condensed Consolidated Balance Sheets.</w:t>
      </w:r>
    </w:p>
    <w:p>
      <w:pPr>
        <w:ind w:left="200" w:hanging="194"/>
        <w:spacing w:after="0" w:line="237" w:lineRule="auto"/>
        <w:tabs>
          <w:tab w:leader="none" w:pos="2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Other long-term liabilities</w:t>
      </w:r>
      <w:r>
        <w:rPr>
          <w:rFonts w:ascii="Arial" w:cs="Arial" w:eastAsia="Arial" w:hAnsi="Arial"/>
          <w:sz w:val="14"/>
          <w:szCs w:val="14"/>
          <w:color w:val="auto"/>
        </w:rPr>
        <w:t xml:space="preserve"> on our Condensed Consolidated Balance Sheets.</w:t>
      </w:r>
    </w:p>
    <w:p>
      <w:pPr>
        <w:ind w:left="200" w:hanging="194"/>
        <w:spacing w:after="0"/>
        <w:tabs>
          <w:tab w:leader="none" w:pos="2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Deferred costs and other assets, net of current portion</w:t>
      </w:r>
      <w:r>
        <w:rPr>
          <w:rFonts w:ascii="Arial" w:cs="Arial" w:eastAsia="Arial" w:hAnsi="Arial"/>
          <w:sz w:val="14"/>
          <w:szCs w:val="14"/>
          <w:color w:val="auto"/>
        </w:rPr>
        <w:t xml:space="preserve"> on our Condensed Consolidated Balance Sheets.</w:t>
      </w:r>
    </w:p>
    <w:p>
      <w:pPr>
        <w:spacing w:after="0" w:line="25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change in fair value of any derivative instruments was recorded, net of income tax,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(“AOCI”) on the Company’s Condensed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and as operating cash flows in our Consolidated Statements of Cash Flows in the period settled in cash. Income tax effects from changes in fair value of derivative instruments are recorded in our Consolidated Statements of Operations when the derivative instruments are settled. Over the next 12 months, we expect to reclassify approximately $4.1 million into interest expense from AOCI.</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of the fair value hierarchy. We classify our corporate debt securities, securities guaranteed by U.S. government, and other governmental securities as Level 2 of the fair value hierarchy. The carrying values of the Company's debt instruments approximate their fair value based on Level 2 inputs since the instruments carry variable interest rates based on LIBOR or other applicable reference rates.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2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(in millions) of our financial assets and (liabilities) was determined using the following inputs: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September 30, 2021</w:t>
            </w:r>
          </w:p>
        </w:tc>
        <w:tc>
          <w:tcPr>
            <w:tcW w:w="110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0"/>
                <w:szCs w:val="20"/>
                <w:color w:val="auto"/>
              </w:rPr>
            </w:pPr>
          </w:p>
        </w:tc>
        <w:tc>
          <w:tcPr>
            <w:tcW w:w="124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4"/>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7"/>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Other governmental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Derivative contracts: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Interest rate swap contracts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46"/>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Impaired lease-related assets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519"/>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10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4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4"/>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8"/>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Derivative contracts: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46"/>
        </w:trPr>
        <w:tc>
          <w:tcPr>
            <w:tcW w:w="628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transfers between fair value measurements levels during the nine months ended September 30, 2021.</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See Note 5 for further information regarding the fair value of our financial instruments.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September 30, 2021, we had additional outstanding non-cancelable purchase obligations with a term of 12 months or longer of $12.3 million over the corresponding amount disclosed in the audited financial statements in our 10-K for the year ended December 31, 2020, primarily related to third-party cloud hosting and software as a service arrangements. For information regarding financing-related obligations, refer to Note 8. For information regarding lease-related obligations, refer to Note 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$1.4 million and $3.1 million at September 30, 2021 and December 31, 2020, respectively. This liability is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in the Company’s Condensed Consolidated Balance Sheets.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In addition, regardless of the outcome, one or more of these matters could have an adverse impact on our financial position, results of operations, or cash flows because of costs incurred to defend against or respond to such matters, diversion of management resources and other factors.</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Based on the information known by the Company as of the date of this filing, it is not possible to provide an estimated amount of any such loss or range of loss that may occur. The Company intends to vigorously defend against this lawsuit.</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This litigation is still in its earliest stages. Based on the information known by the Company as of the date of this filing, it is not possible to provide an estimated amount of any such loss or range of loss that may occur.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ZoomInfo Technologies Inc. operates and controls all of the business and affairs, and consolidates the financial results through ZoomInfo OpCo and its subsidiaries, conducts our business. Accordingly, ZoomInfo Technologies Inc. consolidates the financial results of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Arial" w:cs="Arial" w:eastAsia="Arial" w:hAnsi="Arial"/>
          <w:sz w:val="18"/>
          <w:szCs w:val="18"/>
          <w:i w:val="1"/>
          <w:iCs w:val="1"/>
          <w:color w:val="auto"/>
        </w:rPr>
        <w:t>Noncontrolling interests</w:t>
      </w:r>
      <w:r>
        <w:rPr>
          <w:rFonts w:ascii="Arial" w:cs="Arial" w:eastAsia="Arial" w:hAnsi="Arial"/>
          <w:sz w:val="18"/>
          <w:szCs w:val="18"/>
          <w:color w:val="auto"/>
        </w:rPr>
        <w:t xml:space="preserve"> and increase or decrease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the Company’s Condensed Consolidated Balance Sheets. During Q3 2021, all remaining HoldCo Units held by Continuing Members were exchanged for shares in ZoomInfo Technologies Inc. followed by the merger of HoldCo into ZoomInfo Technologies Inc.</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September 30, 2021, ZoomInfo Technologies Inc. held units resulting in an ownership interest of 94% in the consolidated subsidiaries.</w:t>
      </w:r>
    </w:p>
    <w:p>
      <w:pPr>
        <w:spacing w:after="0" w:line="17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holders of OpCo Units may be subject to U.S. federal, state and local income taxes on their proportionate share of any taxable income of ZoomInfo OpCo. Net profits and net losses of ZoomInfo OpCo will generally be allocated to its holders pro rata in accordance with the percentages of their respective limited liability company interests. The amended and restated limited liability company agreement of ZoomInfo OpCo provides for cash distributions (“tax distributions”) to the holders of OpCo Units and Class P Units.During the nine months ended September 30, 2021 and 2020, the Company paid $19.9 million and $9.9 million in tax distributions to the noncontrolling interest,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242424"/>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42424"/>
        </w:rPr>
        <w:t>The followin</w:t>
      </w:r>
      <w:r>
        <w:rPr>
          <w:rFonts w:ascii="Arial" w:cs="Arial" w:eastAsia="Arial" w:hAnsi="Arial"/>
          <w:sz w:val="18"/>
          <w:szCs w:val="18"/>
          <w:color w:val="000000"/>
        </w:rPr>
        <w:t>g table sets forth reconciliations of the numerators and denominators used to compute basic and diluted earnings (los</w:t>
      </w:r>
      <w:r>
        <w:rPr>
          <w:rFonts w:ascii="Arial" w:cs="Arial" w:eastAsia="Arial" w:hAnsi="Arial"/>
          <w:sz w:val="18"/>
          <w:szCs w:val="18"/>
          <w:color w:val="242424"/>
        </w:rPr>
        <w:t>s) per share of Class A and Class C common stock for the three and nine months ended September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5"/>
                <w:szCs w:val="15"/>
                <w:color w:val="auto"/>
              </w:rPr>
            </w:pPr>
          </w:p>
        </w:tc>
        <w:tc>
          <w:tcPr>
            <w:tcW w:w="23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4"/>
        </w:trPr>
        <w:tc>
          <w:tcPr>
            <w:tcW w:w="58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8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5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Add: Net (income) loss attributable to ZoomInfo OpCo before Reorganization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6"/>
        </w:trPr>
        <w:tc>
          <w:tcPr>
            <w:tcW w:w="5880" w:type="dxa"/>
            <w:vAlign w:val="bottom"/>
          </w:tcPr>
          <w:p>
            <w:pPr>
              <w:ind w:left="20"/>
              <w:spacing w:after="0"/>
              <w:rPr>
                <w:sz w:val="20"/>
                <w:szCs w:val="20"/>
                <w:color w:val="auto"/>
              </w:rPr>
            </w:pPr>
            <w:r>
              <w:rPr>
                <w:rFonts w:ascii="Arial" w:cs="Arial" w:eastAsia="Arial" w:hAnsi="Arial"/>
                <w:sz w:val="18"/>
                <w:szCs w:val="18"/>
                <w:color w:val="auto"/>
                <w:w w:val="92"/>
              </w:rPr>
              <w:t>Less: Excess of consideration paid over carrying amount to holders of Series A</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Preferred Units attributable to common shares</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8"/>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Net (income)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1"/>
        </w:trPr>
        <w:tc>
          <w:tcPr>
            <w:tcW w:w="5880" w:type="dxa"/>
            <w:vAlign w:val="bottom"/>
          </w:tcPr>
          <w:p>
            <w:pPr>
              <w:ind w:left="20"/>
              <w:spacing w:after="0"/>
              <w:rPr>
                <w:sz w:val="20"/>
                <w:szCs w:val="20"/>
                <w:color w:val="auto"/>
              </w:rPr>
            </w:pPr>
            <w:r>
              <w:rPr>
                <w:rFonts w:ascii="Arial" w:cs="Arial" w:eastAsia="Arial" w:hAnsi="Arial"/>
                <w:sz w:val="18"/>
                <w:szCs w:val="18"/>
                <w:color w:val="auto"/>
              </w:rPr>
              <w:t>Net income (loss) attributable to ZoomInfo Technologies Inc.</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8"/>
        </w:trPr>
        <w:tc>
          <w:tcPr>
            <w:tcW w:w="5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the computation of basic and diluted net income per share of Class A and Class C common stock (in millions, except share amounts,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spacing w:after="0"/>
              <w:rPr>
                <w:sz w:val="20"/>
                <w:szCs w:val="20"/>
                <w:color w:val="auto"/>
              </w:rPr>
            </w:pPr>
            <w:r>
              <w:rPr>
                <w:rFonts w:ascii="Arial" w:cs="Arial" w:eastAsia="Arial" w:hAnsi="Arial"/>
                <w:sz w:val="14"/>
                <w:szCs w:val="14"/>
                <w:b w:val="1"/>
                <w:bCs w:val="1"/>
                <w:color w:val="auto"/>
                <w:w w:val="98"/>
              </w:rPr>
              <w:t>Three Months Ended September 30, 2021</w:t>
            </w:r>
          </w:p>
        </w:tc>
        <w:tc>
          <w:tcPr>
            <w:tcW w:w="120" w:type="dxa"/>
            <w:vAlign w:val="bottom"/>
          </w:tcPr>
          <w:p>
            <w:pPr>
              <w:spacing w:after="0"/>
              <w:rPr>
                <w:sz w:val="15"/>
                <w:szCs w:val="15"/>
                <w:color w:val="auto"/>
              </w:rPr>
            </w:pPr>
          </w:p>
        </w:tc>
        <w:tc>
          <w:tcPr>
            <w:tcW w:w="25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0"/>
              </w:rPr>
              <w:t>Nine Months Ended September 30, 2021</w:t>
            </w:r>
          </w:p>
        </w:tc>
      </w:tr>
      <w:tr>
        <w:trPr>
          <w:trHeight w:val="24"/>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 C</w:t>
            </w:r>
          </w:p>
        </w:tc>
        <w:tc>
          <w:tcPr>
            <w:tcW w:w="12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5"/>
                <w:szCs w:val="15"/>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Class C</w:t>
            </w:r>
          </w:p>
        </w:tc>
      </w:tr>
      <w:tr>
        <w:trPr>
          <w:trHeight w:val="24"/>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3"/>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Basic net income (loss) per share attributable to common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8"/>
        </w:trPr>
        <w:tc>
          <w:tcPr>
            <w:tcW w:w="574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Allocation of net income (loss) attributable to ZoomInfo Technologies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8"/>
        </w:trPr>
        <w:tc>
          <w:tcPr>
            <w:tcW w:w="574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6"/>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Weighted average number of shares of Class A and Class C common stock</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1"/>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215,012,710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48,273,078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139,840,047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71,058,293</w:t>
            </w:r>
          </w:p>
        </w:tc>
      </w:tr>
      <w:tr>
        <w:trPr>
          <w:trHeight w:val="231"/>
        </w:trPr>
        <w:tc>
          <w:tcPr>
            <w:tcW w:w="574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8"/>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39"/>
        </w:trPr>
        <w:tc>
          <w:tcPr>
            <w:tcW w:w="5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38"/>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w w:val="91"/>
              </w:rPr>
              <w:t>Diluted net income (loss) per share attributable to common stockholders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40" w:type="dxa"/>
            <w:vAlign w:val="bottom"/>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6"/>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Increase in earnings attributable to common shareholders upon conversion of</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1"/>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potentially dilutive instruments</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740" w:type="dxa"/>
            <w:vAlign w:val="bottom"/>
          </w:tcPr>
          <w:p>
            <w:pPr>
              <w:ind w:left="240"/>
              <w:spacing w:after="0"/>
              <w:rPr>
                <w:sz w:val="20"/>
                <w:szCs w:val="20"/>
                <w:color w:val="auto"/>
              </w:rPr>
            </w:pPr>
            <w:r>
              <w:rPr>
                <w:rFonts w:ascii="Arial" w:cs="Arial" w:eastAsia="Arial" w:hAnsi="Arial"/>
                <w:sz w:val="18"/>
                <w:szCs w:val="18"/>
                <w:color w:val="auto"/>
                <w:w w:val="97"/>
              </w:rPr>
              <w:t>Reallocation of earnings as a result of conversion of potentially dilutive</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6"/>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Reallocation of undistributed earnings as a result of conversion of Class C to</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1"/>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A shares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574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2"/>
        </w:trPr>
        <w:tc>
          <w:tcPr>
            <w:tcW w:w="57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Denominator:</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8"/>
        </w:trPr>
        <w:tc>
          <w:tcPr>
            <w:tcW w:w="574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215,012,710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48,273,078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139,840,047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71,058,293</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6"/>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Add: weighted-average effect of dilutive securities exchangeable for Class A</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1"/>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OpCo Units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P Units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HSKB I Class 1 Units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HSKB II Class 1 Units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HSKB II Phantom Units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592,801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HoldCo Units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LTIP Units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48,273,078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71,058,293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5740" w:type="dxa"/>
            <w:vAlign w:val="bottom"/>
          </w:tcPr>
          <w:p>
            <w:pPr>
              <w:ind w:left="240"/>
              <w:spacing w:after="0"/>
              <w:rPr>
                <w:sz w:val="20"/>
                <w:szCs w:val="20"/>
                <w:color w:val="auto"/>
              </w:rPr>
            </w:pPr>
            <w:r>
              <w:rPr>
                <w:rFonts w:ascii="Arial" w:cs="Arial" w:eastAsia="Arial" w:hAnsi="Arial"/>
                <w:sz w:val="18"/>
                <w:szCs w:val="18"/>
                <w:color w:val="auto"/>
                <w:w w:val="89"/>
              </w:rPr>
              <w:t>Weighted average shares of Class A and Class C common stock outstanding</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used to calculate diluted net income (loss) per share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263,999,648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48,273,078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210,898,340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71,058,293</w:t>
            </w:r>
          </w:p>
        </w:tc>
      </w:tr>
      <w:tr>
        <w:trPr>
          <w:trHeight w:val="28"/>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Diluted net income (loss) per share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spacing w:after="0"/>
              <w:rPr>
                <w:sz w:val="20"/>
                <w:szCs w:val="20"/>
                <w:color w:val="auto"/>
              </w:rPr>
            </w:pPr>
            <w:r>
              <w:rPr>
                <w:rFonts w:ascii="Arial" w:cs="Arial" w:eastAsia="Arial" w:hAnsi="Arial"/>
                <w:sz w:val="14"/>
                <w:szCs w:val="14"/>
                <w:b w:val="1"/>
                <w:bCs w:val="1"/>
                <w:color w:val="auto"/>
                <w:w w:val="98"/>
              </w:rPr>
              <w:t>Three Months Ended September 30, 2020</w:t>
            </w:r>
          </w:p>
        </w:tc>
        <w:tc>
          <w:tcPr>
            <w:tcW w:w="120" w:type="dxa"/>
            <w:vAlign w:val="bottom"/>
          </w:tcPr>
          <w:p>
            <w:pPr>
              <w:spacing w:after="0"/>
              <w:rPr>
                <w:sz w:val="15"/>
                <w:szCs w:val="15"/>
                <w:color w:val="auto"/>
              </w:rPr>
            </w:pPr>
          </w:p>
        </w:tc>
        <w:tc>
          <w:tcPr>
            <w:tcW w:w="25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0"/>
              </w:rPr>
              <w:t>Nine Months Ended September 30, 2020</w:t>
            </w:r>
          </w:p>
        </w:tc>
      </w:tr>
      <w:tr>
        <w:trPr>
          <w:trHeight w:val="24"/>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 C</w:t>
            </w:r>
          </w:p>
        </w:tc>
        <w:tc>
          <w:tcPr>
            <w:tcW w:w="12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5"/>
                <w:szCs w:val="15"/>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Class C</w:t>
            </w:r>
          </w:p>
        </w:tc>
      </w:tr>
      <w:tr>
        <w:trPr>
          <w:trHeight w:val="24"/>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3"/>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Basic net income (loss) per share attributable to common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8"/>
        </w:trPr>
        <w:tc>
          <w:tcPr>
            <w:tcW w:w="574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Allocation of net income (loss) attributable to ZoomInfo Technologies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8"/>
        </w:trPr>
        <w:tc>
          <w:tcPr>
            <w:tcW w:w="574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6"/>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Weighted average number of shares of Class A and Class C common stock</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1"/>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61,153,504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94,631,630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59,075,363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95,420,020</w:t>
            </w:r>
          </w:p>
        </w:tc>
      </w:tr>
      <w:tr>
        <w:trPr>
          <w:trHeight w:val="231"/>
        </w:trPr>
        <w:tc>
          <w:tcPr>
            <w:tcW w:w="574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28"/>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9"/>
        </w:trPr>
        <w:tc>
          <w:tcPr>
            <w:tcW w:w="5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8"/>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w w:val="91"/>
              </w:rPr>
              <w:t>Diluted net income (loss) per share attributable to common stockholders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6"/>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Increase in earnings attributable to common shareholders upon conversion of</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1"/>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potentially dilutive instruments</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740" w:type="dxa"/>
            <w:vAlign w:val="bottom"/>
          </w:tcPr>
          <w:p>
            <w:pPr>
              <w:ind w:left="240"/>
              <w:spacing w:after="0"/>
              <w:rPr>
                <w:sz w:val="20"/>
                <w:szCs w:val="20"/>
                <w:color w:val="auto"/>
              </w:rPr>
            </w:pPr>
            <w:r>
              <w:rPr>
                <w:rFonts w:ascii="Arial" w:cs="Arial" w:eastAsia="Arial" w:hAnsi="Arial"/>
                <w:sz w:val="18"/>
                <w:szCs w:val="18"/>
                <w:color w:val="auto"/>
                <w:w w:val="97"/>
              </w:rPr>
              <w:t>Reallocation of earnings as a result of conversion of potentially dilutive</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6"/>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Reallocation of undistributed earnings as a result of conversion of Class C to</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1"/>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A shares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574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2"/>
        </w:trPr>
        <w:tc>
          <w:tcPr>
            <w:tcW w:w="57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Denominator:</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8"/>
        </w:trPr>
        <w:tc>
          <w:tcPr>
            <w:tcW w:w="574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61,153,504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94,631,630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59,075,363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95,420,020</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6"/>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Add: weighted-average effect of dilutive securities exchangeable for Class A</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1"/>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OpCo Units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213,965,530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P Units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12,334,249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HSKB I Class 1 Units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13,572,783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HSKB II Class 1 Units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HSKB II Phantom Units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HoldCo Units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Restricted Stock Awards</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Restricted Stock Units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LTIP Units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740" w:type="dxa"/>
            <w:vAlign w:val="bottom"/>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94,631,630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95,420,020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 average shares of Class A and Class C common stock outstanding</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51"/>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used to calculate diluted net income (loss)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397,320,656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94,631,630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154,495,383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95,420,020</w:t>
            </w:r>
          </w:p>
        </w:tc>
      </w:tr>
      <w:tr>
        <w:trPr>
          <w:trHeight w:val="258"/>
        </w:trPr>
        <w:tc>
          <w:tcPr>
            <w:tcW w:w="5740" w:type="dxa"/>
            <w:vAlign w:val="bottom"/>
          </w:tcPr>
          <w:p>
            <w:pPr>
              <w:ind w:left="20"/>
              <w:spacing w:after="0"/>
              <w:rPr>
                <w:sz w:val="20"/>
                <w:szCs w:val="20"/>
                <w:color w:val="auto"/>
              </w:rPr>
            </w:pPr>
            <w:r>
              <w:rPr>
                <w:rFonts w:ascii="Arial" w:cs="Arial" w:eastAsia="Arial" w:hAnsi="Arial"/>
                <w:sz w:val="18"/>
                <w:szCs w:val="18"/>
                <w:color w:val="auto"/>
                <w:w w:val="99"/>
              </w:rPr>
              <w:t>Diluted net income (loss) per share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42424"/>
        </w:rPr>
        <w:t>Shares of the Company’s Class B common stock11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5"/>
                <w:szCs w:val="15"/>
                <w:color w:val="auto"/>
              </w:rPr>
            </w:pPr>
          </w:p>
        </w:tc>
        <w:tc>
          <w:tcPr>
            <w:tcW w:w="354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September 30,</w:t>
            </w:r>
          </w:p>
        </w:tc>
        <w:tc>
          <w:tcPr>
            <w:tcW w:w="346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42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1"/>
        </w:trPr>
        <w:tc>
          <w:tcPr>
            <w:tcW w:w="4240" w:type="dxa"/>
            <w:vAlign w:val="bottom"/>
          </w:tcPr>
          <w:p>
            <w:pPr>
              <w:spacing w:after="0"/>
              <w:rPr>
                <w:sz w:val="15"/>
                <w:szCs w:val="15"/>
                <w:color w:val="auto"/>
              </w:rPr>
            </w:pPr>
          </w:p>
        </w:tc>
        <w:tc>
          <w:tcPr>
            <w:tcW w:w="16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6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4"/>
        </w:trPr>
        <w:tc>
          <w:tcPr>
            <w:tcW w:w="42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122,610,642</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170,523,418</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216,801,480</w:t>
            </w:r>
          </w:p>
        </w:tc>
      </w:tr>
      <w:tr>
        <w:trPr>
          <w:trHeight w:val="238"/>
        </w:trPr>
        <w:tc>
          <w:tcPr>
            <w:tcW w:w="424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9,047,255</w:t>
            </w:r>
          </w:p>
        </w:tc>
        <w:tc>
          <w:tcPr>
            <w:tcW w:w="10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10,241,645</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12,441,594</w:t>
            </w:r>
          </w:p>
        </w:tc>
      </w:tr>
      <w:tr>
        <w:trPr>
          <w:trHeight w:val="28"/>
        </w:trPr>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I Class 1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4,801,519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6,653,534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13,371,074</w:t>
            </w:r>
          </w:p>
        </w:tc>
      </w:tr>
      <w:tr>
        <w:trPr>
          <w:trHeight w:val="238"/>
        </w:trPr>
        <w:tc>
          <w:tcPr>
            <w:tcW w:w="4240" w:type="dxa"/>
            <w:vAlign w:val="bottom"/>
          </w:tcPr>
          <w:p>
            <w:pPr>
              <w:ind w:left="20"/>
              <w:spacing w:after="0"/>
              <w:rPr>
                <w:sz w:val="20"/>
                <w:szCs w:val="20"/>
                <w:color w:val="auto"/>
              </w:rPr>
            </w:pPr>
            <w:r>
              <w:rPr>
                <w:rFonts w:ascii="Arial" w:cs="Arial" w:eastAsia="Arial" w:hAnsi="Arial"/>
                <w:sz w:val="18"/>
                <w:szCs w:val="18"/>
                <w:color w:val="auto"/>
              </w:rPr>
              <w:t>HSKB II Class 1 Units</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1,957,685</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301,339</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1,891,249</w:t>
            </w:r>
          </w:p>
        </w:tc>
      </w:tr>
      <w:tr>
        <w:trPr>
          <w:trHeight w:val="28"/>
        </w:trPr>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II Phantom Units</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364,281</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1,082,296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369,741</w:t>
            </w:r>
          </w:p>
        </w:tc>
      </w:tr>
      <w:tr>
        <w:trPr>
          <w:trHeight w:val="238"/>
        </w:trPr>
        <w:tc>
          <w:tcPr>
            <w:tcW w:w="4240" w:type="dxa"/>
            <w:vAlign w:val="bottom"/>
          </w:tcPr>
          <w:p>
            <w:pPr>
              <w:ind w:left="20"/>
              <w:spacing w:after="0"/>
              <w:rPr>
                <w:sz w:val="20"/>
                <w:szCs w:val="20"/>
                <w:color w:val="auto"/>
              </w:rPr>
            </w:pPr>
            <w:r>
              <w:rPr>
                <w:rFonts w:ascii="Arial" w:cs="Arial" w:eastAsia="Arial" w:hAnsi="Arial"/>
                <w:sz w:val="18"/>
                <w:szCs w:val="18"/>
                <w:color w:val="auto"/>
              </w:rPr>
              <w:t>HoldCo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700,241</w:t>
            </w:r>
          </w:p>
        </w:tc>
        <w:tc>
          <w:tcPr>
            <w:tcW w:w="10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1,184,900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1,231,368</w:t>
            </w:r>
          </w:p>
        </w:tc>
      </w:tr>
      <w:tr>
        <w:trPr>
          <w:trHeight w:val="28"/>
        </w:trPr>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582,263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194,088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42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454,718</w:t>
            </w:r>
          </w:p>
        </w:tc>
        <w:tc>
          <w:tcPr>
            <w:tcW w:w="10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324,043</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246,749</w:t>
            </w:r>
          </w:p>
        </w:tc>
      </w:tr>
      <w:tr>
        <w:trPr>
          <w:trHeight w:val="28"/>
        </w:trPr>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101,666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24,706</w:t>
            </w:r>
          </w:p>
        </w:tc>
      </w:tr>
      <w:tr>
        <w:trPr>
          <w:trHeight w:val="238"/>
        </w:trPr>
        <w:tc>
          <w:tcPr>
            <w:tcW w:w="4240" w:type="dxa"/>
            <w:vAlign w:val="bottom"/>
          </w:tcPr>
          <w:p>
            <w:pPr>
              <w:ind w:left="20"/>
              <w:spacing w:after="0"/>
              <w:rPr>
                <w:sz w:val="20"/>
                <w:szCs w:val="20"/>
                <w:color w:val="auto"/>
              </w:rPr>
            </w:pPr>
            <w:r>
              <w:rPr>
                <w:rFonts w:ascii="Arial" w:cs="Arial" w:eastAsia="Arial" w:hAnsi="Arial"/>
                <w:sz w:val="18"/>
                <w:szCs w:val="18"/>
                <w:color w:val="auto"/>
              </w:rPr>
              <w:t>Exercise of Class A Common Stock Options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308,593</w:t>
            </w:r>
          </w:p>
        </w:tc>
        <w:tc>
          <w:tcPr>
            <w:tcW w:w="10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294,179</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256,256</w:t>
            </w:r>
          </w:p>
        </w:tc>
      </w:tr>
      <w:tr>
        <w:trPr>
          <w:trHeight w:val="28"/>
        </w:trPr>
        <w:tc>
          <w:tcPr>
            <w:tcW w:w="42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138,606,897</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2,321,966</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190,840,623</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246,634,217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Company also subleases a former corporate office space. The sublease has a remaining lease term of less than one year. Sublease income, which is recorded as a reduction of rent expense and allocated to the appropriate financial statement line item to arrive at </w:t>
      </w:r>
      <w:r>
        <w:rPr>
          <w:rFonts w:ascii="Arial" w:cs="Arial" w:eastAsia="Arial" w:hAnsi="Arial"/>
          <w:sz w:val="17"/>
          <w:szCs w:val="17"/>
          <w:i w:val="1"/>
          <w:iCs w:val="1"/>
          <w:color w:val="auto"/>
        </w:rPr>
        <w:t>Income from operations</w:t>
      </w:r>
      <w:r>
        <w:rPr>
          <w:rFonts w:ascii="Arial" w:cs="Arial" w:eastAsia="Arial" w:hAnsi="Arial"/>
          <w:sz w:val="17"/>
          <w:szCs w:val="17"/>
          <w:color w:val="auto"/>
        </w:rPr>
        <w:t xml:space="preserve"> in the Consolidated Statements of Operations was immaterial for the three and nine months ended September 30, 2021 and 2020.</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additional details related to leases recorded on our balance sheet as of September 30, 2021 and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520" w:type="dxa"/>
            <w:vAlign w:val="bottom"/>
          </w:tcPr>
          <w:p>
            <w:pPr>
              <w:jc w:val="right"/>
              <w:ind w:right="41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6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4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2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100" w:type="dxa"/>
            <w:vAlign w:val="bottom"/>
          </w:tcPr>
          <w:p>
            <w:pPr>
              <w:ind w:left="1000"/>
              <w:spacing w:after="0"/>
              <w:rPr>
                <w:sz w:val="20"/>
                <w:szCs w:val="20"/>
                <w:color w:val="auto"/>
              </w:rPr>
            </w:pPr>
            <w:r>
              <w:rPr>
                <w:rFonts w:ascii="Arial" w:cs="Arial" w:eastAsia="Arial" w:hAnsi="Arial"/>
                <w:sz w:val="18"/>
                <w:szCs w:val="18"/>
                <w:color w:val="auto"/>
              </w:rPr>
              <w:t>Operating leases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42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1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100" w:type="dxa"/>
            <w:vAlign w:val="bottom"/>
          </w:tcPr>
          <w:p>
            <w:pPr>
              <w:ind w:left="1000"/>
              <w:spacing w:after="0"/>
              <w:rPr>
                <w:sz w:val="20"/>
                <w:szCs w:val="20"/>
                <w:color w:val="auto"/>
              </w:rPr>
            </w:pPr>
            <w:r>
              <w:rPr>
                <w:rFonts w:ascii="Arial" w:cs="Arial" w:eastAsia="Arial" w:hAnsi="Arial"/>
                <w:sz w:val="18"/>
                <w:szCs w:val="18"/>
                <w:color w:val="auto"/>
              </w:rPr>
              <w:t>Operating leases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Rent expense was $2.9 million and $1.8 million for the three months ended September 30, 2021 and 2020, respectively. Rent expense was $8.1 million and $5.5 million for the nine months ended September 30, 2021 and 2020,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leases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9"/>
                <w:szCs w:val="19"/>
                <w:color w:val="auto"/>
              </w:rPr>
            </w:pPr>
          </w:p>
        </w:tc>
        <w:tc>
          <w:tcPr>
            <w:tcW w:w="292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9"/>
                <w:szCs w:val="19"/>
                <w:color w:val="auto"/>
              </w:rPr>
            </w:pPr>
          </w:p>
        </w:tc>
        <w:tc>
          <w:tcPr>
            <w:tcW w:w="2880" w:type="dxa"/>
            <w:vAlign w:val="bottom"/>
            <w:gridSpan w:val="6"/>
          </w:tcPr>
          <w:p>
            <w:pPr>
              <w:jc w:val="right"/>
              <w:ind w:right="39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ind w:left="4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4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Cash paid for amounts included in the measurement of operating</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3"/>
            <w:shd w:val="clear" w:color="auto" w:fill="CCEEFF"/>
          </w:tcPr>
          <w:p>
            <w:pPr>
              <w:jc w:val="right"/>
              <w:ind w:right="9"/>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5"/>
        </w:trPr>
        <w:tc>
          <w:tcPr>
            <w:tcW w:w="4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Lease liabilities arising from obtaining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60" w:type="dxa"/>
            <w:vAlign w:val="bottom"/>
          </w:tcPr>
          <w:p>
            <w:pPr>
              <w:ind w:left="20"/>
              <w:spacing w:after="0"/>
              <w:rPr>
                <w:sz w:val="20"/>
                <w:szCs w:val="20"/>
                <w:color w:val="auto"/>
              </w:rPr>
            </w:pPr>
            <w:r>
              <w:rPr>
                <w:rFonts w:ascii="Arial" w:cs="Arial" w:eastAsia="Arial" w:hAnsi="Arial"/>
                <w:sz w:val="18"/>
                <w:szCs w:val="18"/>
                <w:color w:val="auto"/>
              </w:rPr>
              <w:t>From acquisitions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9"/>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new and existing lease agreements and modifications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3"/>
            <w:shd w:val="clear" w:color="auto" w:fill="CCEEFF"/>
          </w:tcPr>
          <w:p>
            <w:pPr>
              <w:jc w:val="right"/>
              <w:ind w:right="9"/>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638"/>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4"/>
        </w:trPr>
        <w:tc>
          <w:tcPr>
            <w:tcW w:w="4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8"/>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4.4 %</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on the condensed consolidated balance sheets as of September 30, 2021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38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Operating Leases</w:t>
            </w:r>
          </w:p>
        </w:tc>
      </w:tr>
      <w:tr>
        <w:trPr>
          <w:trHeight w:val="24"/>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(excluding nine months ended September 30,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8"/>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8"/>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Less effects of discounting</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8"/>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 as of September 30, 2021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8"/>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58"/>
        </w:trPr>
        <w:tc>
          <w:tcPr>
            <w:tcW w:w="968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 (continued)</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Expense associated with short term leases and variable lease costs were immaterial for the three and nine months ended September 30, 2021. The expense related to short-term leases reasonably reflects our short-term lease commitments.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Leasing Activity</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During the nine months ended September 30, 2021, the Company executed an agreement to sublease our existing Waltham office space for the remainder of our lease term in anticipation of our office relocation which commenced in June 2021. Sublease income will be recorded as a reduction of rent expense and allocated to the appropriate financial statement line item to arrive at </w:t>
      </w:r>
      <w:r>
        <w:rPr>
          <w:rFonts w:ascii="Arial" w:cs="Arial" w:eastAsia="Arial" w:hAnsi="Arial"/>
          <w:sz w:val="15"/>
          <w:szCs w:val="15"/>
          <w:i w:val="1"/>
          <w:iCs w:val="1"/>
          <w:color w:val="auto"/>
        </w:rPr>
        <w:t>Income from operations</w:t>
      </w:r>
      <w:r>
        <w:rPr>
          <w:rFonts w:ascii="Arial" w:cs="Arial" w:eastAsia="Arial" w:hAnsi="Arial"/>
          <w:sz w:val="15"/>
          <w:szCs w:val="15"/>
          <w:color w:val="auto"/>
        </w:rPr>
        <w:t xml:space="preserve"> in the Consolidated Statements of Operations. In connection with these activities, and as referenced in Note 6 - Property and Equipment, we recorded a cumulative impairment charge of $1.5 million to reduce the carrying values of our existing Waltham right-of-use asset and related leasehold improvements to their respective fair values.</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Q1 2021, we executed a lease for office space in Waltham, Massachusetts, with the rent payments for the first phase expected to commence at the earliest in January 2022 and the rent payments for the additional phases expected to commence between January 2023 and April 2027. The lease will terminate on December 31, 2036, the last day of the fifteenth lease year. The lease is subject to fixed-rate rent escalations and provides for $11.3 million in tenant improvements and the option to extend the lease for two terms of five years each, which were not reasonably certain of exercise. The Company determined that it is the accounting owner of all tenant improvements. Upon commencement of the first phase of the lease in June 2021, the Company recorded an operating lease right-of-use asset and lease liability of $35.2 million. As the commencement of the subsequent phases of this lease are expected to occur in the future, the Company has not recorded operating lease right-of-use assets or lease liabilities for these phases as of September 30, 2021. Undiscounted lease payments under the subsequent phases are anticipated to be $59.5 million, which are not included in the tabular disclosure of undiscounted future minimum lease payments under non-cancelable leases above.</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Q3 2021, we executed a lease for a new corporate headquarters in Vancouver, Washington, with the rent payments for the first phase expected to commence at the earliest in January 2025 and the rent payments for the additional phases expected to commence between January 2026 and January 2027. The lease is subjected to fixed-rate rent escalations and provides for $42.1 million in tenant improvements and the option to extend the lease for two terms of five years each, which were not reasonably certain of exercise. The Company determined that it is the accounting owner of all tenant improvements. Undiscounted lease payments are anticipated to be $291.7 million, excluding tenant allowance reimbursements, and are not included in the tabular disclosure of undiscounted future minimum lease payments under non-cancelable leases above.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w:t>
      </w:r>
    </w:p>
    <w:p>
      <w:pPr>
        <w:spacing w:after="0" w:line="164"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b w:val="1"/>
          <w:bCs w:val="1"/>
          <w:color w:val="auto"/>
        </w:rPr>
        <w:t xml:space="preserve">2020 Omnibus Incentive Plan </w:t>
      </w:r>
      <w:r>
        <w:rPr>
          <w:rFonts w:ascii="Arial" w:cs="Arial" w:eastAsia="Arial" w:hAnsi="Arial"/>
          <w:sz w:val="15"/>
          <w:szCs w:val="15"/>
          <w:color w:val="auto"/>
        </w:rPr>
        <w:t>- On May 27, 2020, the Board of Directors of the Company (the “Board”) adopted the ZoomInfo Technologies Inc. 2020</w:t>
      </w:r>
      <w:r>
        <w:rPr>
          <w:rFonts w:ascii="Arial" w:cs="Arial" w:eastAsia="Arial" w:hAnsi="Arial"/>
          <w:sz w:val="15"/>
          <w:szCs w:val="15"/>
          <w:b w:val="1"/>
          <w:bCs w:val="1"/>
          <w:color w:val="auto"/>
        </w:rPr>
        <w:t xml:space="preserve"> </w:t>
      </w:r>
      <w:r>
        <w:rPr>
          <w:rFonts w:ascii="Arial" w:cs="Arial" w:eastAsia="Arial" w:hAnsi="Arial"/>
          <w:sz w:val="15"/>
          <w:szCs w:val="15"/>
          <w:color w:val="auto"/>
        </w:rPr>
        <w:t>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9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w:t>
      </w:r>
    </w:p>
    <w:p>
      <w:pPr>
        <w:spacing w:after="0" w:line="3" w:lineRule="exact"/>
        <w:rPr>
          <w:sz w:val="20"/>
          <w:szCs w:val="20"/>
          <w:color w:val="auto"/>
        </w:rPr>
      </w:pPr>
    </w:p>
    <w:p>
      <w:pPr>
        <w:ind w:firstLine="6"/>
        <w:spacing w:after="0" w:line="251" w:lineRule="auto"/>
        <w:tabs>
          <w:tab w:leader="none" w:pos="2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currently has equity-based compensation awards outstanding as follows: Restricted Stock Units, Class A Common Stock Options, Restricted Stock, OpCo Units, Class P Units, and LTIP units. In addition, the Company recognizes equity-based compensation expense from awards granted to employees by noncontrolling interest holders of OpCo Units as further described below under HSKB Incentive Units.</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remained subject to the same service vesting requirements of the original Class P Units.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(“RSU”)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5"/>
                <w:szCs w:val="15"/>
                <w:color w:val="auto"/>
              </w:rPr>
            </w:pPr>
          </w:p>
        </w:tc>
        <w:tc>
          <w:tcPr>
            <w:tcW w:w="366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 2021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4"/>
        </w:trPr>
        <w:tc>
          <w:tcPr>
            <w:tcW w:w="58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1"/>
              </w:rPr>
              <w:t>Weighted Average Grant</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5"/>
                <w:szCs w:val="15"/>
                <w:color w:val="auto"/>
              </w:rPr>
            </w:pPr>
          </w:p>
        </w:tc>
        <w:tc>
          <w:tcPr>
            <w:tcW w:w="1740" w:type="dxa"/>
            <w:vAlign w:val="bottom"/>
          </w:tcPr>
          <w:p>
            <w:pPr>
              <w:jc w:val="right"/>
              <w:ind w:right="97"/>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Date Fair Value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Restricted Stock Units</w:t>
            </w:r>
          </w:p>
        </w:tc>
        <w:tc>
          <w:tcPr>
            <w:tcW w:w="0" w:type="dxa"/>
            <w:vAlign w:val="bottom"/>
          </w:tcPr>
          <w:p>
            <w:pPr>
              <w:spacing w:after="0"/>
              <w:rPr>
                <w:sz w:val="1"/>
                <w:szCs w:val="1"/>
                <w:color w:val="auto"/>
              </w:rPr>
            </w:pPr>
          </w:p>
        </w:tc>
      </w:tr>
      <w:tr>
        <w:trPr>
          <w:trHeight w:val="24"/>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985,398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2,719,862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57.09</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829,348</w:t>
            </w: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(291,536)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0" w:type="dxa"/>
            <w:vAlign w:val="bottom"/>
          </w:tcPr>
          <w:p>
            <w:pPr>
              <w:spacing w:after="0"/>
              <w:rPr>
                <w:sz w:val="1"/>
                <w:szCs w:val="1"/>
                <w:color w:val="auto"/>
              </w:rPr>
            </w:pPr>
          </w:p>
        </w:tc>
      </w:tr>
      <w:tr>
        <w:trPr>
          <w:trHeight w:val="238"/>
        </w:trPr>
        <w:tc>
          <w:tcPr>
            <w:tcW w:w="5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(199,968)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28"/>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3,213,756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799,607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Class A Common Stock Options</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584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40" w:type="dxa"/>
            <w:vAlign w:val="bottom"/>
          </w:tcPr>
          <w:p>
            <w:pPr>
              <w:ind w:left="320"/>
              <w:spacing w:after="0"/>
              <w:rPr>
                <w:sz w:val="20"/>
                <w:szCs w:val="20"/>
                <w:color w:val="auto"/>
              </w:rPr>
            </w:pPr>
            <w:r>
              <w:rPr>
                <w:rFonts w:ascii="Arial" w:cs="Arial" w:eastAsia="Arial" w:hAnsi="Arial"/>
                <w:sz w:val="18"/>
                <w:szCs w:val="18"/>
                <w:color w:val="auto"/>
                <w:w w:val="97"/>
              </w:rPr>
              <w:t>Outstanding options activity was as follows during the period indicated:</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5"/>
                <w:szCs w:val="15"/>
                <w:color w:val="auto"/>
              </w:rPr>
            </w:pPr>
          </w:p>
        </w:tc>
        <w:tc>
          <w:tcPr>
            <w:tcW w:w="366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 2021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4"/>
        </w:trPr>
        <w:tc>
          <w:tcPr>
            <w:tcW w:w="58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9"/>
              </w:rPr>
              <w:t>Weighted Average Exercise</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5"/>
                <w:szCs w:val="15"/>
                <w:color w:val="auto"/>
              </w:rPr>
            </w:pPr>
          </w:p>
        </w:tc>
        <w:tc>
          <w:tcPr>
            <w:tcW w:w="1740" w:type="dxa"/>
            <w:vAlign w:val="bottom"/>
          </w:tcPr>
          <w:p>
            <w:pPr>
              <w:jc w:val="right"/>
              <w:ind w:right="537"/>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4"/>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552,440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84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576,708</w:t>
            </w:r>
          </w:p>
        </w:tc>
        <w:tc>
          <w:tcPr>
            <w:tcW w:w="0" w:type="dxa"/>
            <w:vAlign w:val="bottom"/>
          </w:tcPr>
          <w:p>
            <w:pPr>
              <w:spacing w:after="0"/>
              <w:rPr>
                <w:sz w:val="1"/>
                <w:szCs w:val="1"/>
                <w:color w:val="auto"/>
              </w:rPr>
            </w:pPr>
          </w:p>
        </w:tc>
      </w:tr>
      <w:tr>
        <w:trPr>
          <w:trHeight w:val="28"/>
        </w:trPr>
        <w:tc>
          <w:tcPr>
            <w:tcW w:w="5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(286,107)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(20,191)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(10,120)</w:t>
            </w:r>
          </w:p>
        </w:tc>
        <w:tc>
          <w:tcPr>
            <w:tcW w:w="0" w:type="dxa"/>
            <w:vAlign w:val="bottom"/>
          </w:tcPr>
          <w:p>
            <w:pPr>
              <w:spacing w:after="0"/>
              <w:rPr>
                <w:sz w:val="1"/>
                <w:szCs w:val="1"/>
                <w:color w:val="auto"/>
              </w:rPr>
            </w:pPr>
          </w:p>
        </w:tc>
      </w:tr>
      <w:tr>
        <w:trPr>
          <w:trHeight w:val="28"/>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246,142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566,588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Options have a maximum contractual term of ten years. The aggregate intrinsic value and weighted average remaining contractual terms of Options outstanding and Options exercisable were as follows as of September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Pr>
          <w:p>
            <w:pPr>
              <w:jc w:val="right"/>
              <w:ind w:right="575"/>
              <w:spacing w:after="0"/>
              <w:rPr>
                <w:sz w:val="20"/>
                <w:szCs w:val="20"/>
                <w:color w:val="auto"/>
              </w:rPr>
            </w:pPr>
            <w:r>
              <w:rPr>
                <w:rFonts w:ascii="Arial" w:cs="Arial" w:eastAsia="Arial" w:hAnsi="Arial"/>
                <w:sz w:val="14"/>
                <w:szCs w:val="14"/>
                <w:b w:val="1"/>
                <w:bCs w:val="1"/>
                <w:color w:val="auto"/>
              </w:rPr>
              <w:t>September 30, 2021</w:t>
            </w:r>
          </w:p>
        </w:tc>
      </w:tr>
      <w:tr>
        <w:trPr>
          <w:trHeight w:val="24"/>
        </w:trPr>
        <w:tc>
          <w:tcPr>
            <w:tcW w:w="8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5"/>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intrinsic value (in millions)</w:t>
            </w:r>
          </w:p>
        </w:tc>
        <w:tc>
          <w:tcPr>
            <w:tcW w:w="38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r>
      <w:tr>
        <w:trPr>
          <w:trHeight w:val="238"/>
        </w:trPr>
        <w:tc>
          <w:tcPr>
            <w:tcW w:w="8740" w:type="dxa"/>
            <w:vAlign w:val="bottom"/>
          </w:tcPr>
          <w:p>
            <w:pPr>
              <w:ind w:left="120"/>
              <w:spacing w:after="0"/>
              <w:rPr>
                <w:sz w:val="20"/>
                <w:szCs w:val="20"/>
                <w:color w:val="auto"/>
              </w:rPr>
            </w:pPr>
            <w:r>
              <w:rPr>
                <w:rFonts w:ascii="Arial" w:cs="Arial" w:eastAsia="Arial" w:hAnsi="Arial"/>
                <w:sz w:val="18"/>
                <w:szCs w:val="18"/>
                <w:color w:val="auto"/>
              </w:rPr>
              <w:t>Unit Options outstanding</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8"/>
        </w:trPr>
        <w:tc>
          <w:tcPr>
            <w:tcW w:w="8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5"/>
        </w:trPr>
        <w:tc>
          <w:tcPr>
            <w:tcW w:w="8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exercisable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8"/>
        </w:trPr>
        <w:tc>
          <w:tcPr>
            <w:tcW w:w="8740" w:type="dxa"/>
            <w:vAlign w:val="bottom"/>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8"/>
        </w:trPr>
        <w:tc>
          <w:tcPr>
            <w:tcW w:w="8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5"/>
        </w:trPr>
        <w:tc>
          <w:tcPr>
            <w:tcW w:w="8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years</w:t>
            </w:r>
          </w:p>
        </w:tc>
      </w:tr>
      <w:tr>
        <w:trPr>
          <w:trHeight w:val="238"/>
        </w:trPr>
        <w:tc>
          <w:tcPr>
            <w:tcW w:w="8740" w:type="dxa"/>
            <w:vAlign w:val="bottom"/>
          </w:tcPr>
          <w:p>
            <w:pPr>
              <w:ind w:left="120"/>
              <w:spacing w:after="0"/>
              <w:rPr>
                <w:sz w:val="20"/>
                <w:szCs w:val="20"/>
                <w:color w:val="auto"/>
              </w:rPr>
            </w:pPr>
            <w:r>
              <w:rPr>
                <w:rFonts w:ascii="Arial" w:cs="Arial" w:eastAsia="Arial" w:hAnsi="Arial"/>
                <w:sz w:val="18"/>
                <w:szCs w:val="18"/>
                <w:color w:val="auto"/>
              </w:rPr>
              <w:t>Unit Options exercisable</w:t>
            </w:r>
          </w:p>
        </w:tc>
        <w:tc>
          <w:tcPr>
            <w:tcW w:w="3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8.7 years</w:t>
            </w:r>
          </w:p>
        </w:tc>
      </w:tr>
    </w:tbl>
    <w:p>
      <w:pPr>
        <w:spacing w:after="0" w:line="33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All Options outstanding were issued at the time of the IPO in 2020. No additional options have been issued to date. The fair value of Class A Common Stock Options granted at the time of the IPO was determined using the Black-Scholes option pricing model. 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HoldCo Units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three months ended September 30, 2021, ZoomInfo HoldCo waived the restriction on exchanges of unvested HoldCo Units on condition that such holders accept Class A Common Stock subject to the same vesting terms as the corresponding exchanged HoldCo Units. Subsequently, 872,371 unvested HoldCo Units, along with the same number of corresponding Class B Shares held directly by employees of the Company were voluntarily exchanged for 872,371 shares of Restricted Stock.</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Unvested HoldCo Unit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84"/>
        </w:trPr>
        <w:tc>
          <w:tcPr>
            <w:tcW w:w="5820" w:type="dxa"/>
            <w:vAlign w:val="bottom"/>
          </w:tcPr>
          <w:p>
            <w:pPr>
              <w:spacing w:after="0"/>
              <w:rPr>
                <w:sz w:val="15"/>
                <w:szCs w:val="15"/>
                <w:color w:val="auto"/>
              </w:rPr>
            </w:pPr>
          </w:p>
        </w:tc>
        <w:tc>
          <w:tcPr>
            <w:tcW w:w="368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 2021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2020</w:t>
            </w:r>
          </w:p>
        </w:tc>
      </w:tr>
      <w:tr>
        <w:trPr>
          <w:trHeight w:val="24"/>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56"/>
        </w:trPr>
        <w:tc>
          <w:tcPr>
            <w:tcW w:w="5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1"/>
              </w:rPr>
              <w:t>Weighted Average Grant</w:t>
            </w:r>
          </w:p>
        </w:tc>
        <w:tc>
          <w:tcPr>
            <w:tcW w:w="1740" w:type="dxa"/>
            <w:vAlign w:val="bottom"/>
          </w:tcPr>
          <w:p>
            <w:pPr>
              <w:spacing w:after="0"/>
              <w:rPr>
                <w:sz w:val="13"/>
                <w:szCs w:val="13"/>
                <w:color w:val="auto"/>
              </w:rPr>
            </w:pPr>
          </w:p>
        </w:tc>
      </w:tr>
      <w:tr>
        <w:trPr>
          <w:trHeight w:val="184"/>
        </w:trPr>
        <w:tc>
          <w:tcPr>
            <w:tcW w:w="5820" w:type="dxa"/>
            <w:vAlign w:val="bottom"/>
          </w:tcPr>
          <w:p>
            <w:pPr>
              <w:spacing w:after="0"/>
              <w:rPr>
                <w:sz w:val="15"/>
                <w:szCs w:val="15"/>
                <w:color w:val="auto"/>
              </w:rPr>
            </w:pPr>
          </w:p>
        </w:tc>
        <w:tc>
          <w:tcPr>
            <w:tcW w:w="1740" w:type="dxa"/>
            <w:vAlign w:val="bottom"/>
          </w:tcPr>
          <w:p>
            <w:pPr>
              <w:jc w:val="right"/>
              <w:ind w:right="376"/>
              <w:spacing w:after="0"/>
              <w:rPr>
                <w:sz w:val="20"/>
                <w:szCs w:val="20"/>
                <w:color w:val="auto"/>
              </w:rPr>
            </w:pPr>
            <w:r>
              <w:rPr>
                <w:rFonts w:ascii="Arial" w:cs="Arial" w:eastAsia="Arial" w:hAnsi="Arial"/>
                <w:sz w:val="14"/>
                <w:szCs w:val="14"/>
                <w:b w:val="1"/>
                <w:bCs w:val="1"/>
                <w:color w:val="auto"/>
              </w:rPr>
              <w:t>HoldCo Units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Date Fair Value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HoldCo Units</w:t>
            </w:r>
          </w:p>
        </w:tc>
      </w:tr>
      <w:tr>
        <w:trPr>
          <w:trHeight w:val="24"/>
        </w:trPr>
        <w:tc>
          <w:tcPr>
            <w:tcW w:w="58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1,214,105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82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1,332,239</w:t>
            </w:r>
          </w:p>
        </w:tc>
      </w:tr>
      <w:tr>
        <w:trPr>
          <w:trHeight w:val="28"/>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Exchanged for Restricted Stock</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(872,371)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820" w:type="dxa"/>
            <w:vAlign w:val="bottom"/>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(298,177)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(68,587)</w:t>
            </w:r>
          </w:p>
        </w:tc>
      </w:tr>
      <w:tr>
        <w:trPr>
          <w:trHeight w:val="28"/>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r>
      <w:tr>
        <w:trPr>
          <w:trHeight w:val="258"/>
        </w:trPr>
        <w:tc>
          <w:tcPr>
            <w:tcW w:w="582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1,250,879</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three months ended September 30, 2021, shares of Restricted Stock were issued upon exchange of unvested HoldCo Units and unvested Class P Units owned directly by employees of the Company. The shares restricted stock issued upon the exchanges remain subject to the same service vesting requirements of the original units. Upon fulfillment of the original employment service conditions, the restrictions will be lifted and the Restricted Stock will become unrestricted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60" w:type="dxa"/>
            <w:vAlign w:val="bottom"/>
            <w:gridSpan w:val="6"/>
          </w:tcPr>
          <w:p>
            <w:pPr>
              <w:ind w:left="580"/>
              <w:spacing w:after="0"/>
              <w:rPr>
                <w:sz w:val="20"/>
                <w:szCs w:val="20"/>
                <w:color w:val="auto"/>
              </w:rPr>
            </w:pPr>
            <w:r>
              <w:rPr>
                <w:rFonts w:ascii="Arial" w:cs="Arial" w:eastAsia="Arial" w:hAnsi="Arial"/>
                <w:sz w:val="14"/>
                <w:szCs w:val="14"/>
                <w:b w:val="1"/>
                <w:bCs w:val="1"/>
                <w:color w:val="auto"/>
              </w:rPr>
              <w:t>Nine Months Ended September 30, 2021</w:t>
            </w:r>
          </w:p>
        </w:tc>
        <w:tc>
          <w:tcPr>
            <w:tcW w:w="2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3"/>
              </w:rPr>
              <w:t>Weighted Average Grant</w:t>
            </w: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Date Fair Value</w:t>
            </w:r>
          </w:p>
        </w:tc>
        <w:tc>
          <w:tcPr>
            <w:tcW w:w="2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Restricted stock</w:t>
            </w:r>
          </w:p>
        </w:tc>
        <w:tc>
          <w:tcPr>
            <w:tcW w:w="0" w:type="dxa"/>
            <w:vAlign w:val="bottom"/>
          </w:tcPr>
          <w:p>
            <w:pPr>
              <w:spacing w:after="0"/>
              <w:rPr>
                <w:sz w:val="1"/>
                <w:szCs w:val="1"/>
                <w:color w:val="auto"/>
              </w:rPr>
            </w:pPr>
          </w:p>
        </w:tc>
      </w:tr>
      <w:tr>
        <w:trPr>
          <w:trHeight w:val="24"/>
        </w:trPr>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Exchanged HoldCo Units</w:t>
            </w:r>
          </w:p>
        </w:tc>
        <w:tc>
          <w:tcPr>
            <w:tcW w:w="1720" w:type="dxa"/>
            <w:vAlign w:val="bottom"/>
          </w:tcPr>
          <w:p>
            <w:pPr>
              <w:jc w:val="right"/>
              <w:spacing w:after="0"/>
              <w:rPr>
                <w:sz w:val="20"/>
                <w:szCs w:val="20"/>
                <w:color w:val="auto"/>
              </w:rPr>
            </w:pPr>
            <w:r>
              <w:rPr>
                <w:rFonts w:ascii="Arial" w:cs="Arial" w:eastAsia="Arial" w:hAnsi="Arial"/>
                <w:sz w:val="18"/>
                <w:szCs w:val="18"/>
                <w:color w:val="auto"/>
              </w:rPr>
              <w:t>872,371</w:t>
            </w: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Exchanged Class P Units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947,515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(385,120)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(926)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1,433,840</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OpCo Units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582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20" w:type="dxa"/>
            <w:vAlign w:val="bottom"/>
            <w:gridSpan w:val="2"/>
          </w:tcPr>
          <w:p>
            <w:pPr>
              <w:ind w:left="320"/>
              <w:spacing w:after="0"/>
              <w:rPr>
                <w:sz w:val="20"/>
                <w:szCs w:val="20"/>
                <w:color w:val="auto"/>
              </w:rPr>
            </w:pPr>
            <w:r>
              <w:rPr>
                <w:rFonts w:ascii="Arial" w:cs="Arial" w:eastAsia="Arial" w:hAnsi="Arial"/>
                <w:sz w:val="18"/>
                <w:szCs w:val="18"/>
                <w:color w:val="auto"/>
              </w:rPr>
              <w:t>OpCo Unit activity was as follows during the periods indicated:</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60" w:type="dxa"/>
            <w:vAlign w:val="bottom"/>
            <w:gridSpan w:val="6"/>
          </w:tcPr>
          <w:p>
            <w:pPr>
              <w:ind w:left="560"/>
              <w:spacing w:after="0"/>
              <w:rPr>
                <w:sz w:val="20"/>
                <w:szCs w:val="20"/>
                <w:color w:val="auto"/>
              </w:rPr>
            </w:pPr>
            <w:r>
              <w:rPr>
                <w:rFonts w:ascii="Arial" w:cs="Arial" w:eastAsia="Arial" w:hAnsi="Arial"/>
                <w:sz w:val="14"/>
                <w:szCs w:val="14"/>
                <w:b w:val="1"/>
                <w:bCs w:val="1"/>
                <w:color w:val="auto"/>
              </w:rPr>
              <w:t>Nine Months Ended September 30, 2021</w:t>
            </w:r>
          </w:p>
        </w:tc>
        <w:tc>
          <w:tcPr>
            <w:tcW w:w="2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3"/>
              </w:rPr>
              <w:t>Weighted Average Grant</w:t>
            </w: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OpCo Units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Date Fair Value</w:t>
            </w:r>
          </w:p>
        </w:tc>
        <w:tc>
          <w:tcPr>
            <w:tcW w:w="2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OpCo Units</w:t>
            </w:r>
          </w:p>
        </w:tc>
        <w:tc>
          <w:tcPr>
            <w:tcW w:w="0" w:type="dxa"/>
            <w:vAlign w:val="bottom"/>
          </w:tcPr>
          <w:p>
            <w:pPr>
              <w:spacing w:after="0"/>
              <w:rPr>
                <w:sz w:val="1"/>
                <w:szCs w:val="1"/>
                <w:color w:val="auto"/>
              </w:rPr>
            </w:pPr>
          </w:p>
        </w:tc>
      </w:tr>
      <w:tr>
        <w:trPr>
          <w:trHeight w:val="24"/>
        </w:trPr>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228,819</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(162,218)</w:t>
            </w:r>
          </w:p>
        </w:tc>
        <w:tc>
          <w:tcPr>
            <w:tcW w:w="0" w:type="dxa"/>
            <w:vAlign w:val="bottom"/>
          </w:tcPr>
          <w:p>
            <w:pPr>
              <w:spacing w:after="0"/>
              <w:rPr>
                <w:sz w:val="1"/>
                <w:szCs w:val="1"/>
                <w:color w:val="auto"/>
              </w:rPr>
            </w:pPr>
          </w:p>
        </w:tc>
      </w:tr>
      <w:tr>
        <w:trPr>
          <w:trHeight w:val="238"/>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(59,692)</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P Units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the three months ended September 30, 2021, the Company permitted employees to exercise the exchange rights on unvested Class P Units, pursuant to Board approval. The recipients received a number of shares of Restricted Stock equal in value to the implied “spread value” of the corresponding Class P Units, calculated based on the excess of the public trading price of Class A common stock at the time of the exchange over the per unit participation threshold of such Class P Units. The shares of Restricted Stock received are subject to the same vesting terms as the corresponding exchanged unvested Class 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Class P Units were issued under both the prior and current LLC agreement of ZoomInfo OpCo. Class P Unit activity was as follows during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84"/>
        </w:trPr>
        <w:tc>
          <w:tcPr>
            <w:tcW w:w="5800" w:type="dxa"/>
            <w:vAlign w:val="bottom"/>
          </w:tcPr>
          <w:p>
            <w:pPr>
              <w:spacing w:after="0"/>
              <w:rPr>
                <w:sz w:val="15"/>
                <w:szCs w:val="15"/>
                <w:color w:val="auto"/>
              </w:rPr>
            </w:pPr>
          </w:p>
        </w:tc>
        <w:tc>
          <w:tcPr>
            <w:tcW w:w="370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 2021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2020</w:t>
            </w:r>
          </w:p>
        </w:tc>
      </w:tr>
      <w:tr>
        <w:trPr>
          <w:trHeight w:val="24"/>
        </w:trPr>
        <w:tc>
          <w:tcPr>
            <w:tcW w:w="58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56"/>
        </w:trPr>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0"/>
              </w:rPr>
              <w:t>Weighted Average</w:t>
            </w:r>
          </w:p>
        </w:tc>
        <w:tc>
          <w:tcPr>
            <w:tcW w:w="1740" w:type="dxa"/>
            <w:vAlign w:val="bottom"/>
          </w:tcPr>
          <w:p>
            <w:pPr>
              <w:spacing w:after="0"/>
              <w:rPr>
                <w:sz w:val="13"/>
                <w:szCs w:val="13"/>
                <w:color w:val="auto"/>
              </w:rPr>
            </w:pPr>
          </w:p>
        </w:tc>
      </w:tr>
      <w:tr>
        <w:trPr>
          <w:trHeight w:val="184"/>
        </w:trPr>
        <w:tc>
          <w:tcPr>
            <w:tcW w:w="5800" w:type="dxa"/>
            <w:vAlign w:val="bottom"/>
          </w:tcPr>
          <w:p>
            <w:pPr>
              <w:spacing w:after="0"/>
              <w:rPr>
                <w:sz w:val="15"/>
                <w:szCs w:val="15"/>
                <w:color w:val="auto"/>
              </w:rPr>
            </w:pPr>
          </w:p>
        </w:tc>
        <w:tc>
          <w:tcPr>
            <w:tcW w:w="1740" w:type="dxa"/>
            <w:vAlign w:val="bottom"/>
          </w:tcPr>
          <w:p>
            <w:pPr>
              <w:jc w:val="right"/>
              <w:ind w:right="396"/>
              <w:spacing w:after="0"/>
              <w:rPr>
                <w:sz w:val="20"/>
                <w:szCs w:val="20"/>
                <w:color w:val="auto"/>
              </w:rPr>
            </w:pPr>
            <w:r>
              <w:rPr>
                <w:rFonts w:ascii="Arial" w:cs="Arial" w:eastAsia="Arial" w:hAnsi="Arial"/>
                <w:sz w:val="14"/>
                <w:szCs w:val="14"/>
                <w:b w:val="1"/>
                <w:bCs w:val="1"/>
                <w:color w:val="auto"/>
              </w:rPr>
              <w:t>Class P 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Participation Threshold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Class P Units</w:t>
            </w:r>
          </w:p>
        </w:tc>
      </w:tr>
      <w:tr>
        <w:trPr>
          <w:trHeight w:val="24"/>
        </w:trPr>
        <w:tc>
          <w:tcPr>
            <w:tcW w:w="58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8,796,642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16,893,603</w:t>
            </w:r>
          </w:p>
        </w:tc>
      </w:tr>
      <w:tr>
        <w:trPr>
          <w:trHeight w:val="237"/>
        </w:trPr>
        <w:tc>
          <w:tcPr>
            <w:tcW w:w="580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(1,950,930)</w:t>
            </w:r>
          </w:p>
        </w:tc>
      </w:tr>
      <w:tr>
        <w:trPr>
          <w:trHeight w:val="28"/>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Exchanged for Restricted Stock</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8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642,500</w:t>
            </w:r>
          </w:p>
        </w:tc>
      </w:tr>
      <w:tr>
        <w:trPr>
          <w:trHeight w:val="28"/>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(4,506,931)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(5,078,777)</w:t>
            </w:r>
          </w:p>
        </w:tc>
      </w:tr>
      <w:tr>
        <w:trPr>
          <w:trHeight w:val="237"/>
        </w:trPr>
        <w:tc>
          <w:tcPr>
            <w:tcW w:w="58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(94,621)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(430,965)</w:t>
            </w:r>
          </w:p>
        </w:tc>
      </w:tr>
      <w:tr>
        <w:trPr>
          <w:trHeight w:val="28"/>
        </w:trPr>
        <w:tc>
          <w:tcPr>
            <w:tcW w:w="58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3"/>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3,061,948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10,075,431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fair value of these Class P Units was determined using the Black-Scholes option pricing model. 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 There were no grants of Class P Units during the nine months ended September 30, 2021.</w:t>
      </w:r>
    </w:p>
    <w:p>
      <w:pPr>
        <w:sectPr>
          <w:pgSz w:w="11900" w:h="16838" w:orient="portrait"/>
          <w:cols w:equalWidth="0" w:num="1">
            <w:col w:w="11240"/>
          </w:cols>
          <w:pgMar w:left="320" w:top="122" w:right="3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LTIP Unit activity was as follows during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beginning of period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end of period</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Incentive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w:t>
            </w:r>
          </w:p>
        </w:tc>
      </w:tr>
      <w:tr>
        <w:trPr>
          <w:trHeight w:val="184"/>
        </w:trPr>
        <w:tc>
          <w:tcPr>
            <w:tcW w:w="368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 September 30, 2021</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30, 2020</w:t>
            </w:r>
          </w:p>
        </w:tc>
      </w:tr>
      <w:tr>
        <w:trPr>
          <w:trHeight w:val="24"/>
        </w:trPr>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56"/>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0"/>
              </w:rPr>
              <w:t>Weighted Average</w:t>
            </w:r>
          </w:p>
        </w:tc>
        <w:tc>
          <w:tcPr>
            <w:tcW w:w="1800" w:type="dxa"/>
            <w:vAlign w:val="bottom"/>
          </w:tcPr>
          <w:p>
            <w:pPr>
              <w:spacing w:after="0"/>
              <w:rPr>
                <w:sz w:val="13"/>
                <w:szCs w:val="13"/>
                <w:color w:val="auto"/>
              </w:rPr>
            </w:pPr>
          </w:p>
        </w:tc>
      </w:tr>
      <w:tr>
        <w:trPr>
          <w:trHeight w:val="184"/>
        </w:trPr>
        <w:tc>
          <w:tcPr>
            <w:tcW w:w="1740" w:type="dxa"/>
            <w:vAlign w:val="bottom"/>
          </w:tcPr>
          <w:p>
            <w:pPr>
              <w:jc w:val="right"/>
              <w:ind w:right="459"/>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Participation Threshold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LTIP Units</w:t>
            </w:r>
          </w:p>
        </w:tc>
      </w:tr>
      <w:tr>
        <w:trPr>
          <w:trHeight w:val="24"/>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1740" w:type="dxa"/>
            <w:vAlign w:val="bottom"/>
          </w:tcPr>
          <w:p>
            <w:pPr>
              <w:jc w:val="right"/>
              <w:spacing w:after="0"/>
              <w:rPr>
                <w:sz w:val="20"/>
                <w:szCs w:val="20"/>
                <w:color w:val="auto"/>
              </w:rPr>
            </w:pPr>
            <w:r>
              <w:rPr>
                <w:rFonts w:ascii="Arial" w:cs="Arial" w:eastAsia="Arial" w:hAnsi="Arial"/>
                <w:sz w:val="18"/>
                <w:szCs w:val="18"/>
                <w:color w:val="auto"/>
              </w:rPr>
              <w:t>47,620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1740" w:type="dxa"/>
            <w:vAlign w:val="bottom"/>
          </w:tcPr>
          <w:p>
            <w:pPr>
              <w:jc w:val="right"/>
              <w:spacing w:after="0"/>
              <w:rPr>
                <w:sz w:val="20"/>
                <w:szCs w:val="20"/>
                <w:color w:val="auto"/>
              </w:rPr>
            </w:pPr>
            <w:r>
              <w:rPr>
                <w:rFonts w:ascii="Arial" w:cs="Arial" w:eastAsia="Arial" w:hAnsi="Arial"/>
                <w:sz w:val="18"/>
                <w:szCs w:val="18"/>
                <w:color w:val="auto"/>
              </w:rPr>
              <w:t>247,045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47,620</w:t>
            </w:r>
          </w:p>
        </w:tc>
      </w:tr>
      <w:tr>
        <w:trPr>
          <w:trHeight w:val="28"/>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8"/>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47,620</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-554990</wp:posOffset>
            </wp:positionV>
            <wp:extent cx="7134860" cy="176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-3653155</wp:posOffset>
            </wp:positionH>
            <wp:positionV relativeFrom="paragraph">
              <wp:posOffset>-209550</wp:posOffset>
            </wp:positionV>
            <wp:extent cx="7134860" cy="1936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5040" w:space="720"/>
            <w:col w:w="5480"/>
          </w:cols>
          <w:pgMar w:left="320" w:top="122" w:right="339" w:bottom="1440" w:gutter="0" w:footer="0" w:header="0"/>
          <w:type w:val="continuous"/>
        </w:sectPr>
      </w:pPr>
    </w:p>
    <w:p>
      <w:pPr>
        <w:jc w:val="both"/>
        <w:ind w:firstLine="318"/>
        <w:spacing w:after="0" w:line="309" w:lineRule="auto"/>
        <w:rPr>
          <w:sz w:val="20"/>
          <w:szCs w:val="20"/>
          <w:color w:val="auto"/>
        </w:rPr>
      </w:pPr>
      <w:r>
        <w:rPr>
          <w:rFonts w:ascii="Arial" w:cs="Arial" w:eastAsia="Arial" w:hAnsi="Arial"/>
          <w:sz w:val="15"/>
          <w:szCs w:val="15"/>
          <w:color w:val="auto"/>
        </w:rPr>
        <w:t>After selling units to TA Associates and funds affiliated with 22C Capital LLC, 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 and the Company began to recognize compensation cost under these awards on a straight-line basis in the same manner as if the Company had paid cash in lieu of awarding the HSKB Grants, per the requirements of ASC 718.</w:t>
      </w:r>
    </w:p>
    <w:p>
      <w:pPr>
        <w:spacing w:after="0" w:line="3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nine months ended September 30, 2021, HSKB paid $9.0 million from allocated funds and has $2.9 million remaining that it has allocated to be paid through 2023.</w:t>
      </w:r>
    </w:p>
    <w:p>
      <w:pPr>
        <w:spacing w:after="0" w:line="1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the three months ended September 30, 2021, HSKB II exchanged their HoldCo Units and paired shares of Class B common stock of the Company for share of Class A common stock of the Company pursuant to the terms of the limited liability company agreement of HoldCo.</w:t>
      </w:r>
    </w:p>
    <w:p>
      <w:pPr>
        <w:spacing w:after="0" w:line="98"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b w:val="1"/>
          <w:bCs w:val="1"/>
          <w:color w:val="auto"/>
        </w:rPr>
        <w:t xml:space="preserve">HSKB Phantom Units </w:t>
      </w:r>
      <w:r>
        <w:rPr>
          <w:rFonts w:ascii="Arial" w:cs="Arial" w:eastAsia="Arial" w:hAnsi="Arial"/>
          <w:sz w:val="15"/>
          <w:szCs w:val="15"/>
          <w:color w:val="auto"/>
        </w:rPr>
        <w:t>- In December 2019, HSKB I adopted the HSKB Funds, LLC 2019 Phantom Unit Plan wherein HSKB may grant Phantom Units</w:t>
      </w:r>
      <w:r>
        <w:rPr>
          <w:rFonts w:ascii="Arial" w:cs="Arial" w:eastAsia="Arial" w:hAnsi="Arial"/>
          <w:sz w:val="15"/>
          <w:szCs w:val="15"/>
          <w:b w:val="1"/>
          <w:bCs w:val="1"/>
          <w:color w:val="auto"/>
        </w:rPr>
        <w:t xml:space="preserve"> </w:t>
      </w:r>
      <w:r>
        <w:rPr>
          <w:rFonts w:ascii="Arial" w:cs="Arial" w:eastAsia="Arial" w:hAnsi="Arial"/>
          <w:sz w:val="15"/>
          <w:szCs w:val="15"/>
          <w:color w:val="auto"/>
        </w:rPr>
        <w:t>(“HSKB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 HSKB II must settle the HSKB Phantom Unit in exchange for either (1) cash or (2) Class A Common Stock as determined by the HSKB Manager, in each case, equal to the fair market value of such Common Unit at the time of such exchange. The HSKB Incentive Units and HSKB Phantom Units both had time-based vesting conditions that were conditional upon the completion of an IPO.</w:t>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Compensation expense incurred from all the equity-based incentive awards described above was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5"/>
                <w:szCs w:val="15"/>
                <w:color w:val="auto"/>
              </w:rPr>
            </w:pPr>
          </w:p>
        </w:tc>
        <w:tc>
          <w:tcPr>
            <w:tcW w:w="282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5"/>
                <w:szCs w:val="15"/>
                <w:color w:val="auto"/>
              </w:rPr>
            </w:pPr>
          </w:p>
        </w:tc>
        <w:tc>
          <w:tcPr>
            <w:tcW w:w="24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5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57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4"/>
        </w:trPr>
        <w:tc>
          <w:tcPr>
            <w:tcW w:w="5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8"/>
        </w:trPr>
        <w:tc>
          <w:tcPr>
            <w:tcW w:w="5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Cost of service and Operating expenses include equity-based compensation</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1"/>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 as follows:</w:t>
            </w: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8"/>
        </w:trPr>
        <w:tc>
          <w:tcPr>
            <w:tcW w:w="5740" w:type="dxa"/>
            <w:vAlign w:val="bottom"/>
          </w:tcPr>
          <w:p>
            <w:pPr>
              <w:ind w:left="220"/>
              <w:spacing w:after="0"/>
              <w:rPr>
                <w:sz w:val="20"/>
                <w:szCs w:val="20"/>
                <w:color w:val="auto"/>
              </w:rPr>
            </w:pPr>
            <w:r>
              <w:rPr>
                <w:rFonts w:ascii="Arial" w:cs="Arial" w:eastAsia="Arial" w:hAnsi="Arial"/>
                <w:sz w:val="18"/>
                <w:szCs w:val="18"/>
                <w:color w:val="auto"/>
              </w:rPr>
              <w:t>Cost of service</w:t>
            </w:r>
          </w:p>
        </w:tc>
        <w:tc>
          <w:tcPr>
            <w:tcW w:w="860" w:type="dxa"/>
            <w:vAlign w:val="bottom"/>
          </w:tcPr>
          <w:p>
            <w:pPr>
              <w:jc w:val="right"/>
              <w:ind w:right="681"/>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5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8"/>
        </w:trPr>
        <w:tc>
          <w:tcPr>
            <w:tcW w:w="5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5"/>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58"/>
        </w:trPr>
        <w:tc>
          <w:tcPr>
            <w:tcW w:w="5740" w:type="dxa"/>
            <w:vAlign w:val="bottom"/>
          </w:tcPr>
          <w:p>
            <w:pPr>
              <w:ind w:left="460"/>
              <w:spacing w:after="0"/>
              <w:rPr>
                <w:sz w:val="20"/>
                <w:szCs w:val="20"/>
                <w:color w:val="auto"/>
              </w:rPr>
            </w:pPr>
            <w:r>
              <w:rPr>
                <w:rFonts w:ascii="Arial" w:cs="Arial" w:eastAsia="Arial" w:hAnsi="Arial"/>
                <w:sz w:val="18"/>
                <w:szCs w:val="18"/>
                <w:color w:val="auto"/>
              </w:rPr>
              <w:t>Total equity-based compensation expense</w:t>
            </w: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w:t>
            </w:r>
          </w:p>
        </w:tc>
      </w:tr>
      <w:tr>
        <w:trPr>
          <w:trHeight w:val="20"/>
        </w:trPr>
        <w:tc>
          <w:tcPr>
            <w:tcW w:w="5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unamortized equity-based compensation costs related to each equity-based incentive award described above is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r>
      <w:tr>
        <w:trPr>
          <w:trHeight w:val="159"/>
        </w:trPr>
        <w:tc>
          <w:tcPr>
            <w:tcW w:w="7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Remaining Service Period</w:t>
            </w:r>
          </w:p>
        </w:tc>
      </w:tr>
      <w:tr>
        <w:trPr>
          <w:trHeight w:val="184"/>
        </w:trPr>
        <w:tc>
          <w:tcPr>
            <w:tcW w:w="7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r>
      <w:tr>
        <w:trPr>
          <w:trHeight w:val="24"/>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80" w:type="dxa"/>
            <w:vAlign w:val="bottom"/>
            <w:tcBorders>
              <w:bottom w:val="single" w:sz="8" w:color="CCEEFF"/>
            </w:tcBorders>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3.3</w:t>
            </w: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Class A Common Stock Options</w:t>
            </w:r>
          </w:p>
        </w:tc>
        <w:tc>
          <w:tcPr>
            <w:tcW w:w="1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1.8</w:t>
            </w:r>
          </w:p>
        </w:tc>
      </w:tr>
      <w:tr>
        <w:trPr>
          <w:trHeight w:val="28"/>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1.9</w:t>
            </w: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1.5</w:t>
            </w:r>
          </w:p>
        </w:tc>
      </w:tr>
      <w:tr>
        <w:trPr>
          <w:trHeight w:val="28"/>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2.3</w:t>
            </w: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HSKB Incentive Units</w:t>
            </w:r>
          </w:p>
        </w:tc>
        <w:tc>
          <w:tcPr>
            <w:tcW w:w="1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0.9</w:t>
            </w:r>
          </w:p>
        </w:tc>
      </w:tr>
      <w:tr>
        <w:trPr>
          <w:trHeight w:val="28"/>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Phantom Units</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3.1</w:t>
            </w:r>
          </w:p>
        </w:tc>
      </w:tr>
      <w:tr>
        <w:trPr>
          <w:trHeight w:val="258"/>
        </w:trPr>
        <w:tc>
          <w:tcPr>
            <w:tcW w:w="7660" w:type="dxa"/>
            <w:vAlign w:val="bottom"/>
          </w:tcPr>
          <w:p>
            <w:pPr>
              <w:ind w:left="240"/>
              <w:spacing w:after="0"/>
              <w:rPr>
                <w:sz w:val="20"/>
                <w:szCs w:val="20"/>
                <w:color w:val="auto"/>
              </w:rPr>
            </w:pPr>
            <w:r>
              <w:rPr>
                <w:rFonts w:ascii="Arial" w:cs="Arial" w:eastAsia="Arial" w:hAnsi="Arial"/>
                <w:sz w:val="18"/>
                <w:szCs w:val="18"/>
                <w:color w:val="auto"/>
              </w:rPr>
              <w:t>Total unamortized equity-based compensation cost</w:t>
            </w:r>
          </w:p>
        </w:tc>
        <w:tc>
          <w:tcPr>
            <w:tcW w:w="118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2.8</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Tax Receivable Agreements</w:t>
      </w:r>
    </w:p>
    <w:p>
      <w:pPr>
        <w:spacing w:after="0" w:line="170"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ZoomInfo Technologies Inc. or any member of its affiliated, consolidated, combined, or unitary tax group (collectively,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of cash savings that it realizes.</w:t>
      </w:r>
    </w:p>
    <w:p>
      <w:pPr>
        <w:spacing w:after="0" w:line="32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expects to obtain an increase in its share of the tax basis in the net assets of ZoomInfo HoldCo when OpCo Units are exchanged by Pre-IPO OpCo Unitholders. The Company intends to treat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9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As of September 30, 2021, the Company had a liability of $3,065.8 million related to its projected obligations under the Tax Receivable Agreements in connection with the Reorganization Transactions and OpCo Units exchanged. Tax Receivable Agreements related liabilities are classified as current or noncurrent based on the expected date of payment and are included in the Company’s Condensed Consolidated Balance Sheets under the captions </w:t>
      </w:r>
      <w:r>
        <w:rPr>
          <w:rFonts w:ascii="Arial" w:cs="Arial" w:eastAsia="Arial" w:hAnsi="Arial"/>
          <w:sz w:val="15"/>
          <w:szCs w:val="15"/>
          <w:i w:val="1"/>
          <w:iCs w:val="1"/>
          <w:color w:val="auto"/>
        </w:rPr>
        <w:t>Current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portion of tax receivable agreements liability </w:t>
      </w:r>
      <w:r>
        <w:rPr>
          <w:rFonts w:ascii="Arial" w:cs="Arial" w:eastAsia="Arial" w:hAnsi="Arial"/>
          <w:sz w:val="15"/>
          <w:szCs w:val="15"/>
          <w:color w:val="auto"/>
        </w:rPr>
        <w:t>and</w:t>
      </w:r>
      <w:r>
        <w:rPr>
          <w:rFonts w:ascii="Arial" w:cs="Arial" w:eastAsia="Arial" w:hAnsi="Arial"/>
          <w:sz w:val="15"/>
          <w:szCs w:val="15"/>
          <w:i w:val="1"/>
          <w:iCs w:val="1"/>
          <w:color w:val="auto"/>
        </w:rPr>
        <w:t xml:space="preserve"> Tax receivable agreements liability, net of current portion</w:t>
      </w:r>
      <w:r>
        <w:rPr>
          <w:rFonts w:ascii="Arial" w:cs="Arial" w:eastAsia="Arial" w:hAnsi="Arial"/>
          <w:sz w:val="15"/>
          <w:szCs w:val="15"/>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recorded $45.5 million of income tax expense and $1.4 million of income tax expense for the three months ended September 30, 2021 and 2020, respectively, and $101.4 million of income tax expense and $9.8 million of income tax expense for the nine months ended September 30, 2021 and 2020, respectively. The Company’s estimated effective tax rate for the nine months ended September 30, 2021 was 198.4%. The Company’s estimated annual effective tax rate differs from the statutory rate of 21.0% primarily due to the recognition of $44.8 million in Q1 and $41.9 million in Q3 of non-cash tax expense resulting from shifts in GAAP basis from a non-taxable entity to a taxable entity.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September 30, 2021, that if recognized, would affect the annual effective tax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 Corporate Structure and Multi-Class Voting Structure Elimination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Following the implementation, ZoomInfo Technologies Inc. (“Old ZoomInfo”) became a wholly-owned subsidiary of a new holding company, ZoomInfo NewCo Inc. (“New ZoomInfo”), which replaced Old ZoomInfo as the public company trading on the Nasdaq Global Select Market under Old ZoomInfo’s ticker symbol “ZI.” In addition, New ZoomInfo changed its name to “ZoomInfo Technologies Inc.” and Old ZoomInfo changed its name to “ZoomInfo Intermediate Holdings Inc.”</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Accordingly, upon consummation of the reorganization transaction, Old ZoomInfo stockholders automatically became stockholders of New ZoomInfo, on a one-for-one basis, with the same number and ownership percentage of shares they held in Old ZoomInfo immediately prior to the effective time of the reorganization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included in our 2020 Form 10-K, the information included under “Management’s Discussion and Analysis of Financial Condition and Results of Operations” in Part II, Item 7 of our 2020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2020 Form 10-K.</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ZoomInfo provides a go-to-market platform that combines intelligence, orchestration, and engagement technologies to deliver insight-driven automation that helps sales, marketing, and recruiting professionals succeed.</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products allow sales, marketing and recruiting teams to shorten sales cycles and increase win rates by delivering the right message, to the right person, at the right time, in the right way. We do this by delivering timely competitive intelligence and offering services that make reaching prospects fast and easy.</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ZoomInfo, formerly known as DiscoverOrg, was co-founded in 2007 by our CEO, Henry Schuck. We have grown our company by developing innovative ways of gathering and improving our data and insights, and using intelligent automation to put those insights into action.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Today, our company defines the modern go-to-market technology stack across three distinct layers that build upon each other:</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Intelligence Layer is the foundation of our data-driven strategies. Our best-in-class data, curated through first- and third-party sources, includes millions of data points such as companies, contacts, intent, hierarchy, location, and financial information.</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Orchestration Layer stitches together and enriches our data sources. At this stage, our products assign and route data, leads, and insights to the appropriate people. This creates a “living” dataset that remains updated and can be used to power automated business workflows. Our services connect with major CRM providers.</w:t>
      </w:r>
    </w:p>
    <w:p>
      <w:pPr>
        <w:spacing w:after="0" w:line="13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Engagement Layer, which includes services such as Engage, ZI Chat, and Chorus, allows sales, marketing, and recruiting professionals to put our data-driven insights into action by using multiple channels to reach and communicate with prospects and customers.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generate substantially all of our revenue from sales of subscriptions to our platform. Our subscription fees include the use of our platform and access to customer support. Subscriptions generally range from one to three years in length with over 30% of our contracts based on annualized value being under multi-year agreements. We typically bill our customers at the beginning of each annual, semi-annual, or quarterly period and recognize revenue ratably over the term of the subscription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June 2021, the Company acquired all the outstanding equity interests of Insent for a total purchase consideration of $34.0 million, consisting of $32.9 million in cash consideration and $1.1 million in estimated deferred consideration. The purchase price was primarily comprised of acquired technology and goodwill. The Company has included the financial results of this business in the consolidated financial statements from the date of acquisition. The purchase accounting for this transaction is finalized.</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July 2021, the Company acquired substantially all of the net assets of Chorus.ai, a leader in conversation intelligence, for a total purchase consideration of $547.5 million. The purchase price was primarily comprised of acquired technology and goodwill.The Company funded cash payments made at closing with $225.0 million of revolving credit borrowings under the existing First Lien Credit Agreement, and the remainder with cash on hand. The Company has included the financial results of this business in the consolidated financial statements from the date of acquisition. The purchase accounting for this transaction is not yet finalized.</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September 2021, the Company acquired substantially all of the net assets of RingLead for a total purchase consideration of $118.4 million, consisting of $117.3 million in cash consideration and $1.1 million in estimated deferred consideration. The purchase price was primarily comprised of acquired technology and goodwill. The Company has included the financial results of this business in the consolidated financial statements from the date of acquisition. The purchase accounting for this transaction is not yet finalized.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 Offering</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2021, ZoomInfo Technologies LLC and ZoomInfo Finance Corp. (collectively, the “Issuers”), indirect subsidiaries of ZoomInfo Technologies Inc., issued and sold $300.0 million in aggregate principal amount of additional 3.875% senior notes due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 Amendment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July 2021, the Company entered into an amendment (the “Credit Agreement Amendment”) to its existing First Lien Credit Agreement that provided for, among other things, the incurrence of an additional $200.0 million aggregate principal amount of additional term loans under its existing First Lien Credit Agreement.</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net proceeds from the Credit Agreement Amendment were used, together with the net proceeds from the offering (the “Offering”) by the Issuers of $300.0 million aggregate principal amount of 3.875% senior notes due 2029, to (i) repay $225.0 million of outstanding borrowings under the revolving credit facility which were used to pay a portion of the consideration for the Acquisition, and (ii) pay fees and expenses related to the Credit Agreement Amendment, the Offering and the Acquisition, and the remainder is expected to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 Corporate Structure and Multi-Class Voting Structure Elimination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Following the implementation, ZoomInfo Technologies Inc. (“Old ZoomInfo”) became a wholly-owned subsidiary of a new holding company, ZoomInfo NewCo Inc. (“New ZoomInfo”), which replaced Old ZoomInfo as the public company trading on the Nasdaq Global Select Market under Old ZoomInfo’s ticker symbol “ZI.” In addition, New ZoomInfo changed its name to “ZoomInfo Technologies Inc.” and Old ZoomInfo changed its name to “ZoomInfo Intermediate Holdings Inc.”</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Accordingly, upon consummation of the reorganization transaction, Old ZoomInfo stockholders automatically became stockholders of New ZoomInfo, on a one-for-one basis, with the same number and ownership percentage of shares they held in Old ZoomInfo immediately prior to the effective time of the reorganization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December 2019, a novel strain of Coronavirus disease (“COVID-19”) was reported, and in March 2020, the WHO characterized COVID-19 as a pandemic. The ongoing COVID-19 pandemic has resulted in travel restrictions, prohibitions of non-essential activities, disruption and shutdown of certain businesses, and greater uncertainty in global financial markets. Such conditions have created disruption in global supply chains, increasing rates of unemployment, and adverse impacts for many industries. The outbreak could have a continued adverse impact on economic and market conditions and has triggered a period of global economic slowdown.</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a result of the COVID-19 pandemic, we experienced headwinds and tailwinds that impacted our business. In early 2020, we experienced headwinds in some sales cycles as business leaders adapted to the impacts of the pandemic. Customers in heavily impacted industries represented less than 4% of ACV, and in early 2020, we saw heightened cancellations and reductions in spend from this subset of customers relative to pre-COVID time frames. We also experienced longer sales cycles and more intense scrutiny, particularly for larger purchases and upgrades as customers and prospects re-assessed their growth trajectory in light of the changing economic environment. Our sales teams adjusted to the new environment and drove improved sales and retention activity relative to prior year results. These headwinds dissipated during the course of the year and were partially offset by tailwinds we experienced relating to reduced spending on travel, facilities, and marketing events. By the end of 2020, demand for our platform normalized and returned to levels materially consistent with historical trends. The extent and continued impact of the COVID-19 pandemic on our operational and financial condition will depend on certain developments, including: the duration and spread of the outbreak; government responses to the pandemic including vaccine availability and deployment;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not within our control. Furthermore, because of our largely subscription-based business model, the effect of the COVID-19 pandemic may not be fully reflected in our results of operations and overall financial condition until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To address the safety and health of our employees during the COVID-19 pandemic, in the first quarter of 2020 we temporarily closed all of our offices and enabled our entire workforce to work remotely. These changes remained largely in effect throughout the third quarter of 2021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“Human Capital” in Part I, Item 1 and “Risk Factors” in Part I, Item 1A of our 2020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are focused on continuing to grow the number of customers that use our platform. The majority of revenue growth when comparing the three months ended September 30, 2021 to the three months ended September 30, 2020 was the result of new customers added over the last 12 months. Our operating results and growth prospects will depend in part on our ability to continue to attract new customers. Additionally, acquiring new customers strengthens the power of our contributory network. We will need to continue to invest in our efficient go-to-market effort to acquire new customers.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Delivering Additional High-Value Solutions to Our Existing Customers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ability to expand relationships with existing customers and deliver additional high-value solutions is demonstrated by our net annual retention rate. We measure our retention rate on an annual basis and define annual net revenue retention as the total ACV generated by our customers and customers of Pre-Acquisition ZI at the end of the year divided by the ACV generated by the same group of customers at the end of the prior year. Our net annual retention rate for the year ended December 31, 2020 was 108%. We also measure our success in expanding relationships with existing customers by the number of customers that contract for more than $100,000 in ACV. As of September 30, 2021, we had more than 1,250 customers with over $100,000 in ACV.</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which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1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0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following table presents a reconciliation of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to Adjusted Net Income and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to Adjusted Operating Income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5"/>
                <w:szCs w:val="15"/>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4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4"/>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11.1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Add (less): Expense (benefit) from income taxes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8"/>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Add: Loss on debt modification and extinguishment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8"/>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1"/>
        </w:trPr>
        <w:tc>
          <w:tcPr>
            <w:tcW w:w="4900" w:type="dxa"/>
            <w:vAlign w:val="bottom"/>
          </w:tcPr>
          <w:p>
            <w:pPr>
              <w:ind w:left="420"/>
              <w:spacing w:after="0"/>
              <w:rPr>
                <w:sz w:val="20"/>
                <w:szCs w:val="20"/>
                <w:color w:val="auto"/>
              </w:rPr>
            </w:pPr>
            <w:r>
              <w:rPr>
                <w:rFonts w:ascii="Arial" w:cs="Arial" w:eastAsia="Arial" w:hAnsi="Arial"/>
                <w:sz w:val="18"/>
                <w:szCs w:val="18"/>
                <w:b w:val="1"/>
                <w:bCs w:val="1"/>
                <w:color w:val="auto"/>
              </w:rPr>
              <w:t>Income (loss) from operations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18.4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Add: Impact of fair value adjustments to acquired unearned</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8"/>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(b)</w:t>
            </w: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8"/>
        </w:trPr>
        <w:tc>
          <w:tcPr>
            <w:tcW w:w="4900" w:type="dxa"/>
            <w:vAlign w:val="bottom"/>
          </w:tcPr>
          <w:p>
            <w:pPr>
              <w:ind w:left="180"/>
              <w:spacing w:after="0"/>
              <w:rPr>
                <w:sz w:val="20"/>
                <w:szCs w:val="20"/>
                <w:color w:val="auto"/>
              </w:rPr>
            </w:pPr>
            <w:r>
              <w:rPr>
                <w:rFonts w:ascii="Arial" w:cs="Arial" w:eastAsia="Arial" w:hAnsi="Arial"/>
                <w:sz w:val="18"/>
                <w:szCs w:val="18"/>
                <w:color w:val="auto"/>
              </w:rPr>
              <w:t>Add: Amortization of acquired technology</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8"/>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other acquired intangibles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8"/>
        </w:trPr>
        <w:tc>
          <w:tcPr>
            <w:tcW w:w="4900" w:type="dxa"/>
            <w:vAlign w:val="bottom"/>
          </w:tcPr>
          <w:p>
            <w:pPr>
              <w:ind w:left="180"/>
              <w:spacing w:after="0"/>
              <w:rPr>
                <w:sz w:val="20"/>
                <w:szCs w:val="20"/>
                <w:color w:val="auto"/>
              </w:rPr>
            </w:pPr>
            <w:r>
              <w:rPr>
                <w:rFonts w:ascii="Arial" w:cs="Arial" w:eastAsia="Arial" w:hAnsi="Arial"/>
                <w:sz w:val="18"/>
                <w:szCs w:val="18"/>
                <w:color w:val="auto"/>
              </w:rPr>
              <w:t>Add: Equity-based compensation</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28.4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8"/>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Restructuring and transaction-related expenses</w:t>
            </w:r>
            <w:r>
              <w:rPr>
                <w:rFonts w:ascii="Arial" w:cs="Arial" w:eastAsia="Arial" w:hAnsi="Arial"/>
                <w:sz w:val="22"/>
                <w:szCs w:val="22"/>
                <w:color w:val="auto"/>
                <w:vertAlign w:val="superscript"/>
              </w:rPr>
              <w:t>(c)</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65"/>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58.5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31"/>
        </w:trPr>
        <w:tc>
          <w:tcPr>
            <w:tcW w:w="4900" w:type="dxa"/>
            <w:vAlign w:val="bottom"/>
          </w:tcPr>
          <w:p>
            <w:pPr>
              <w:ind w:left="240"/>
              <w:spacing w:after="0"/>
              <w:rPr>
                <w:sz w:val="20"/>
                <w:szCs w:val="20"/>
                <w:color w:val="auto"/>
              </w:rPr>
            </w:pPr>
            <w:r>
              <w:rPr>
                <w:rFonts w:ascii="Arial" w:cs="Arial" w:eastAsia="Arial" w:hAnsi="Arial"/>
                <w:sz w:val="18"/>
                <w:szCs w:val="18"/>
                <w:color w:val="auto"/>
              </w:rPr>
              <w:t>Less: Interest expense, net</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8"/>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6"/>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Less (add): Other expense (income), net, excluding TRA liability</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1"/>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remeasurement (benefit) expense</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8"/>
        </w:trPr>
        <w:tc>
          <w:tcPr>
            <w:tcW w:w="4900" w:type="dxa"/>
            <w:vAlign w:val="bottom"/>
          </w:tcPr>
          <w:p>
            <w:pPr>
              <w:ind w:left="240"/>
              <w:spacing w:after="0"/>
              <w:rPr>
                <w:sz w:val="20"/>
                <w:szCs w:val="20"/>
                <w:color w:val="auto"/>
              </w:rPr>
            </w:pPr>
            <w:r>
              <w:rPr>
                <w:rFonts w:ascii="Arial" w:cs="Arial" w:eastAsia="Arial" w:hAnsi="Arial"/>
                <w:sz w:val="18"/>
                <w:szCs w:val="18"/>
                <w:color w:val="auto"/>
              </w:rPr>
              <w:t>Add (less): Benefit (expense) from income taxes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8"/>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Tax impacts of adjustments to net income (loss)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8"/>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42.8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r>
      <w:tr>
        <w:trPr>
          <w:trHeight w:val="20"/>
        </w:trPr>
        <w:tc>
          <w:tcPr>
            <w:tcW w:w="4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65" w:lineRule="auto"/>
        <w:tabs>
          <w:tab w:leader="none" w:pos="318" w:val="left"/>
        </w:tabs>
        <w:numPr>
          <w:ilvl w:val="0"/>
          <w:numId w:val="22"/>
        </w:numPr>
        <w:rPr>
          <w:rFonts w:ascii="Arial" w:cs="Arial" w:eastAsia="Arial" w:hAnsi="Arial"/>
          <w:sz w:val="13"/>
          <w:szCs w:val="13"/>
          <w:i w:val="1"/>
          <w:iCs w:val="1"/>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three months ended September 30, 2021, this expense related primarily to costs incurred related to 2021 acquisitions. For the three and nine months ended September 30, 2021, this expense related primarily to costs incurred related to 2021 acquisitions and impairment charges related to the Company’s anticipated Waltham office relocation. For the three and nine months ended September 30, 2020, this expense related primarily to professional fees for the preparation for an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65" w:lineRule="auto"/>
        <w:tabs>
          <w:tab w:leader="none" w:pos="312"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three months ended September 30, 2021, this expense related to retention awards from the acquisitions of Clickagy and Everstring, as well as cash vesting payments from the acquisition of Pre-Acquisition ZI. For the three months ended September 30, 2020, this expense related primarily to cash vesting payments from the acquisition of Pre-Acquisition ZI. For the nine months ended September 30, 2021, this expense related to retention awards from the acquisitions of Clickagy and Everstring, as well as cash vesting payments from the acquisition of Pre-Acquisition ZI. For the nine months ended September 30, 2020,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0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160" w:type="dxa"/>
            <w:vAlign w:val="bottom"/>
          </w:tcPr>
          <w:p>
            <w:pPr>
              <w:spacing w:after="0"/>
              <w:rPr>
                <w:sz w:val="15"/>
                <w:szCs w:val="15"/>
                <w:color w:val="auto"/>
              </w:rPr>
            </w:pPr>
          </w:p>
        </w:tc>
        <w:tc>
          <w:tcPr>
            <w:tcW w:w="278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4"/>
          </w:tcPr>
          <w:p>
            <w:pPr>
              <w:jc w:val="right"/>
              <w:ind w:right="44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4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80" w:type="dxa"/>
            <w:vAlign w:val="bottom"/>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2020</w:t>
            </w:r>
          </w:p>
        </w:tc>
      </w:tr>
      <w:tr>
        <w:trPr>
          <w:trHeight w:val="24"/>
        </w:trPr>
        <w:tc>
          <w:tcPr>
            <w:tcW w:w="4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00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0.3</w:t>
            </w:r>
          </w:p>
        </w:tc>
      </w:tr>
      <w:tr>
        <w:trPr>
          <w:trHeight w:val="188"/>
        </w:trPr>
        <w:tc>
          <w:tcPr>
            <w:tcW w:w="41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jc w:val="right"/>
              <w:ind w:right="9"/>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2.5</w:t>
            </w:r>
          </w:p>
        </w:tc>
      </w:tr>
      <w:tr>
        <w:trPr>
          <w:trHeight w:val="24"/>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2.9</w:t>
            </w:r>
          </w:p>
        </w:tc>
      </w:tr>
      <w:tr>
        <w:trPr>
          <w:trHeight w:val="188"/>
        </w:trPr>
        <w:tc>
          <w:tcPr>
            <w:tcW w:w="4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0.3</w:t>
            </w:r>
          </w:p>
        </w:tc>
      </w:tr>
      <w:tr>
        <w:trPr>
          <w:trHeight w:val="24"/>
        </w:trPr>
        <w:tc>
          <w:tcPr>
            <w:tcW w:w="4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5"/>
                <w:szCs w:val="15"/>
                <w:color w:val="auto"/>
              </w:rPr>
            </w:pPr>
          </w:p>
        </w:tc>
        <w:tc>
          <w:tcPr>
            <w:tcW w:w="298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Pr>
          <w:p>
            <w:pPr>
              <w:spacing w:after="0"/>
              <w:rPr>
                <w:sz w:val="15"/>
                <w:szCs w:val="15"/>
                <w:color w:val="auto"/>
              </w:rPr>
            </w:pPr>
          </w:p>
        </w:tc>
        <w:tc>
          <w:tcPr>
            <w:tcW w:w="1260" w:type="dxa"/>
            <w:vAlign w:val="bottom"/>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4"/>
        </w:trPr>
        <w:tc>
          <w:tcPr>
            <w:tcW w:w="4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58.5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162.6</w:t>
            </w:r>
          </w:p>
        </w:tc>
      </w:tr>
      <w:tr>
        <w:trPr>
          <w:trHeight w:val="265"/>
        </w:trPr>
        <w:tc>
          <w:tcPr>
            <w:tcW w:w="4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123.4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336.5</w:t>
            </w:r>
          </w:p>
        </w:tc>
      </w:tr>
      <w:tr>
        <w:trPr>
          <w:trHeight w:val="226"/>
        </w:trPr>
        <w:tc>
          <w:tcPr>
            <w:tcW w:w="4420" w:type="dxa"/>
            <w:vAlign w:val="bottom"/>
          </w:tcPr>
          <w:p>
            <w:pPr>
              <w:ind w:left="220"/>
              <w:spacing w:after="0"/>
              <w:rPr>
                <w:sz w:val="20"/>
                <w:szCs w:val="20"/>
                <w:color w:val="auto"/>
              </w:rPr>
            </w:pPr>
            <w:r>
              <w:rPr>
                <w:rFonts w:ascii="Arial" w:cs="Arial" w:eastAsia="Arial" w:hAnsi="Arial"/>
                <w:sz w:val="18"/>
                <w:szCs w:val="18"/>
                <w:color w:val="auto"/>
                <w:w w:val="97"/>
              </w:rPr>
              <w:t>Impact of fair value adjustments to acquired unearned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4420" w:type="dxa"/>
            <w:vAlign w:val="bottom"/>
          </w:tcPr>
          <w:p>
            <w:pPr>
              <w:ind w:left="38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1.9</w:t>
            </w:r>
          </w:p>
        </w:tc>
      </w:tr>
      <w:tr>
        <w:trPr>
          <w:trHeight w:val="28"/>
        </w:trPr>
        <w:tc>
          <w:tcPr>
            <w:tcW w:w="4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for adjusted operating margin calculation</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123.6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527.5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338.4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4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 Margin</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39 %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47 %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48 %</w:t>
            </w:r>
          </w:p>
        </w:tc>
      </w:tr>
    </w:tbl>
    <w:p>
      <w:pPr>
        <w:spacing w:after="0" w:line="28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Adjusted Operating Income for the three months ended September 30, 2021 was $78.4 million and represented an Adjusted Operating Income Margin of 39%. Adjusted Operating Income for the three months ended September 30, 2020 was $58.5 million and represented an Adjusted Operating Income Margin of</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47%. The increase of $19.9 million, or 34%, was driven primarily from the growth in revenue driven by additional customers and increasing revenue from existing customers. Adjusted Operating Income Margin decreased to 39% in the three months ended September 30, 2021 from 47% in the three months ended September 30, 2020 due to incremental investment in research &amp; development relative to sales related to new services and acquisitions and incremental investment in sales &amp; marketing capacity that has helped accelerate revenue growth.</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Adjusted Operating Income for the nine months ended September 30, 2021 was $220.2 million and represented an Adjusted Operating Income Margin of 42%. Adjusted Operating Income for the nine months ended September 30, 2020 was $162.6 million and represented an Adjusted Operating Income Margin of 48%. The increase of $57.6 million, or 35%, was driven primarily from the growth in revenue driven by additional customers and increasing revenue from existing customers. Adjusted Operating Income Margin decreased to 42% in the nine months ended September 30, 2021 from 48% in the nine months ended September 30, 2020 due to incremental investment in research &amp; development relative to sales related to new services and acquisitions and incremental investment in sales &amp; marketing capacity that has helped accelerate revenue growth, as well as general and administration costs to support incremental public company related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net income (loss) to Adjusted EBITDA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0" w:type="dxa"/>
            <w:vAlign w:val="bottom"/>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8"/>
        </w:trPr>
        <w:tc>
          <w:tcPr>
            <w:tcW w:w="4700" w:type="dxa"/>
            <w:vAlign w:val="bottom"/>
          </w:tcPr>
          <w:p>
            <w:pPr>
              <w:ind w:left="220"/>
              <w:spacing w:after="0"/>
              <w:rPr>
                <w:sz w:val="20"/>
                <w:szCs w:val="20"/>
                <w:color w:val="auto"/>
              </w:rPr>
            </w:pPr>
            <w:r>
              <w:rPr>
                <w:rFonts w:ascii="Arial" w:cs="Arial" w:eastAsia="Arial" w:hAnsi="Arial"/>
                <w:sz w:val="18"/>
                <w:szCs w:val="18"/>
                <w:color w:val="auto"/>
              </w:rPr>
              <w:t>Add (less): Expense (benefit) from income taxes</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8"/>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Interest expense, net</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8"/>
        </w:trPr>
        <w:tc>
          <w:tcPr>
            <w:tcW w:w="4700" w:type="dxa"/>
            <w:vAlign w:val="bottom"/>
          </w:tcPr>
          <w:p>
            <w:pPr>
              <w:ind w:left="220"/>
              <w:spacing w:after="0"/>
              <w:rPr>
                <w:sz w:val="20"/>
                <w:szCs w:val="20"/>
                <w:color w:val="auto"/>
              </w:rPr>
            </w:pPr>
            <w:r>
              <w:rPr>
                <w:rFonts w:ascii="Arial" w:cs="Arial" w:eastAsia="Arial" w:hAnsi="Arial"/>
                <w:sz w:val="18"/>
                <w:szCs w:val="18"/>
                <w:color w:val="auto"/>
              </w:rPr>
              <w:t>Add: Loss on debt modification and extinguishment</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8"/>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Depreciation</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8"/>
        </w:trPr>
        <w:tc>
          <w:tcPr>
            <w:tcW w:w="4700" w:type="dxa"/>
            <w:vAlign w:val="bottom"/>
          </w:tcPr>
          <w:p>
            <w:pPr>
              <w:ind w:left="220"/>
              <w:spacing w:after="0"/>
              <w:rPr>
                <w:sz w:val="20"/>
                <w:szCs w:val="20"/>
                <w:color w:val="auto"/>
              </w:rPr>
            </w:pPr>
            <w:r>
              <w:rPr>
                <w:rFonts w:ascii="Arial" w:cs="Arial" w:eastAsia="Arial" w:hAnsi="Arial"/>
                <w:sz w:val="18"/>
                <w:szCs w:val="18"/>
                <w:color w:val="auto"/>
              </w:rPr>
              <w:t>Add: Amortization of acquired technology</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8"/>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Amortization of other acquired intangibles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EBITDA</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8"/>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9"/>
        </w:trPr>
        <w:tc>
          <w:tcPr>
            <w:tcW w:w="4700" w:type="dxa"/>
            <w:vAlign w:val="bottom"/>
          </w:tcPr>
          <w:p>
            <w:pPr>
              <w:ind w:left="240"/>
              <w:spacing w:after="0"/>
              <w:rPr>
                <w:sz w:val="20"/>
                <w:szCs w:val="20"/>
                <w:color w:val="auto"/>
              </w:rPr>
            </w:pPr>
            <w:r>
              <w:rPr>
                <w:rFonts w:ascii="Arial" w:cs="Arial" w:eastAsia="Arial" w:hAnsi="Arial"/>
                <w:sz w:val="18"/>
                <w:szCs w:val="18"/>
                <w:color w:val="auto"/>
                <w:w w:val="94"/>
              </w:rPr>
              <w:t>Add: Impact of fair value adjustments to acquired unearned</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8"/>
        </w:trPr>
        <w:tc>
          <w:tcPr>
            <w:tcW w:w="4700" w:type="dxa"/>
            <w:vAlign w:val="bottom"/>
          </w:tcPr>
          <w:p>
            <w:pPr>
              <w:ind w:left="240"/>
              <w:spacing w:after="0"/>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(b)</w:t>
            </w:r>
          </w:p>
        </w:tc>
        <w:tc>
          <w:tcPr>
            <w:tcW w:w="10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 Equity-based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19"/>
        </w:trPr>
        <w:tc>
          <w:tcPr>
            <w:tcW w:w="4700" w:type="dxa"/>
            <w:vAlign w:val="bottom"/>
          </w:tcPr>
          <w:p>
            <w:pPr>
              <w:ind w:left="240"/>
              <w:spacing w:after="0"/>
              <w:rPr>
                <w:sz w:val="20"/>
                <w:szCs w:val="20"/>
                <w:color w:val="auto"/>
              </w:rPr>
            </w:pPr>
            <w:r>
              <w:rPr>
                <w:rFonts w:ascii="Arial" w:cs="Arial" w:eastAsia="Arial" w:hAnsi="Arial"/>
                <w:sz w:val="18"/>
                <w:szCs w:val="18"/>
                <w:color w:val="auto"/>
              </w:rPr>
              <w:t>Add: Restructuring and transaction related expenses</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8"/>
        </w:trPr>
        <w:tc>
          <w:tcPr>
            <w:tcW w:w="4700" w:type="dxa"/>
            <w:vAlign w:val="bottom"/>
          </w:tcPr>
          <w:p>
            <w:pPr>
              <w:ind w:left="240"/>
              <w:spacing w:after="0"/>
              <w:rPr>
                <w:sz w:val="20"/>
                <w:szCs w:val="20"/>
                <w:color w:val="auto"/>
              </w:rPr>
            </w:pPr>
            <w:r>
              <w:rPr>
                <w:rFonts w:ascii="Arial" w:cs="Arial" w:eastAsia="Arial" w:hAnsi="Arial"/>
                <w:sz w:val="18"/>
                <w:szCs w:val="18"/>
                <w:color w:val="auto"/>
              </w:rPr>
              <w:t>(excluding depreciation)</w:t>
            </w:r>
            <w:r>
              <w:rPr>
                <w:rFonts w:ascii="Arial" w:cs="Arial" w:eastAsia="Arial" w:hAnsi="Arial"/>
                <w:sz w:val="22"/>
                <w:szCs w:val="22"/>
                <w:color w:val="auto"/>
                <w:vertAlign w:val="superscript"/>
              </w:rPr>
              <w:t>(c)</w:t>
            </w:r>
          </w:p>
        </w:tc>
        <w:tc>
          <w:tcPr>
            <w:tcW w:w="10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65"/>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Add: Integration costs and acquisition-related expenses</w:t>
            </w:r>
            <w:r>
              <w:rPr>
                <w:rFonts w:ascii="Arial" w:cs="Arial" w:eastAsia="Arial" w:hAnsi="Arial"/>
                <w:sz w:val="22"/>
                <w:szCs w:val="22"/>
                <w:color w:val="auto"/>
                <w:w w:val="96"/>
                <w:vertAlign w:val="superscript"/>
              </w:rPr>
              <w:t>(d)</w:t>
            </w:r>
          </w:p>
        </w:tc>
        <w:tc>
          <w:tcPr>
            <w:tcW w:w="10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8"/>
        </w:trPr>
        <w:tc>
          <w:tcPr>
            <w:tcW w:w="4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EBITDA</w:t>
            </w: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91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65" w:lineRule="auto"/>
        <w:tabs>
          <w:tab w:leader="none" w:pos="318" w:val="left"/>
        </w:tabs>
        <w:numPr>
          <w:ilvl w:val="0"/>
          <w:numId w:val="24"/>
        </w:numPr>
        <w:rPr>
          <w:rFonts w:ascii="Arial" w:cs="Arial" w:eastAsia="Arial" w:hAnsi="Arial"/>
          <w:sz w:val="13"/>
          <w:szCs w:val="13"/>
          <w:i w:val="1"/>
          <w:iCs w:val="1"/>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three months ended September 30, 2021, this expense related primarily to costs incurred related to 2021 acquisitions. For the three and nine months ended September 30, 2021, this expense related primarily to costs incurred related to 2021 acquisitions and impairment charges related to the Company’s anticipated Waltham office relocation. For the three and nine months ended September 30, 2020, this expense related primarily to professional fees for the preparation for an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65" w:lineRule="auto"/>
        <w:tabs>
          <w:tab w:leader="none" w:pos="312"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three months ended September 30, 2021, this expense related to retention awards from the acquisitions of Clickagy and Everstring, as well as cash vesting payments from the acquisition of Pre-Acquisition ZI. For the three months ended September 30, 2020, this expense related primarily to cash vesting payments from the acquisition of Pre-Acquisition ZI. For the nine months ended September 30, 2021, this expense related to retention awards from the acquisitions of Clickagy and Everstring, as well as cash vesting payments from the acquisition of Pre-Acquisition ZI. For the nine months ended September 30, 2020,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5"/>
                <w:szCs w:val="15"/>
                <w:color w:val="auto"/>
              </w:rPr>
            </w:pPr>
          </w:p>
        </w:tc>
        <w:tc>
          <w:tcPr>
            <w:tcW w:w="22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4"/>
        </w:trPr>
        <w:tc>
          <w:tcPr>
            <w:tcW w:w="3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00" w:type="dxa"/>
            <w:vAlign w:val="bottom"/>
          </w:tcPr>
          <w:p>
            <w:pPr>
              <w:spacing w:after="0"/>
              <w:rPr>
                <w:sz w:val="18"/>
                <w:szCs w:val="18"/>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4"/>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314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Total integration costs and acquisition-related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compensation</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Adjusted EBITDA for the three months ended September 30, 2021 was $81.3 million, an increase of $20.4 million, or 33%, relative to the three months ended September 30, 2020. This increase was driven primarily from the growth in revenue and additional customers in 2021 and 2020.</w:t>
      </w:r>
    </w:p>
    <w:p>
      <w:pPr>
        <w:spacing w:after="0" w:line="1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Adjusted EBITDA for the nine months ended September 30, 2021 was $228.6 million, an increase of $59.6 million, or 35%, relative to the nine months ended September 30, 2020. This increase was driven primarily from the growth in revenue and additional customers in 2021 and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in connection with the Reorganization Transactions and the IPO, we entered into the tax receivable agreements described in Note 17 to our unaudited consolidated financial statements included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 We expect these debt repayments to drive future reductions in our interest expense compared to historical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seek to grow through both internal development and the acquisition of businesses that broaden and strengthen our platform. Our recent acquisitions include Clickagy in October 2020, EverString in November 2020, Insent in June 2021, Chorus.ai in July 2021, and RingLead in September 2021.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awards and modifications that took place as part of the Reorganization Transactions and the IPO contributed to elevated equity-based compensation expense in 2020 relative to 2019 and expected equity-based compensation expense for 2021 relative to 2020. See Note 15 for unamortized equity-based compensation costs related to each type of equity-based incentive award.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to Long-term Debt</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February 2021, ZoomInfo Technologies LLC and ZoomInfo Finance Corp., indirect subsidiaries of ZoomInfo Technologies Inc., completed an offering of $350.0 million in aggregate principal amount of 3.875% senior notes due 2029. We used all of the net proceeds, along with cash on hand, to make the Debt Prepayment. Following the Debt Prepayment, as of February 2, 2021, $400.0 million aggregate principal amount of first lien term loans were outstanding under our First Lien Credit Agreement. In February 2021, ZoomInfo LLC entered into an amendment to our First Lien Credit Agreement, pursuant to which, among other things, there will be (i) an increase in the aggregate commitments to $250.0 million under our first lien revolving credit facility, (ii) the addition of the ZoomInfo Technologies LLC as a co-borrower, (iii) the repricing of our first lien term loan facility maturing in February 2026 and first lien revolving credit facility, and (iv) an extension of the maturity date of our first lien revolving credit facility to November 2025. In July 2021, ZoomInfo Technologies LLC and ZoomInfo Finance Corp., indirect subsidiaries of ZoomInfo Technologies Inc., issued and sold $300.0 million in aggregate principal amount of additional 3.875% senior notes due 2029. The notes were issued under the same indenture as the Issuers’ existing $350.0 million aggregate principal amount of 3.875% senior notes due 2029 (the “Existing Notes”), which were issued in February 2021, and constitute part of the same series as the Existing Notes. Further, In July 2021, we entered into an amendment to our existing First Lien Credit Agreement, that provided for the incurrence of an additional $200.0 million aggregate principal amount of additional term loans under its existing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February 2021 debt repricing, ZoomInfo Technologies LLC replaced ZoomInfo LLC as the tax borrower on the 1st Lien Credit Agreements. To facilitate the change in tax borrower, the Company executed a series of internal equity transactions resulting in the recognition of $45.0 million of non-cash tax expense, substantially all of which is allocable to the noncontrolling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 We recorded $41.9 million of non-cash tax expense due to a shift of GAAP basis from a non-taxable entity to a taxable entity in connection with this restructure.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acquired technology will increase if we make additional acquisitions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but that sales and marketing expense as a percentage of revenue will decrease as equity-based compensation expense related to the modification of HSKB awards and triggered by the IPO become a less significant component of overall sales and marketing expense. We anticipate that sales and marketing expense excluding equity-based compensation will fluctuate from period to period depending on the interplay of our growing investments in sales and marketing capacity excluding equity-based compensation, the recognition of revenue, and the amortization of contract acquisition costs.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costs such as salaries,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general and administrative expenses as a percentage of revenue to stay consistent or modestly decrease from 2020, as we realize operating leverage in the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brand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other acquired intangibles will increase if we make additional acquisitions in the future.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Restructuring and transaction expenses. </w:t>
      </w:r>
      <w:r>
        <w:rPr>
          <w:rFonts w:ascii="Arial" w:cs="Arial" w:eastAsia="Arial" w:hAnsi="Arial"/>
          <w:sz w:val="15"/>
          <w:szCs w:val="15"/>
          <w:color w:val="auto"/>
        </w:rPr>
        <w:t>Restructuring and transaction expenses primarily consist of various restructuring and acquisition activities we</w:t>
      </w:r>
      <w:r>
        <w:rPr>
          <w:rFonts w:ascii="Arial" w:cs="Arial" w:eastAsia="Arial" w:hAnsi="Arial"/>
          <w:sz w:val="15"/>
          <w:szCs w:val="15"/>
          <w:i w:val="1"/>
          <w:iCs w:val="1"/>
          <w:color w:val="auto"/>
        </w:rPr>
        <w:t xml:space="preserve"> </w:t>
      </w:r>
      <w:r>
        <w:rPr>
          <w:rFonts w:ascii="Arial" w:cs="Arial" w:eastAsia="Arial" w:hAnsi="Arial"/>
          <w:sz w:val="15"/>
          <w:szCs w:val="15"/>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8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128" w:lineRule="exact"/>
        <w:rPr>
          <w:sz w:val="20"/>
          <w:szCs w:val="20"/>
          <w:color w:val="auto"/>
        </w:rPr>
      </w:pPr>
    </w:p>
    <w:p>
      <w:pPr>
        <w:ind w:right="2140" w:firstLine="318"/>
        <w:spacing w:after="0" w:line="430" w:lineRule="auto"/>
        <w:rPr>
          <w:sz w:val="20"/>
          <w:szCs w:val="20"/>
          <w:color w:val="auto"/>
        </w:rPr>
      </w:pPr>
      <w:r>
        <w:rPr>
          <w:rFonts w:ascii="Arial" w:cs="Arial" w:eastAsia="Arial" w:hAnsi="Arial"/>
          <w:sz w:val="18"/>
          <w:szCs w:val="18"/>
          <w:color w:val="auto"/>
        </w:rPr>
        <w:t xml:space="preserve">We anticipate that interest expense could be impacted by changes in variable interest rates or the issuance of additional debt. </w:t>
      </w:r>
      <w:r>
        <w:rPr>
          <w:rFonts w:ascii="Arial" w:cs="Arial" w:eastAsia="Arial" w:hAnsi="Arial"/>
          <w:sz w:val="18"/>
          <w:szCs w:val="18"/>
          <w:b w:val="1"/>
          <w:bCs w:val="1"/>
          <w:i w:val="1"/>
          <w:iCs w:val="1"/>
          <w:color w:val="auto"/>
        </w:rPr>
        <w:t>Loss on Debt Modification and Extinguishment</w:t>
      </w:r>
    </w:p>
    <w:p>
      <w:pPr>
        <w:jc w:val="both"/>
        <w:ind w:firstLine="318"/>
        <w:spacing w:after="0" w:line="264" w:lineRule="auto"/>
        <w:rPr>
          <w:sz w:val="20"/>
          <w:szCs w:val="20"/>
          <w:color w:val="auto"/>
        </w:rPr>
      </w:pPr>
      <w:r>
        <w:rPr>
          <w:rFonts w:ascii="Arial" w:cs="Arial" w:eastAsia="Arial" w:hAnsi="Arial"/>
          <w:sz w:val="18"/>
          <w:szCs w:val="18"/>
          <w:color w:val="auto"/>
        </w:rPr>
        <w:t>Loss on debt modification and extinguishment consists of prepayment penalties and impairment of deferred financing costs associated with the modification or extinguishment of debt, as well as new fees incurred with third parties in connection with debt modifications.</w:t>
      </w:r>
    </w:p>
    <w:p>
      <w:pPr>
        <w:spacing w:after="0" w:line="128" w:lineRule="exact"/>
        <w:rPr>
          <w:sz w:val="20"/>
          <w:szCs w:val="20"/>
          <w:color w:val="auto"/>
        </w:rPr>
      </w:pPr>
    </w:p>
    <w:p>
      <w:pPr>
        <w:ind w:right="920" w:firstLine="318"/>
        <w:spacing w:after="0" w:line="430" w:lineRule="auto"/>
        <w:rPr>
          <w:sz w:val="20"/>
          <w:szCs w:val="20"/>
          <w:color w:val="auto"/>
        </w:rPr>
      </w:pPr>
      <w:r>
        <w:rPr>
          <w:rFonts w:ascii="Arial" w:cs="Arial" w:eastAsia="Arial" w:hAnsi="Arial"/>
          <w:sz w:val="18"/>
          <w:szCs w:val="18"/>
          <w:color w:val="auto"/>
        </w:rPr>
        <w:t xml:space="preserve">We anticipate that losses related to debt extinguishment will only occur if we extinguish indebtedness before the contractual repayment dates. </w:t>
      </w:r>
      <w:r>
        <w:rPr>
          <w:rFonts w:ascii="Arial" w:cs="Arial" w:eastAsia="Arial" w:hAnsi="Arial"/>
          <w:sz w:val="18"/>
          <w:szCs w:val="18"/>
          <w:b w:val="1"/>
          <w:bCs w:val="1"/>
          <w:i w:val="1"/>
          <w:iCs w:val="1"/>
          <w:color w:val="auto"/>
        </w:rPr>
        <w:t>Other (Income) Expense, Net</w:t>
      </w:r>
    </w:p>
    <w:p>
      <w:pPr>
        <w:jc w:val="both"/>
        <w:ind w:firstLine="318"/>
        <w:spacing w:after="0" w:line="264" w:lineRule="auto"/>
        <w:rPr>
          <w:sz w:val="20"/>
          <w:szCs w:val="20"/>
          <w:color w:val="auto"/>
        </w:rPr>
      </w:pPr>
      <w:r>
        <w:rPr>
          <w:rFonts w:ascii="Arial" w:cs="Arial" w:eastAsia="Arial" w:hAnsi="Arial"/>
          <w:sz w:val="18"/>
          <w:szCs w:val="18"/>
          <w:color w:val="auto"/>
        </w:rPr>
        <w:t>Other (income) expense, net consists primarily of the revaluation of tax receivable agreement liabilities and foreign currency realized and unrealized gains and losses related to the impact of transactions denominated in a foreign currency.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Changes to existing tax law including changes to the corporate income tax rates and the Company’s state tax footprint could lead to substantial revaluations of the tax receivable agreement liability recorded through other income and expense, net.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magnitude of other income and expenses, net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ZoomInfo OpCo is currently treated as a pass-through entity for U.S. federal income tax purposes and most applicable state and local income tax purposes. </w:t>
      </w:r>
      <w:r>
        <w:rPr>
          <w:rFonts w:ascii="Arial" w:cs="Arial" w:eastAsia="Arial" w:hAnsi="Arial"/>
          <w:sz w:val="15"/>
          <w:szCs w:val="15"/>
          <w:i w:val="1"/>
          <w:iCs w:val="1"/>
          <w:color w:val="auto"/>
        </w:rPr>
        <w:t>Income tax expense (benefit)</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tax assets</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tax liabilities</w:t>
      </w:r>
      <w:r>
        <w:rPr>
          <w:rFonts w:ascii="Arial" w:cs="Arial" w:eastAsia="Arial" w:hAnsi="Arial"/>
          <w:sz w:val="15"/>
          <w:szCs w:val="15"/>
          <w:color w:val="auto"/>
        </w:rPr>
        <w:t>,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subsidiary, RKSI Acquisition Corporation, was subject to income taxes in the United States and held a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and RKSI Acquisition Corporation. However, because RKSI Acquisition Corporation is subject to income taxes in the United States, income allocated to such corporate subsidiaries for tax purposes reduces the taxable income allocated to and distributions made to ZoomInfo OpCo. During Q3 2021, RKSI Acquisition Corporation was distributed up to ZoomInfo Holdco followed by the merger of RKSI Acquisition Corporation with and into ZoomInfo Holdco and the merger of ZoomInfo Holdco with and into ZoomInfo Technologies Inc. Significant judgments and estimates are required in determining our consolidated income tax expense. See Note 2 to our unaudited consolidated financial statements included in Part I, Item 1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three and nine months ended September 30,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6"/>
          </w:tcPr>
          <w:p>
            <w:pPr>
              <w:jc w:val="right"/>
              <w:ind w:right="334"/>
              <w:spacing w:after="0"/>
              <w:rPr>
                <w:sz w:val="20"/>
                <w:szCs w:val="20"/>
                <w:color w:val="auto"/>
              </w:rPr>
            </w:pPr>
            <w:r>
              <w:rPr>
                <w:rFonts w:ascii="Arial" w:cs="Arial" w:eastAsia="Arial" w:hAnsi="Arial"/>
                <w:sz w:val="14"/>
                <w:szCs w:val="14"/>
                <w:b w:val="1"/>
                <w:bCs w:val="1"/>
                <w:color w:val="auto"/>
                <w:w w:val="93"/>
              </w:rPr>
              <w:t>Three Months Ended 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3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65"/>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acquired technology</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1"/>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8"/>
        </w:trPr>
        <w:tc>
          <w:tcPr>
            <w:tcW w:w="3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2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65"/>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65"/>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8"/>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Amortization of other acquired intangibles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3"/>
              </w:rPr>
              <w:t>Restructuring and transaction-related expenses</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8"/>
        </w:trPr>
        <w:tc>
          <w:tcPr>
            <w:tcW w:w="3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8"/>
        </w:trPr>
        <w:tc>
          <w:tcPr>
            <w:tcW w:w="3700" w:type="dxa"/>
            <w:vAlign w:val="bottom"/>
            <w:gridSpan w:val="2"/>
          </w:tcPr>
          <w:p>
            <w:pPr>
              <w:ind w:left="140"/>
              <w:spacing w:after="0"/>
              <w:rPr>
                <w:sz w:val="20"/>
                <w:szCs w:val="20"/>
                <w:color w:val="auto"/>
              </w:rPr>
            </w:pPr>
            <w:r>
              <w:rPr>
                <w:rFonts w:ascii="Arial" w:cs="Arial" w:eastAsia="Arial" w:hAnsi="Arial"/>
                <w:sz w:val="18"/>
                <w:szCs w:val="18"/>
                <w:color w:val="auto"/>
                <w:w w:val="96"/>
              </w:rPr>
              <w:t>Loss on debt modification and extinguishment</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1"/>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Less: Net income (loss) attributable to ZoomInfo OpCo prior to the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Reorganization Transactions</w:t>
            </w: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8"/>
        </w:trPr>
        <w:tc>
          <w:tcPr>
            <w:tcW w:w="4900" w:type="dxa"/>
            <w:vAlign w:val="bottom"/>
            <w:gridSpan w:val="3"/>
          </w:tcPr>
          <w:p>
            <w:pPr>
              <w:ind w:left="12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8"/>
        </w:trPr>
        <w:tc>
          <w:tcPr>
            <w:tcW w:w="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3"/>
              </w:rPr>
              <w:t>Net income (loss) attributable to ZoomInfo Technologies Inc.</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__________________</w:t>
            </w: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70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00" w:type="dxa"/>
            <w:vAlign w:val="bottom"/>
            <w:gridSpan w:val="2"/>
          </w:tcPr>
          <w:p>
            <w:pPr>
              <w:spacing w:after="0"/>
              <w:rPr>
                <w:sz w:val="20"/>
                <w:szCs w:val="20"/>
                <w:color w:val="auto"/>
              </w:rPr>
            </w:pPr>
            <w:r>
              <w:rPr>
                <w:rFonts w:ascii="Arial" w:cs="Arial" w:eastAsia="Arial" w:hAnsi="Arial"/>
                <w:sz w:val="14"/>
                <w:szCs w:val="14"/>
                <w:color w:val="auto"/>
                <w:w w:val="97"/>
              </w:rPr>
              <w:t>(1)  Includes equity-based compensation expense as follows: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60" w:type="dxa"/>
            <w:vAlign w:val="bottom"/>
            <w:gridSpan w:val="6"/>
          </w:tcPr>
          <w:p>
            <w:pPr>
              <w:jc w:val="right"/>
              <w:ind w:right="115"/>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7"/>
          </w:tcPr>
          <w:p>
            <w:pPr>
              <w:jc w:val="right"/>
              <w:ind w:right="95"/>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0" w:type="dxa"/>
            <w:vAlign w:val="bottom"/>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200" w:type="dxa"/>
            <w:vAlign w:val="bottom"/>
            <w:tcBorders>
              <w:bottom w:val="single" w:sz="8" w:color="CCEEFF"/>
            </w:tcBorders>
            <w:shd w:val="clear" w:color="auto" w:fill="CCEEFF"/>
          </w:tcPr>
          <w:p>
            <w:pPr>
              <w:jc w:val="right"/>
              <w:ind w:right="10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6.8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7"/>
              </w:rPr>
              <w:t>23.8</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20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w w:val="87"/>
              </w:rPr>
              <w:t>25.1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53.6</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87"/>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7"/>
              </w:rPr>
              <w:t>11.9</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20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w w:val="87"/>
              </w:rPr>
              <w:t>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14.9</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120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7"/>
              </w:rPr>
              <w:t>24.5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87"/>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104.2</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Three Months Ended September 30, 2020</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$197.6 million for the three months ended September 30, 2021, an increase of $74.2 million, or 60%, as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$123.4 million for the three months ended September 30, 2020. This increase was primarily due to the addition of new customers over the past 12 months and net expansion with existing customers. Products acquired within the last 12 months contributed $8.1 million for the three months ended September 30, 2021.</w:t>
      </w:r>
    </w:p>
    <w:p>
      <w:pPr>
        <w:spacing w:after="0" w:line="8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Cost of Service. </w:t>
      </w:r>
      <w:r>
        <w:rPr>
          <w:rFonts w:ascii="Arial" w:cs="Arial" w:eastAsia="Arial" w:hAnsi="Arial"/>
          <w:sz w:val="15"/>
          <w:szCs w:val="15"/>
          <w:color w:val="auto"/>
        </w:rPr>
        <w:t>Cost of service was $37.9 million for the three months ended September 30, 2021, an increase of $11.2 million, or 42%, as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$26.7 million for the three months ended September 30, 2020. The increase was primarily due to increased payroll and hosting expense to support new and growing customers, and increased amortization of acquired technology related to acquisitions, partially offset by reduced equity-based compensation expense.</w:t>
      </w:r>
    </w:p>
    <w:p>
      <w:pPr>
        <w:spacing w:after="0" w:line="8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$139.5 million for the three months ended September 30, 2021, an increase of $61.2 million, or 78%,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$78.3 million for the three months ended September 30, 2020. Excluding equity-based compensation expenses, operating expenses were $117.8 million for the three months ended September 30, 2021, an increase of $61.1 million, or 108%, as compared to $56.7 million for the three months ended September 30, 2020. The increase excluding equity-based compensation was primarily due to:</w:t>
      </w:r>
    </w:p>
    <w:p>
      <w:pPr>
        <w:spacing w:after="0" w:line="124" w:lineRule="exact"/>
        <w:rPr>
          <w:sz w:val="20"/>
          <w:szCs w:val="20"/>
          <w:color w:val="auto"/>
        </w:rPr>
      </w:pPr>
    </w:p>
    <w:p>
      <w:pPr>
        <w:jc w:val="both"/>
        <w:ind w:left="640" w:hanging="316"/>
        <w:spacing w:after="0" w:line="252"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sales and marketing expense (excluding equity-based compensation) of $24.9 million, or 81%, to $55.8 million for the three months ended September 30, 2021, due primarily to additional headcount and related salaries and benefits expenses added to drive continued incremental sales, additional commission expense and amortization of deferred commissions related to obtaining contracts with customers, and additional marketing expense;</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equity-based compensation) of $18.2 million, or 207%, to $27.0 million for the three months ended September 30, 2021, due primarily to additional headcount and related salaries and benefits expenses added to support continued innovation of our services;</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(excluding equity-based compensation) of $6.1 million, or 49%, to $18.6 million for the three months ended September 30, 2021, due primarily to additional headcount and related salaries and benefits expenses to support the larger organization; and</w:t>
      </w:r>
    </w:p>
    <w:p>
      <w:pPr>
        <w:spacing w:after="0" w:line="135"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restructuring and transaction-related expense of $11.0 million for the three months ended September 30, 2021, primarily due to costs incurred related to 2021 acquisitions. This represented an increase of $11.1 million, as compared to expense of $(0.1) million for the three months ended September 30, 2020, which largely represented the revaluation of expected earn-out payments for prior acquisitions.</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$13.9 million for the three months ended September 30, 2021, an increase of $4.2 million, or 43%,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$9.7 million for the three months ended September 30, 2020. The increase was primarily due to the increase in the total amount of debt, attributable to the February and July 2021 issuances of Senior Notes.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Expense from income taxes for the three months ended September 30, 2021 was $45.5 million, representing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of 989.1%, as compared to expense from income taxes of $1.4 million for the three months ended September 30, 2020, representing an effective tax rate of 11.2%. The increase in the effective tax rate was primarily due to the recognition of $41.9 million of non-cash tax expense resulting from a shift in GAAP basis from a non-taxable entity to a taxable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Nine Months Ended September 30, 2020</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$524.9 million for the nine months ended September 30, 2021, an increase of $188.4 million, or 56%, as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$336.5 million for the nine months ended September 30, 2020. This increase was primarily due to the addition of new customers over the past 12 months and net expansion with existing customers. Products acquired within the last 12 months contributed $15.4 million for the nine months ended September 30, 2021.</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$96.3 million for the nine months ended September 30, 2021, an increase of $15.4 million, or 19%,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$80.9 million for the nine months ended September 30, 2020. The increase was primarily due to increased payroll costs and increased hosting expense to support new and growing customers, and increased amortization of acquired technology related to prior year acquisitions, partially offset by non-recurring equity-based compensation expense in the prior year triggered by the IPO.</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$339.5 million for the nine months ended September 30, 2021, an increase of $91.4 million, or 37%,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$248.1 million for the nine months ended September 30, 2020. Excluding equity-based compensation expenses, operating expenses were $289.3 million for the nine months ended September 30, 2021, an increase of $121.6 million, or 73%, as compared to $167.7 million for the nine months ended September 30, 2020. The increase excluding equity-based compensation was primarily due to:</w:t>
      </w:r>
    </w:p>
    <w:p>
      <w:pPr>
        <w:spacing w:after="0" w:line="124" w:lineRule="exact"/>
        <w:rPr>
          <w:sz w:val="20"/>
          <w:szCs w:val="20"/>
          <w:color w:val="auto"/>
        </w:rPr>
      </w:pPr>
    </w:p>
    <w:p>
      <w:pPr>
        <w:jc w:val="both"/>
        <w:ind w:left="640" w:hanging="316"/>
        <w:spacing w:after="0" w:line="330" w:lineRule="auto"/>
        <w:tabs>
          <w:tab w:leader="none" w:pos="635" w:val="left"/>
        </w:tabs>
        <w:numPr>
          <w:ilvl w:val="0"/>
          <w:numId w:val="27"/>
        </w:numPr>
        <w:rPr>
          <w:rFonts w:ascii="Arial" w:cs="Arial" w:eastAsia="Arial" w:hAnsi="Arial"/>
          <w:sz w:val="15"/>
          <w:szCs w:val="15"/>
          <w:i w:val="1"/>
          <w:iCs w:val="1"/>
          <w:color w:val="auto"/>
        </w:rPr>
      </w:pPr>
      <w:r>
        <w:rPr>
          <w:rFonts w:ascii="Arial" w:cs="Arial" w:eastAsia="Arial" w:hAnsi="Arial"/>
          <w:sz w:val="15"/>
          <w:szCs w:val="15"/>
          <w:color w:val="auto"/>
        </w:rPr>
        <w:t>an increase in sales and marketing expense (excluding equity-based compensation) of $52.8 million, or 61%, to $138.9 million for the nine months ended September 30, 2021,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83" w:lineRule="exact"/>
        <w:rPr>
          <w:rFonts w:ascii="Arial" w:cs="Arial" w:eastAsia="Arial" w:hAnsi="Arial"/>
          <w:sz w:val="15"/>
          <w:szCs w:val="15"/>
          <w:i w:val="1"/>
          <w:iCs w:val="1"/>
          <w:color w:val="auto"/>
        </w:rPr>
      </w:pPr>
    </w:p>
    <w:p>
      <w:pPr>
        <w:jc w:val="both"/>
        <w:ind w:left="640" w:hanging="316"/>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equity-based compensation) of $40.6 million, or 162%, to $65.6 million for the nine months ended September 30, 2021, due primarily to additional headcount and related salaries and benefits expenses added to support continued innovation of our services;</w:t>
      </w:r>
    </w:p>
    <w:p>
      <w:pPr>
        <w:spacing w:after="0" w:line="135"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an increase in general and administrative expense (excluding equity-based compensation) of $21.8 million, or 72%, to $52.2 million for the nine months ended September 30, 2021, due primarily to additional headcount and related salaries and benefits expenses to support the larger organization, as well as additional professional services and corporate insurance costs related to operating as a public company; and</w:t>
      </w:r>
    </w:p>
    <w:p>
      <w:pPr>
        <w:spacing w:after="0" w:line="118" w:lineRule="exact"/>
        <w:rPr>
          <w:rFonts w:ascii="Arial" w:cs="Arial" w:eastAsia="Arial" w:hAnsi="Arial"/>
          <w:sz w:val="17"/>
          <w:szCs w:val="17"/>
          <w:i w:val="1"/>
          <w:iCs w:val="1"/>
          <w:color w:val="auto"/>
        </w:rPr>
      </w:pPr>
    </w:p>
    <w:p>
      <w:pPr>
        <w:jc w:val="both"/>
        <w:ind w:left="640" w:hanging="316"/>
        <w:spacing w:after="0" w:line="252" w:lineRule="auto"/>
        <w:tabs>
          <w:tab w:leader="none" w:pos="635"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restructuring and transaction-related expense of $17.6 million for the nine months ended September 30, 2021, primarily due to costs incurred related to 2021 acquisitions, as well as impairment and accelerated depreciation related to the Company’s anticipated Waltham office relocation. This represented an increase of $5.3 million, or 43%, as compared to expense of $12.3 million for the nine months ended September 30, 2020, which largely represented IPO costs and Komiko contingent consideration remeasurement.</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$30.5 million for the nine months ended September 30, 2021, a decrease of $28.8 million, or 49%,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$59.3 million for the nine months ended September 30, 2020. The decrease was primarily due to interest savings as a result of repayment of the second lien debt and $100.0 million first lien debt principal repayment in June 2020, and the debt repricing in February 2021, partially offset by increases in the amount of total debt, attributable to the February and July 2021 issuances of Senior Notes.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Expense from income taxes for the nine months ended September 30, 2021 was $101.4 million, representing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of 198.4%, as compared to expense from income taxes of $9.8 million for the nine months ended September 30, 2020, representing an effective tax rate of (15.5)%. The increase in the effective tax rate was primarily due to the recognition of non-cash tax expense in Q1 and Q3 2021 resulting from a shift in GAAP basis from a non-taxable entity to a taxable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September 30, 2021, we had $196.8 million of cash and cash equivalents, $36.5 million of short-term investments, and $250.0 million available under our undrawn first lien revolving credit facility. We have financed our operations primarily through cash generated from operations and financed various acquisitions through cash generated from operations supplemented with debt offerings.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1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generally invoice our subscription customers annually, semi-annually, or quarterly in advance of our subscription services. Therefore, a substantial source of our cash is from such prepayments, which are included in the Condensed Consolidated Balance Sheets as unearned revenue. Unearned revenue consists of billed fees for our subscriptions, prior to satisfying the criteria for revenue recognition, which are subsequently recognized as revenue in accordance with our revenue recognition policy. As of September 30, 2021, we had unearned revenue of $287.9 million, of which $285.6 million was recorded as a current liability and is expected to be recorded as revenue in the next 12 months, provided all other revenue recognition criteria have been met.</w:t>
      </w:r>
    </w:p>
    <w:p>
      <w:pPr>
        <w:spacing w:after="0" w:line="9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After the consummation of the Reorganization Transactions, ZoomInfo Technologies Inc. became a holding company with no material assets other than its ownership of HoldCo Units, and ZoomInfo HoldCo became a holding company with no material assets other than its ownership of ZoomInfo OpCo Units. During Q3 2021, ZoomInfo Holdco was merged with and into ZoomInfo Technologies Inc.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In the event ZoomInfo Technologies Inc. declares any cash dividend, we expect that ZoomInfo Technologies Inc cause ZoomInfo OpCo to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contain covenants that may restrict ZoomInfo OpCo and its subsidiaries from paying such distributions, subject to certain exceptions. Further, ZoomInfo OpCo is generally prohibited under Delaware law from making a distribution to a member to the extent that, at the time of the distribution, after giving effect to the distribution, liabilities of ZoomInfo OpCo (with certain exceptions), as applicable, exceed the fair value of its assets. Subsidiaries of ZoomInfo OpCo are generally subject to similar legal limitations on their ability to make distributions to ZoomInfo OpCo. See “Risk Factors - Risks Related to Our Organizational Structure” in Part I, Item 1A of our 2020 Form 10-K.</w:t>
      </w:r>
    </w:p>
    <w:p>
      <w:pPr>
        <w:spacing w:after="0" w:line="13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5"/>
                <w:szCs w:val="15"/>
                <w:color w:val="auto"/>
              </w:rPr>
            </w:pPr>
          </w:p>
        </w:tc>
        <w:tc>
          <w:tcPr>
            <w:tcW w:w="1240" w:type="dxa"/>
            <w:vAlign w:val="bottom"/>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4"/>
        </w:trPr>
        <w:tc>
          <w:tcPr>
            <w:tcW w:w="8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8"/>
        </w:trPr>
        <w:tc>
          <w:tcPr>
            <w:tcW w:w="8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r>
      <w:tr>
        <w:trPr>
          <w:trHeight w:val="258"/>
        </w:trPr>
        <w:tc>
          <w:tcPr>
            <w:tcW w:w="80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Net cash provided by operations was $228.1 million for the nine months ended September 30, 2021 as a result of a net loss of $50.3 million, adjusted by non-cash charges of $238.3 million and the change in our operating assets net of operating liabilities of $40.1 million. The non-cash charges are primarily comprised of a decrease in deferred tax assets net of deferred tax liabilities of $84.5 million, equity-based compensation of $59.7 million, depreciation and amortization of $49.6 million, and amortization of deferred commission costs of $29.3 million. The change in operating assets net of operating liabilities was primarily the result of an increase in unearned revenue of $55.0 million, an increase in accounts payable of $11.8 million, and a decrease in accounts receivable of $7.2 million, partially offset by an increase in deferred costs and other assets of $33.5 million.</w:t>
      </w:r>
    </w:p>
    <w:p>
      <w:pPr>
        <w:spacing w:after="0" w:line="12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cash provided by operations was $102.7 million for the nine months ended September 30, 2020 as a result of a net loss of $72.7 million, adjusted by non-cash charges of $179.7 million and partially offset by the change in our operating assets net of operating liabilities of $4.3 million. The non-cash charges were primarily comprised of depreciation and amortization of $37.0 million, equity-based compensation of $104.2 million, loss on early extinguishment of debt of $14.9 million, amortization of deferred commission costs of $17.5 million, and a decrease in deferred tax assets net of deferred tax liabilities of $4.5 million. The change in operating assets net of operating liabilities was primarily the result of an increase in deferred costs and other assets of $22.3 million and an increase in accounts receivable of $4.6 million, partially offset by an increase in unearned revenue of $16.8 million and an increase in accrued expenses and other liabilities of $6.9 million.</w:t>
      </w:r>
    </w:p>
    <w:p>
      <w:pPr>
        <w:spacing w:after="0" w:line="14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Restructuring and transaction-related cash costs for the nine months ended September 30, 2021 primarily related to transaction costs related to 2021 acquisitions and tax payments related to entity conversions, which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nine months ended September 30, 2021, and 2020, we incurred the following cash expenditures: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5"/>
                <w:szCs w:val="15"/>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4"/>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65"/>
        </w:trPr>
        <w:tc>
          <w:tcPr>
            <w:tcW w:w="8020" w:type="dxa"/>
            <w:vAlign w:val="bottom"/>
          </w:tcPr>
          <w:p>
            <w:pPr>
              <w:ind w:left="20"/>
              <w:spacing w:after="0"/>
              <w:rPr>
                <w:sz w:val="20"/>
                <w:szCs w:val="20"/>
                <w:color w:val="auto"/>
              </w:rPr>
            </w:pPr>
            <w:r>
              <w:rPr>
                <w:rFonts w:ascii="Arial" w:cs="Arial" w:eastAsia="Arial" w:hAnsi="Arial"/>
                <w:sz w:val="18"/>
                <w:szCs w:val="18"/>
                <w:color w:val="auto"/>
              </w:rPr>
              <w:t>Restructuring and transaction-related expenses paid in cash</w:t>
            </w:r>
            <w:r>
              <w:rPr>
                <w:rFonts w:ascii="Arial" w:cs="Arial" w:eastAsia="Arial" w:hAnsi="Arial"/>
                <w:sz w:val="22"/>
                <w:szCs w:val="22"/>
                <w:color w:val="auto"/>
                <w:vertAlign w:val="superscript"/>
              </w:rPr>
              <w:t>(a)</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2"/>
                <w:szCs w:val="22"/>
                <w:color w:val="auto"/>
                <w:vertAlign w:val="superscript"/>
              </w:rPr>
              <w:t>(b)</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246" w:lineRule="exact"/>
        <w:rPr>
          <w:sz w:val="20"/>
          <w:szCs w:val="20"/>
          <w:color w:val="auto"/>
        </w:rPr>
      </w:pPr>
    </w:p>
    <w:p>
      <w:pPr>
        <w:jc w:val="both"/>
        <w:ind w:left="320" w:hanging="314"/>
        <w:spacing w:after="0" w:line="241" w:lineRule="auto"/>
        <w:tabs>
          <w:tab w:leader="none" w:pos="318"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acquisition or disposal activities, including employee severance and termination benefits, contract termination fees and penalties, and other exit or disposal costs. For the nine months ended September 30, 2021, these payments related primarily to transaction costs related to 2021 acquisitions and tax payments related to entity conversions. For the nine months ended September 30, 2020, these payments related primarily to the IPO, including professional fees, severance and acceleration of payments for terminated employees, and deferred consideration.</w:t>
      </w:r>
    </w:p>
    <w:p>
      <w:pPr>
        <w:spacing w:after="0" w:line="1" w:lineRule="exact"/>
        <w:rPr>
          <w:rFonts w:ascii="Arial" w:cs="Arial" w:eastAsia="Arial" w:hAnsi="Arial"/>
          <w:sz w:val="14"/>
          <w:szCs w:val="14"/>
          <w:color w:val="auto"/>
        </w:rPr>
      </w:pPr>
    </w:p>
    <w:p>
      <w:pPr>
        <w:jc w:val="both"/>
        <w:ind w:left="320" w:hanging="314"/>
        <w:spacing w:after="0" w:line="269" w:lineRule="auto"/>
        <w:tabs>
          <w:tab w:leader="none" w:pos="312"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integration activities for acquisitions and acquisition-related compensation, which includes transaction bonuses and retention awards. For the nine months ended September 30, 2021, these payments related primarily to cash vesting payments from the acquisition of Pre-Acquisition ZI and retention awards payable to acquired employees. For the nine months ended September 30, 2020, these payments related primarily to cash vesting payments from the acquisition of Pre-Acquisition 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Cash used in investing activities for the nine months ended September 30, 2021 was $739.4 million, consisting of cash paid for acquisitions of $717.5 million, purchases of short-term investments of $119.8 million, and purchases of property and equipment and other assets of $15.8 million, partially offset by proceeds from sales of short-term investments of $61.7 million and maturities of short-term investments of $52.0 million.</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used in investing activities for the nine months ended September 30, 2020 was $11.8 million, consisting of purchases of property and equipment and other assets.</w:t>
      </w:r>
    </w:p>
    <w:p>
      <w:pPr>
        <w:spacing w:after="0" w:line="128" w:lineRule="exact"/>
        <w:rPr>
          <w:sz w:val="20"/>
          <w:szCs w:val="20"/>
          <w:color w:val="auto"/>
        </w:rPr>
      </w:pPr>
    </w:p>
    <w:p>
      <w:pPr>
        <w:ind w:right="180" w:firstLine="318"/>
        <w:spacing w:after="0" w:line="430" w:lineRule="auto"/>
        <w:rPr>
          <w:sz w:val="20"/>
          <w:szCs w:val="20"/>
          <w:color w:val="auto"/>
        </w:rPr>
      </w:pPr>
      <w:r>
        <w:rPr>
          <w:rFonts w:ascii="Arial" w:cs="Arial" w:eastAsia="Arial" w:hAnsi="Arial"/>
          <w:sz w:val="18"/>
          <w:szCs w:val="18"/>
          <w:color w:val="auto"/>
        </w:rPr>
        <w:t xml:space="preserve">As we continue to grow and invest in our business, we expect to continue to invest in property and equipment and opportunistically pursue acquisitions. </w:t>
      </w:r>
      <w:r>
        <w:rPr>
          <w:rFonts w:ascii="Arial" w:cs="Arial" w:eastAsia="Arial" w:hAnsi="Arial"/>
          <w:sz w:val="18"/>
          <w:szCs w:val="18"/>
          <w:i w:val="1"/>
          <w:iCs w:val="1"/>
          <w:color w:val="auto"/>
        </w:rPr>
        <w:t>Cash Flows from (used in) Financing Activities</w:t>
      </w:r>
    </w:p>
    <w:p>
      <w:pPr>
        <w:jc w:val="both"/>
        <w:ind w:firstLine="318"/>
        <w:spacing w:after="0" w:line="255" w:lineRule="auto"/>
        <w:rPr>
          <w:sz w:val="20"/>
          <w:szCs w:val="20"/>
          <w:color w:val="auto"/>
        </w:rPr>
      </w:pPr>
      <w:r>
        <w:rPr>
          <w:rFonts w:ascii="Arial" w:cs="Arial" w:eastAsia="Arial" w:hAnsi="Arial"/>
          <w:sz w:val="18"/>
          <w:szCs w:val="18"/>
          <w:color w:val="auto"/>
        </w:rPr>
        <w:t>Cash provided by financing activities for the nine months ended September 30, 2021 was $442.9 million, primarily comprised of proceeds from debt of $1,071.8 million, partially offset by payments on long-term debt of $581.4 million, tax distributions to equity partners of $19.9 million, payments of debt issuance and modification costs of $11.4 million, and payments of deferred consideration of $9.4 million.</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Cash provided by financing activities for the nine months ended September 30, 2020 was $172.6 million, consisting of the IPO proceeds, net of underwriter discount, of $1,023.7 million, partially offset by the redemption of Series A Preferred Units of $274.2 million, payments on long-term debt of $510.9 million, purchase of OpCo Units from Pre-IPO Unitholders for $47.2 million, payments of deferred consideration of $24.7 million, the payment of debt issuance costs of $7.2 million, and distributions to equity partners of $9.9 million.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8 of our consolidated financial statements for additional information related to each of our borrowings.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September 30, 2021, the aggregate remaining balance of $600.0 million of first lien term loans is due, in its entirety, at the contractual maturity date of February 1, 2026. As of September 30, 2021, the aggregate remaining balance of $650.0 million of 3.875% Senior Notes is due, in its entirety, at the contractual maturity date of February 1, 2029. Interest on the Senior Notes is payable semi-annually in arrears beginning on August 1, 2021. The foregoing represent the only existing required future debt principal repayment obligations that will require future uses of the Company’s cash.</w:t>
      </w:r>
    </w:p>
    <w:p>
      <w:pPr>
        <w:spacing w:after="0" w:line="9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first lien term debt has a variable interest rate whereby the Company can elect to use a Base Rate or the London Interbank Offer Rate (“LIBOR”) plus an applicable rate. The applicable rate is 2.00% for Base Rate loans or 3.00% for LIBOR Based Loans. The first lien revolving debt has a variable interest rate whereby the Company can elect to use a Base Rate or the London Interbank Offer Rate (“LIBOR”) plus an applicable rate. The applicable margin is 1.00% to 1.25% for Base Rate loans or 2.00% to 2.25% for LIBOR Based Loans, depending on the Company’s leverage. The effective interest rate on the first lien debt was 3.39% and 4.30%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September 30, 2021 was $294.4 million. Our total net leverage ratio to Adjusted EBITDA as of September 30, 2021 was 3.4x.</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consolidated first lien net leverage ratio is defined in our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September 30, 2021 was $387.4 million. Our consolidated first lien net leverage ratio as of September 30, 2021 was 0.9x.</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September 30, 2021 was $387.4 million. Our total net leverage ratio to Cash EBITDA as of September 30, 2021 was 2.6x.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00" w:type="dxa"/>
            <w:vAlign w:val="bottom"/>
          </w:tcPr>
          <w:p>
            <w:pPr>
              <w:jc w:val="right"/>
              <w:ind w:right="453"/>
              <w:spacing w:after="0"/>
              <w:rPr>
                <w:sz w:val="20"/>
                <w:szCs w:val="20"/>
                <w:color w:val="auto"/>
              </w:rPr>
            </w:pPr>
            <w:r>
              <w:rPr>
                <w:rFonts w:ascii="Arial" w:cs="Arial" w:eastAsia="Arial" w:hAnsi="Arial"/>
                <w:sz w:val="14"/>
                <w:szCs w:val="14"/>
                <w:b w:val="1"/>
                <w:bCs w:val="1"/>
                <w:color w:val="auto"/>
              </w:rPr>
              <w:t>Trailing Twelve Months as of</w:t>
            </w:r>
          </w:p>
        </w:tc>
      </w:tr>
      <w:tr>
        <w:trPr>
          <w:trHeight w:val="212"/>
        </w:trPr>
        <w:tc>
          <w:tcPr>
            <w:tcW w:w="8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8"/>
                <w:szCs w:val="18"/>
                <w:color w:val="auto"/>
              </w:rPr>
            </w:pPr>
          </w:p>
        </w:tc>
        <w:tc>
          <w:tcPr>
            <w:tcW w:w="2500" w:type="dxa"/>
            <w:vAlign w:val="bottom"/>
          </w:tcPr>
          <w:p>
            <w:pPr>
              <w:jc w:val="right"/>
              <w:ind w:right="733"/>
              <w:spacing w:after="0"/>
              <w:rPr>
                <w:sz w:val="20"/>
                <w:szCs w:val="20"/>
                <w:color w:val="auto"/>
              </w:rPr>
            </w:pPr>
            <w:r>
              <w:rPr>
                <w:rFonts w:ascii="Arial" w:cs="Arial" w:eastAsia="Arial" w:hAnsi="Arial"/>
                <w:sz w:val="14"/>
                <w:szCs w:val="14"/>
                <w:b w:val="1"/>
                <w:bCs w:val="1"/>
                <w:color w:val="auto"/>
              </w:rPr>
              <w:t>September 30, 2021</w:t>
            </w:r>
          </w:p>
        </w:tc>
      </w:tr>
      <w:tr>
        <w:trPr>
          <w:trHeight w:val="24"/>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(less): Expense (benefit) from income taxes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Loss on debt modification and extinguishment</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Amortization of acquired technology</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Amortization of other acquired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40" w:type="dxa"/>
            <w:vAlign w:val="bottom"/>
            <w:shd w:val="clear" w:color="auto" w:fill="CCEEFF"/>
          </w:tcPr>
          <w:p>
            <w:pPr>
              <w:spacing w:after="0"/>
              <w:rPr>
                <w:sz w:val="23"/>
                <w:szCs w:val="23"/>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5"/>
        </w:trPr>
        <w:tc>
          <w:tcPr>
            <w:tcW w:w="8400" w:type="dxa"/>
            <w:vAlign w:val="bottom"/>
          </w:tcPr>
          <w:p>
            <w:pPr>
              <w:ind w:left="120"/>
              <w:spacing w:after="0"/>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2"/>
                <w:szCs w:val="22"/>
                <w:color w:val="auto"/>
                <w:vertAlign w:val="superscript"/>
              </w:rPr>
              <w:t>(b)</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Equity-based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65"/>
        </w:trPr>
        <w:tc>
          <w:tcPr>
            <w:tcW w:w="8400" w:type="dxa"/>
            <w:vAlign w:val="bottom"/>
          </w:tcPr>
          <w:p>
            <w:pPr>
              <w:ind w:left="120"/>
              <w:spacing w:after="0"/>
              <w:rPr>
                <w:sz w:val="20"/>
                <w:szCs w:val="20"/>
                <w:color w:val="auto"/>
              </w:rPr>
            </w:pPr>
            <w:r>
              <w:rPr>
                <w:rFonts w:ascii="Arial" w:cs="Arial" w:eastAsia="Arial" w:hAnsi="Arial"/>
                <w:sz w:val="18"/>
                <w:szCs w:val="18"/>
                <w:color w:val="auto"/>
              </w:rPr>
              <w:t>Add: Restructuring and transaction related expenses (excluding depreciation)</w:t>
            </w:r>
            <w:r>
              <w:rPr>
                <w:rFonts w:ascii="Arial" w:cs="Arial" w:eastAsia="Arial" w:hAnsi="Arial"/>
                <w:sz w:val="22"/>
                <w:szCs w:val="22"/>
                <w:color w:val="auto"/>
                <w:vertAlign w:val="superscript"/>
              </w:rPr>
              <w:t>(c)</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6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40" w:type="dxa"/>
            <w:vAlign w:val="bottom"/>
            <w:tcBorders>
              <w:bottom w:val="single" w:sz="8" w:color="auto"/>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294.4</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Unearned revenue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Pro forma cost savings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(less): Cash rent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(less): Pre-Acquisition EBITDA</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(less): Other lender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8"/>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EBITDA</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4"/>
        <w:spacing w:after="0" w:line="247" w:lineRule="auto"/>
        <w:tabs>
          <w:tab w:leader="none" w:pos="318"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trailing twelve months ended September 30, 2021, this expense related primarily to deferred acquisition cost revaluations.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51" w:lineRule="auto"/>
        <w:tabs>
          <w:tab w:leader="none" w:pos="312"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trailing twelve months ended September 30, 2021,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Trailing Twelve Months as of</w:t>
            </w:r>
          </w:p>
        </w:tc>
      </w:tr>
      <w:tr>
        <w:trPr>
          <w:trHeight w:val="212"/>
        </w:trPr>
        <w:tc>
          <w:tcPr>
            <w:tcW w:w="6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8"/>
                <w:szCs w:val="18"/>
                <w:color w:val="auto"/>
              </w:rPr>
            </w:pPr>
          </w:p>
        </w:tc>
        <w:tc>
          <w:tcPr>
            <w:tcW w:w="1600" w:type="dxa"/>
            <w:vAlign w:val="bottom"/>
          </w:tcPr>
          <w:p>
            <w:pPr>
              <w:jc w:val="right"/>
              <w:ind w:right="229"/>
              <w:spacing w:after="0"/>
              <w:rPr>
                <w:sz w:val="20"/>
                <w:szCs w:val="20"/>
                <w:color w:val="auto"/>
              </w:rPr>
            </w:pPr>
            <w:r>
              <w:rPr>
                <w:rFonts w:ascii="Arial" w:cs="Arial" w:eastAsia="Arial" w:hAnsi="Arial"/>
                <w:sz w:val="14"/>
                <w:szCs w:val="14"/>
                <w:b w:val="1"/>
                <w:bCs w:val="1"/>
                <w:color w:val="auto"/>
                <w:w w:val="97"/>
              </w:rPr>
              <w:t>September 30, 2021</w:t>
            </w:r>
          </w:p>
        </w:tc>
      </w:tr>
      <w:tr>
        <w:trPr>
          <w:trHeight w:val="24"/>
        </w:trPr>
        <w:tc>
          <w:tcPr>
            <w:tcW w:w="6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5"/>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8"/>
        </w:trPr>
        <w:tc>
          <w:tcPr>
            <w:tcW w:w="62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4"/>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8"/>
        </w:trPr>
        <w:tc>
          <w:tcPr>
            <w:tcW w:w="62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
        </w:trPr>
        <w:tc>
          <w:tcPr>
            <w:tcW w:w="6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32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As of September 30, 2021, the Company had a liability of $3,065.8 million related to its projected obligations under the Tax Receivable Agreements in connection with the Reorganization Transactions and OpCo Units exchanged. The payments under the tax receivable agreements are not conditioned upon continued ownership of us by the exchanging holders of OpCo Units. See Note 16 in our unaudited consolidated financial statements included in Part I, Item 1 of this Form 10-Q.</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September 30, 2021, we had additional operating leases for office space that have not yet commenced with anticipated undiscounted future lease payments of $351.2 million. Refer to Note 14 - Leases of the notes to our unaudited consolidated financial statements included elsewhere in this Quarterly Report on Form 10-Q for further details.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Annual Report on 10-K for the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there were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2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2020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2 -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operating results are subject to market risk from interest rate fluctuations on our First Lien Term Loan, which bears a variable interest rate based on LIBOR. As of September 30, 2021, the total principal balance outstanding was $600.0 million. We have implemented a hedging strategy to mitigate the interest rate risk by entering into certain derivative instruments (refer to Note 8 of our consolidated financial statements included in Part I, Item 1 of this Form 10-Q). We have interest rate exposure with respect to $150.0 million of variable-rate debt through April of 2022, representing the nominal portion of the First Lien Term Loan that is not currently designated in a hedging relationship. Based on the outstanding balances and interest rates of our First Lien Term Loan as of September 30, 2021, a hypothetical 1% relative increase or decrease in our effective interest rate would cause an increase in interest expense of approximately $0.3 million and no change, respectively, over the next 12 months.</w:t>
      </w:r>
    </w:p>
    <w:p>
      <w:pPr>
        <w:spacing w:after="0" w:line="13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Additionally, from time to time, we have dedesignated certain cash flow hedging relationships due to repricing of the terms and partial prepayment of the outstanding principal of our First Lien Term Loan since loan inception. As of September 30, 2021, $400.0 million of the notional amount of the interest rate cap contract is not designated as an accounting hedge. Future fair value adjustments on this dedesignated instrument are recorded 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in the Consolidated Statement of Operations. A hypothetical 1% relative increase or decrease in interest rates would cause a decrease in interest expense of $2.1 million and no change, respectively, due to changes in the fair value of these instruments.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To date, our sales contracts have primarily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September 30, 2021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During the quarter ended September 30, 2021,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2020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2020 Form 10-K.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information with respect to shares of our Class A common stock purchased by the Company during the periods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(or</w:t>
            </w:r>
          </w:p>
        </w:tc>
      </w:tr>
      <w:tr>
        <w:trPr>
          <w:trHeight w:val="185"/>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Total Number of Shares</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3"/>
              </w:rPr>
              <w:t>Approximate Dollar</w:t>
            </w:r>
          </w:p>
        </w:tc>
      </w:tr>
      <w:tr>
        <w:trPr>
          <w:trHeight w:val="186"/>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Purchased as Part of</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Value) of Shares that May</w:t>
            </w:r>
          </w:p>
        </w:tc>
      </w:tr>
      <w:tr>
        <w:trPr>
          <w:trHeight w:val="175"/>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w w:val="96"/>
              </w:rPr>
              <w:t>Total Number of Shares</w:t>
            </w:r>
          </w:p>
        </w:tc>
        <w:tc>
          <w:tcPr>
            <w:tcW w:w="120" w:type="dxa"/>
            <w:vAlign w:val="bottom"/>
          </w:tcPr>
          <w:p>
            <w:pPr>
              <w:spacing w:after="0"/>
              <w:rPr>
                <w:sz w:val="15"/>
                <w:szCs w:val="15"/>
                <w:color w:val="auto"/>
              </w:rPr>
            </w:pPr>
          </w:p>
        </w:tc>
        <w:tc>
          <w:tcPr>
            <w:tcW w:w="16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Weighted Average</w:t>
            </w:r>
          </w:p>
        </w:tc>
        <w:tc>
          <w:tcPr>
            <w:tcW w:w="192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8"/>
              </w:rPr>
              <w:t>Publicly Announced Plans</w:t>
            </w:r>
          </w:p>
        </w:tc>
        <w:tc>
          <w:tcPr>
            <w:tcW w:w="18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Yet be Purchased Under</w:t>
            </w:r>
          </w:p>
        </w:tc>
      </w:tr>
      <w:tr>
        <w:trPr>
          <w:trHeight w:val="237"/>
        </w:trPr>
        <w:tc>
          <w:tcPr>
            <w:tcW w:w="3800" w:type="dxa"/>
            <w:vAlign w:val="bottom"/>
            <w:tcBorders>
              <w:bottom w:val="single" w:sz="8" w:color="auto"/>
            </w:tcBorders>
          </w:tcPr>
          <w:p>
            <w:pPr>
              <w:ind w:left="1680"/>
              <w:spacing w:after="0"/>
              <w:rPr>
                <w:sz w:val="20"/>
                <w:szCs w:val="20"/>
                <w:color w:val="auto"/>
              </w:rPr>
            </w:pPr>
            <w:r>
              <w:rPr>
                <w:rFonts w:ascii="Arial" w:cs="Arial" w:eastAsia="Arial" w:hAnsi="Arial"/>
                <w:sz w:val="16"/>
                <w:szCs w:val="16"/>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0"/>
                <w:szCs w:val="20"/>
                <w:b w:val="1"/>
                <w:bCs w:val="1"/>
                <w:color w:val="auto"/>
                <w:vertAlign w:val="superscript"/>
              </w:rPr>
              <w:t>(1)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Price Paid Per Share</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8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the Plan or Programs</w:t>
            </w: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through July 31, 2021</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29"/>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August 1 through August 31, 2021</w:t>
            </w:r>
          </w:p>
        </w:tc>
        <w:tc>
          <w:tcPr>
            <w:tcW w:w="1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60" w:type="dxa"/>
            <w:vAlign w:val="bottom"/>
          </w:tcPr>
          <w:p>
            <w:pPr>
              <w:ind w:left="1640"/>
              <w:spacing w:after="0"/>
              <w:rPr>
                <w:sz w:val="20"/>
                <w:szCs w:val="20"/>
                <w:color w:val="auto"/>
              </w:rPr>
            </w:pPr>
            <w:r>
              <w:rPr>
                <w:rFonts w:ascii="Arial" w:cs="Arial" w:eastAsia="Arial" w:hAnsi="Arial"/>
                <w:sz w:val="16"/>
                <w:szCs w:val="16"/>
                <w:color w:val="auto"/>
              </w:rPr>
              <w:t>—</w:t>
            </w:r>
          </w:p>
        </w:tc>
      </w:tr>
      <w:tr>
        <w:trPr>
          <w:trHeight w:val="241"/>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through September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20,636</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65.19</w:t>
            </w:r>
          </w:p>
        </w:tc>
        <w:tc>
          <w:tcPr>
            <w:tcW w:w="10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20"/>
        </w:trPr>
        <w:tc>
          <w:tcPr>
            <w:tcW w:w="390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740" w:type="dxa"/>
            <w:vAlign w:val="bottom"/>
          </w:tcPr>
          <w:p>
            <w:pPr>
              <w:jc w:val="right"/>
              <w:spacing w:after="0"/>
              <w:rPr>
                <w:sz w:val="20"/>
                <w:szCs w:val="20"/>
                <w:color w:val="auto"/>
              </w:rPr>
            </w:pPr>
            <w:r>
              <w:rPr>
                <w:rFonts w:ascii="Arial" w:cs="Arial" w:eastAsia="Arial" w:hAnsi="Arial"/>
                <w:sz w:val="16"/>
                <w:szCs w:val="16"/>
                <w:color w:val="auto"/>
              </w:rPr>
              <w:t>20,636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65.19</w:t>
            </w:r>
          </w:p>
        </w:tc>
        <w:tc>
          <w:tcPr>
            <w:tcW w:w="100" w:type="dxa"/>
            <w:vAlign w:val="bottom"/>
          </w:tcPr>
          <w:p>
            <w:pPr>
              <w:spacing w:after="0"/>
              <w:rPr>
                <w:sz w:val="19"/>
                <w:szCs w:val="19"/>
                <w:color w:val="auto"/>
              </w:rPr>
            </w:pP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60" w:type="dxa"/>
            <w:vAlign w:val="bottom"/>
          </w:tcPr>
          <w:p>
            <w:pPr>
              <w:ind w:left="1640"/>
              <w:spacing w:after="0"/>
              <w:rPr>
                <w:sz w:val="20"/>
                <w:szCs w:val="20"/>
                <w:color w:val="auto"/>
              </w:rPr>
            </w:pPr>
            <w:r>
              <w:rPr>
                <w:rFonts w:ascii="Arial" w:cs="Arial" w:eastAsia="Arial" w:hAnsi="Arial"/>
                <w:sz w:val="16"/>
                <w:szCs w:val="16"/>
                <w:color w:val="auto"/>
              </w:rPr>
              <w:t>—</w:t>
            </w:r>
          </w:p>
        </w:tc>
      </w:tr>
    </w:tbl>
    <w:p>
      <w:pPr>
        <w:spacing w:after="0" w:line="238" w:lineRule="exact"/>
        <w:rPr>
          <w:sz w:val="20"/>
          <w:szCs w:val="20"/>
          <w:color w:val="auto"/>
        </w:rPr>
      </w:pPr>
    </w:p>
    <w:p>
      <w:pPr>
        <w:ind w:firstLine="6"/>
        <w:spacing w:after="0" w:line="265" w:lineRule="auto"/>
        <w:tabs>
          <w:tab w:leader="none" w:pos="209"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of these shares were acquired through the withholding of shares to satisfy tax withholding obligations incurred upon the vesting of HSKB Phantom Units awarded under the HSKB Funds, LLC 2019 Phantom Unit Plan.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6. EXHIBITS</w:t>
      </w:r>
    </w:p>
    <w:p>
      <w:pPr>
        <w:spacing w:after="0" w:line="170" w:lineRule="exact"/>
        <w:rPr>
          <w:sz w:val="20"/>
          <w:szCs w:val="20"/>
          <w:color w:val="auto"/>
        </w:rPr>
      </w:pPr>
    </w:p>
    <w:p>
      <w:pPr>
        <w:jc w:val="both"/>
        <w:ind w:left="320" w:firstLine="636"/>
        <w:spacing w:after="0" w:line="268" w:lineRule="auto"/>
        <w:rPr>
          <w:sz w:val="20"/>
          <w:szCs w:val="20"/>
          <w:color w:val="auto"/>
        </w:rPr>
      </w:pPr>
      <w:r>
        <w:rPr>
          <w:rFonts w:ascii="Arial" w:cs="Arial" w:eastAsia="Arial" w:hAnsi="Arial"/>
          <w:sz w:val="17"/>
          <w:szCs w:val="17"/>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800" w:type="dxa"/>
            <w:vAlign w:val="bottom"/>
          </w:tcPr>
          <w:p>
            <w:pPr>
              <w:jc w:val="center"/>
              <w:ind w:right="88"/>
              <w:spacing w:after="0"/>
              <w:rPr>
                <w:sz w:val="20"/>
                <w:szCs w:val="20"/>
                <w:color w:val="auto"/>
              </w:rPr>
            </w:pPr>
            <w:r>
              <w:rPr>
                <w:rFonts w:ascii="Arial" w:cs="Arial" w:eastAsia="Arial" w:hAnsi="Arial"/>
                <w:sz w:val="18"/>
                <w:szCs w:val="18"/>
                <w:b w:val="1"/>
                <w:bCs w:val="1"/>
                <w:color w:val="auto"/>
                <w:w w:val="93"/>
              </w:rPr>
              <w:t>Exhibit</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ind w:right="5"/>
              <w:spacing w:after="0"/>
              <w:rPr>
                <w:sz w:val="20"/>
                <w:szCs w:val="20"/>
                <w:color w:val="auto"/>
              </w:rPr>
            </w:pPr>
            <w:r>
              <w:rPr>
                <w:rFonts w:ascii="Arial" w:cs="Arial" w:eastAsia="Arial" w:hAnsi="Arial"/>
                <w:sz w:val="18"/>
                <w:szCs w:val="18"/>
                <w:b w:val="1"/>
                <w:bCs w:val="1"/>
                <w:color w:val="auto"/>
                <w:w w:val="90"/>
              </w:rPr>
              <w:t>Report or Registration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SEC File or</w:t>
            </w:r>
          </w:p>
        </w:tc>
        <w:tc>
          <w:tcPr>
            <w:tcW w:w="960" w:type="dxa"/>
            <w:vAlign w:val="bottom"/>
          </w:tcPr>
          <w:p>
            <w:pPr>
              <w:jc w:val="center"/>
              <w:ind w:left="125"/>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12"/>
        </w:trPr>
        <w:tc>
          <w:tcPr>
            <w:tcW w:w="800" w:type="dxa"/>
            <w:vAlign w:val="bottom"/>
          </w:tcPr>
          <w:p>
            <w:pPr>
              <w:jc w:val="center"/>
              <w:ind w:right="88"/>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21"/>
            <w:vMerge w:val="restart"/>
          </w:tcPr>
          <w:p>
            <w:pPr>
              <w:ind w:left="640"/>
              <w:spacing w:after="0"/>
              <w:rPr>
                <w:sz w:val="20"/>
                <w:szCs w:val="20"/>
                <w:color w:val="auto"/>
              </w:rPr>
            </w:pPr>
            <w:r>
              <w:rPr>
                <w:rFonts w:ascii="Arial" w:cs="Arial" w:eastAsia="Arial" w:hAnsi="Arial"/>
                <w:sz w:val="18"/>
                <w:szCs w:val="18"/>
                <w:b w:val="1"/>
                <w:bCs w:val="1"/>
                <w:color w:val="auto"/>
              </w:rPr>
              <w:t>Description</w:t>
            </w:r>
          </w:p>
        </w:tc>
        <w:tc>
          <w:tcPr>
            <w:tcW w:w="2000" w:type="dxa"/>
            <w:vAlign w:val="bottom"/>
          </w:tcPr>
          <w:p>
            <w:pPr>
              <w:jc w:val="center"/>
              <w:ind w:right="5"/>
              <w:spacing w:after="0"/>
              <w:rPr>
                <w:sz w:val="20"/>
                <w:szCs w:val="20"/>
                <w:color w:val="auto"/>
              </w:rPr>
            </w:pPr>
            <w:r>
              <w:rPr>
                <w:rFonts w:ascii="Arial" w:cs="Arial" w:eastAsia="Arial" w:hAnsi="Arial"/>
                <w:sz w:val="18"/>
                <w:szCs w:val="18"/>
                <w:b w:val="1"/>
                <w:bCs w:val="1"/>
                <w:color w:val="auto"/>
                <w:w w:val="87"/>
              </w:rPr>
              <w:t>Statement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Registration</w:t>
            </w:r>
          </w:p>
        </w:tc>
        <w:tc>
          <w:tcPr>
            <w:tcW w:w="960" w:type="dxa"/>
            <w:vAlign w:val="bottom"/>
          </w:tcPr>
          <w:p>
            <w:pPr>
              <w:jc w:val="center"/>
              <w:ind w:left="125"/>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20" w:type="dxa"/>
            <w:vAlign w:val="bottom"/>
            <w:gridSpan w:val="21"/>
            <w:vMerge w:val="continue"/>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800" w:type="dxa"/>
            <w:vAlign w:val="bottom"/>
          </w:tcPr>
          <w:p>
            <w:pPr>
              <w:jc w:val="center"/>
              <w:ind w:right="108"/>
              <w:spacing w:after="0"/>
              <w:rPr>
                <w:sz w:val="20"/>
                <w:szCs w:val="20"/>
                <w:color w:val="auto"/>
              </w:rPr>
            </w:pPr>
            <w:r>
              <w:rPr>
                <w:rFonts w:ascii="Arial" w:cs="Arial" w:eastAsia="Arial" w:hAnsi="Arial"/>
                <w:sz w:val="14"/>
                <w:szCs w:val="14"/>
                <w:color w:val="auto"/>
                <w:w w:val="92"/>
              </w:rPr>
              <w:t>3.1</w:t>
            </w:r>
          </w:p>
        </w:tc>
        <w:tc>
          <w:tcPr>
            <w:tcW w:w="4700" w:type="dxa"/>
            <w:vAlign w:val="bottom"/>
            <w:tcBorders>
              <w:bottom w:val="single" w:sz="8" w:color="0000FF"/>
            </w:tcBorders>
            <w:gridSpan w:val="7"/>
          </w:tcPr>
          <w:p>
            <w:pPr>
              <w:spacing w:after="0"/>
              <w:rPr>
                <w:rFonts w:ascii="Arial" w:cs="Arial" w:eastAsia="Arial" w:hAnsi="Arial"/>
                <w:sz w:val="14"/>
                <w:szCs w:val="14"/>
                <w:color w:val="0000FF"/>
                <w:w w:val="92"/>
              </w:rPr>
            </w:pPr>
            <w:hyperlink r:id="rId113">
              <w:r>
                <w:rPr>
                  <w:rFonts w:ascii="Arial" w:cs="Arial" w:eastAsia="Arial" w:hAnsi="Arial"/>
                  <w:sz w:val="14"/>
                  <w:szCs w:val="14"/>
                  <w:color w:val="0000FF"/>
                  <w:w w:val="92"/>
                </w:rPr>
                <w:t>Amended and Restated Certificate of Incorporation of ZoomInfo Technologies Inc.</w:t>
              </w:r>
            </w:hyperlink>
          </w:p>
        </w:tc>
        <w:tc>
          <w:tcPr>
            <w:tcW w:w="1120" w:type="dxa"/>
            <w:vAlign w:val="bottom"/>
            <w:gridSpan w:val="16"/>
          </w:tcPr>
          <w:p>
            <w:pPr>
              <w:spacing w:after="0"/>
              <w:rPr>
                <w:sz w:val="24"/>
                <w:szCs w:val="24"/>
                <w:color w:val="auto"/>
              </w:rPr>
            </w:pPr>
          </w:p>
        </w:tc>
        <w:tc>
          <w:tcPr>
            <w:tcW w:w="2000" w:type="dxa"/>
            <w:vAlign w:val="bottom"/>
          </w:tcPr>
          <w:p>
            <w:pPr>
              <w:jc w:val="center"/>
              <w:ind w:right="5"/>
              <w:spacing w:after="0"/>
              <w:rPr>
                <w:sz w:val="20"/>
                <w:szCs w:val="20"/>
                <w:color w:val="auto"/>
              </w:rPr>
            </w:pPr>
            <w:r>
              <w:rPr>
                <w:rFonts w:ascii="Arial" w:cs="Arial" w:eastAsia="Arial" w:hAnsi="Arial"/>
                <w:sz w:val="14"/>
                <w:szCs w:val="14"/>
                <w:color w:val="auto"/>
                <w:w w:val="93"/>
              </w:rPr>
              <w:t>8-K filed June 8, 2020</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5"/>
              <w:spacing w:after="0"/>
              <w:rPr>
                <w:sz w:val="20"/>
                <w:szCs w:val="20"/>
                <w:color w:val="auto"/>
              </w:rPr>
            </w:pPr>
            <w:r>
              <w:rPr>
                <w:rFonts w:ascii="Arial" w:cs="Arial" w:eastAsia="Arial" w:hAnsi="Arial"/>
                <w:sz w:val="14"/>
                <w:szCs w:val="14"/>
                <w:color w:val="auto"/>
                <w:w w:val="92"/>
              </w:rPr>
              <w:t>3.1</w:t>
            </w:r>
          </w:p>
        </w:tc>
        <w:tc>
          <w:tcPr>
            <w:tcW w:w="0" w:type="dxa"/>
            <w:vAlign w:val="bottom"/>
          </w:tcPr>
          <w:p>
            <w:pPr>
              <w:spacing w:after="0"/>
              <w:rPr>
                <w:sz w:val="1"/>
                <w:szCs w:val="1"/>
                <w:color w:val="auto"/>
              </w:rPr>
            </w:pPr>
          </w:p>
        </w:tc>
      </w:tr>
      <w:tr>
        <w:trPr>
          <w:trHeight w:val="192"/>
        </w:trPr>
        <w:tc>
          <w:tcPr>
            <w:tcW w:w="800" w:type="dxa"/>
            <w:vAlign w:val="bottom"/>
          </w:tcPr>
          <w:p>
            <w:pPr>
              <w:jc w:val="center"/>
              <w:ind w:right="108"/>
              <w:spacing w:after="0"/>
              <w:rPr>
                <w:sz w:val="20"/>
                <w:szCs w:val="20"/>
                <w:color w:val="auto"/>
              </w:rPr>
            </w:pPr>
            <w:r>
              <w:rPr>
                <w:rFonts w:ascii="Arial" w:cs="Arial" w:eastAsia="Arial" w:hAnsi="Arial"/>
                <w:sz w:val="14"/>
                <w:szCs w:val="14"/>
                <w:color w:val="auto"/>
                <w:w w:val="92"/>
              </w:rPr>
              <w:t>3.2</w:t>
            </w:r>
          </w:p>
        </w:tc>
        <w:tc>
          <w:tcPr>
            <w:tcW w:w="3580" w:type="dxa"/>
            <w:vAlign w:val="bottom"/>
            <w:tcBorders>
              <w:bottom w:val="single" w:sz="8" w:color="0000FF"/>
            </w:tcBorders>
            <w:gridSpan w:val="3"/>
          </w:tcPr>
          <w:p>
            <w:pPr>
              <w:spacing w:after="0"/>
              <w:rPr>
                <w:rFonts w:ascii="Arial" w:cs="Arial" w:eastAsia="Arial" w:hAnsi="Arial"/>
                <w:sz w:val="14"/>
                <w:szCs w:val="14"/>
                <w:color w:val="0000FF"/>
                <w:w w:val="91"/>
              </w:rPr>
            </w:pPr>
            <w:hyperlink r:id="rId114">
              <w:r>
                <w:rPr>
                  <w:rFonts w:ascii="Arial" w:cs="Arial" w:eastAsia="Arial" w:hAnsi="Arial"/>
                  <w:sz w:val="14"/>
                  <w:szCs w:val="14"/>
                  <w:color w:val="0000FF"/>
                  <w:w w:val="91"/>
                </w:rPr>
                <w:t>Amended and Restated Bylaws of ZoomInfo Technologies Inc.</w:t>
              </w:r>
            </w:hyperlink>
          </w:p>
        </w:tc>
        <w:tc>
          <w:tcPr>
            <w:tcW w:w="2240" w:type="dxa"/>
            <w:vAlign w:val="bottom"/>
            <w:gridSpan w:val="20"/>
          </w:tcPr>
          <w:p>
            <w:pPr>
              <w:spacing w:after="0"/>
              <w:rPr>
                <w:sz w:val="16"/>
                <w:szCs w:val="16"/>
                <w:color w:val="auto"/>
              </w:rPr>
            </w:pPr>
          </w:p>
        </w:tc>
        <w:tc>
          <w:tcPr>
            <w:tcW w:w="2000" w:type="dxa"/>
            <w:vAlign w:val="bottom"/>
          </w:tcPr>
          <w:p>
            <w:pPr>
              <w:jc w:val="center"/>
              <w:ind w:right="5"/>
              <w:spacing w:after="0"/>
              <w:rPr>
                <w:sz w:val="20"/>
                <w:szCs w:val="20"/>
                <w:color w:val="auto"/>
              </w:rPr>
            </w:pPr>
            <w:r>
              <w:rPr>
                <w:rFonts w:ascii="Arial" w:cs="Arial" w:eastAsia="Arial" w:hAnsi="Arial"/>
                <w:sz w:val="14"/>
                <w:szCs w:val="14"/>
                <w:color w:val="auto"/>
                <w:w w:val="93"/>
              </w:rPr>
              <w:t>8-K filed June 8, 2020</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5"/>
              <w:spacing w:after="0"/>
              <w:rPr>
                <w:sz w:val="20"/>
                <w:szCs w:val="20"/>
                <w:color w:val="auto"/>
              </w:rPr>
            </w:pPr>
            <w:r>
              <w:rPr>
                <w:rFonts w:ascii="Arial" w:cs="Arial" w:eastAsia="Arial" w:hAnsi="Arial"/>
                <w:sz w:val="14"/>
                <w:szCs w:val="14"/>
                <w:color w:val="auto"/>
                <w:w w:val="92"/>
              </w:rPr>
              <w:t>3.2</w:t>
            </w:r>
          </w:p>
        </w:tc>
        <w:tc>
          <w:tcPr>
            <w:tcW w:w="0" w:type="dxa"/>
            <w:vAlign w:val="bottom"/>
          </w:tcPr>
          <w:p>
            <w:pPr>
              <w:spacing w:after="0"/>
              <w:rPr>
                <w:sz w:val="1"/>
                <w:szCs w:val="1"/>
                <w:color w:val="auto"/>
              </w:rPr>
            </w:pPr>
          </w:p>
        </w:tc>
      </w:tr>
      <w:tr>
        <w:trPr>
          <w:trHeight w:val="192"/>
        </w:trPr>
        <w:tc>
          <w:tcPr>
            <w:tcW w:w="800" w:type="dxa"/>
            <w:vAlign w:val="bottom"/>
          </w:tcPr>
          <w:p>
            <w:pPr>
              <w:jc w:val="center"/>
              <w:ind w:right="108"/>
              <w:spacing w:after="0"/>
              <w:rPr>
                <w:sz w:val="20"/>
                <w:szCs w:val="20"/>
                <w:color w:val="auto"/>
              </w:rPr>
            </w:pPr>
            <w:r>
              <w:rPr>
                <w:rFonts w:ascii="Arial" w:cs="Arial" w:eastAsia="Arial" w:hAnsi="Arial"/>
                <w:sz w:val="14"/>
                <w:szCs w:val="14"/>
                <w:color w:val="auto"/>
                <w:w w:val="92"/>
              </w:rPr>
              <w:t>4.1</w:t>
            </w:r>
          </w:p>
        </w:tc>
        <w:tc>
          <w:tcPr>
            <w:tcW w:w="5820" w:type="dxa"/>
            <w:vAlign w:val="bottom"/>
            <w:gridSpan w:val="23"/>
          </w:tcPr>
          <w:p>
            <w:pPr>
              <w:ind w:left="40"/>
              <w:spacing w:after="0"/>
              <w:rPr>
                <w:rFonts w:ascii="Arial" w:cs="Arial" w:eastAsia="Arial" w:hAnsi="Arial"/>
                <w:sz w:val="14"/>
                <w:szCs w:val="14"/>
                <w:color w:val="0000FF"/>
                <w:w w:val="97"/>
              </w:rPr>
            </w:pPr>
            <w:hyperlink r:id="rId115">
              <w:r>
                <w:rPr>
                  <w:rFonts w:ascii="Arial" w:cs="Arial" w:eastAsia="Arial" w:hAnsi="Arial"/>
                  <w:sz w:val="14"/>
                  <w:szCs w:val="14"/>
                  <w:color w:val="0000FF"/>
                  <w:w w:val="97"/>
                </w:rPr>
                <w:t>Indenture, dated as of February 2, 2021, by and among ZoomInfo Technologies LLC, ZoomInfo</w:t>
              </w:r>
            </w:hyperlink>
          </w:p>
        </w:tc>
        <w:tc>
          <w:tcPr>
            <w:tcW w:w="2000" w:type="dxa"/>
            <w:vAlign w:val="bottom"/>
          </w:tcPr>
          <w:p>
            <w:pPr>
              <w:jc w:val="center"/>
              <w:ind w:right="5"/>
              <w:spacing w:after="0"/>
              <w:rPr>
                <w:sz w:val="20"/>
                <w:szCs w:val="20"/>
                <w:color w:val="auto"/>
              </w:rPr>
            </w:pPr>
            <w:r>
              <w:rPr>
                <w:rFonts w:ascii="Arial" w:cs="Arial" w:eastAsia="Arial" w:hAnsi="Arial"/>
                <w:sz w:val="14"/>
                <w:szCs w:val="14"/>
                <w:color w:val="auto"/>
                <w:w w:val="95"/>
              </w:rPr>
              <w:t>8-K filed July 15,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5"/>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480" w:type="dxa"/>
            <w:vAlign w:val="bottom"/>
            <w:tcBorders>
              <w:top w:val="single" w:sz="8" w:color="0000FF"/>
            </w:tcBorders>
            <w:gridSpan w:val="14"/>
          </w:tcPr>
          <w:p>
            <w:pPr>
              <w:spacing w:after="0" w:line="139" w:lineRule="exact"/>
              <w:rPr>
                <w:rFonts w:ascii="Arial" w:cs="Arial" w:eastAsia="Arial" w:hAnsi="Arial"/>
                <w:sz w:val="14"/>
                <w:szCs w:val="14"/>
                <w:color w:val="0000FF"/>
                <w:w w:val="92"/>
              </w:rPr>
            </w:pPr>
            <w:hyperlink r:id="rId115">
              <w:r>
                <w:rPr>
                  <w:rFonts w:ascii="Arial" w:cs="Arial" w:eastAsia="Arial" w:hAnsi="Arial"/>
                  <w:sz w:val="14"/>
                  <w:szCs w:val="14"/>
                  <w:color w:val="0000FF"/>
                  <w:w w:val="92"/>
                </w:rPr>
                <w:t>Finance Corp., the guarantors named on the signature pages thereto, and Wells Fargo National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128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89"/>
              </w:rPr>
            </w:pPr>
            <w:hyperlink r:id="rId115">
              <w:r>
                <w:rPr>
                  <w:rFonts w:ascii="Arial" w:cs="Arial" w:eastAsia="Arial" w:hAnsi="Arial"/>
                  <w:sz w:val="14"/>
                  <w:szCs w:val="14"/>
                  <w:color w:val="0000FF"/>
                  <w:w w:val="89"/>
                </w:rPr>
                <w:t>Association, as trustee</w:t>
              </w:r>
            </w:hyperlink>
          </w:p>
        </w:tc>
        <w:tc>
          <w:tcPr>
            <w:tcW w:w="4040" w:type="dxa"/>
            <w:vAlign w:val="bottom"/>
            <w:tcBorders>
              <w:top w:val="single" w:sz="8" w:color="0000FF"/>
            </w:tcBorders>
            <w:gridSpan w:val="8"/>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108"/>
              <w:spacing w:after="0"/>
              <w:rPr>
                <w:sz w:val="20"/>
                <w:szCs w:val="20"/>
                <w:color w:val="auto"/>
              </w:rPr>
            </w:pPr>
            <w:r>
              <w:rPr>
                <w:rFonts w:ascii="Arial" w:cs="Arial" w:eastAsia="Arial" w:hAnsi="Arial"/>
                <w:sz w:val="14"/>
                <w:szCs w:val="14"/>
                <w:color w:val="auto"/>
                <w:w w:val="92"/>
              </w:rPr>
              <w:t>4.2</w:t>
            </w:r>
          </w:p>
        </w:tc>
        <w:tc>
          <w:tcPr>
            <w:tcW w:w="5820" w:type="dxa"/>
            <w:vAlign w:val="bottom"/>
            <w:gridSpan w:val="23"/>
          </w:tcPr>
          <w:p>
            <w:pPr>
              <w:spacing w:after="0"/>
              <w:rPr>
                <w:rFonts w:ascii="Arial" w:cs="Arial" w:eastAsia="Arial" w:hAnsi="Arial"/>
                <w:sz w:val="14"/>
                <w:szCs w:val="14"/>
                <w:color w:val="0000FF"/>
                <w:w w:val="97"/>
              </w:rPr>
            </w:pPr>
            <w:hyperlink r:id="rId116">
              <w:r>
                <w:rPr>
                  <w:rFonts w:ascii="Arial" w:cs="Arial" w:eastAsia="Arial" w:hAnsi="Arial"/>
                  <w:sz w:val="14"/>
                  <w:szCs w:val="14"/>
                  <w:color w:val="0000FF"/>
                  <w:w w:val="97"/>
                </w:rPr>
                <w:t>Supplemental Indenture, dated as of July 15, 2021, by and among ZoomInfo Technologies LLC,</w:t>
              </w:r>
            </w:hyperlink>
          </w:p>
        </w:tc>
        <w:tc>
          <w:tcPr>
            <w:tcW w:w="2000" w:type="dxa"/>
            <w:vAlign w:val="bottom"/>
          </w:tcPr>
          <w:p>
            <w:pPr>
              <w:jc w:val="center"/>
              <w:ind w:right="5"/>
              <w:spacing w:after="0"/>
              <w:rPr>
                <w:sz w:val="20"/>
                <w:szCs w:val="20"/>
                <w:color w:val="auto"/>
              </w:rPr>
            </w:pPr>
            <w:r>
              <w:rPr>
                <w:rFonts w:ascii="Arial" w:cs="Arial" w:eastAsia="Arial" w:hAnsi="Arial"/>
                <w:sz w:val="14"/>
                <w:szCs w:val="14"/>
                <w:color w:val="auto"/>
                <w:w w:val="95"/>
              </w:rPr>
              <w:t>8-K filed July 15,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5"/>
              <w:spacing w:after="0"/>
              <w:rPr>
                <w:sz w:val="20"/>
                <w:szCs w:val="20"/>
                <w:color w:val="auto"/>
              </w:rPr>
            </w:pPr>
            <w:r>
              <w:rPr>
                <w:rFonts w:ascii="Arial" w:cs="Arial" w:eastAsia="Arial" w:hAnsi="Arial"/>
                <w:sz w:val="14"/>
                <w:szCs w:val="14"/>
                <w:color w:val="auto"/>
                <w:w w:val="92"/>
              </w:rPr>
              <w:t>4.2</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440" w:type="dxa"/>
            <w:vAlign w:val="bottom"/>
            <w:tcBorders>
              <w:top w:val="single" w:sz="8" w:color="0000FF"/>
            </w:tcBorders>
            <w:gridSpan w:val="13"/>
          </w:tcPr>
          <w:p>
            <w:pPr>
              <w:spacing w:after="0" w:line="139" w:lineRule="exact"/>
              <w:rPr>
                <w:rFonts w:ascii="Arial" w:cs="Arial" w:eastAsia="Arial" w:hAnsi="Arial"/>
                <w:sz w:val="14"/>
                <w:szCs w:val="14"/>
                <w:color w:val="0000FF"/>
                <w:w w:val="90"/>
              </w:rPr>
            </w:pPr>
            <w:hyperlink r:id="rId116">
              <w:r>
                <w:rPr>
                  <w:rFonts w:ascii="Arial" w:cs="Arial" w:eastAsia="Arial" w:hAnsi="Arial"/>
                  <w:sz w:val="14"/>
                  <w:szCs w:val="14"/>
                  <w:color w:val="0000FF"/>
                  <w:w w:val="90"/>
                </w:rPr>
                <w:t>ZoomInfo Finance Corp., the guarantors named on the signature pages thereto, and Wells Fargo</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180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0"/>
              </w:rPr>
            </w:pPr>
            <w:hyperlink r:id="rId116">
              <w:r>
                <w:rPr>
                  <w:rFonts w:ascii="Arial" w:cs="Arial" w:eastAsia="Arial" w:hAnsi="Arial"/>
                  <w:sz w:val="14"/>
                  <w:szCs w:val="14"/>
                  <w:color w:val="0000FF"/>
                  <w:w w:val="90"/>
                </w:rPr>
                <w:t>National Association, as trustee</w:t>
              </w:r>
            </w:hyperlink>
          </w:p>
        </w:tc>
        <w:tc>
          <w:tcPr>
            <w:tcW w:w="360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800" w:type="dxa"/>
            <w:vAlign w:val="bottom"/>
          </w:tcPr>
          <w:p>
            <w:pPr>
              <w:jc w:val="center"/>
              <w:ind w:right="108"/>
              <w:spacing w:after="0"/>
              <w:rPr>
                <w:sz w:val="20"/>
                <w:szCs w:val="20"/>
                <w:color w:val="auto"/>
              </w:rPr>
            </w:pPr>
            <w:r>
              <w:rPr>
                <w:rFonts w:ascii="Arial" w:cs="Arial" w:eastAsia="Arial" w:hAnsi="Arial"/>
                <w:sz w:val="14"/>
                <w:szCs w:val="14"/>
                <w:color w:val="auto"/>
                <w:w w:val="92"/>
              </w:rPr>
              <w:t>4.3</w:t>
            </w:r>
          </w:p>
        </w:tc>
        <w:tc>
          <w:tcPr>
            <w:tcW w:w="5820" w:type="dxa"/>
            <w:vAlign w:val="bottom"/>
            <w:gridSpan w:val="23"/>
          </w:tcPr>
          <w:p>
            <w:pPr>
              <w:spacing w:after="0"/>
              <w:rPr>
                <w:sz w:val="20"/>
                <w:szCs w:val="20"/>
                <w:color w:val="auto"/>
              </w:rPr>
            </w:pPr>
            <w:r>
              <w:rPr>
                <w:rFonts w:ascii="Arial" w:cs="Arial" w:eastAsia="Arial" w:hAnsi="Arial"/>
                <w:sz w:val="14"/>
                <w:szCs w:val="14"/>
                <w:color w:val="auto"/>
              </w:rPr>
              <w:t>Form of 3.875% Senior Note due 2029 (included in Exhibit 4.1)</w:t>
            </w:r>
          </w:p>
        </w:tc>
        <w:tc>
          <w:tcPr>
            <w:tcW w:w="2000" w:type="dxa"/>
            <w:vAlign w:val="bottom"/>
          </w:tcPr>
          <w:p>
            <w:pPr>
              <w:jc w:val="center"/>
              <w:ind w:right="5"/>
              <w:spacing w:after="0"/>
              <w:rPr>
                <w:sz w:val="20"/>
                <w:szCs w:val="20"/>
                <w:color w:val="auto"/>
              </w:rPr>
            </w:pPr>
            <w:r>
              <w:rPr>
                <w:rFonts w:ascii="Arial" w:cs="Arial" w:eastAsia="Arial" w:hAnsi="Arial"/>
                <w:sz w:val="14"/>
                <w:szCs w:val="14"/>
                <w:color w:val="auto"/>
                <w:w w:val="95"/>
              </w:rPr>
              <w:t>8-K filed July 15,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5"/>
              <w:spacing w:after="0"/>
              <w:rPr>
                <w:sz w:val="20"/>
                <w:szCs w:val="20"/>
                <w:color w:val="auto"/>
              </w:rPr>
            </w:pPr>
            <w:r>
              <w:rPr>
                <w:rFonts w:ascii="Arial" w:cs="Arial" w:eastAsia="Arial" w:hAnsi="Arial"/>
                <w:sz w:val="14"/>
                <w:szCs w:val="14"/>
                <w:color w:val="auto"/>
                <w:w w:val="92"/>
              </w:rPr>
              <w:t>4.3</w:t>
            </w:r>
          </w:p>
        </w:tc>
        <w:tc>
          <w:tcPr>
            <w:tcW w:w="0" w:type="dxa"/>
            <w:vAlign w:val="bottom"/>
          </w:tcPr>
          <w:p>
            <w:pPr>
              <w:spacing w:after="0"/>
              <w:rPr>
                <w:sz w:val="1"/>
                <w:szCs w:val="1"/>
                <w:color w:val="auto"/>
              </w:rPr>
            </w:pPr>
          </w:p>
        </w:tc>
      </w:tr>
      <w:tr>
        <w:trPr>
          <w:trHeight w:val="183"/>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87"/>
              </w:rPr>
              <w:t>10.1</w:t>
            </w:r>
          </w:p>
        </w:tc>
        <w:tc>
          <w:tcPr>
            <w:tcW w:w="5820" w:type="dxa"/>
            <w:vAlign w:val="bottom"/>
            <w:gridSpan w:val="23"/>
          </w:tcPr>
          <w:p>
            <w:pPr>
              <w:spacing w:after="0"/>
              <w:rPr>
                <w:rFonts w:ascii="Arial" w:cs="Arial" w:eastAsia="Arial" w:hAnsi="Arial"/>
                <w:sz w:val="14"/>
                <w:szCs w:val="14"/>
                <w:color w:val="0000FF"/>
                <w:w w:val="97"/>
              </w:rPr>
            </w:pPr>
            <w:hyperlink r:id="rId117">
              <w:r>
                <w:rPr>
                  <w:rFonts w:ascii="Arial" w:cs="Arial" w:eastAsia="Arial" w:hAnsi="Arial"/>
                  <w:sz w:val="14"/>
                  <w:szCs w:val="14"/>
                  <w:color w:val="0000FF"/>
                  <w:w w:val="97"/>
                </w:rPr>
                <w:t>Amendment No. 3 to First Lien Credit Agreement, dated July 20, 2021, by and among ZoomInfo</w:t>
              </w:r>
            </w:hyperlink>
          </w:p>
        </w:tc>
        <w:tc>
          <w:tcPr>
            <w:tcW w:w="2000" w:type="dxa"/>
            <w:vAlign w:val="bottom"/>
          </w:tcPr>
          <w:p>
            <w:pPr>
              <w:jc w:val="center"/>
              <w:ind w:right="5"/>
              <w:spacing w:after="0"/>
              <w:rPr>
                <w:sz w:val="20"/>
                <w:szCs w:val="20"/>
                <w:color w:val="auto"/>
              </w:rPr>
            </w:pPr>
            <w:r>
              <w:rPr>
                <w:rFonts w:ascii="Arial" w:cs="Arial" w:eastAsia="Arial" w:hAnsi="Arial"/>
                <w:sz w:val="14"/>
                <w:szCs w:val="14"/>
                <w:color w:val="auto"/>
                <w:w w:val="95"/>
              </w:rPr>
              <w:t>8-K filed July 20,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25"/>
              <w:spacing w:after="0"/>
              <w:rPr>
                <w:sz w:val="20"/>
                <w:szCs w:val="20"/>
                <w:color w:val="auto"/>
              </w:rPr>
            </w:pPr>
            <w:r>
              <w:rPr>
                <w:rFonts w:ascii="Arial" w:cs="Arial" w:eastAsia="Arial" w:hAnsi="Arial"/>
                <w:sz w:val="14"/>
                <w:szCs w:val="14"/>
                <w:color w:val="auto"/>
                <w:w w:val="87"/>
              </w:rPr>
              <w:t>10.1</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500" w:type="dxa"/>
            <w:vAlign w:val="bottom"/>
            <w:tcBorders>
              <w:top w:val="single" w:sz="8" w:color="0000FF"/>
              <w:bottom w:val="single" w:sz="8" w:color="0000FF"/>
            </w:tcBorders>
            <w:gridSpan w:val="15"/>
          </w:tcPr>
          <w:p>
            <w:pPr>
              <w:spacing w:after="0" w:line="139" w:lineRule="exact"/>
              <w:rPr>
                <w:rFonts w:ascii="Arial" w:cs="Arial" w:eastAsia="Arial" w:hAnsi="Arial"/>
                <w:sz w:val="14"/>
                <w:szCs w:val="14"/>
                <w:color w:val="0000FF"/>
                <w:w w:val="94"/>
              </w:rPr>
            </w:pPr>
            <w:hyperlink r:id="rId117">
              <w:r>
                <w:rPr>
                  <w:rFonts w:ascii="Arial" w:cs="Arial" w:eastAsia="Arial" w:hAnsi="Arial"/>
                  <w:sz w:val="14"/>
                  <w:szCs w:val="14"/>
                  <w:color w:val="0000FF"/>
                  <w:w w:val="94"/>
                </w:rPr>
                <w:t>LLC (f/k/a DiscoverOrg, LLC), a Delaware limited liability company (the “Borrower”), ZoomInfo</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520" w:type="dxa"/>
            <w:vAlign w:val="bottom"/>
            <w:tcBorders>
              <w:bottom w:val="single" w:sz="8" w:color="0000FF"/>
            </w:tcBorders>
            <w:gridSpan w:val="16"/>
          </w:tcPr>
          <w:p>
            <w:pPr>
              <w:spacing w:after="0" w:line="139" w:lineRule="exact"/>
              <w:rPr>
                <w:rFonts w:ascii="Arial" w:cs="Arial" w:eastAsia="Arial" w:hAnsi="Arial"/>
                <w:sz w:val="14"/>
                <w:szCs w:val="14"/>
                <w:color w:val="0000FF"/>
                <w:w w:val="95"/>
              </w:rPr>
            </w:pPr>
            <w:hyperlink r:id="rId117">
              <w:r>
                <w:rPr>
                  <w:rFonts w:ascii="Arial" w:cs="Arial" w:eastAsia="Arial" w:hAnsi="Arial"/>
                  <w:sz w:val="14"/>
                  <w:szCs w:val="14"/>
                  <w:color w:val="0000FF"/>
                  <w:w w:val="95"/>
                </w:rPr>
                <w:t>Technologies LLC, a Delaware limited liability company (the “Co-Borrower”), ZoomInfo Midco</w:t>
              </w:r>
            </w:hyperlink>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820" w:type="dxa"/>
            <w:vAlign w:val="bottom"/>
            <w:gridSpan w:val="23"/>
          </w:tcPr>
          <w:p>
            <w:pPr>
              <w:spacing w:after="0" w:line="139" w:lineRule="exact"/>
              <w:rPr>
                <w:rFonts w:ascii="Arial" w:cs="Arial" w:eastAsia="Arial" w:hAnsi="Arial"/>
                <w:sz w:val="14"/>
                <w:szCs w:val="14"/>
                <w:color w:val="0000FF"/>
                <w:w w:val="99"/>
              </w:rPr>
            </w:pPr>
            <w:hyperlink r:id="rId117">
              <w:r>
                <w:rPr>
                  <w:rFonts w:ascii="Arial" w:cs="Arial" w:eastAsia="Arial" w:hAnsi="Arial"/>
                  <w:sz w:val="14"/>
                  <w:szCs w:val="14"/>
                  <w:color w:val="0000FF"/>
                  <w:w w:val="99"/>
                </w:rPr>
                <w:t>LLC (f/k/a DiscoverOrg Midco, LLC), a Delaware limited liability company (“Holdings”), Morgan</w:t>
              </w:r>
            </w:hyperlink>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620" w:type="dxa"/>
            <w:vAlign w:val="bottom"/>
            <w:tcBorders>
              <w:top w:val="single" w:sz="8" w:color="0000FF"/>
              <w:bottom w:val="single" w:sz="8" w:color="0000FF"/>
            </w:tcBorders>
            <w:gridSpan w:val="19"/>
          </w:tcPr>
          <w:p>
            <w:pPr>
              <w:spacing w:after="0" w:line="139" w:lineRule="exact"/>
              <w:rPr>
                <w:rFonts w:ascii="Arial" w:cs="Arial" w:eastAsia="Arial" w:hAnsi="Arial"/>
                <w:sz w:val="14"/>
                <w:szCs w:val="14"/>
                <w:color w:val="0000FF"/>
                <w:w w:val="90"/>
              </w:rPr>
            </w:pPr>
            <w:hyperlink r:id="rId117">
              <w:r>
                <w:rPr>
                  <w:rFonts w:ascii="Arial" w:cs="Arial" w:eastAsia="Arial" w:hAnsi="Arial"/>
                  <w:sz w:val="14"/>
                  <w:szCs w:val="14"/>
                  <w:color w:val="0000FF"/>
                  <w:w w:val="90"/>
                </w:rPr>
                <w:t>Stanley Bank, N.A., as the 2021-1 incremental first lien term loan lender and Morgan Stanley Senior</w:t>
              </w:r>
            </w:hyperlink>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700" w:type="dxa"/>
            <w:vAlign w:val="bottom"/>
            <w:gridSpan w:val="21"/>
          </w:tcPr>
          <w:p>
            <w:pPr>
              <w:spacing w:after="0" w:line="139" w:lineRule="exact"/>
              <w:rPr>
                <w:rFonts w:ascii="Arial" w:cs="Arial" w:eastAsia="Arial" w:hAnsi="Arial"/>
                <w:sz w:val="14"/>
                <w:szCs w:val="14"/>
                <w:color w:val="0000FF"/>
              </w:rPr>
            </w:pPr>
            <w:hyperlink r:id="rId117">
              <w:r>
                <w:rPr>
                  <w:rFonts w:ascii="Arial" w:cs="Arial" w:eastAsia="Arial" w:hAnsi="Arial"/>
                  <w:sz w:val="14"/>
                  <w:szCs w:val="14"/>
                  <w:color w:val="0000FF"/>
                </w:rPr>
                <w:t>Funding, Inc., as administrative agent, collateral agent and L/C issuer</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87"/>
              </w:rPr>
              <w:t>10.2</w:t>
            </w:r>
          </w:p>
        </w:tc>
        <w:tc>
          <w:tcPr>
            <w:tcW w:w="5820" w:type="dxa"/>
            <w:vAlign w:val="bottom"/>
            <w:gridSpan w:val="23"/>
          </w:tcPr>
          <w:p>
            <w:pPr>
              <w:spacing w:after="0"/>
              <w:rPr>
                <w:rFonts w:ascii="Arial" w:cs="Arial" w:eastAsia="Arial" w:hAnsi="Arial"/>
                <w:sz w:val="14"/>
                <w:szCs w:val="14"/>
                <w:color w:val="0000FF"/>
                <w:w w:val="93"/>
              </w:rPr>
            </w:pPr>
            <w:hyperlink w:anchor="page84">
              <w:r>
                <w:rPr>
                  <w:rFonts w:ascii="Arial" w:cs="Arial" w:eastAsia="Arial" w:hAnsi="Arial"/>
                  <w:sz w:val="14"/>
                  <w:szCs w:val="14"/>
                  <w:color w:val="0000FF"/>
                  <w:w w:val="93"/>
                </w:rPr>
                <w:t>Amendment No. 1 to the Reorganization Tax Receivable Agreement, dated August 20, 2021, by and</w:t>
              </w:r>
            </w:hyperlink>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520" w:type="dxa"/>
            <w:vAlign w:val="bottom"/>
            <w:tcBorders>
              <w:top w:val="single" w:sz="8" w:color="0000FF"/>
              <w:bottom w:val="single" w:sz="8" w:color="0000FF"/>
            </w:tcBorders>
            <w:gridSpan w:val="16"/>
          </w:tcPr>
          <w:p>
            <w:pPr>
              <w:spacing w:after="0" w:line="139" w:lineRule="exact"/>
              <w:rPr>
                <w:rFonts w:ascii="Arial" w:cs="Arial" w:eastAsia="Arial" w:hAnsi="Arial"/>
                <w:sz w:val="14"/>
                <w:szCs w:val="14"/>
                <w:color w:val="0000FF"/>
                <w:w w:val="91"/>
              </w:rPr>
            </w:pPr>
            <w:hyperlink w:anchor="page84">
              <w:r>
                <w:rPr>
                  <w:rFonts w:ascii="Arial" w:cs="Arial" w:eastAsia="Arial" w:hAnsi="Arial"/>
                  <w:sz w:val="14"/>
                  <w:szCs w:val="14"/>
                  <w:color w:val="0000FF"/>
                  <w:w w:val="91"/>
                </w:rPr>
                <w:t>among ZoomInfo Technologies Inc. and each of the other persons from time to time party thereto</w:t>
              </w:r>
            </w:hyperlink>
          </w:p>
        </w:tc>
        <w:tc>
          <w:tcPr>
            <w:tcW w:w="140" w:type="dxa"/>
            <w:vAlign w:val="bottom"/>
            <w:tcBorders>
              <w:top w:val="single" w:sz="8" w:color="0000FF"/>
            </w:tcBorders>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87"/>
              </w:rPr>
              <w:t>10.3</w:t>
            </w:r>
          </w:p>
        </w:tc>
        <w:tc>
          <w:tcPr>
            <w:tcW w:w="5820" w:type="dxa"/>
            <w:vAlign w:val="bottom"/>
            <w:gridSpan w:val="23"/>
          </w:tcPr>
          <w:p>
            <w:pPr>
              <w:spacing w:after="0"/>
              <w:rPr>
                <w:rFonts w:ascii="Arial" w:cs="Arial" w:eastAsia="Arial" w:hAnsi="Arial"/>
                <w:sz w:val="14"/>
                <w:szCs w:val="14"/>
                <w:color w:val="0000FF"/>
                <w:w w:val="98"/>
              </w:rPr>
            </w:pPr>
            <w:hyperlink w:anchor="page96">
              <w:r>
                <w:rPr>
                  <w:rFonts w:ascii="Arial" w:cs="Arial" w:eastAsia="Arial" w:hAnsi="Arial"/>
                  <w:sz w:val="14"/>
                  <w:szCs w:val="14"/>
                  <w:color w:val="0000FF"/>
                  <w:w w:val="98"/>
                </w:rPr>
                <w:t>Amendment No. 1 to the Exchange Tax Receivable Agreement, dated August 20, 2021, by and</w:t>
              </w:r>
            </w:hyperlink>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00" w:type="dxa"/>
            <w:vAlign w:val="bottom"/>
          </w:tcPr>
          <w:p>
            <w:pPr>
              <w:spacing w:after="0"/>
              <w:rPr>
                <w:sz w:val="12"/>
                <w:szCs w:val="12"/>
                <w:color w:val="auto"/>
              </w:rPr>
            </w:pPr>
          </w:p>
        </w:tc>
        <w:tc>
          <w:tcPr>
            <w:tcW w:w="5520" w:type="dxa"/>
            <w:vAlign w:val="bottom"/>
            <w:tcBorders>
              <w:bottom w:val="single" w:sz="8" w:color="0000FF"/>
            </w:tcBorders>
            <w:gridSpan w:val="16"/>
          </w:tcPr>
          <w:p>
            <w:pPr>
              <w:spacing w:after="0" w:line="139" w:lineRule="exact"/>
              <w:rPr>
                <w:rFonts w:ascii="Arial" w:cs="Arial" w:eastAsia="Arial" w:hAnsi="Arial"/>
                <w:sz w:val="14"/>
                <w:szCs w:val="14"/>
                <w:color w:val="0000FF"/>
                <w:w w:val="91"/>
              </w:rPr>
            </w:pPr>
            <w:hyperlink w:anchor="page96">
              <w:r>
                <w:rPr>
                  <w:rFonts w:ascii="Arial" w:cs="Arial" w:eastAsia="Arial" w:hAnsi="Arial"/>
                  <w:sz w:val="14"/>
                  <w:szCs w:val="14"/>
                  <w:color w:val="0000FF"/>
                  <w:w w:val="91"/>
                </w:rPr>
                <w:t>among ZoomInfo Technologies Inc. and each of the other persons from time to time party thereto</w:t>
              </w:r>
            </w:hyperlink>
          </w:p>
        </w:tc>
        <w:tc>
          <w:tcPr>
            <w:tcW w:w="300" w:type="dxa"/>
            <w:vAlign w:val="bottom"/>
            <w:gridSpan w:val="7"/>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90"/>
              </w:rPr>
              <w:t>+31.1</w:t>
            </w:r>
          </w:p>
        </w:tc>
        <w:tc>
          <w:tcPr>
            <w:tcW w:w="5820" w:type="dxa"/>
            <w:vAlign w:val="bottom"/>
            <w:gridSpan w:val="23"/>
          </w:tcPr>
          <w:p>
            <w:pPr>
              <w:spacing w:after="0"/>
              <w:rPr>
                <w:rFonts w:ascii="Arial" w:cs="Arial" w:eastAsia="Arial" w:hAnsi="Arial"/>
                <w:sz w:val="14"/>
                <w:szCs w:val="14"/>
                <w:color w:val="0000FF"/>
                <w:w w:val="99"/>
              </w:rPr>
            </w:pPr>
            <w:hyperlink w:anchor="page108">
              <w:r>
                <w:rPr>
                  <w:rFonts w:ascii="Arial" w:cs="Arial" w:eastAsia="Arial" w:hAnsi="Arial"/>
                  <w:sz w:val="14"/>
                  <w:szCs w:val="14"/>
                  <w:color w:val="0000FF"/>
                  <w:w w:val="99"/>
                </w:rPr>
                <w:t>Certification of Principal Executive Officer pursuant to Exchange Act Rules 13a-14(a) and 15d-</w:t>
              </w:r>
            </w:hyperlink>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420" w:type="dxa"/>
            <w:vAlign w:val="bottom"/>
            <w:tcBorders>
              <w:top w:val="single" w:sz="8" w:color="0000FF"/>
            </w:tcBorders>
            <w:gridSpan w:val="12"/>
          </w:tcPr>
          <w:p>
            <w:pPr>
              <w:spacing w:after="0" w:line="139" w:lineRule="exact"/>
              <w:rPr>
                <w:rFonts w:ascii="Arial" w:cs="Arial" w:eastAsia="Arial" w:hAnsi="Arial"/>
                <w:sz w:val="14"/>
                <w:szCs w:val="14"/>
                <w:color w:val="0000FF"/>
              </w:rPr>
            </w:pPr>
            <w:hyperlink w:anchor="page108">
              <w:r>
                <w:rPr>
                  <w:rFonts w:ascii="Arial" w:cs="Arial" w:eastAsia="Arial" w:hAnsi="Arial"/>
                  <w:sz w:val="14"/>
                  <w:szCs w:val="14"/>
                  <w:color w:val="0000FF"/>
                </w:rPr>
                <w:t>14(a), as adopted pursuant to Section 302 of the Sarbanes-Oxley Act of 2002.</w:t>
              </w:r>
            </w:hyperlink>
          </w:p>
        </w:tc>
        <w:tc>
          <w:tcPr>
            <w:tcW w:w="140" w:type="dxa"/>
            <w:vAlign w:val="bottom"/>
            <w:gridSpan w:val="5"/>
          </w:tcPr>
          <w:p>
            <w:pPr>
              <w:spacing w:after="0"/>
              <w:rPr>
                <w:sz w:val="12"/>
                <w:szCs w:val="12"/>
                <w:color w:val="auto"/>
              </w:rPr>
            </w:pPr>
          </w:p>
        </w:tc>
        <w:tc>
          <w:tcPr>
            <w:tcW w:w="16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90"/>
              </w:rPr>
              <w:t>+31.2</w:t>
            </w:r>
          </w:p>
        </w:tc>
        <w:tc>
          <w:tcPr>
            <w:tcW w:w="5820" w:type="dxa"/>
            <w:vAlign w:val="bottom"/>
            <w:gridSpan w:val="23"/>
          </w:tcPr>
          <w:p>
            <w:pPr>
              <w:spacing w:after="0"/>
              <w:rPr>
                <w:rFonts w:ascii="Arial" w:cs="Arial" w:eastAsia="Arial" w:hAnsi="Arial"/>
                <w:sz w:val="14"/>
                <w:szCs w:val="14"/>
                <w:color w:val="0000FF"/>
                <w:w w:val="94"/>
              </w:rPr>
            </w:pPr>
            <w:hyperlink w:anchor="page110">
              <w:r>
                <w:rPr>
                  <w:rFonts w:ascii="Arial" w:cs="Arial" w:eastAsia="Arial" w:hAnsi="Arial"/>
                  <w:sz w:val="14"/>
                  <w:szCs w:val="14"/>
                  <w:color w:val="0000FF"/>
                  <w:w w:val="94"/>
                </w:rPr>
                <w:t>Certification of Principal Financial Officer pursuant to Exchange Act Rules 13a-14(a) and 15d-14(a),</w:t>
              </w:r>
            </w:hyperlink>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5"/>
          </w:tcPr>
          <w:p>
            <w:pPr>
              <w:spacing w:after="0" w:line="139" w:lineRule="exact"/>
              <w:rPr>
                <w:rFonts w:ascii="Arial" w:cs="Arial" w:eastAsia="Arial" w:hAnsi="Arial"/>
                <w:sz w:val="14"/>
                <w:szCs w:val="14"/>
                <w:color w:val="0000FF"/>
                <w:w w:val="90"/>
              </w:rPr>
            </w:pPr>
            <w:hyperlink w:anchor="page110">
              <w:r>
                <w:rPr>
                  <w:rFonts w:ascii="Arial" w:cs="Arial" w:eastAsia="Arial" w:hAnsi="Arial"/>
                  <w:sz w:val="14"/>
                  <w:szCs w:val="14"/>
                  <w:color w:val="0000FF"/>
                  <w:w w:val="90"/>
                </w:rPr>
                <w:t>as adopted pursuant to Section 302 of the Sarbanes-Oxley Act of 2002.</w:t>
              </w:r>
            </w:hyperlink>
          </w:p>
        </w:tc>
        <w:tc>
          <w:tcPr>
            <w:tcW w:w="1700" w:type="dxa"/>
            <w:vAlign w:val="bottom"/>
            <w:tcBorders>
              <w:top w:val="single" w:sz="8" w:color="0000FF"/>
            </w:tcBorders>
            <w:gridSpan w:val="17"/>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97"/>
              </w:rPr>
              <w:t>+32.1*</w:t>
            </w:r>
          </w:p>
        </w:tc>
        <w:tc>
          <w:tcPr>
            <w:tcW w:w="5820" w:type="dxa"/>
            <w:vAlign w:val="bottom"/>
            <w:gridSpan w:val="23"/>
          </w:tcPr>
          <w:p>
            <w:pPr>
              <w:spacing w:after="0"/>
              <w:rPr>
                <w:rFonts w:ascii="Arial" w:cs="Arial" w:eastAsia="Arial" w:hAnsi="Arial"/>
                <w:sz w:val="14"/>
                <w:szCs w:val="14"/>
                <w:color w:val="0000FF"/>
                <w:w w:val="97"/>
              </w:rPr>
            </w:pPr>
            <w:hyperlink w:anchor="page112">
              <w:r>
                <w:rPr>
                  <w:rFonts w:ascii="Arial" w:cs="Arial" w:eastAsia="Arial" w:hAnsi="Arial"/>
                  <w:sz w:val="14"/>
                  <w:szCs w:val="14"/>
                  <w:color w:val="0000FF"/>
                  <w:w w:val="97"/>
                </w:rPr>
                <w:t>Certifications of Principal Executive Officer and Principal Financial Officer pursuant to 18 U.S.C.</w:t>
              </w:r>
            </w:hyperlink>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w w:val="90"/>
              </w:rPr>
            </w:pPr>
            <w:hyperlink w:anchor="page112">
              <w:r>
                <w:rPr>
                  <w:rFonts w:ascii="Arial" w:cs="Arial" w:eastAsia="Arial" w:hAnsi="Arial"/>
                  <w:sz w:val="14"/>
                  <w:szCs w:val="14"/>
                  <w:color w:val="0000FF"/>
                  <w:w w:val="90"/>
                </w:rPr>
                <w:t>Section 1350, as adopted pursuant to Section 906 of the Sarbanes-Oxley Act of 2002.</w:t>
              </w:r>
            </w:hyperlink>
          </w:p>
        </w:tc>
        <w:tc>
          <w:tcPr>
            <w:tcW w:w="720" w:type="dxa"/>
            <w:vAlign w:val="bottom"/>
            <w:tcBorders>
              <w:top w:val="single" w:sz="8" w:color="0000FF"/>
            </w:tcBorders>
            <w:gridSpan w:val="9"/>
          </w:tcPr>
          <w:p>
            <w:pPr>
              <w:spacing w:after="0"/>
              <w:rPr>
                <w:sz w:val="12"/>
                <w:szCs w:val="12"/>
                <w:color w:val="auto"/>
              </w:rPr>
            </w:pPr>
          </w:p>
        </w:tc>
        <w:tc>
          <w:tcPr>
            <w:tcW w:w="260" w:type="dxa"/>
            <w:vAlign w:val="bottom"/>
            <w:gridSpan w:val="6"/>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95"/>
              </w:rPr>
              <w:t>+101.INS</w:t>
            </w:r>
          </w:p>
        </w:tc>
        <w:tc>
          <w:tcPr>
            <w:tcW w:w="5820" w:type="dxa"/>
            <w:vAlign w:val="bottom"/>
            <w:gridSpan w:val="23"/>
          </w:tcPr>
          <w:p>
            <w:pPr>
              <w:spacing w:after="0"/>
              <w:rPr>
                <w:sz w:val="20"/>
                <w:szCs w:val="20"/>
                <w:color w:val="auto"/>
              </w:rPr>
            </w:pPr>
            <w:r>
              <w:rPr>
                <w:rFonts w:ascii="Arial" w:cs="Arial" w:eastAsia="Arial" w:hAnsi="Arial"/>
                <w:sz w:val="14"/>
                <w:szCs w:val="14"/>
                <w:color w:val="auto"/>
              </w:rPr>
              <w:t>Inline XBRL Instance Document</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92"/>
              </w:rPr>
              <w:t>+101.SCH</w:t>
            </w:r>
          </w:p>
        </w:tc>
        <w:tc>
          <w:tcPr>
            <w:tcW w:w="5820" w:type="dxa"/>
            <w:vAlign w:val="bottom"/>
            <w:gridSpan w:val="23"/>
          </w:tcPr>
          <w:p>
            <w:pPr>
              <w:spacing w:after="0"/>
              <w:rPr>
                <w:sz w:val="20"/>
                <w:szCs w:val="20"/>
                <w:color w:val="auto"/>
              </w:rPr>
            </w:pPr>
            <w:r>
              <w:rPr>
                <w:rFonts w:ascii="Arial" w:cs="Arial" w:eastAsia="Arial" w:hAnsi="Arial"/>
                <w:sz w:val="14"/>
                <w:szCs w:val="14"/>
                <w:color w:val="auto"/>
              </w:rPr>
              <w:t>Inline XBRL Taxonomy Extension Schema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95"/>
              </w:rPr>
              <w:t>+101.CAL</w:t>
            </w:r>
          </w:p>
        </w:tc>
        <w:tc>
          <w:tcPr>
            <w:tcW w:w="5820" w:type="dxa"/>
            <w:vAlign w:val="bottom"/>
            <w:gridSpan w:val="23"/>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94"/>
              </w:rPr>
              <w:t>+101.DEF</w:t>
            </w:r>
          </w:p>
        </w:tc>
        <w:tc>
          <w:tcPr>
            <w:tcW w:w="5820" w:type="dxa"/>
            <w:vAlign w:val="bottom"/>
            <w:gridSpan w:val="23"/>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88"/>
              <w:spacing w:after="0"/>
              <w:rPr>
                <w:sz w:val="20"/>
                <w:szCs w:val="20"/>
                <w:color w:val="auto"/>
              </w:rPr>
            </w:pPr>
            <w:r>
              <w:rPr>
                <w:rFonts w:ascii="Arial" w:cs="Arial" w:eastAsia="Arial" w:hAnsi="Arial"/>
                <w:sz w:val="14"/>
                <w:szCs w:val="14"/>
                <w:color w:val="auto"/>
                <w:w w:val="96"/>
              </w:rPr>
              <w:t>+101.LAB</w:t>
            </w:r>
          </w:p>
        </w:tc>
        <w:tc>
          <w:tcPr>
            <w:tcW w:w="5820" w:type="dxa"/>
            <w:vAlign w:val="bottom"/>
            <w:gridSpan w:val="23"/>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108"/>
              <w:spacing w:after="0"/>
              <w:rPr>
                <w:sz w:val="20"/>
                <w:szCs w:val="20"/>
                <w:color w:val="auto"/>
              </w:rPr>
            </w:pPr>
            <w:r>
              <w:rPr>
                <w:rFonts w:ascii="Arial" w:cs="Arial" w:eastAsia="Arial" w:hAnsi="Arial"/>
                <w:sz w:val="14"/>
                <w:szCs w:val="14"/>
                <w:color w:val="auto"/>
                <w:w w:val="90"/>
              </w:rPr>
              <w:t>+101.PRE</w:t>
            </w:r>
          </w:p>
        </w:tc>
        <w:tc>
          <w:tcPr>
            <w:tcW w:w="5820" w:type="dxa"/>
            <w:vAlign w:val="bottom"/>
            <w:gridSpan w:val="23"/>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60" w:hanging="590"/>
        <w:spacing w:after="0"/>
        <w:tabs>
          <w:tab w:leader="none" w:pos="9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76" w:lineRule="exact"/>
        <w:rPr>
          <w:rFonts w:ascii="Arial" w:cs="Arial" w:eastAsia="Arial" w:hAnsi="Arial"/>
          <w:sz w:val="14"/>
          <w:szCs w:val="14"/>
          <w:color w:val="auto"/>
        </w:rPr>
      </w:pPr>
    </w:p>
    <w:p>
      <w:pPr>
        <w:ind w:left="120" w:hanging="114"/>
        <w:spacing w:after="0"/>
        <w:tabs>
          <w:tab w:leader="none" w:pos="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57" w:lineRule="exact"/>
        <w:rPr>
          <w:sz w:val="20"/>
          <w:szCs w:val="20"/>
          <w:color w:val="auto"/>
        </w:rPr>
      </w:pPr>
    </w:p>
    <w:p>
      <w:pPr>
        <w:jc w:val="both"/>
        <w:ind w:firstLine="6"/>
        <w:spacing w:after="0" w:line="251" w:lineRule="auto"/>
        <w:tabs>
          <w:tab w:leader="none" w:pos="111"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ZOOMINFO TECHNOLOGIES INC.</w:t>
      </w:r>
    </w:p>
    <w:p>
      <w:pPr>
        <w:spacing w:after="0" w:line="257" w:lineRule="exact"/>
        <w:rPr>
          <w:sz w:val="20"/>
          <w:szCs w:val="20"/>
          <w:color w:val="auto"/>
        </w:rPr>
      </w:pPr>
    </w:p>
    <w:p>
      <w:pPr>
        <w:ind w:left="724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27940</wp:posOffset>
            </wp:positionV>
            <wp:extent cx="23723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51"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Name: P. Cameron Hyzer</w:t>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Title: Chief Financial Officer</w:t>
      </w:r>
    </w:p>
    <w:p>
      <w:pPr>
        <w:spacing w:after="0" w:line="2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(Principal Financial Officer and Authorized</w:t>
      </w:r>
    </w:p>
    <w:p>
      <w:pPr>
        <w:ind w:left="7520"/>
        <w:spacing w:after="0"/>
        <w:rPr>
          <w:sz w:val="20"/>
          <w:szCs w:val="20"/>
          <w:color w:val="auto"/>
        </w:rPr>
      </w:pPr>
      <w:r>
        <w:rPr>
          <w:rFonts w:ascii="Arial" w:cs="Arial" w:eastAsia="Arial" w:hAnsi="Arial"/>
          <w:sz w:val="18"/>
          <w:szCs w:val="18"/>
          <w:color w:val="auto"/>
        </w:rPr>
        <w:t>Signatory)</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November 01,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AMENDMENT NO. 1 TO THE TAX RECEIVABLE AGREEMENT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(REORGANIZATION)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August 20, 2021</w:t>
      </w:r>
    </w:p>
    <w:p>
      <w:pPr>
        <w:spacing w:after="0" w:line="222" w:lineRule="exact"/>
        <w:rPr>
          <w:sz w:val="20"/>
          <w:szCs w:val="20"/>
          <w:color w:val="auto"/>
        </w:rPr>
      </w:pPr>
    </w:p>
    <w:p>
      <w:pPr>
        <w:ind w:right="260" w:firstLine="636"/>
        <w:spacing w:after="0" w:line="261" w:lineRule="auto"/>
        <w:rPr>
          <w:sz w:val="20"/>
          <w:szCs w:val="20"/>
          <w:color w:val="auto"/>
        </w:rPr>
      </w:pPr>
      <w:r>
        <w:rPr>
          <w:rFonts w:ascii="Arial" w:cs="Arial" w:eastAsia="Arial" w:hAnsi="Arial"/>
          <w:sz w:val="21"/>
          <w:szCs w:val="21"/>
          <w:b w:val="1"/>
          <w:bCs w:val="1"/>
          <w:color w:val="auto"/>
        </w:rPr>
        <w:t xml:space="preserve">THIS AMENDMENT NO. 1 </w:t>
      </w:r>
      <w:r>
        <w:rPr>
          <w:rFonts w:ascii="Arial" w:cs="Arial" w:eastAsia="Arial" w:hAnsi="Arial"/>
          <w:sz w:val="21"/>
          <w:szCs w:val="21"/>
          <w:color w:val="auto"/>
        </w:rPr>
        <w:t>(this “</w:t>
      </w:r>
      <w:r>
        <w:rPr>
          <w:rFonts w:ascii="Arial" w:cs="Arial" w:eastAsia="Arial" w:hAnsi="Arial"/>
          <w:sz w:val="21"/>
          <w:szCs w:val="21"/>
          <w:b w:val="1"/>
          <w:bCs w:val="1"/>
          <w:color w:val="auto"/>
        </w:rPr>
        <w:t>Amendment</w:t>
      </w:r>
      <w:r>
        <w:rPr>
          <w:rFonts w:ascii="Arial" w:cs="Arial" w:eastAsia="Arial" w:hAnsi="Arial"/>
          <w:sz w:val="21"/>
          <w:szCs w:val="21"/>
          <w:color w:val="auto"/>
        </w:rPr>
        <w:t>”) to the Tax Receivable Agreement (Reorganization) (as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restated or otherwise modified from time to time, the “</w:t>
      </w:r>
      <w:r>
        <w:rPr>
          <w:rFonts w:ascii="Arial" w:cs="Arial" w:eastAsia="Arial" w:hAnsi="Arial"/>
          <w:sz w:val="21"/>
          <w:szCs w:val="21"/>
          <w:b w:val="1"/>
          <w:bCs w:val="1"/>
          <w:color w:val="auto"/>
        </w:rPr>
        <w:t>TRA</w:t>
      </w:r>
      <w:r>
        <w:rPr>
          <w:rFonts w:ascii="Arial" w:cs="Arial" w:eastAsia="Arial" w:hAnsi="Arial"/>
          <w:sz w:val="21"/>
          <w:szCs w:val="21"/>
          <w:color w:val="auto"/>
        </w:rPr>
        <w:t>”), dated as of June 3, 2020, is adopted, executed and entered into by ZoomInfo Technologies Inc. (“</w:t>
      </w:r>
      <w:r>
        <w:rPr>
          <w:rFonts w:ascii="Arial" w:cs="Arial" w:eastAsia="Arial" w:hAnsi="Arial"/>
          <w:sz w:val="21"/>
          <w:szCs w:val="21"/>
          <w:b w:val="1"/>
          <w:bCs w:val="1"/>
          <w:color w:val="auto"/>
        </w:rPr>
        <w:t>PubCo</w:t>
      </w:r>
      <w:r>
        <w:rPr>
          <w:rFonts w:ascii="Arial" w:cs="Arial" w:eastAsia="Arial" w:hAnsi="Arial"/>
          <w:sz w:val="21"/>
          <w:szCs w:val="21"/>
          <w:color w:val="auto"/>
        </w:rPr>
        <w:t>”) and the other thereto. Capitalized terms used but not otherwise defined herein shall have the meanings set forth in the TRA.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on June 3, 2020, the parties hereto entered into the TRA;</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Section 7.6(b) of the TRA provides that PubCo, with the consent of the other parties hereto, may amend the</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color w:val="auto"/>
        </w:rPr>
        <w:t>TRA;</w:t>
      </w:r>
    </w:p>
    <w:p>
      <w:pPr>
        <w:spacing w:after="0" w:line="198" w:lineRule="exact"/>
        <w:rPr>
          <w:sz w:val="20"/>
          <w:szCs w:val="20"/>
          <w:color w:val="auto"/>
        </w:rPr>
      </w:pPr>
    </w:p>
    <w:p>
      <w:pPr>
        <w:ind w:right="420" w:firstLine="636"/>
        <w:spacing w:after="0" w:line="28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PubCo and the other parties hereto desire to amend the TRA on the terms and subject to the conditions set</w:t>
      </w:r>
      <w:r>
        <w:rPr>
          <w:rFonts w:ascii="Arial" w:cs="Arial" w:eastAsia="Arial" w:hAnsi="Arial"/>
          <w:sz w:val="21"/>
          <w:szCs w:val="21"/>
          <w:b w:val="1"/>
          <w:bCs w:val="1"/>
          <w:color w:val="auto"/>
        </w:rPr>
        <w:t xml:space="preserve"> </w:t>
      </w:r>
      <w:r>
        <w:rPr>
          <w:rFonts w:ascii="Arial" w:cs="Arial" w:eastAsia="Arial" w:hAnsi="Arial"/>
          <w:sz w:val="21"/>
          <w:szCs w:val="21"/>
          <w:color w:val="auto"/>
        </w:rPr>
        <w:t>forth herein.</w:t>
      </w:r>
    </w:p>
    <w:p>
      <w:pPr>
        <w:spacing w:after="0" w:line="142" w:lineRule="exact"/>
        <w:rPr>
          <w:sz w:val="20"/>
          <w:szCs w:val="20"/>
          <w:color w:val="auto"/>
        </w:rPr>
      </w:pPr>
    </w:p>
    <w:p>
      <w:pPr>
        <w:ind w:right="520" w:firstLine="636"/>
        <w:spacing w:after="0" w:line="267"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contained herein and in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hereto, intending to be legally bound, hereby agrees as follows:</w:t>
      </w:r>
    </w:p>
    <w:p>
      <w:pPr>
        <w:spacing w:after="0" w:line="167" w:lineRule="exact"/>
        <w:rPr>
          <w:sz w:val="20"/>
          <w:szCs w:val="20"/>
          <w:color w:val="auto"/>
        </w:rPr>
      </w:pPr>
    </w:p>
    <w:p>
      <w:pPr>
        <w:ind w:left="640" w:hanging="634"/>
        <w:spacing w:after="0"/>
        <w:tabs>
          <w:tab w:leader="none" w:pos="6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Amendments to the TRA</w:t>
      </w:r>
    </w:p>
    <w:p>
      <w:pPr>
        <w:spacing w:after="0" w:line="222" w:lineRule="exact"/>
        <w:rPr>
          <w:sz w:val="20"/>
          <w:szCs w:val="20"/>
          <w:color w:val="auto"/>
        </w:rPr>
      </w:pPr>
    </w:p>
    <w:p>
      <w:pPr>
        <w:ind w:left="1280" w:hanging="638"/>
        <w:spacing w:after="0"/>
        <w:tabs>
          <w:tab w:leader="none" w:pos="1280"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The first sentence of the TRA is hereby deleted in its entirety and replace with the following:</w:t>
      </w:r>
    </w:p>
    <w:p>
      <w:pPr>
        <w:spacing w:after="0" w:line="216" w:lineRule="exact"/>
        <w:rPr>
          <w:sz w:val="20"/>
          <w:szCs w:val="20"/>
          <w:color w:val="auto"/>
        </w:rPr>
      </w:pPr>
    </w:p>
    <w:p>
      <w:pPr>
        <w:ind w:left="640" w:right="320"/>
        <w:spacing w:after="0" w:line="259"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TAX RECEIVABLE AGREEMENT</w:t>
      </w:r>
      <w:r>
        <w:rPr>
          <w:rFonts w:ascii="Arial" w:cs="Arial" w:eastAsia="Arial" w:hAnsi="Arial"/>
          <w:sz w:val="21"/>
          <w:szCs w:val="21"/>
          <w:color w:val="auto"/>
        </w:rPr>
        <w:t xml:space="preserve">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is dated as of June 3, 2020, and is between ZoomInfo Technologies Inc., a Delaware corporation, ZoomInfo Intermediate Holdings LLC, a Delaware limited liability company, each of the undersigned parties, and each of the other persons from time to time that becomes a party hereto (each, excluding ZoomInfo Holdings LLC, a Delaware limited liability company (“</w:t>
      </w:r>
      <w:r>
        <w:rPr>
          <w:rFonts w:ascii="Arial" w:cs="Arial" w:eastAsia="Arial" w:hAnsi="Arial"/>
          <w:sz w:val="21"/>
          <w:szCs w:val="21"/>
          <w:b w:val="1"/>
          <w:bCs w:val="1"/>
          <w:u w:val="single" w:color="auto"/>
          <w:color w:val="auto"/>
        </w:rPr>
        <w:t>OpCo</w:t>
      </w:r>
      <w:r>
        <w:rPr>
          <w:rFonts w:ascii="Arial" w:cs="Arial" w:eastAsia="Arial" w:hAnsi="Arial"/>
          <w:sz w:val="21"/>
          <w:szCs w:val="21"/>
          <w:color w:val="auto"/>
        </w:rPr>
        <w:t>”), a “</w:t>
      </w:r>
      <w:r>
        <w:rPr>
          <w:rFonts w:ascii="Arial" w:cs="Arial" w:eastAsia="Arial" w:hAnsi="Arial"/>
          <w:sz w:val="21"/>
          <w:szCs w:val="21"/>
          <w:b w:val="1"/>
          <w:bCs w:val="1"/>
          <w:u w:val="single" w:color="auto"/>
          <w:color w:val="auto"/>
        </w:rPr>
        <w:t>TRA Party</w:t>
      </w:r>
      <w:r>
        <w:rPr>
          <w:rFonts w:ascii="Arial" w:cs="Arial" w:eastAsia="Arial" w:hAnsi="Arial"/>
          <w:sz w:val="21"/>
          <w:szCs w:val="21"/>
          <w:color w:val="auto"/>
        </w:rPr>
        <w:t>” and together the “</w:t>
      </w:r>
      <w:r>
        <w:rPr>
          <w:rFonts w:ascii="Arial" w:cs="Arial" w:eastAsia="Arial" w:hAnsi="Arial"/>
          <w:sz w:val="21"/>
          <w:szCs w:val="21"/>
          <w:b w:val="1"/>
          <w:bCs w:val="1"/>
          <w:u w:val="single" w:color="auto"/>
          <w:color w:val="auto"/>
        </w:rPr>
        <w:t>TRA Parties</w:t>
      </w:r>
      <w:r>
        <w:rPr>
          <w:rFonts w:ascii="Arial" w:cs="Arial" w:eastAsia="Arial" w:hAnsi="Arial"/>
          <w:sz w:val="21"/>
          <w:szCs w:val="21"/>
          <w:color w:val="auto"/>
        </w:rPr>
        <w:t>”).”</w:t>
      </w:r>
    </w:p>
    <w:p>
      <w:pPr>
        <w:spacing w:after="0" w:line="174" w:lineRule="exact"/>
        <w:rPr>
          <w:sz w:val="20"/>
          <w:szCs w:val="20"/>
          <w:color w:val="auto"/>
        </w:rPr>
      </w:pPr>
    </w:p>
    <w:p>
      <w:pPr>
        <w:ind w:left="1280" w:hanging="638"/>
        <w:spacing w:after="0"/>
        <w:tabs>
          <w:tab w:leader="none" w:pos="1280"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The definition of “Corporate Taxpayer” is hereby deleted in its entirety and replaced with the following:</w:t>
      </w:r>
    </w:p>
    <w:p>
      <w:pPr>
        <w:spacing w:after="0" w:line="216" w:lineRule="exact"/>
        <w:rPr>
          <w:sz w:val="20"/>
          <w:szCs w:val="20"/>
          <w:color w:val="auto"/>
        </w:rPr>
      </w:pPr>
    </w:p>
    <w:p>
      <w:pPr>
        <w:ind w:left="640" w:right="48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Corporate Taxpayer</w:t>
      </w:r>
      <w:r>
        <w:rPr>
          <w:rFonts w:ascii="Arial" w:cs="Arial" w:eastAsia="Arial" w:hAnsi="Arial"/>
          <w:sz w:val="21"/>
          <w:szCs w:val="21"/>
          <w:color w:val="auto"/>
        </w:rPr>
        <w:t>” means ZoomInfo Technologies Inc. and any successor corporation and shall include ZoomInfo Intermediate Holdings LLC and any company that is a member of any consolidated Tax Return of which ZoomInfo Technologies Inc. or ZoomInfo Intermediate Holdings LLC is a member.</w:t>
      </w:r>
    </w:p>
    <w:p>
      <w:pPr>
        <w:spacing w:after="0" w:line="167" w:lineRule="exact"/>
        <w:rPr>
          <w:sz w:val="20"/>
          <w:szCs w:val="20"/>
          <w:color w:val="auto"/>
        </w:rPr>
      </w:pPr>
    </w:p>
    <w:p>
      <w:pPr>
        <w:ind w:left="1280" w:hanging="638"/>
        <w:spacing w:after="0"/>
        <w:tabs>
          <w:tab w:leader="none" w:pos="1280"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A new definition for “RKSI Restructuring” is added as follows:</w:t>
      </w:r>
    </w:p>
    <w:p>
      <w:pPr>
        <w:sectPr>
          <w:pgSz w:w="11900" w:h="16838" w:orient="portrait"/>
          <w:cols w:equalWidth="0" w:num="1">
            <w:col w:w="11240"/>
          </w:cols>
          <w:pgMar w:left="320" w:top="127" w:right="339" w:bottom="1440" w:gutter="0" w:footer="0" w:header="0"/>
        </w:sectPr>
      </w:pPr>
    </w:p>
    <w:bookmarkStart w:id="84" w:name="page85"/>
    <w:bookmarkEnd w:id="84"/>
    <w:p>
      <w:pPr>
        <w:ind w:right="380"/>
        <w:spacing w:after="0" w:line="28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RKSI Restructuring</w:t>
      </w:r>
      <w:r>
        <w:rPr>
          <w:rFonts w:ascii="Arial" w:cs="Arial" w:eastAsia="Arial" w:hAnsi="Arial"/>
          <w:sz w:val="21"/>
          <w:szCs w:val="21"/>
          <w:color w:val="auto"/>
        </w:rPr>
        <w:t>” means the transactions set forth in the Master Reorganization Agreement dated as of August 20, 2021 between the Corporate Taxpayer and the other parties thereto.</w:t>
      </w:r>
    </w:p>
    <w:p>
      <w:pPr>
        <w:spacing w:after="0" w:line="148" w:lineRule="exact"/>
        <w:rPr>
          <w:sz w:val="20"/>
          <w:szCs w:val="20"/>
          <w:color w:val="auto"/>
        </w:rPr>
      </w:pPr>
    </w:p>
    <w:p>
      <w:pPr>
        <w:ind w:left="640" w:hanging="638"/>
        <w:spacing w:after="0"/>
        <w:tabs>
          <w:tab w:leader="none" w:pos="640" w:val="left"/>
        </w:tabs>
        <w:numPr>
          <w:ilvl w:val="0"/>
          <w:numId w:val="38"/>
        </w:numPr>
        <w:rPr>
          <w:rFonts w:ascii="Arial" w:cs="Arial" w:eastAsia="Arial" w:hAnsi="Arial"/>
          <w:sz w:val="21"/>
          <w:szCs w:val="21"/>
          <w:color w:val="auto"/>
        </w:rPr>
      </w:pPr>
      <w:r>
        <w:rPr>
          <w:rFonts w:ascii="Arial" w:cs="Arial" w:eastAsia="Arial" w:hAnsi="Arial"/>
          <w:sz w:val="21"/>
          <w:szCs w:val="21"/>
          <w:i w:val="1"/>
          <w:iCs w:val="1"/>
          <w:color w:val="auto"/>
        </w:rPr>
        <w:t>Section 2.2(b) of the TRA is hereby amended by adding a new Section 2.2(b)(ii) as follows:</w:t>
      </w:r>
    </w:p>
    <w:p>
      <w:pPr>
        <w:spacing w:after="0" w:line="222" w:lineRule="exact"/>
        <w:rPr>
          <w:sz w:val="20"/>
          <w:szCs w:val="20"/>
          <w:color w:val="auto"/>
        </w:rPr>
      </w:pPr>
    </w:p>
    <w:p>
      <w:pPr>
        <w:ind w:right="60" w:firstLine="636"/>
        <w:spacing w:after="0" w:line="256" w:lineRule="auto"/>
        <w:rPr>
          <w:sz w:val="20"/>
          <w:szCs w:val="20"/>
          <w:color w:val="auto"/>
        </w:rPr>
      </w:pPr>
      <w:r>
        <w:rPr>
          <w:rFonts w:ascii="Arial" w:cs="Arial" w:eastAsia="Arial" w:hAnsi="Arial"/>
          <w:sz w:val="21"/>
          <w:szCs w:val="21"/>
          <w:color w:val="auto"/>
        </w:rPr>
        <w:t>“(ii) Notwithstanding anything in this Agreement to the contrary, the amount of any Blocker Transferred Basis or Pre-Merger NOLs attributable to any TRA Party (and the “with and without” methodology for calculations contemplated by this Agreement) shall not be adversely affected to the extent any entity treated as the Corporate Taxpayer transfers Units to another entity treated as the Corporate Taxpayer in a transaction that is tax-free for United States federal income tax purposes or otherwise as a result of the RKSI Restructuring, and the provisions of this Agreement shall be construed accordingly.”</w:t>
      </w:r>
    </w:p>
    <w:p>
      <w:pPr>
        <w:spacing w:after="0" w:line="177" w:lineRule="exact"/>
        <w:rPr>
          <w:sz w:val="20"/>
          <w:szCs w:val="20"/>
          <w:color w:val="auto"/>
        </w:rPr>
      </w:pPr>
    </w:p>
    <w:p>
      <w:pPr>
        <w:ind w:left="640" w:hanging="638"/>
        <w:spacing w:after="0"/>
        <w:tabs>
          <w:tab w:leader="none" w:pos="640"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Section 7.11(b) of the TRA is hereby deleted in its entirety and replaced with the following:</w:t>
      </w:r>
    </w:p>
    <w:p>
      <w:pPr>
        <w:spacing w:after="0" w:line="222" w:lineRule="exact"/>
        <w:rPr>
          <w:rFonts w:ascii="Arial" w:cs="Arial" w:eastAsia="Arial" w:hAnsi="Arial"/>
          <w:sz w:val="21"/>
          <w:szCs w:val="21"/>
          <w:color w:val="auto"/>
        </w:rPr>
      </w:pPr>
    </w:p>
    <w:p>
      <w:pPr>
        <w:ind w:firstLine="638"/>
        <w:spacing w:after="0" w:line="279" w:lineRule="auto"/>
        <w:tabs>
          <w:tab w:leader="none" w:pos="1095"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the Corporate Taxpayer (or any member of a group described in Section 7.11(a)) transfers or is deemed to transfer any Unit or any Reference Asset to a transferee that is treated as a corporation for United States federal income tax purposes (other than the Corporate Taxpayer or a member of a group described in Section 7.11(a)) in a transaction in which the transferee’s basis in the property acquired is determined in whole or in part by reference to such transferor’s basis in such property, then the Corporate Taxpayer shall cause such transferee to assume the obligation to make payments hereunder with respect to the applicable Tax Attributes associated with any Reference Asset or interest therein acquired (directly or indirectly) in such transfer (taking into account any gain recognized in the transaction) in a manner consistent with the terms of this Agreement as the transferee (or one of its Affiliates) actually realizes Tax benefits from the Tax Attributes. If OpCo transfers (or is deemed to transfer for United States federal income tax purposes) any Reference Asset to a transferee that is treated as a corporation for United States federal income tax purposes (other than the Corporate Taxpayer or a member of a group described in Section 7.11(a)) in a transaction in which the transferee’s basis in the property acquired is determined in whole or in part by reference to such transferor’s basis in such property, OpCo shall be treated as having disposed of the Reference Asset in a wholly taxable transaction. The consideration deemed to be received by OpCo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If any member of a group described in Section 7.11(a) that owns any Unit deconsolidates from the group (or the Corporate Taxpayer deconsolidates from the group), then the Corporate Taxpayer shall cause such member (or the parent of the consolidated group in a case where the Corporate Taxpayer deconsolidates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00"/>
          </w:cols>
          <w:pgMar w:left="960" w:top="1397" w:right="339" w:bottom="1440" w:gutter="0" w:footer="0" w:header="0"/>
        </w:sectPr>
      </w:pPr>
    </w:p>
    <w:bookmarkStart w:id="85" w:name="page86"/>
    <w:bookmarkEnd w:id="85"/>
    <w:p>
      <w:pPr>
        <w:ind w:left="640" w:right="160"/>
        <w:spacing w:after="0" w:line="257" w:lineRule="auto"/>
        <w:rPr>
          <w:sz w:val="20"/>
          <w:szCs w:val="20"/>
          <w:color w:val="auto"/>
        </w:rPr>
      </w:pPr>
      <w:r>
        <w:rPr>
          <w:rFonts w:ascii="Arial" w:cs="Arial" w:eastAsia="Arial" w:hAnsi="Arial"/>
          <w:sz w:val="21"/>
          <w:szCs w:val="21"/>
          <w:color w:val="auto"/>
        </w:rPr>
        <w:t>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 make payments hereunder pursuant to either of the foregoing sentences, then the initial obligor is relieved of the obligation assumed.</w:t>
      </w:r>
    </w:p>
    <w:p>
      <w:pPr>
        <w:spacing w:after="0" w:line="178" w:lineRule="exact"/>
        <w:rPr>
          <w:sz w:val="20"/>
          <w:szCs w:val="20"/>
          <w:color w:val="auto"/>
        </w:rPr>
      </w:pPr>
    </w:p>
    <w:p>
      <w:pPr>
        <w:ind w:left="640" w:hanging="634"/>
        <w:spacing w:after="0"/>
        <w:tabs>
          <w:tab w:leader="none" w:pos="6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Miscellaneous.</w:t>
      </w:r>
    </w:p>
    <w:p>
      <w:pPr>
        <w:spacing w:after="0" w:line="222" w:lineRule="exact"/>
        <w:rPr>
          <w:rFonts w:ascii="Arial" w:cs="Arial" w:eastAsia="Arial" w:hAnsi="Arial"/>
          <w:sz w:val="21"/>
          <w:szCs w:val="21"/>
          <w:color w:val="auto"/>
        </w:rPr>
      </w:pPr>
    </w:p>
    <w:p>
      <w:pPr>
        <w:ind w:right="20" w:firstLine="642"/>
        <w:spacing w:after="0" w:line="305" w:lineRule="auto"/>
        <w:tabs>
          <w:tab w:leader="none" w:pos="1269" w:val="left"/>
        </w:tabs>
        <w:numPr>
          <w:ilvl w:val="1"/>
          <w:numId w:val="40"/>
        </w:numPr>
        <w:rPr>
          <w:rFonts w:ascii="Arial" w:cs="Arial" w:eastAsia="Arial" w:hAnsi="Arial"/>
          <w:sz w:val="20"/>
          <w:szCs w:val="20"/>
          <w:color w:val="auto"/>
        </w:rPr>
      </w:pPr>
      <w:r>
        <w:rPr>
          <w:rFonts w:ascii="Arial" w:cs="Arial" w:eastAsia="Arial" w:hAnsi="Arial"/>
          <w:sz w:val="20"/>
          <w:szCs w:val="20"/>
          <w:i w:val="1"/>
          <w:iCs w:val="1"/>
          <w:color w:val="auto"/>
        </w:rPr>
        <w:t xml:space="preserve">Headings. </w:t>
      </w:r>
      <w:r>
        <w:rPr>
          <w:rFonts w:ascii="Arial" w:cs="Arial" w:eastAsia="Arial" w:hAnsi="Arial"/>
          <w:sz w:val="20"/>
          <w:szCs w:val="20"/>
          <w:color w:val="auto"/>
        </w:rPr>
        <w:t>Section and subsection headings in this Amendment are included herein for convenience of reference only</w:t>
      </w:r>
      <w:r>
        <w:rPr>
          <w:rFonts w:ascii="Arial" w:cs="Arial" w:eastAsia="Arial" w:hAnsi="Arial"/>
          <w:sz w:val="20"/>
          <w:szCs w:val="20"/>
          <w:i w:val="1"/>
          <w:iCs w:val="1"/>
          <w:color w:val="auto"/>
        </w:rPr>
        <w:t xml:space="preserve"> </w:t>
      </w:r>
      <w:r>
        <w:rPr>
          <w:rFonts w:ascii="Arial" w:cs="Arial" w:eastAsia="Arial" w:hAnsi="Arial"/>
          <w:sz w:val="20"/>
          <w:szCs w:val="20"/>
          <w:color w:val="auto"/>
        </w:rPr>
        <w:t>and shall not constitute a part of this Amendment for any other purpose or be given any substantive effect.</w:t>
      </w:r>
    </w:p>
    <w:p>
      <w:pPr>
        <w:spacing w:after="0" w:line="130" w:lineRule="exact"/>
        <w:rPr>
          <w:rFonts w:ascii="Arial" w:cs="Arial" w:eastAsia="Arial" w:hAnsi="Arial"/>
          <w:sz w:val="20"/>
          <w:szCs w:val="20"/>
          <w:color w:val="auto"/>
        </w:rPr>
      </w:pPr>
    </w:p>
    <w:p>
      <w:pPr>
        <w:ind w:right="640" w:firstLine="642"/>
        <w:spacing w:after="0" w:line="264" w:lineRule="auto"/>
        <w:tabs>
          <w:tab w:leader="none" w:pos="1267" w:val="left"/>
        </w:tabs>
        <w:numPr>
          <w:ilvl w:val="1"/>
          <w:numId w:val="40"/>
        </w:numPr>
        <w:rPr>
          <w:rFonts w:ascii="Arial" w:cs="Arial" w:eastAsia="Arial" w:hAnsi="Arial"/>
          <w:sz w:val="21"/>
          <w:szCs w:val="21"/>
          <w:color w:val="auto"/>
        </w:rPr>
      </w:pPr>
      <w:r>
        <w:rPr>
          <w:rFonts w:ascii="Arial" w:cs="Arial" w:eastAsia="Arial" w:hAnsi="Arial"/>
          <w:sz w:val="21"/>
          <w:szCs w:val="21"/>
          <w:i w:val="1"/>
          <w:iCs w:val="1"/>
          <w:color w:val="auto"/>
        </w:rPr>
        <w:t xml:space="preserve">No Other Amendments. </w:t>
      </w:r>
      <w:r>
        <w:rPr>
          <w:rFonts w:ascii="Arial" w:cs="Arial" w:eastAsia="Arial" w:hAnsi="Arial"/>
          <w:sz w:val="21"/>
          <w:szCs w:val="21"/>
          <w:color w:val="auto"/>
        </w:rPr>
        <w:t>Except as modified by this Amendment, the TRA shall remain in full force and effect.</w:t>
      </w:r>
      <w:r>
        <w:rPr>
          <w:rFonts w:ascii="Arial" w:cs="Arial" w:eastAsia="Arial" w:hAnsi="Arial"/>
          <w:sz w:val="21"/>
          <w:szCs w:val="21"/>
          <w:i w:val="1"/>
          <w:iCs w:val="1"/>
          <w:color w:val="auto"/>
        </w:rPr>
        <w:t xml:space="preserve"> </w:t>
      </w:r>
      <w:r>
        <w:rPr>
          <w:rFonts w:ascii="Arial" w:cs="Arial" w:eastAsia="Arial" w:hAnsi="Arial"/>
          <w:sz w:val="21"/>
          <w:szCs w:val="21"/>
          <w:color w:val="auto"/>
        </w:rPr>
        <w:t>Nothing herein shall be held to alter, vary or otherwise affect the terms, conditions and provisions of the TRA, other than as expressly contemplated herein.</w:t>
      </w:r>
    </w:p>
    <w:p>
      <w:pPr>
        <w:spacing w:after="0" w:line="170" w:lineRule="exact"/>
        <w:rPr>
          <w:rFonts w:ascii="Arial" w:cs="Arial" w:eastAsia="Arial" w:hAnsi="Arial"/>
          <w:sz w:val="21"/>
          <w:szCs w:val="21"/>
          <w:color w:val="auto"/>
        </w:rPr>
      </w:pPr>
    </w:p>
    <w:p>
      <w:pPr>
        <w:ind w:firstLine="642"/>
        <w:spacing w:after="0" w:line="256" w:lineRule="auto"/>
        <w:tabs>
          <w:tab w:leader="none" w:pos="1269" w:val="left"/>
        </w:tabs>
        <w:numPr>
          <w:ilvl w:val="1"/>
          <w:numId w:val="40"/>
        </w:numPr>
        <w:rPr>
          <w:rFonts w:ascii="Arial" w:cs="Arial" w:eastAsia="Arial" w:hAnsi="Arial"/>
          <w:sz w:val="21"/>
          <w:szCs w:val="21"/>
          <w:color w:val="auto"/>
        </w:rPr>
      </w:pPr>
      <w:r>
        <w:rPr>
          <w:rFonts w:ascii="Arial" w:cs="Arial" w:eastAsia="Arial" w:hAnsi="Arial"/>
          <w:sz w:val="21"/>
          <w:szCs w:val="21"/>
          <w:i w:val="1"/>
          <w:iCs w:val="1"/>
          <w:color w:val="auto"/>
        </w:rPr>
        <w:t xml:space="preserve">Controlling Law; Forum. </w:t>
      </w:r>
      <w:r>
        <w:rPr>
          <w:rFonts w:ascii="Arial" w:cs="Arial" w:eastAsia="Arial" w:hAnsi="Arial"/>
          <w:sz w:val="21"/>
          <w:szCs w:val="21"/>
          <w:color w:val="auto"/>
        </w:rPr>
        <w:t>This Acknowledgment and Amendment shall be governed by, and construed in accordance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exclusive jurisdiction and venue therein and waive any objection based on venue or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with respect to any action instituted therein.</w:t>
      </w:r>
    </w:p>
    <w:p>
      <w:pPr>
        <w:spacing w:after="0" w:line="177" w:lineRule="exact"/>
        <w:rPr>
          <w:rFonts w:ascii="Arial" w:cs="Arial" w:eastAsia="Arial" w:hAnsi="Arial"/>
          <w:sz w:val="21"/>
          <w:szCs w:val="21"/>
          <w:color w:val="auto"/>
        </w:rPr>
      </w:pPr>
    </w:p>
    <w:p>
      <w:pPr>
        <w:jc w:val="both"/>
        <w:ind w:right="80" w:firstLine="642"/>
        <w:spacing w:after="0" w:line="284" w:lineRule="auto"/>
        <w:tabs>
          <w:tab w:leader="none" w:pos="1267" w:val="left"/>
        </w:tabs>
        <w:numPr>
          <w:ilvl w:val="1"/>
          <w:numId w:val="40"/>
        </w:numPr>
        <w:rPr>
          <w:rFonts w:ascii="Arial" w:cs="Arial" w:eastAsia="Arial" w:hAnsi="Arial"/>
          <w:sz w:val="20"/>
          <w:szCs w:val="20"/>
          <w:color w:val="auto"/>
        </w:rPr>
      </w:pPr>
      <w:r>
        <w:rPr>
          <w:rFonts w:ascii="Arial" w:cs="Arial" w:eastAsia="Arial" w:hAnsi="Arial"/>
          <w:sz w:val="20"/>
          <w:szCs w:val="20"/>
          <w:i w:val="1"/>
          <w:iCs w:val="1"/>
          <w:color w:val="auto"/>
        </w:rPr>
        <w:t xml:space="preserve">Severability. </w:t>
      </w:r>
      <w:r>
        <w:rPr>
          <w:rFonts w:ascii="Arial" w:cs="Arial" w:eastAsia="Arial" w:hAnsi="Arial"/>
          <w:sz w:val="20"/>
          <w:szCs w:val="20"/>
          <w:color w:val="auto"/>
        </w:rPr>
        <w:t>If any provision of this Amendment shall be held invalid, illegal or unenforceable, the validity, legality</w:t>
      </w:r>
      <w:r>
        <w:rPr>
          <w:rFonts w:ascii="Arial" w:cs="Arial" w:eastAsia="Arial" w:hAnsi="Arial"/>
          <w:sz w:val="20"/>
          <w:szCs w:val="20"/>
          <w:i w:val="1"/>
          <w:iCs w:val="1"/>
          <w:color w:val="auto"/>
        </w:rPr>
        <w:t xml:space="preserve"> </w:t>
      </w:r>
      <w:r>
        <w:rPr>
          <w:rFonts w:ascii="Arial" w:cs="Arial" w:eastAsia="Arial" w:hAnsi="Arial"/>
          <w:sz w:val="20"/>
          <w:szCs w:val="20"/>
          <w:color w:val="auto"/>
        </w:rPr>
        <w:t>or enforceability of the other provisions hereof shall not be affected thereby, and there shall be deemed substituted for the provision at issue a valid, legal and enforceable provision as similar as possible to the provision at issue.</w:t>
      </w:r>
    </w:p>
    <w:p>
      <w:pPr>
        <w:spacing w:after="0" w:line="150" w:lineRule="exact"/>
        <w:rPr>
          <w:rFonts w:ascii="Arial" w:cs="Arial" w:eastAsia="Arial" w:hAnsi="Arial"/>
          <w:sz w:val="20"/>
          <w:szCs w:val="20"/>
          <w:color w:val="auto"/>
        </w:rPr>
      </w:pPr>
    </w:p>
    <w:p>
      <w:pPr>
        <w:ind w:right="220" w:firstLine="642"/>
        <w:spacing w:after="0" w:line="257" w:lineRule="auto"/>
        <w:tabs>
          <w:tab w:leader="none" w:pos="1269" w:val="left"/>
        </w:tabs>
        <w:numPr>
          <w:ilvl w:val="1"/>
          <w:numId w:val="40"/>
        </w:numPr>
        <w:rPr>
          <w:rFonts w:ascii="Arial" w:cs="Arial" w:eastAsia="Arial" w:hAnsi="Arial"/>
          <w:sz w:val="21"/>
          <w:szCs w:val="21"/>
          <w:color w:val="auto"/>
        </w:rPr>
      </w:pPr>
      <w:r>
        <w:rPr>
          <w:rFonts w:ascii="Arial" w:cs="Arial" w:eastAsia="Arial" w:hAnsi="Arial"/>
          <w:sz w:val="21"/>
          <w:szCs w:val="21"/>
          <w:i w:val="1"/>
          <w:iCs w:val="1"/>
          <w:color w:val="auto"/>
        </w:rPr>
        <w:t xml:space="preserve">Counterparts. </w:t>
      </w:r>
      <w:r>
        <w:rPr>
          <w:rFonts w:ascii="Arial" w:cs="Arial" w:eastAsia="Arial" w:hAnsi="Arial"/>
          <w:sz w:val="21"/>
          <w:szCs w:val="21"/>
          <w:color w:val="auto"/>
        </w:rPr>
        <w:t>This Amendment may be executed in two or more counterparts, each of which shall be deemed an</w:t>
      </w:r>
      <w:r>
        <w:rPr>
          <w:rFonts w:ascii="Arial" w:cs="Arial" w:eastAsia="Arial" w:hAnsi="Arial"/>
          <w:sz w:val="21"/>
          <w:szCs w:val="21"/>
          <w:i w:val="1"/>
          <w:iCs w:val="1"/>
          <w:color w:val="auto"/>
        </w:rPr>
        <w:t xml:space="preserve"> </w:t>
      </w:r>
      <w:r>
        <w:rPr>
          <w:rFonts w:ascii="Arial" w:cs="Arial" w:eastAsia="Arial" w:hAnsi="Arial"/>
          <w:sz w:val="21"/>
          <w:szCs w:val="21"/>
          <w:color w:val="auto"/>
        </w:rPr>
        <w:t>original and all of which together shall constitute one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86" w:name="page87"/>
    <w:bookmarkEnd w:id="86"/>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ZOOMINFO TECHNOLOGIES INC.</w:t>
      </w:r>
    </w:p>
    <w:p>
      <w:pPr>
        <w:spacing w:after="0" w:line="200" w:lineRule="exact"/>
        <w:rPr>
          <w:sz w:val="20"/>
          <w:szCs w:val="20"/>
          <w:color w:val="auto"/>
        </w:rPr>
      </w:pPr>
    </w:p>
    <w:p>
      <w:pPr>
        <w:spacing w:after="0" w:line="240"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Henry Schuck</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ZOOMINFO INTERMEDIATE HOLDINGS LLC</w:t>
      </w:r>
    </w:p>
    <w:p>
      <w:pPr>
        <w:spacing w:after="0" w:line="200" w:lineRule="exact"/>
        <w:rPr>
          <w:sz w:val="20"/>
          <w:szCs w:val="20"/>
          <w:color w:val="auto"/>
        </w:rPr>
      </w:pPr>
    </w:p>
    <w:p>
      <w:pPr>
        <w:spacing w:after="0" w:line="240"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Henry Schuck</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499"/>
          </w:cols>
          <w:pgMar w:left="960" w:top="1397" w:right="1440"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DO HOLDINGS (WA), LLC</w:t>
      </w:r>
    </w:p>
    <w:p>
      <w:pPr>
        <w:spacing w:after="0" w:line="200" w:lineRule="exact"/>
        <w:rPr>
          <w:sz w:val="20"/>
          <w:szCs w:val="20"/>
          <w:color w:val="auto"/>
        </w:rPr>
      </w:pPr>
    </w:p>
    <w:p>
      <w:pPr>
        <w:spacing w:after="0" w:line="240"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Henry Schuck</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499"/>
          </w:cols>
          <w:pgMar w:left="960" w:top="1397" w:right="1440"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auto"/>
        </w:rPr>
        <w:t>22C MAGELLAN HOLDINGS LLC</w:t>
      </w:r>
    </w:p>
    <w:p>
      <w:pPr>
        <w:spacing w:after="0" w:line="200" w:lineRule="exact"/>
        <w:rPr>
          <w:sz w:val="20"/>
          <w:szCs w:val="20"/>
          <w:color w:val="auto"/>
        </w:rPr>
      </w:pPr>
    </w:p>
    <w:p>
      <w:pPr>
        <w:spacing w:after="0" w:line="240"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-12700</wp:posOffset>
            </wp:positionV>
            <wp:extent cx="403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Randall Winn</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16"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Eric Edell</w:t>
      </w:r>
    </w:p>
    <w:p>
      <w:pPr>
        <w:spacing w:after="0" w:line="10" w:lineRule="exact"/>
        <w:rPr>
          <w:sz w:val="20"/>
          <w:szCs w:val="20"/>
          <w:color w:val="auto"/>
        </w:rPr>
      </w:pPr>
    </w:p>
    <w:p>
      <w:pPr>
        <w:ind w:left="3600"/>
        <w:spacing w:after="0"/>
        <w:tabs>
          <w:tab w:leader="none" w:pos="4280" w:val="left"/>
        </w:tabs>
        <w:rPr>
          <w:sz w:val="20"/>
          <w:szCs w:val="20"/>
          <w:color w:val="auto"/>
        </w:rPr>
      </w:pPr>
      <w:r>
        <w:rPr>
          <w:rFonts w:ascii="Arial" w:cs="Arial" w:eastAsia="Arial" w:hAnsi="Arial"/>
          <w:sz w:val="21"/>
          <w:szCs w:val="21"/>
          <w:color w:val="auto"/>
        </w:rPr>
        <w:t>Title:</w:t>
        <w:tab/>
        <w:t>Authorized Signatory</w:t>
      </w:r>
    </w:p>
    <w:p>
      <w:pPr>
        <w:spacing w:after="0" w:line="200" w:lineRule="exact"/>
        <w:rPr>
          <w:sz w:val="20"/>
          <w:szCs w:val="20"/>
          <w:color w:val="auto"/>
        </w:rPr>
      </w:pP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22C CAPITAL I-A,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740" w:val="left"/>
        </w:tabs>
        <w:rPr>
          <w:sz w:val="20"/>
          <w:szCs w:val="20"/>
          <w:color w:val="auto"/>
        </w:rPr>
      </w:pPr>
      <w:r>
        <w:rPr>
          <w:rFonts w:ascii="Arial" w:cs="Arial" w:eastAsia="Arial" w:hAnsi="Arial"/>
          <w:sz w:val="21"/>
          <w:szCs w:val="21"/>
          <w:color w:val="auto"/>
        </w:rPr>
        <w:t>By:</w:t>
        <w:tab/>
        <w:t>22C Capital GP I, L.L.C.,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22C Capital GP I MM LLC, its managing member</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-12700</wp:posOffset>
            </wp:positionV>
            <wp:extent cx="2692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Randall Winn</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Member</w:t>
      </w:r>
    </w:p>
    <w:p>
      <w:pPr>
        <w:spacing w:after="0" w:line="200" w:lineRule="exact"/>
        <w:rPr>
          <w:sz w:val="20"/>
          <w:szCs w:val="20"/>
          <w:color w:val="auto"/>
        </w:rPr>
      </w:pPr>
    </w:p>
    <w:p>
      <w:pPr>
        <w:spacing w:after="0" w:line="216"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Eric Edell</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499"/>
          </w:cols>
          <w:pgMar w:left="960" w:top="1397" w:right="1440" w:bottom="1440" w:gutter="0" w:footer="0" w:header="0"/>
          <w:type w:val="continuous"/>
        </w:sectPr>
      </w:pPr>
    </w:p>
    <w:bookmarkStart w:id="89" w:name="page90"/>
    <w:bookmarkEnd w:id="89"/>
    <w:p>
      <w:pPr>
        <w:ind w:left="2700"/>
        <w:spacing w:after="0"/>
        <w:rPr>
          <w:sz w:val="20"/>
          <w:szCs w:val="20"/>
          <w:color w:val="auto"/>
        </w:rPr>
      </w:pPr>
      <w:r>
        <w:rPr>
          <w:rFonts w:ascii="Arial" w:cs="Arial" w:eastAsia="Arial" w:hAnsi="Arial"/>
          <w:sz w:val="21"/>
          <w:szCs w:val="21"/>
          <w:b w:val="1"/>
          <w:bCs w:val="1"/>
          <w:color w:val="auto"/>
        </w:rPr>
        <w:t>22C DISCOVERORG CP, L.P.</w:t>
      </w:r>
    </w:p>
    <w:p>
      <w:pPr>
        <w:spacing w:after="0" w:line="200" w:lineRule="exact"/>
        <w:rPr>
          <w:sz w:val="20"/>
          <w:szCs w:val="20"/>
          <w:color w:val="auto"/>
        </w:rPr>
      </w:pPr>
    </w:p>
    <w:p>
      <w:pPr>
        <w:spacing w:after="0" w:line="24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22C Capital GP I, L.L.C., its general partner</w:t>
      </w:r>
    </w:p>
    <w:p>
      <w:pPr>
        <w:spacing w:after="0" w:line="22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22C Capital GP I MM LLC, its managing member</w:t>
      </w:r>
    </w:p>
    <w:p>
      <w:pPr>
        <w:spacing w:after="0" w:line="200" w:lineRule="exact"/>
        <w:rPr>
          <w:sz w:val="20"/>
          <w:szCs w:val="20"/>
          <w:color w:val="auto"/>
        </w:rPr>
      </w:pPr>
    </w:p>
    <w:p>
      <w:pPr>
        <w:spacing w:after="0" w:line="26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-12700</wp:posOffset>
            </wp:positionV>
            <wp:extent cx="2692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120"/>
        <w:spacing w:after="0"/>
        <w:tabs>
          <w:tab w:leader="none" w:pos="388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Randall Winn</w:t>
      </w:r>
    </w:p>
    <w:p>
      <w:pPr>
        <w:spacing w:after="0" w:line="10" w:lineRule="exact"/>
        <w:rPr>
          <w:sz w:val="20"/>
          <w:szCs w:val="20"/>
          <w:color w:val="auto"/>
        </w:rPr>
      </w:pPr>
    </w:p>
    <w:p>
      <w:pPr>
        <w:ind w:left="3120"/>
        <w:spacing w:after="0"/>
        <w:tabs>
          <w:tab w:leader="none" w:pos="376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Member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-12700</wp:posOffset>
            </wp:positionV>
            <wp:extent cx="2692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120"/>
        <w:spacing w:after="0"/>
        <w:tabs>
          <w:tab w:leader="none" w:pos="388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Eric Edell</w:t>
      </w:r>
    </w:p>
    <w:p>
      <w:pPr>
        <w:spacing w:after="0" w:line="10" w:lineRule="exact"/>
        <w:rPr>
          <w:sz w:val="20"/>
          <w:szCs w:val="20"/>
          <w:color w:val="auto"/>
        </w:rPr>
      </w:pPr>
    </w:p>
    <w:p>
      <w:pPr>
        <w:ind w:left="3120"/>
        <w:spacing w:after="0"/>
        <w:tabs>
          <w:tab w:leader="none" w:pos="376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Member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22C DISCOVERORG MM, LLC</w:t>
      </w:r>
    </w:p>
    <w:p>
      <w:pPr>
        <w:spacing w:after="0" w:line="200" w:lineRule="exact"/>
        <w:rPr>
          <w:sz w:val="20"/>
          <w:szCs w:val="20"/>
          <w:color w:val="auto"/>
        </w:rPr>
      </w:pPr>
    </w:p>
    <w:p>
      <w:pPr>
        <w:spacing w:after="0" w:line="24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22C DiscoverOrg Advisors, LLC, its</w:t>
      </w:r>
    </w:p>
    <w:p>
      <w:pPr>
        <w:spacing w:after="0" w:line="28" w:lineRule="exact"/>
        <w:rPr>
          <w:sz w:val="20"/>
          <w:szCs w:val="20"/>
          <w:color w:val="auto"/>
        </w:rPr>
      </w:pPr>
    </w:p>
    <w:p>
      <w:pPr>
        <w:ind w:left="3100"/>
        <w:spacing w:after="0"/>
        <w:rPr>
          <w:sz w:val="20"/>
          <w:szCs w:val="20"/>
          <w:color w:val="auto"/>
        </w:rPr>
      </w:pPr>
      <w:r>
        <w:rPr>
          <w:rFonts w:ascii="Arial" w:cs="Arial" w:eastAsia="Arial" w:hAnsi="Arial"/>
          <w:sz w:val="21"/>
          <w:szCs w:val="21"/>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-12700</wp:posOffset>
            </wp:positionV>
            <wp:extent cx="2692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120"/>
        <w:spacing w:after="0"/>
        <w:tabs>
          <w:tab w:leader="none" w:pos="388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Randall Winn</w:t>
      </w:r>
    </w:p>
    <w:p>
      <w:pPr>
        <w:spacing w:after="0" w:line="10" w:lineRule="exact"/>
        <w:rPr>
          <w:sz w:val="20"/>
          <w:szCs w:val="20"/>
          <w:color w:val="auto"/>
        </w:rPr>
      </w:pPr>
    </w:p>
    <w:p>
      <w:pPr>
        <w:ind w:left="3120"/>
        <w:spacing w:after="0"/>
        <w:tabs>
          <w:tab w:leader="none" w:pos="376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-12700</wp:posOffset>
            </wp:positionV>
            <wp:extent cx="2692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120"/>
        <w:spacing w:after="0"/>
        <w:tabs>
          <w:tab w:leader="none" w:pos="388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Eric Edell</w:t>
      </w:r>
    </w:p>
    <w:p>
      <w:pPr>
        <w:spacing w:after="0" w:line="10" w:lineRule="exact"/>
        <w:rPr>
          <w:sz w:val="20"/>
          <w:szCs w:val="20"/>
          <w:color w:val="auto"/>
        </w:rPr>
      </w:pPr>
    </w:p>
    <w:p>
      <w:pPr>
        <w:ind w:left="3120"/>
        <w:spacing w:after="0"/>
        <w:tabs>
          <w:tab w:leader="none" w:pos="3820" w:val="left"/>
        </w:tabs>
        <w:rPr>
          <w:sz w:val="20"/>
          <w:szCs w:val="20"/>
          <w:color w:val="auto"/>
        </w:rPr>
      </w:pPr>
      <w:r>
        <w:rPr>
          <w:rFonts w:ascii="Arial" w:cs="Arial" w:eastAsia="Arial" w:hAnsi="Arial"/>
          <w:sz w:val="21"/>
          <w:szCs w:val="21"/>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019"/>
          </w:cols>
          <w:pgMar w:left="1440" w:top="1397" w:right="1440" w:bottom="1440" w:gutter="0" w:footer="0" w:header="0"/>
        </w:sectPr>
      </w:pPr>
    </w:p>
    <w:bookmarkStart w:id="90" w:name="page91"/>
    <w:bookmarkEnd w:id="90"/>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auto"/>
        </w:rPr>
        <w:t>22C MAGELLAN HOLDINGS LLC</w:t>
      </w:r>
    </w:p>
    <w:p>
      <w:pPr>
        <w:spacing w:after="0" w:line="200" w:lineRule="exact"/>
        <w:rPr>
          <w:sz w:val="20"/>
          <w:szCs w:val="20"/>
          <w:color w:val="auto"/>
        </w:rPr>
      </w:pPr>
    </w:p>
    <w:p>
      <w:pPr>
        <w:spacing w:after="0" w:line="240"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Randall Winn</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16"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Eric Edell</w:t>
      </w:r>
    </w:p>
    <w:p>
      <w:pPr>
        <w:spacing w:after="0" w:line="10" w:lineRule="exact"/>
        <w:rPr>
          <w:sz w:val="20"/>
          <w:szCs w:val="20"/>
          <w:color w:val="auto"/>
        </w:rPr>
      </w:pPr>
    </w:p>
    <w:p>
      <w:pPr>
        <w:ind w:left="3600"/>
        <w:spacing w:after="0"/>
        <w:tabs>
          <w:tab w:leader="none" w:pos="4280" w:val="left"/>
        </w:tabs>
        <w:rPr>
          <w:sz w:val="20"/>
          <w:szCs w:val="20"/>
          <w:color w:val="auto"/>
        </w:rPr>
      </w:pPr>
      <w:r>
        <w:rPr>
          <w:rFonts w:ascii="Arial" w:cs="Arial" w:eastAsia="Arial" w:hAnsi="Arial"/>
          <w:sz w:val="21"/>
          <w:szCs w:val="21"/>
          <w:color w:val="auto"/>
        </w:rPr>
        <w:t>Title:</w:t>
        <w:tab/>
        <w:t>Authorized Signatory</w:t>
      </w:r>
    </w:p>
    <w:p>
      <w:pPr>
        <w:spacing w:after="0" w:line="200" w:lineRule="exact"/>
        <w:rPr>
          <w:sz w:val="20"/>
          <w:szCs w:val="20"/>
          <w:color w:val="auto"/>
        </w:rPr>
      </w:pP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22C CAPITAL I-A,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22C Capital GP I, L.L.C.,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22C Capital GP I MM LLC, its managing member</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-12700</wp:posOffset>
            </wp:positionV>
            <wp:extent cx="2578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25781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030C1F"/>
        </w:rPr>
        <w:t>Name:</w:t>
      </w:r>
      <w:r>
        <w:rPr>
          <w:sz w:val="20"/>
          <w:szCs w:val="20"/>
          <w:color w:val="auto"/>
        </w:rPr>
        <w:tab/>
      </w:r>
      <w:r>
        <w:rPr>
          <w:rFonts w:ascii="Arial" w:cs="Arial" w:eastAsia="Arial" w:hAnsi="Arial"/>
          <w:sz w:val="19"/>
          <w:szCs w:val="19"/>
          <w:color w:val="030C1F"/>
        </w:rPr>
        <w:t>David Randall Winn</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030C1F"/>
        </w:rPr>
        <w:t>Title:</w:t>
      </w:r>
      <w:r>
        <w:rPr>
          <w:sz w:val="20"/>
          <w:szCs w:val="20"/>
          <w:color w:val="auto"/>
        </w:rPr>
        <w:tab/>
      </w:r>
      <w:r>
        <w:rPr>
          <w:rFonts w:ascii="Arial" w:cs="Arial" w:eastAsia="Arial" w:hAnsi="Arial"/>
          <w:sz w:val="19"/>
          <w:szCs w:val="19"/>
          <w:color w:val="030C1F"/>
        </w:rPr>
        <w:t>Member</w:t>
      </w:r>
    </w:p>
    <w:p>
      <w:pPr>
        <w:spacing w:after="0" w:line="200" w:lineRule="exact"/>
        <w:rPr>
          <w:sz w:val="20"/>
          <w:szCs w:val="20"/>
          <w:color w:val="auto"/>
        </w:rPr>
      </w:pPr>
    </w:p>
    <w:p>
      <w:pPr>
        <w:spacing w:after="0" w:line="216" w:lineRule="exact"/>
        <w:rPr>
          <w:sz w:val="20"/>
          <w:szCs w:val="20"/>
          <w:color w:val="auto"/>
        </w:rPr>
      </w:pPr>
    </w:p>
    <w:p>
      <w:pPr>
        <w:ind w:left="3180"/>
        <w:spacing w:after="0"/>
        <w:rPr>
          <w:sz w:val="20"/>
          <w:szCs w:val="20"/>
          <w:color w:val="auto"/>
        </w:rPr>
      </w:pPr>
      <w:r>
        <w:rPr>
          <w:rFonts w:ascii="Arial" w:cs="Arial" w:eastAsia="Arial" w:hAnsi="Arial"/>
          <w:sz w:val="21"/>
          <w:szCs w:val="21"/>
          <w:color w:val="030C1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030C1F"/>
        </w:rPr>
        <w:t>Name:</w:t>
      </w:r>
      <w:r>
        <w:rPr>
          <w:sz w:val="20"/>
          <w:szCs w:val="20"/>
          <w:color w:val="auto"/>
        </w:rPr>
        <w:tab/>
      </w:r>
      <w:r>
        <w:rPr>
          <w:rFonts w:ascii="Arial" w:cs="Arial" w:eastAsia="Arial" w:hAnsi="Arial"/>
          <w:sz w:val="20"/>
          <w:szCs w:val="20"/>
          <w:color w:val="030C1F"/>
        </w:rPr>
        <w:t>Eric Edell</w:t>
      </w:r>
    </w:p>
    <w:p>
      <w:pPr>
        <w:spacing w:after="0" w:line="10" w:lineRule="exact"/>
        <w:rPr>
          <w:sz w:val="20"/>
          <w:szCs w:val="20"/>
          <w:color w:val="auto"/>
        </w:rPr>
      </w:pPr>
    </w:p>
    <w:p>
      <w:pPr>
        <w:ind w:left="3600"/>
        <w:spacing w:after="0"/>
        <w:tabs>
          <w:tab w:leader="none" w:pos="4300" w:val="left"/>
        </w:tabs>
        <w:rPr>
          <w:sz w:val="20"/>
          <w:szCs w:val="20"/>
          <w:color w:val="auto"/>
        </w:rPr>
      </w:pPr>
      <w:r>
        <w:rPr>
          <w:rFonts w:ascii="Arial" w:cs="Arial" w:eastAsia="Arial" w:hAnsi="Arial"/>
          <w:sz w:val="21"/>
          <w:szCs w:val="21"/>
          <w:color w:val="030C1F"/>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499"/>
          </w:cols>
          <w:pgMar w:left="960" w:top="1397" w:right="1440" w:bottom="1440" w:gutter="0" w:footer="0" w:header="0"/>
          <w:type w:val="continuous"/>
        </w:sectPr>
      </w:pPr>
    </w:p>
    <w:bookmarkStart w:id="91" w:name="page92"/>
    <w:bookmarkEnd w:id="91"/>
    <w:p>
      <w:pPr>
        <w:ind w:left="2700"/>
        <w:spacing w:after="0"/>
        <w:rPr>
          <w:sz w:val="20"/>
          <w:szCs w:val="20"/>
          <w:color w:val="auto"/>
        </w:rPr>
      </w:pPr>
      <w:r>
        <w:rPr>
          <w:rFonts w:ascii="Arial" w:cs="Arial" w:eastAsia="Arial" w:hAnsi="Arial"/>
          <w:sz w:val="21"/>
          <w:szCs w:val="21"/>
          <w:b w:val="1"/>
          <w:bCs w:val="1"/>
          <w:color w:val="auto"/>
        </w:rPr>
        <w:t>22C DISCOVERORG CP, L.P.</w:t>
      </w:r>
    </w:p>
    <w:p>
      <w:pPr>
        <w:spacing w:after="0" w:line="200" w:lineRule="exact"/>
        <w:rPr>
          <w:sz w:val="20"/>
          <w:szCs w:val="20"/>
          <w:color w:val="auto"/>
        </w:rPr>
      </w:pPr>
    </w:p>
    <w:p>
      <w:pPr>
        <w:spacing w:after="0" w:line="24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22C Capital GP I, L.L.C., its general partner</w:t>
      </w:r>
    </w:p>
    <w:p>
      <w:pPr>
        <w:spacing w:after="0" w:line="22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22C Capital GP I MM LLC, its managing member</w:t>
      </w:r>
    </w:p>
    <w:p>
      <w:pPr>
        <w:spacing w:after="0" w:line="200" w:lineRule="exact"/>
        <w:rPr>
          <w:sz w:val="20"/>
          <w:szCs w:val="20"/>
          <w:color w:val="auto"/>
        </w:rPr>
      </w:pPr>
    </w:p>
    <w:p>
      <w:pPr>
        <w:spacing w:after="0" w:line="26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-12700</wp:posOffset>
            </wp:positionV>
            <wp:extent cx="2692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120"/>
        <w:spacing w:after="0"/>
        <w:tabs>
          <w:tab w:leader="none" w:pos="3720" w:val="left"/>
        </w:tabs>
        <w:rPr>
          <w:sz w:val="20"/>
          <w:szCs w:val="20"/>
          <w:color w:val="auto"/>
        </w:rPr>
      </w:pPr>
      <w:r>
        <w:rPr>
          <w:rFonts w:ascii="Arial" w:cs="Arial" w:eastAsia="Arial" w:hAnsi="Arial"/>
          <w:sz w:val="21"/>
          <w:szCs w:val="21"/>
          <w:color w:val="030C1F"/>
        </w:rPr>
        <w:t>Nam</w:t>
      </w:r>
      <w:r>
        <w:rPr>
          <w:sz w:val="20"/>
          <w:szCs w:val="20"/>
          <w:color w:val="auto"/>
        </w:rPr>
        <w:tab/>
      </w:r>
      <w:r>
        <w:rPr>
          <w:rFonts w:ascii="Arial" w:cs="Arial" w:eastAsia="Arial" w:hAnsi="Arial"/>
          <w:sz w:val="20"/>
          <w:szCs w:val="20"/>
          <w:color w:val="030C1F"/>
        </w:rPr>
        <w:t>David Randall Winn</w:t>
      </w:r>
    </w:p>
    <w:p>
      <w:pPr>
        <w:spacing w:after="0" w:line="10" w:lineRule="exact"/>
        <w:rPr>
          <w:sz w:val="20"/>
          <w:szCs w:val="20"/>
          <w:color w:val="auto"/>
        </w:rPr>
      </w:pPr>
    </w:p>
    <w:p>
      <w:pPr>
        <w:ind w:left="3120"/>
        <w:spacing w:after="0"/>
        <w:tabs>
          <w:tab w:leader="none" w:pos="3820" w:val="left"/>
        </w:tabs>
        <w:rPr>
          <w:sz w:val="20"/>
          <w:szCs w:val="20"/>
          <w:color w:val="auto"/>
        </w:rPr>
      </w:pPr>
      <w:r>
        <w:rPr>
          <w:rFonts w:ascii="Arial" w:cs="Arial" w:eastAsia="Arial" w:hAnsi="Arial"/>
          <w:sz w:val="21"/>
          <w:szCs w:val="21"/>
          <w:color w:val="030C1F"/>
        </w:rPr>
        <w:t>Title:</w:t>
        <w:tab/>
        <w:t>Member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1"/>
          <w:szCs w:val="21"/>
          <w:color w:val="030C1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-12700</wp:posOffset>
            </wp:positionV>
            <wp:extent cx="2692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120"/>
        <w:spacing w:after="0"/>
        <w:tabs>
          <w:tab w:leader="none" w:pos="3880" w:val="left"/>
        </w:tabs>
        <w:rPr>
          <w:sz w:val="20"/>
          <w:szCs w:val="20"/>
          <w:color w:val="auto"/>
        </w:rPr>
      </w:pPr>
      <w:r>
        <w:rPr>
          <w:rFonts w:ascii="Arial" w:cs="Arial" w:eastAsia="Arial" w:hAnsi="Arial"/>
          <w:sz w:val="21"/>
          <w:szCs w:val="21"/>
          <w:color w:val="030C1F"/>
        </w:rPr>
        <w:t>Name:</w:t>
      </w:r>
      <w:r>
        <w:rPr>
          <w:sz w:val="20"/>
          <w:szCs w:val="20"/>
          <w:color w:val="auto"/>
        </w:rPr>
        <w:tab/>
      </w:r>
      <w:r>
        <w:rPr>
          <w:rFonts w:ascii="Arial" w:cs="Arial" w:eastAsia="Arial" w:hAnsi="Arial"/>
          <w:sz w:val="20"/>
          <w:szCs w:val="20"/>
          <w:color w:val="030C1F"/>
        </w:rPr>
        <w:t>Eric Edell</w:t>
      </w:r>
    </w:p>
    <w:p>
      <w:pPr>
        <w:spacing w:after="0" w:line="10" w:lineRule="exact"/>
        <w:rPr>
          <w:sz w:val="20"/>
          <w:szCs w:val="20"/>
          <w:color w:val="auto"/>
        </w:rPr>
      </w:pPr>
    </w:p>
    <w:p>
      <w:pPr>
        <w:ind w:left="3120"/>
        <w:spacing w:after="0"/>
        <w:tabs>
          <w:tab w:leader="none" w:pos="3760" w:val="left"/>
        </w:tabs>
        <w:rPr>
          <w:sz w:val="20"/>
          <w:szCs w:val="20"/>
          <w:color w:val="auto"/>
        </w:rPr>
      </w:pPr>
      <w:r>
        <w:rPr>
          <w:rFonts w:ascii="Arial" w:cs="Arial" w:eastAsia="Arial" w:hAnsi="Arial"/>
          <w:sz w:val="21"/>
          <w:szCs w:val="21"/>
          <w:color w:val="030C1F"/>
        </w:rPr>
        <w:t>Title:</w:t>
      </w:r>
      <w:r>
        <w:rPr>
          <w:sz w:val="20"/>
          <w:szCs w:val="20"/>
          <w:color w:val="auto"/>
        </w:rPr>
        <w:tab/>
      </w:r>
      <w:r>
        <w:rPr>
          <w:rFonts w:ascii="Arial" w:cs="Arial" w:eastAsia="Arial" w:hAnsi="Arial"/>
          <w:sz w:val="19"/>
          <w:szCs w:val="19"/>
          <w:color w:val="030C1F"/>
        </w:rPr>
        <w:t>Member</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22C D1SCOVERORG MM, LLC</w:t>
      </w:r>
    </w:p>
    <w:p>
      <w:pPr>
        <w:spacing w:after="0" w:line="200" w:lineRule="exact"/>
        <w:rPr>
          <w:sz w:val="20"/>
          <w:szCs w:val="20"/>
          <w:color w:val="auto"/>
        </w:rPr>
      </w:pPr>
    </w:p>
    <w:p>
      <w:pPr>
        <w:spacing w:after="0" w:line="24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1"/>
          <w:szCs w:val="21"/>
          <w:color w:val="0B1A29"/>
        </w:rPr>
        <w:t>By:</w:t>
      </w:r>
      <w:r>
        <w:rPr>
          <w:sz w:val="20"/>
          <w:szCs w:val="20"/>
          <w:color w:val="auto"/>
        </w:rPr>
        <w:tab/>
      </w:r>
      <w:r>
        <w:rPr>
          <w:rFonts w:ascii="Arial" w:cs="Arial" w:eastAsia="Arial" w:hAnsi="Arial"/>
          <w:sz w:val="19"/>
          <w:szCs w:val="19"/>
          <w:color w:val="0B1A29"/>
        </w:rPr>
        <w:t xml:space="preserve">22C DiscoverOrg Advisors, </w:t>
      </w:r>
      <w:r>
        <w:rPr>
          <w:rFonts w:ascii="Arial" w:cs="Arial" w:eastAsia="Arial" w:hAnsi="Arial"/>
          <w:sz w:val="19"/>
          <w:szCs w:val="19"/>
          <w:color w:val="000000"/>
        </w:rPr>
        <w:t>LLC, its managing member</w:t>
      </w:r>
    </w:p>
    <w:p>
      <w:pPr>
        <w:spacing w:after="0" w:line="200" w:lineRule="exact"/>
        <w:rPr>
          <w:sz w:val="20"/>
          <w:szCs w:val="20"/>
          <w:color w:val="auto"/>
        </w:rPr>
      </w:pPr>
    </w:p>
    <w:p>
      <w:pPr>
        <w:spacing w:after="0" w:line="26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-12700</wp:posOffset>
            </wp:positionV>
            <wp:extent cx="2692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120"/>
        <w:spacing w:after="0"/>
        <w:tabs>
          <w:tab w:leader="none" w:pos="3880" w:val="left"/>
        </w:tabs>
        <w:rPr>
          <w:sz w:val="20"/>
          <w:szCs w:val="20"/>
          <w:color w:val="auto"/>
        </w:rPr>
      </w:pPr>
      <w:r>
        <w:rPr>
          <w:rFonts w:ascii="Arial" w:cs="Arial" w:eastAsia="Arial" w:hAnsi="Arial"/>
          <w:sz w:val="21"/>
          <w:szCs w:val="21"/>
          <w:color w:val="142337"/>
        </w:rPr>
        <w:t>Name:</w:t>
      </w:r>
      <w:r>
        <w:rPr>
          <w:sz w:val="20"/>
          <w:szCs w:val="20"/>
          <w:color w:val="auto"/>
        </w:rPr>
        <w:tab/>
      </w:r>
      <w:r>
        <w:rPr>
          <w:rFonts w:ascii="Arial" w:cs="Arial" w:eastAsia="Arial" w:hAnsi="Arial"/>
          <w:sz w:val="20"/>
          <w:szCs w:val="20"/>
          <w:color w:val="142337"/>
        </w:rPr>
        <w:t xml:space="preserve">Dk rid Randall </w:t>
      </w:r>
      <w:r>
        <w:rPr>
          <w:rFonts w:ascii="Arial" w:cs="Arial" w:eastAsia="Arial" w:hAnsi="Arial"/>
          <w:sz w:val="20"/>
          <w:szCs w:val="20"/>
          <w:color w:val="0B1A29"/>
        </w:rPr>
        <w:t>Winn</w:t>
      </w:r>
    </w:p>
    <w:p>
      <w:pPr>
        <w:spacing w:after="0" w:line="10" w:lineRule="exact"/>
        <w:rPr>
          <w:sz w:val="20"/>
          <w:szCs w:val="20"/>
          <w:color w:val="auto"/>
        </w:rPr>
      </w:pPr>
    </w:p>
    <w:p>
      <w:pPr>
        <w:ind w:left="3120"/>
        <w:spacing w:after="0"/>
        <w:tabs>
          <w:tab w:leader="none" w:pos="3760" w:val="left"/>
        </w:tabs>
        <w:rPr>
          <w:sz w:val="20"/>
          <w:szCs w:val="20"/>
          <w:color w:val="auto"/>
        </w:rPr>
      </w:pPr>
      <w:r>
        <w:rPr>
          <w:rFonts w:ascii="Arial" w:cs="Arial" w:eastAsia="Arial" w:hAnsi="Arial"/>
          <w:sz w:val="21"/>
          <w:szCs w:val="21"/>
          <w:color w:val="0B1A29"/>
        </w:rPr>
        <w:t>Title:</w:t>
      </w:r>
      <w:r>
        <w:rPr>
          <w:sz w:val="20"/>
          <w:szCs w:val="20"/>
          <w:color w:val="auto"/>
        </w:rPr>
        <w:tab/>
      </w:r>
      <w:r>
        <w:rPr>
          <w:rFonts w:ascii="Arial" w:cs="Arial" w:eastAsia="Arial" w:hAnsi="Arial"/>
          <w:sz w:val="19"/>
          <w:szCs w:val="19"/>
          <w:color w:val="0B1A29"/>
        </w:rPr>
        <w:t>Managing Member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1"/>
          <w:szCs w:val="21"/>
          <w:color w:val="142337"/>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-12700</wp:posOffset>
            </wp:positionV>
            <wp:extent cx="2692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120"/>
        <w:spacing w:after="0"/>
        <w:tabs>
          <w:tab w:leader="none" w:pos="3880" w:val="left"/>
        </w:tabs>
        <w:rPr>
          <w:sz w:val="20"/>
          <w:szCs w:val="20"/>
          <w:color w:val="auto"/>
        </w:rPr>
      </w:pPr>
      <w:r>
        <w:rPr>
          <w:rFonts w:ascii="Arial" w:cs="Arial" w:eastAsia="Arial" w:hAnsi="Arial"/>
          <w:sz w:val="21"/>
          <w:szCs w:val="21"/>
          <w:color w:val="0B1A29"/>
        </w:rPr>
        <w:t>Name:</w:t>
      </w:r>
      <w:r>
        <w:rPr>
          <w:sz w:val="20"/>
          <w:szCs w:val="20"/>
          <w:color w:val="auto"/>
        </w:rPr>
        <w:tab/>
      </w:r>
      <w:r>
        <w:rPr>
          <w:rFonts w:ascii="Arial" w:cs="Arial" w:eastAsia="Arial" w:hAnsi="Arial"/>
          <w:sz w:val="20"/>
          <w:szCs w:val="20"/>
          <w:color w:val="0B1A29"/>
        </w:rPr>
        <w:t>Eric Edell</w:t>
      </w:r>
    </w:p>
    <w:p>
      <w:pPr>
        <w:spacing w:after="0" w:line="10" w:lineRule="exact"/>
        <w:rPr>
          <w:sz w:val="20"/>
          <w:szCs w:val="20"/>
          <w:color w:val="auto"/>
        </w:rPr>
      </w:pPr>
    </w:p>
    <w:p>
      <w:pPr>
        <w:ind w:left="3120"/>
        <w:spacing w:after="0"/>
        <w:tabs>
          <w:tab w:leader="none" w:pos="3760" w:val="left"/>
        </w:tabs>
        <w:rPr>
          <w:sz w:val="20"/>
          <w:szCs w:val="20"/>
          <w:color w:val="auto"/>
        </w:rPr>
      </w:pPr>
      <w:r>
        <w:rPr>
          <w:rFonts w:ascii="Arial" w:cs="Arial" w:eastAsia="Arial" w:hAnsi="Arial"/>
          <w:sz w:val="21"/>
          <w:szCs w:val="21"/>
          <w:color w:val="0B1A29"/>
        </w:rPr>
        <w:t>Title:</w:t>
      </w:r>
      <w:r>
        <w:rPr>
          <w:sz w:val="20"/>
          <w:szCs w:val="20"/>
          <w:color w:val="auto"/>
        </w:rPr>
        <w:tab/>
      </w:r>
      <w:r>
        <w:rPr>
          <w:rFonts w:ascii="Arial" w:cs="Arial" w:eastAsia="Arial" w:hAnsi="Arial"/>
          <w:sz w:val="19"/>
          <w:szCs w:val="19"/>
          <w:color w:val="142337"/>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019"/>
          </w:cols>
          <w:pgMar w:left="1440" w:top="1397" w:right="1440" w:bottom="1440" w:gutter="0" w:footer="0" w:header="0"/>
        </w:sectPr>
      </w:pPr>
    </w:p>
    <w:bookmarkStart w:id="92" w:name="page93"/>
    <w:bookmarkEnd w:id="92"/>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CARLYLE PARTNERS VI DASH HOLDINGS,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TC Group VI,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TC Group VI, L.L.C., its general partner</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Patrick McCarter</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Person</w:t>
      </w:r>
    </w:p>
    <w:p>
      <w:pPr>
        <w:spacing w:after="0" w:line="200" w:lineRule="exact"/>
        <w:rPr>
          <w:sz w:val="20"/>
          <w:szCs w:val="20"/>
          <w:color w:val="auto"/>
        </w:rPr>
      </w:pP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CP VI EVERGREEN HOLDINGS,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TC Group VI S1,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TC Group VI S1, L.L.C., its general partners</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Patrick McCarter</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Person</w:t>
      </w:r>
    </w:p>
    <w:p>
      <w:pPr>
        <w:spacing w:after="0" w:line="200" w:lineRule="exact"/>
        <w:rPr>
          <w:sz w:val="20"/>
          <w:szCs w:val="20"/>
          <w:color w:val="auto"/>
        </w:rPr>
      </w:pP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CP VI EVERGREEN HOLDINGS II,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TC Group VI S1,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TC Group VI S1, L.L.C., its general partners</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Patrick McCarter</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499"/>
          </w:cols>
          <w:pgMar w:left="960" w:top="1397" w:right="1440"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XI DO FEEDER,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XI GP,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SDF II,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US Holding Corp., its general partner</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600"/>
        <w:spacing w:after="0"/>
        <w:tabs>
          <w:tab w:leader="none" w:pos="42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SDF II DO FEEDER,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SDF II,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US Holding Corp., its general partner</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-12700</wp:posOffset>
            </wp:positionV>
            <wp:extent cx="2692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3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60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499"/>
          </w:cols>
          <w:pgMar w:left="960" w:top="1397" w:right="1440"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SDF III DO FEEDER,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SDF III GP,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US Holding Corp., its general partner</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-12700</wp:posOffset>
            </wp:positionV>
            <wp:extent cx="2692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420" w:val="left"/>
        </w:tabs>
        <w:rPr>
          <w:sz w:val="20"/>
          <w:szCs w:val="20"/>
          <w:color w:val="auto"/>
        </w:rPr>
      </w:pPr>
      <w:r>
        <w:rPr>
          <w:rFonts w:ascii="Arial" w:cs="Arial" w:eastAsia="Arial" w:hAnsi="Arial"/>
          <w:sz w:val="21"/>
          <w:szCs w:val="21"/>
          <w:color w:val="auto"/>
        </w:rPr>
        <w:t>Name:</w:t>
        <w:tab/>
        <w:t>Gregory M. Wallace</w:t>
      </w:r>
    </w:p>
    <w:p>
      <w:pPr>
        <w:spacing w:after="0" w:line="10" w:lineRule="exact"/>
        <w:rPr>
          <w:sz w:val="20"/>
          <w:szCs w:val="20"/>
          <w:color w:val="auto"/>
        </w:rPr>
      </w:pPr>
    </w:p>
    <w:p>
      <w:pPr>
        <w:ind w:left="3600"/>
        <w:spacing w:after="0"/>
        <w:tabs>
          <w:tab w:leader="none" w:pos="4300" w:val="left"/>
        </w:tabs>
        <w:rPr>
          <w:sz w:val="20"/>
          <w:szCs w:val="20"/>
          <w:color w:val="auto"/>
        </w:rPr>
      </w:pPr>
      <w:r>
        <w:rPr>
          <w:rFonts w:ascii="Arial" w:cs="Arial" w:eastAsia="Arial" w:hAnsi="Arial"/>
          <w:sz w:val="21"/>
          <w:szCs w:val="21"/>
          <w:color w:val="auto"/>
        </w:rPr>
        <w:t>Title:</w:t>
        <w:tab/>
        <w:t>Chief Financial Officer, Funds</w:t>
      </w:r>
    </w:p>
    <w:p>
      <w:pPr>
        <w:spacing w:after="0" w:line="200" w:lineRule="exact"/>
        <w:rPr>
          <w:sz w:val="20"/>
          <w:szCs w:val="20"/>
          <w:color w:val="auto"/>
        </w:rPr>
      </w:pP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ATLANTIC &amp; PACIFIC VII-B, L.P.</w:t>
      </w:r>
    </w:p>
    <w:p>
      <w:pPr>
        <w:spacing w:after="0" w:line="200" w:lineRule="exact"/>
        <w:rPr>
          <w:sz w:val="20"/>
          <w:szCs w:val="20"/>
          <w:color w:val="auto"/>
        </w:rPr>
      </w:pPr>
    </w:p>
    <w:p>
      <w:pPr>
        <w:spacing w:after="0" w:line="240"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AP VII GP,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L.P., its general partner</w:t>
      </w:r>
    </w:p>
    <w:p>
      <w:pPr>
        <w:spacing w:after="0" w:line="222" w:lineRule="exact"/>
        <w:rPr>
          <w:sz w:val="20"/>
          <w:szCs w:val="20"/>
          <w:color w:val="auto"/>
        </w:rPr>
      </w:pPr>
    </w:p>
    <w:p>
      <w:pPr>
        <w:ind w:left="3180"/>
        <w:spacing w:after="0"/>
        <w:tabs>
          <w:tab w:leader="none" w:pos="36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TA Associates US Holding Corp., its general partner</w:t>
      </w:r>
    </w:p>
    <w:p>
      <w:pPr>
        <w:spacing w:after="0" w:line="200" w:lineRule="exact"/>
        <w:rPr>
          <w:sz w:val="20"/>
          <w:szCs w:val="20"/>
          <w:color w:val="auto"/>
        </w:rPr>
      </w:pPr>
    </w:p>
    <w:p>
      <w:pPr>
        <w:spacing w:after="0" w:line="261"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269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3600"/>
        <w:spacing w:after="0"/>
        <w:tabs>
          <w:tab w:leader="none" w:pos="4420" w:val="left"/>
        </w:tabs>
        <w:rPr>
          <w:sz w:val="20"/>
          <w:szCs w:val="20"/>
          <w:color w:val="auto"/>
        </w:rPr>
      </w:pPr>
      <w:r>
        <w:rPr>
          <w:rFonts w:ascii="Arial" w:cs="Arial" w:eastAsia="Arial" w:hAnsi="Arial"/>
          <w:sz w:val="21"/>
          <w:szCs w:val="21"/>
          <w:color w:val="auto"/>
        </w:rPr>
        <w:t>Name:</w:t>
        <w:tab/>
        <w:t>Gregory M. Wallace</w:t>
      </w:r>
    </w:p>
    <w:p>
      <w:pPr>
        <w:spacing w:after="0" w:line="10" w:lineRule="exact"/>
        <w:rPr>
          <w:sz w:val="20"/>
          <w:szCs w:val="20"/>
          <w:color w:val="auto"/>
        </w:rPr>
      </w:pPr>
    </w:p>
    <w:p>
      <w:pPr>
        <w:ind w:left="3600"/>
        <w:spacing w:after="0"/>
        <w:tabs>
          <w:tab w:leader="none" w:pos="4300" w:val="left"/>
        </w:tabs>
        <w:rPr>
          <w:sz w:val="20"/>
          <w:szCs w:val="20"/>
          <w:color w:val="auto"/>
        </w:rPr>
      </w:pPr>
      <w:r>
        <w:rPr>
          <w:rFonts w:ascii="Arial" w:cs="Arial" w:eastAsia="Arial" w:hAnsi="Arial"/>
          <w:sz w:val="21"/>
          <w:szCs w:val="21"/>
          <w:color w:val="auto"/>
        </w:rPr>
        <w:t>Title:</w:t>
        <w:tab/>
        <w:t>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60"/>
        <w:spacing w:after="0"/>
        <w:rPr>
          <w:sz w:val="20"/>
          <w:szCs w:val="20"/>
          <w:color w:val="auto"/>
        </w:rPr>
      </w:pPr>
      <w:r>
        <w:rPr>
          <w:rFonts w:ascii="Arial" w:cs="Arial" w:eastAsia="Arial" w:hAnsi="Arial"/>
          <w:sz w:val="19"/>
          <w:szCs w:val="19"/>
          <w:i w:val="1"/>
          <w:iCs w:val="1"/>
          <w:color w:val="auto"/>
        </w:rPr>
        <w:t>[Signature Page to Amendment No. 1 to Tax Receivable Agreement (Reorganization)]</w:t>
      </w:r>
    </w:p>
    <w:p>
      <w:pPr>
        <w:sectPr>
          <w:pgSz w:w="11900" w:h="16838" w:orient="portrait"/>
          <w:cols w:equalWidth="0" w:num="1">
            <w:col w:w="9499"/>
          </w:cols>
          <w:pgMar w:left="960" w:top="1397" w:right="1440"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1 TO THE TAX RECEIVABLE AGREEMENT (EXCHANGES)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August 20, 2021</w:t>
      </w:r>
    </w:p>
    <w:p>
      <w:pPr>
        <w:spacing w:after="0" w:line="222" w:lineRule="exact"/>
        <w:rPr>
          <w:sz w:val="20"/>
          <w:szCs w:val="20"/>
          <w:color w:val="auto"/>
        </w:rPr>
      </w:pPr>
    </w:p>
    <w:p>
      <w:pPr>
        <w:ind w:firstLine="636"/>
        <w:spacing w:after="0" w:line="261" w:lineRule="auto"/>
        <w:rPr>
          <w:sz w:val="20"/>
          <w:szCs w:val="20"/>
          <w:color w:val="auto"/>
        </w:rPr>
      </w:pPr>
      <w:r>
        <w:rPr>
          <w:rFonts w:ascii="Arial" w:cs="Arial" w:eastAsia="Arial" w:hAnsi="Arial"/>
          <w:sz w:val="21"/>
          <w:szCs w:val="21"/>
          <w:b w:val="1"/>
          <w:bCs w:val="1"/>
          <w:color w:val="auto"/>
        </w:rPr>
        <w:t xml:space="preserve">THIS AMENDMENT NO. 1 </w:t>
      </w:r>
      <w:r>
        <w:rPr>
          <w:rFonts w:ascii="Arial" w:cs="Arial" w:eastAsia="Arial" w:hAnsi="Arial"/>
          <w:sz w:val="21"/>
          <w:szCs w:val="21"/>
          <w:color w:val="auto"/>
        </w:rPr>
        <w:t>(this “</w:t>
      </w:r>
      <w:r>
        <w:rPr>
          <w:rFonts w:ascii="Arial" w:cs="Arial" w:eastAsia="Arial" w:hAnsi="Arial"/>
          <w:sz w:val="21"/>
          <w:szCs w:val="21"/>
          <w:b w:val="1"/>
          <w:bCs w:val="1"/>
          <w:color w:val="auto"/>
        </w:rPr>
        <w:t>Amendment</w:t>
      </w:r>
      <w:r>
        <w:rPr>
          <w:rFonts w:ascii="Arial" w:cs="Arial" w:eastAsia="Arial" w:hAnsi="Arial"/>
          <w:sz w:val="21"/>
          <w:szCs w:val="21"/>
          <w:color w:val="auto"/>
        </w:rPr>
        <w:t>”) to the Tax Receivable Agreement (Exchanges) (as amended, restated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modified from time to time, the “</w:t>
      </w:r>
      <w:r>
        <w:rPr>
          <w:rFonts w:ascii="Arial" w:cs="Arial" w:eastAsia="Arial" w:hAnsi="Arial"/>
          <w:sz w:val="21"/>
          <w:szCs w:val="21"/>
          <w:b w:val="1"/>
          <w:bCs w:val="1"/>
          <w:color w:val="auto"/>
        </w:rPr>
        <w:t>TRA</w:t>
      </w:r>
      <w:r>
        <w:rPr>
          <w:rFonts w:ascii="Arial" w:cs="Arial" w:eastAsia="Arial" w:hAnsi="Arial"/>
          <w:sz w:val="21"/>
          <w:szCs w:val="21"/>
          <w:color w:val="auto"/>
        </w:rPr>
        <w:t>”), dated as of June 3, 2020, is adopted, executed and entered into by ZoomInfo Technologies Inc. (“</w:t>
      </w:r>
      <w:r>
        <w:rPr>
          <w:rFonts w:ascii="Arial" w:cs="Arial" w:eastAsia="Arial" w:hAnsi="Arial"/>
          <w:sz w:val="21"/>
          <w:szCs w:val="21"/>
          <w:b w:val="1"/>
          <w:bCs w:val="1"/>
          <w:color w:val="auto"/>
        </w:rPr>
        <w:t>PubCo</w:t>
      </w:r>
      <w:r>
        <w:rPr>
          <w:rFonts w:ascii="Arial" w:cs="Arial" w:eastAsia="Arial" w:hAnsi="Arial"/>
          <w:sz w:val="21"/>
          <w:szCs w:val="21"/>
          <w:color w:val="auto"/>
        </w:rPr>
        <w:t>”) and the other thereto. Capitalized terms used but not otherwise defined herein shall have the meanings set forth in the TRA.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on June 3, 2020, the parties hereto entered into the TRA;</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Section 7.6(b) of the TRA provides that PubCo, with the consent of the other parties hereto, may amend the</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color w:val="auto"/>
        </w:rPr>
        <w:t>TRA;</w:t>
      </w:r>
    </w:p>
    <w:p>
      <w:pPr>
        <w:spacing w:after="0" w:line="198" w:lineRule="exact"/>
        <w:rPr>
          <w:sz w:val="20"/>
          <w:szCs w:val="20"/>
          <w:color w:val="auto"/>
        </w:rPr>
      </w:pPr>
    </w:p>
    <w:p>
      <w:pPr>
        <w:ind w:right="420" w:firstLine="636"/>
        <w:spacing w:after="0" w:line="28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PubCo and the other parties hereto desire to amend the TRA on the terms and subject to the conditions set</w:t>
      </w:r>
      <w:r>
        <w:rPr>
          <w:rFonts w:ascii="Arial" w:cs="Arial" w:eastAsia="Arial" w:hAnsi="Arial"/>
          <w:sz w:val="21"/>
          <w:szCs w:val="21"/>
          <w:b w:val="1"/>
          <w:bCs w:val="1"/>
          <w:color w:val="auto"/>
        </w:rPr>
        <w:t xml:space="preserve"> </w:t>
      </w:r>
      <w:r>
        <w:rPr>
          <w:rFonts w:ascii="Arial" w:cs="Arial" w:eastAsia="Arial" w:hAnsi="Arial"/>
          <w:sz w:val="21"/>
          <w:szCs w:val="21"/>
          <w:color w:val="auto"/>
        </w:rPr>
        <w:t>forth herein.</w:t>
      </w:r>
    </w:p>
    <w:p>
      <w:pPr>
        <w:spacing w:after="0" w:line="142" w:lineRule="exact"/>
        <w:rPr>
          <w:sz w:val="20"/>
          <w:szCs w:val="20"/>
          <w:color w:val="auto"/>
        </w:rPr>
      </w:pPr>
    </w:p>
    <w:p>
      <w:pPr>
        <w:ind w:right="520" w:firstLine="636"/>
        <w:spacing w:after="0" w:line="267"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contained herein and in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hereto, intending to be legally bound, hereby agrees as follows:</w:t>
      </w:r>
    </w:p>
    <w:p>
      <w:pPr>
        <w:spacing w:after="0" w:line="167" w:lineRule="exact"/>
        <w:rPr>
          <w:sz w:val="20"/>
          <w:szCs w:val="20"/>
          <w:color w:val="auto"/>
        </w:rPr>
      </w:pPr>
    </w:p>
    <w:p>
      <w:pPr>
        <w:ind w:left="640" w:hanging="634"/>
        <w:spacing w:after="0"/>
        <w:tabs>
          <w:tab w:leader="none" w:pos="64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Amendments to the TRA</w:t>
      </w:r>
    </w:p>
    <w:p>
      <w:pPr>
        <w:spacing w:after="0" w:line="222" w:lineRule="exact"/>
        <w:rPr>
          <w:rFonts w:ascii="Arial" w:cs="Arial" w:eastAsia="Arial" w:hAnsi="Arial"/>
          <w:sz w:val="21"/>
          <w:szCs w:val="21"/>
          <w:color w:val="auto"/>
        </w:rPr>
      </w:pPr>
    </w:p>
    <w:p>
      <w:pPr>
        <w:ind w:left="1280" w:hanging="638"/>
        <w:spacing w:after="0"/>
        <w:tabs>
          <w:tab w:leader="none" w:pos="1280" w:val="left"/>
        </w:tabs>
        <w:numPr>
          <w:ilvl w:val="1"/>
          <w:numId w:val="41"/>
        </w:numPr>
        <w:rPr>
          <w:rFonts w:ascii="Arial" w:cs="Arial" w:eastAsia="Arial" w:hAnsi="Arial"/>
          <w:sz w:val="21"/>
          <w:szCs w:val="21"/>
          <w:color w:val="auto"/>
        </w:rPr>
      </w:pPr>
      <w:r>
        <w:rPr>
          <w:rFonts w:ascii="Arial" w:cs="Arial" w:eastAsia="Arial" w:hAnsi="Arial"/>
          <w:sz w:val="21"/>
          <w:szCs w:val="21"/>
          <w:i w:val="1"/>
          <w:iCs w:val="1"/>
          <w:color w:val="auto"/>
        </w:rPr>
        <w:t>The first sentence of the TRA is hereby deleted in its entirety and replace with the following:</w:t>
      </w:r>
    </w:p>
    <w:p>
      <w:pPr>
        <w:spacing w:after="0" w:line="216" w:lineRule="exact"/>
        <w:rPr>
          <w:sz w:val="20"/>
          <w:szCs w:val="20"/>
          <w:color w:val="auto"/>
        </w:rPr>
      </w:pPr>
    </w:p>
    <w:p>
      <w:pPr>
        <w:ind w:left="640" w:right="320"/>
        <w:spacing w:after="0" w:line="259"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TAX RECEIVABLE AGREEMENT</w:t>
      </w:r>
      <w:r>
        <w:rPr>
          <w:rFonts w:ascii="Arial" w:cs="Arial" w:eastAsia="Arial" w:hAnsi="Arial"/>
          <w:sz w:val="21"/>
          <w:szCs w:val="21"/>
          <w:color w:val="auto"/>
        </w:rPr>
        <w:t xml:space="preserve">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is dated as of June 3, 2020, and is between ZoomInfo Technologies Inc., a Delaware corporation, ZoomInfo Intermediate Holdings LLC, a Delaware limited liability company, each of the undersigned parties, and each of the other persons from time to time that becomes a party hereto (each, excluding ZoomInfo Holdings LLC, a Delaware limited liability company (“</w:t>
      </w:r>
      <w:r>
        <w:rPr>
          <w:rFonts w:ascii="Arial" w:cs="Arial" w:eastAsia="Arial" w:hAnsi="Arial"/>
          <w:sz w:val="21"/>
          <w:szCs w:val="21"/>
          <w:b w:val="1"/>
          <w:bCs w:val="1"/>
          <w:u w:val="single" w:color="auto"/>
          <w:color w:val="auto"/>
        </w:rPr>
        <w:t>OpCo</w:t>
      </w:r>
      <w:r>
        <w:rPr>
          <w:rFonts w:ascii="Arial" w:cs="Arial" w:eastAsia="Arial" w:hAnsi="Arial"/>
          <w:sz w:val="21"/>
          <w:szCs w:val="21"/>
          <w:color w:val="auto"/>
        </w:rPr>
        <w:t>”), a “</w:t>
      </w:r>
      <w:r>
        <w:rPr>
          <w:rFonts w:ascii="Arial" w:cs="Arial" w:eastAsia="Arial" w:hAnsi="Arial"/>
          <w:sz w:val="21"/>
          <w:szCs w:val="21"/>
          <w:b w:val="1"/>
          <w:bCs w:val="1"/>
          <w:u w:val="single" w:color="auto"/>
          <w:color w:val="auto"/>
        </w:rPr>
        <w:t>TRA Party</w:t>
      </w:r>
      <w:r>
        <w:rPr>
          <w:rFonts w:ascii="Arial" w:cs="Arial" w:eastAsia="Arial" w:hAnsi="Arial"/>
          <w:sz w:val="21"/>
          <w:szCs w:val="21"/>
          <w:color w:val="auto"/>
        </w:rPr>
        <w:t>” and together the “</w:t>
      </w:r>
      <w:r>
        <w:rPr>
          <w:rFonts w:ascii="Arial" w:cs="Arial" w:eastAsia="Arial" w:hAnsi="Arial"/>
          <w:sz w:val="21"/>
          <w:szCs w:val="21"/>
          <w:b w:val="1"/>
          <w:bCs w:val="1"/>
          <w:u w:val="single" w:color="auto"/>
          <w:color w:val="auto"/>
        </w:rPr>
        <w:t>TRA Parties</w:t>
      </w:r>
      <w:r>
        <w:rPr>
          <w:rFonts w:ascii="Arial" w:cs="Arial" w:eastAsia="Arial" w:hAnsi="Arial"/>
          <w:sz w:val="21"/>
          <w:szCs w:val="21"/>
          <w:color w:val="auto"/>
        </w:rPr>
        <w:t>”).”</w:t>
      </w:r>
    </w:p>
    <w:p>
      <w:pPr>
        <w:spacing w:after="0" w:line="174" w:lineRule="exact"/>
        <w:rPr>
          <w:sz w:val="20"/>
          <w:szCs w:val="20"/>
          <w:color w:val="auto"/>
        </w:rPr>
      </w:pPr>
    </w:p>
    <w:p>
      <w:pPr>
        <w:ind w:left="1280" w:hanging="638"/>
        <w:spacing w:after="0"/>
        <w:tabs>
          <w:tab w:leader="none" w:pos="1280" w:val="left"/>
        </w:tabs>
        <w:numPr>
          <w:ilvl w:val="0"/>
          <w:numId w:val="42"/>
        </w:numPr>
        <w:rPr>
          <w:rFonts w:ascii="Arial" w:cs="Arial" w:eastAsia="Arial" w:hAnsi="Arial"/>
          <w:sz w:val="21"/>
          <w:szCs w:val="21"/>
          <w:color w:val="auto"/>
        </w:rPr>
      </w:pPr>
      <w:r>
        <w:rPr>
          <w:rFonts w:ascii="Arial" w:cs="Arial" w:eastAsia="Arial" w:hAnsi="Arial"/>
          <w:sz w:val="21"/>
          <w:szCs w:val="21"/>
          <w:i w:val="1"/>
          <w:iCs w:val="1"/>
          <w:color w:val="auto"/>
        </w:rPr>
        <w:t>The definition of “Corporate Taxpayer” is hereby deleted in its entirety and replaced with the following:</w:t>
      </w:r>
    </w:p>
    <w:p>
      <w:pPr>
        <w:spacing w:after="0" w:line="216" w:lineRule="exact"/>
        <w:rPr>
          <w:sz w:val="20"/>
          <w:szCs w:val="20"/>
          <w:color w:val="auto"/>
        </w:rPr>
      </w:pPr>
    </w:p>
    <w:p>
      <w:pPr>
        <w:ind w:left="640" w:right="48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Corporate Taxpayer</w:t>
      </w:r>
      <w:r>
        <w:rPr>
          <w:rFonts w:ascii="Arial" w:cs="Arial" w:eastAsia="Arial" w:hAnsi="Arial"/>
          <w:sz w:val="21"/>
          <w:szCs w:val="21"/>
          <w:color w:val="auto"/>
        </w:rPr>
        <w:t>” means ZoomInfo Technologies Inc. and any successor corporation and shall include ZoomInfo Intermediate Holdings LLC and any company that is a member of any consolidated Tax Return of which ZoomInfo Technologies Inc. or ZoomInfo Intermediate Holdings LLC is a member.</w:t>
      </w:r>
    </w:p>
    <w:p>
      <w:pPr>
        <w:spacing w:after="0" w:line="167" w:lineRule="exact"/>
        <w:rPr>
          <w:sz w:val="20"/>
          <w:szCs w:val="20"/>
          <w:color w:val="auto"/>
        </w:rPr>
      </w:pPr>
    </w:p>
    <w:p>
      <w:pPr>
        <w:ind w:left="1280" w:hanging="638"/>
        <w:spacing w:after="0"/>
        <w:tabs>
          <w:tab w:leader="none" w:pos="1280" w:val="left"/>
        </w:tabs>
        <w:numPr>
          <w:ilvl w:val="0"/>
          <w:numId w:val="43"/>
        </w:numPr>
        <w:rPr>
          <w:rFonts w:ascii="Arial" w:cs="Arial" w:eastAsia="Arial" w:hAnsi="Arial"/>
          <w:sz w:val="21"/>
          <w:szCs w:val="21"/>
          <w:color w:val="auto"/>
        </w:rPr>
      </w:pPr>
      <w:r>
        <w:rPr>
          <w:rFonts w:ascii="Arial" w:cs="Arial" w:eastAsia="Arial" w:hAnsi="Arial"/>
          <w:sz w:val="21"/>
          <w:szCs w:val="21"/>
          <w:i w:val="1"/>
          <w:iCs w:val="1"/>
          <w:color w:val="auto"/>
        </w:rPr>
        <w:t>A new definition for “RKSI Restructuring” is added as follows:</w:t>
      </w:r>
    </w:p>
    <w:p>
      <w:pPr>
        <w:spacing w:after="0" w:line="216" w:lineRule="exact"/>
        <w:rPr>
          <w:sz w:val="20"/>
          <w:szCs w:val="20"/>
          <w:color w:val="auto"/>
        </w:rPr>
      </w:pPr>
    </w:p>
    <w:p>
      <w:pPr>
        <w:ind w:left="640" w:right="380"/>
        <w:spacing w:after="0" w:line="28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RKSI Restructuring</w:t>
      </w:r>
      <w:r>
        <w:rPr>
          <w:rFonts w:ascii="Arial" w:cs="Arial" w:eastAsia="Arial" w:hAnsi="Arial"/>
          <w:sz w:val="21"/>
          <w:szCs w:val="21"/>
          <w:color w:val="auto"/>
        </w:rPr>
        <w:t>” means the transactions set forth in the Master Reorganization Agreement dated as of August 20, 2021 between the Corporate Taxpayer and the other parties thereto.</w:t>
      </w:r>
    </w:p>
    <w:p>
      <w:pPr>
        <w:sectPr>
          <w:pgSz w:w="11900" w:h="16838" w:orient="portrait"/>
          <w:cols w:equalWidth="0" w:num="1">
            <w:col w:w="11240"/>
          </w:cols>
          <w:pgMar w:left="320" w:top="127" w:right="339" w:bottom="1440" w:gutter="0" w:footer="0" w:header="0"/>
        </w:sectPr>
      </w:pPr>
    </w:p>
    <w:bookmarkStart w:id="96" w:name="page97"/>
    <w:bookmarkEnd w:id="96"/>
    <w:p>
      <w:pPr>
        <w:ind w:left="640" w:hanging="638"/>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21"/>
          <w:szCs w:val="21"/>
          <w:i w:val="1"/>
          <w:iCs w:val="1"/>
          <w:color w:val="auto"/>
        </w:rPr>
        <w:t>Section 2.2(b) of the TRA is hereby amended by adding a new Section 2.2(b)(ii) as follows:</w:t>
      </w:r>
    </w:p>
    <w:p>
      <w:pPr>
        <w:spacing w:after="0" w:line="222" w:lineRule="exact"/>
        <w:rPr>
          <w:sz w:val="20"/>
          <w:szCs w:val="20"/>
          <w:color w:val="auto"/>
        </w:rPr>
      </w:pPr>
    </w:p>
    <w:p>
      <w:pPr>
        <w:ind w:right="220" w:firstLine="636"/>
        <w:spacing w:after="0" w:line="256" w:lineRule="auto"/>
        <w:rPr>
          <w:sz w:val="20"/>
          <w:szCs w:val="20"/>
          <w:color w:val="auto"/>
        </w:rPr>
      </w:pPr>
      <w:r>
        <w:rPr>
          <w:rFonts w:ascii="Arial" w:cs="Arial" w:eastAsia="Arial" w:hAnsi="Arial"/>
          <w:sz w:val="21"/>
          <w:szCs w:val="21"/>
          <w:color w:val="auto"/>
        </w:rPr>
        <w:t>“(ii) Notwithstanding anything in this Agreement to the contrary, the amount of any Basis Adjustment or Common Basis attributable to any TRA Party (and the “with and without” methodology for calculations contemplated by this Agreement) shall not be adversely affected to the extent any entity treated as the Corporate Taxpayer transfers Units to another entity treated as the Corporate Taxpayer in a transaction that is tax-free for United States federal income tax purposes or otherwise as a result of the RKSI Restructuring, and the provisions of this Agreement shall be construed accordingly.”</w:t>
      </w:r>
    </w:p>
    <w:p>
      <w:pPr>
        <w:spacing w:after="0" w:line="177" w:lineRule="exact"/>
        <w:rPr>
          <w:sz w:val="20"/>
          <w:szCs w:val="20"/>
          <w:color w:val="auto"/>
        </w:rPr>
      </w:pPr>
    </w:p>
    <w:p>
      <w:pPr>
        <w:ind w:left="640" w:hanging="638"/>
        <w:spacing w:after="0"/>
        <w:tabs>
          <w:tab w:leader="none" w:pos="640" w:val="left"/>
        </w:tabs>
        <w:numPr>
          <w:ilvl w:val="0"/>
          <w:numId w:val="45"/>
        </w:numPr>
        <w:rPr>
          <w:rFonts w:ascii="Arial" w:cs="Arial" w:eastAsia="Arial" w:hAnsi="Arial"/>
          <w:sz w:val="21"/>
          <w:szCs w:val="21"/>
          <w:color w:val="auto"/>
        </w:rPr>
      </w:pPr>
      <w:r>
        <w:rPr>
          <w:rFonts w:ascii="Arial" w:cs="Arial" w:eastAsia="Arial" w:hAnsi="Arial"/>
          <w:sz w:val="21"/>
          <w:szCs w:val="21"/>
          <w:i w:val="1"/>
          <w:iCs w:val="1"/>
          <w:color w:val="auto"/>
        </w:rPr>
        <w:t>Section 7.11(b) of the TRA is hereby deleted in its entirety and replaced with the following:</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“(b) If the Corporate Taxpayer (or any member of a group described in Section 7.11(a)) transfers or is deemed to transfer any Unit or any Reference Asset to a transferee that is treated as a corporation for United States federal income tax purposes (other than the Corporate Taxpayer or a member of a group described in Section 7.11(a)) in a transaction in which the transferee’s basis in the property acquired is determined in whole or in part by reference to such transferor’s basis in such property, then the Corporate Taxpayer shall cause such transferee to assume the obligation to make payments hereunder with respect to the applicable Tax Attributes associated with any Reference Asset or interest therein acquired (directly or indirectly) in such transfer (taking into account any gain recognized in the transaction) in a manner consistent with the terms of this Agreement as the transferee (or one of its Affiliates) actually realizes Tax benefits from the Tax Attributes. If OpCo transfers (or is deemed to transfer for United States federal income tax purposes) any Reference Asset to a transferee that is treated as a corporation for United States federal income tax purposes (other than the Corporate Taxpayer or a member of a group described in Section 7.11(a)) in a transaction in which the transferee’s basis in the property acquired is determined in whole or in part by reference to such transferor’s basis in such property, OpCo shall be treated as having disposed of the Reference Asset in a wholly taxable transaction. The consideration deemed to be received by OpCo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If any member of a group described in Section 7.11(a) that owns any Unit deconsolidates from the group (or the Corporate Taxpayer deconsolidates from the group), then the Corporate Taxpayer shall cause such member (or the parent of the consolidated group in a case where the Corporate Taxpayer deconsolidates from the 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580"/>
          </w:cols>
          <w:pgMar w:left="960" w:top="1403" w:right="359" w:bottom="1440" w:gutter="0" w:footer="0" w:header="0"/>
        </w:sectPr>
      </w:pPr>
    </w:p>
    <w:bookmarkStart w:id="97" w:name="page98"/>
    <w:bookmarkEnd w:id="97"/>
    <w:p>
      <w:pPr>
        <w:ind w:left="640" w:right="180"/>
        <w:spacing w:after="0" w:line="279" w:lineRule="auto"/>
        <w:rPr>
          <w:sz w:val="20"/>
          <w:szCs w:val="20"/>
          <w:color w:val="auto"/>
        </w:rPr>
      </w:pPr>
      <w:r>
        <w:rPr>
          <w:rFonts w:ascii="Arial" w:cs="Arial" w:eastAsia="Arial" w:hAnsi="Arial"/>
          <w:sz w:val="21"/>
          <w:szCs w:val="21"/>
          <w:color w:val="auto"/>
        </w:rPr>
        <w:t>make payments hereunder pursuant to either of the foregoing sentences, then the initial obligor is relieved of the obligation assumed.”</w:t>
      </w:r>
    </w:p>
    <w:p>
      <w:pPr>
        <w:spacing w:after="0" w:line="154" w:lineRule="exact"/>
        <w:rPr>
          <w:sz w:val="20"/>
          <w:szCs w:val="20"/>
          <w:color w:val="auto"/>
        </w:rPr>
      </w:pPr>
    </w:p>
    <w:p>
      <w:pPr>
        <w:ind w:left="640" w:hanging="634"/>
        <w:spacing w:after="0"/>
        <w:tabs>
          <w:tab w:leader="none" w:pos="64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ind w:right="20" w:firstLine="642"/>
        <w:spacing w:after="0" w:line="305" w:lineRule="auto"/>
        <w:tabs>
          <w:tab w:leader="none" w:pos="1269" w:val="left"/>
        </w:tabs>
        <w:numPr>
          <w:ilvl w:val="1"/>
          <w:numId w:val="46"/>
        </w:numPr>
        <w:rPr>
          <w:rFonts w:ascii="Arial" w:cs="Arial" w:eastAsia="Arial" w:hAnsi="Arial"/>
          <w:sz w:val="20"/>
          <w:szCs w:val="20"/>
          <w:color w:val="auto"/>
        </w:rPr>
      </w:pPr>
      <w:r>
        <w:rPr>
          <w:rFonts w:ascii="Arial" w:cs="Arial" w:eastAsia="Arial" w:hAnsi="Arial"/>
          <w:sz w:val="20"/>
          <w:szCs w:val="20"/>
          <w:i w:val="1"/>
          <w:iCs w:val="1"/>
          <w:color w:val="auto"/>
        </w:rPr>
        <w:t xml:space="preserve">Headings. </w:t>
      </w:r>
      <w:r>
        <w:rPr>
          <w:rFonts w:ascii="Arial" w:cs="Arial" w:eastAsia="Arial" w:hAnsi="Arial"/>
          <w:sz w:val="20"/>
          <w:szCs w:val="20"/>
          <w:color w:val="auto"/>
        </w:rPr>
        <w:t>Section and subsection headings in this Amendment are included herein for convenience of reference only</w:t>
      </w:r>
      <w:r>
        <w:rPr>
          <w:rFonts w:ascii="Arial" w:cs="Arial" w:eastAsia="Arial" w:hAnsi="Arial"/>
          <w:sz w:val="20"/>
          <w:szCs w:val="20"/>
          <w:i w:val="1"/>
          <w:iCs w:val="1"/>
          <w:color w:val="auto"/>
        </w:rPr>
        <w:t xml:space="preserve"> </w:t>
      </w:r>
      <w:r>
        <w:rPr>
          <w:rFonts w:ascii="Arial" w:cs="Arial" w:eastAsia="Arial" w:hAnsi="Arial"/>
          <w:sz w:val="20"/>
          <w:szCs w:val="20"/>
          <w:color w:val="auto"/>
        </w:rPr>
        <w:t>and shall not constitute a part of this Amendment for any other purpose or be given any substantive effect.</w:t>
      </w:r>
    </w:p>
    <w:p>
      <w:pPr>
        <w:spacing w:after="0" w:line="130" w:lineRule="exact"/>
        <w:rPr>
          <w:rFonts w:ascii="Arial" w:cs="Arial" w:eastAsia="Arial" w:hAnsi="Arial"/>
          <w:sz w:val="20"/>
          <w:szCs w:val="20"/>
          <w:color w:val="auto"/>
        </w:rPr>
      </w:pPr>
    </w:p>
    <w:p>
      <w:pPr>
        <w:ind w:right="640" w:firstLine="642"/>
        <w:spacing w:after="0" w:line="264" w:lineRule="auto"/>
        <w:tabs>
          <w:tab w:leader="none" w:pos="1267" w:val="left"/>
        </w:tabs>
        <w:numPr>
          <w:ilvl w:val="1"/>
          <w:numId w:val="46"/>
        </w:numPr>
        <w:rPr>
          <w:rFonts w:ascii="Arial" w:cs="Arial" w:eastAsia="Arial" w:hAnsi="Arial"/>
          <w:sz w:val="21"/>
          <w:szCs w:val="21"/>
          <w:color w:val="auto"/>
        </w:rPr>
      </w:pPr>
      <w:r>
        <w:rPr>
          <w:rFonts w:ascii="Arial" w:cs="Arial" w:eastAsia="Arial" w:hAnsi="Arial"/>
          <w:sz w:val="21"/>
          <w:szCs w:val="21"/>
          <w:i w:val="1"/>
          <w:iCs w:val="1"/>
          <w:color w:val="auto"/>
        </w:rPr>
        <w:t xml:space="preserve">No Other Amendments. </w:t>
      </w:r>
      <w:r>
        <w:rPr>
          <w:rFonts w:ascii="Arial" w:cs="Arial" w:eastAsia="Arial" w:hAnsi="Arial"/>
          <w:sz w:val="21"/>
          <w:szCs w:val="21"/>
          <w:color w:val="auto"/>
        </w:rPr>
        <w:t>Except as modified by this Amendment, the TRA shall remain in full force and effect.</w:t>
      </w:r>
      <w:r>
        <w:rPr>
          <w:rFonts w:ascii="Arial" w:cs="Arial" w:eastAsia="Arial" w:hAnsi="Arial"/>
          <w:sz w:val="21"/>
          <w:szCs w:val="21"/>
          <w:i w:val="1"/>
          <w:iCs w:val="1"/>
          <w:color w:val="auto"/>
        </w:rPr>
        <w:t xml:space="preserve"> </w:t>
      </w:r>
      <w:r>
        <w:rPr>
          <w:rFonts w:ascii="Arial" w:cs="Arial" w:eastAsia="Arial" w:hAnsi="Arial"/>
          <w:sz w:val="21"/>
          <w:szCs w:val="21"/>
          <w:color w:val="auto"/>
        </w:rPr>
        <w:t>Nothing herein shall be held to alter, vary or otherwise affect the terms, conditions and provisions of the TRA, other than as expressly contemplated herein.</w:t>
      </w:r>
    </w:p>
    <w:p>
      <w:pPr>
        <w:spacing w:after="0" w:line="170" w:lineRule="exact"/>
        <w:rPr>
          <w:rFonts w:ascii="Arial" w:cs="Arial" w:eastAsia="Arial" w:hAnsi="Arial"/>
          <w:sz w:val="21"/>
          <w:szCs w:val="21"/>
          <w:color w:val="auto"/>
        </w:rPr>
      </w:pPr>
    </w:p>
    <w:p>
      <w:pPr>
        <w:ind w:firstLine="642"/>
        <w:spacing w:after="0" w:line="256" w:lineRule="auto"/>
        <w:tabs>
          <w:tab w:leader="none" w:pos="1269" w:val="left"/>
        </w:tabs>
        <w:numPr>
          <w:ilvl w:val="1"/>
          <w:numId w:val="46"/>
        </w:numPr>
        <w:rPr>
          <w:rFonts w:ascii="Arial" w:cs="Arial" w:eastAsia="Arial" w:hAnsi="Arial"/>
          <w:sz w:val="21"/>
          <w:szCs w:val="21"/>
          <w:color w:val="auto"/>
        </w:rPr>
      </w:pPr>
      <w:r>
        <w:rPr>
          <w:rFonts w:ascii="Arial" w:cs="Arial" w:eastAsia="Arial" w:hAnsi="Arial"/>
          <w:sz w:val="21"/>
          <w:szCs w:val="21"/>
          <w:i w:val="1"/>
          <w:iCs w:val="1"/>
          <w:color w:val="auto"/>
        </w:rPr>
        <w:t xml:space="preserve">Controlling Law; Forum. </w:t>
      </w:r>
      <w:r>
        <w:rPr>
          <w:rFonts w:ascii="Arial" w:cs="Arial" w:eastAsia="Arial" w:hAnsi="Arial"/>
          <w:sz w:val="21"/>
          <w:szCs w:val="21"/>
          <w:color w:val="auto"/>
        </w:rPr>
        <w:t>This Acknowledgment and Amendment shall be governed by, and construed in accordance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exclusive jurisdiction and venue therein and waive any objection based on venue or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with respect to any action instituted therein.</w:t>
      </w:r>
    </w:p>
    <w:p>
      <w:pPr>
        <w:spacing w:after="0" w:line="177" w:lineRule="exact"/>
        <w:rPr>
          <w:rFonts w:ascii="Arial" w:cs="Arial" w:eastAsia="Arial" w:hAnsi="Arial"/>
          <w:sz w:val="21"/>
          <w:szCs w:val="21"/>
          <w:color w:val="auto"/>
        </w:rPr>
      </w:pPr>
    </w:p>
    <w:p>
      <w:pPr>
        <w:jc w:val="both"/>
        <w:ind w:right="80" w:firstLine="642"/>
        <w:spacing w:after="0" w:line="284" w:lineRule="auto"/>
        <w:tabs>
          <w:tab w:leader="none" w:pos="1267" w:val="left"/>
        </w:tabs>
        <w:numPr>
          <w:ilvl w:val="1"/>
          <w:numId w:val="46"/>
        </w:numPr>
        <w:rPr>
          <w:rFonts w:ascii="Arial" w:cs="Arial" w:eastAsia="Arial" w:hAnsi="Arial"/>
          <w:sz w:val="20"/>
          <w:szCs w:val="20"/>
          <w:color w:val="auto"/>
        </w:rPr>
      </w:pPr>
      <w:r>
        <w:rPr>
          <w:rFonts w:ascii="Arial" w:cs="Arial" w:eastAsia="Arial" w:hAnsi="Arial"/>
          <w:sz w:val="20"/>
          <w:szCs w:val="20"/>
          <w:i w:val="1"/>
          <w:iCs w:val="1"/>
          <w:color w:val="auto"/>
        </w:rPr>
        <w:t xml:space="preserve">Severability. </w:t>
      </w:r>
      <w:r>
        <w:rPr>
          <w:rFonts w:ascii="Arial" w:cs="Arial" w:eastAsia="Arial" w:hAnsi="Arial"/>
          <w:sz w:val="20"/>
          <w:szCs w:val="20"/>
          <w:color w:val="auto"/>
        </w:rPr>
        <w:t>If any provision of this Amendment shall be held invalid, illegal or unenforceable, the validity, legality</w:t>
      </w:r>
      <w:r>
        <w:rPr>
          <w:rFonts w:ascii="Arial" w:cs="Arial" w:eastAsia="Arial" w:hAnsi="Arial"/>
          <w:sz w:val="20"/>
          <w:szCs w:val="20"/>
          <w:i w:val="1"/>
          <w:iCs w:val="1"/>
          <w:color w:val="auto"/>
        </w:rPr>
        <w:t xml:space="preserve"> </w:t>
      </w:r>
      <w:r>
        <w:rPr>
          <w:rFonts w:ascii="Arial" w:cs="Arial" w:eastAsia="Arial" w:hAnsi="Arial"/>
          <w:sz w:val="20"/>
          <w:szCs w:val="20"/>
          <w:color w:val="auto"/>
        </w:rPr>
        <w:t>or enforceability of the other provisions hereof shall not be affected thereby, and there shall be deemed substituted for the provision at issue a valid, legal and enforceable provision as similar as possible to the provision at issue.</w:t>
      </w:r>
    </w:p>
    <w:p>
      <w:pPr>
        <w:spacing w:after="0" w:line="150" w:lineRule="exact"/>
        <w:rPr>
          <w:rFonts w:ascii="Arial" w:cs="Arial" w:eastAsia="Arial" w:hAnsi="Arial"/>
          <w:sz w:val="20"/>
          <w:szCs w:val="20"/>
          <w:color w:val="auto"/>
        </w:rPr>
      </w:pPr>
    </w:p>
    <w:p>
      <w:pPr>
        <w:ind w:right="220" w:firstLine="642"/>
        <w:spacing w:after="0" w:line="257" w:lineRule="auto"/>
        <w:tabs>
          <w:tab w:leader="none" w:pos="1269" w:val="left"/>
        </w:tabs>
        <w:numPr>
          <w:ilvl w:val="1"/>
          <w:numId w:val="46"/>
        </w:numPr>
        <w:rPr>
          <w:rFonts w:ascii="Arial" w:cs="Arial" w:eastAsia="Arial" w:hAnsi="Arial"/>
          <w:sz w:val="21"/>
          <w:szCs w:val="21"/>
          <w:color w:val="auto"/>
        </w:rPr>
      </w:pPr>
      <w:r>
        <w:rPr>
          <w:rFonts w:ascii="Arial" w:cs="Arial" w:eastAsia="Arial" w:hAnsi="Arial"/>
          <w:sz w:val="21"/>
          <w:szCs w:val="21"/>
          <w:i w:val="1"/>
          <w:iCs w:val="1"/>
          <w:color w:val="auto"/>
        </w:rPr>
        <w:t xml:space="preserve">Counterparts. </w:t>
      </w:r>
      <w:r>
        <w:rPr>
          <w:rFonts w:ascii="Arial" w:cs="Arial" w:eastAsia="Arial" w:hAnsi="Arial"/>
          <w:sz w:val="21"/>
          <w:szCs w:val="21"/>
          <w:color w:val="auto"/>
        </w:rPr>
        <w:t>This Amendment may be executed in two or more counterparts, each of which shall be deemed an</w:t>
      </w:r>
      <w:r>
        <w:rPr>
          <w:rFonts w:ascii="Arial" w:cs="Arial" w:eastAsia="Arial" w:hAnsi="Arial"/>
          <w:sz w:val="21"/>
          <w:szCs w:val="21"/>
          <w:i w:val="1"/>
          <w:iCs w:val="1"/>
          <w:color w:val="auto"/>
        </w:rPr>
        <w:t xml:space="preserve"> </w:t>
      </w:r>
      <w:r>
        <w:rPr>
          <w:rFonts w:ascii="Arial" w:cs="Arial" w:eastAsia="Arial" w:hAnsi="Arial"/>
          <w:sz w:val="21"/>
          <w:szCs w:val="21"/>
          <w:color w:val="auto"/>
        </w:rPr>
        <w:t>original and all of which together shall constitute one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98" w:name="page99"/>
    <w:bookmarkEnd w:id="98"/>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ZOOMINFO TECHNOLOGIES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Henry Schuck</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Chief Executive Officer</w:t>
      </w:r>
    </w:p>
    <w:p>
      <w:pPr>
        <w:spacing w:after="0" w:line="198"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ZOOMINFO INTERMEDIATE HOLDINGS LLC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Henry Schuck</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DO HOLDINGS (WA), LLC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Henry Schuck</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MEMBERS:</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22C MAGELLAN HOLDINGS LLC</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-12700</wp:posOffset>
            </wp:positionV>
            <wp:extent cx="1346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Randall Winn</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Signatory</w:t>
      </w:r>
    </w:p>
    <w:p>
      <w:pPr>
        <w:spacing w:after="0" w:line="204"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Eric Edell</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22C DISCOVERORG MM, LLC</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 22C DiscoverOrg Advisors, LLC, its managing member</w:t>
      </w:r>
    </w:p>
    <w:p>
      <w:pPr>
        <w:spacing w:after="0" w:line="234"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Randall Winn</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Managing Member</w:t>
      </w:r>
    </w:p>
    <w:p>
      <w:pPr>
        <w:spacing w:after="0" w:line="204"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Eric Edell</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FIVEW DISCOVERORG LLC</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FiveW Capital LLC, its managing member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-12700</wp:posOffset>
            </wp:positionV>
            <wp:extent cx="1346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David Randall Winn</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right="779"/>
        <w:spacing w:after="0" w:line="478" w:lineRule="auto"/>
        <w:rPr>
          <w:sz w:val="20"/>
          <w:szCs w:val="20"/>
          <w:color w:val="auto"/>
        </w:rPr>
      </w:pPr>
      <w:r>
        <w:rPr>
          <w:rFonts w:ascii="Arial" w:cs="Arial" w:eastAsia="Arial" w:hAnsi="Arial"/>
          <w:sz w:val="21"/>
          <w:szCs w:val="21"/>
          <w:b w:val="1"/>
          <w:bCs w:val="1"/>
          <w:color w:val="auto"/>
        </w:rPr>
        <w:t xml:space="preserve">CARLYLE PARTNERS VI EVERGREEN HOLDINGS, L.P. </w:t>
      </w:r>
      <w:r>
        <w:rPr>
          <w:rFonts w:ascii="Arial" w:cs="Arial" w:eastAsia="Arial" w:hAnsi="Arial"/>
          <w:sz w:val="21"/>
          <w:szCs w:val="21"/>
          <w:color w:val="auto"/>
        </w:rPr>
        <w:t>By: TC Group VI SI, L.P., its general partner By: TC Group VI SI, L.L.C., its general partner</w:t>
      </w:r>
    </w:p>
    <w:p>
      <w:pPr>
        <w:spacing w:after="0" w:line="200" w:lineRule="exact"/>
        <w:rPr>
          <w:sz w:val="20"/>
          <w:szCs w:val="20"/>
          <w:color w:val="auto"/>
        </w:rPr>
      </w:pPr>
    </w:p>
    <w:p>
      <w:pPr>
        <w:spacing w:after="0" w:line="205"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Patrick McCarter</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540"/>
        <w:spacing w:after="0"/>
        <w:rPr>
          <w:sz w:val="20"/>
          <w:szCs w:val="20"/>
          <w:color w:val="auto"/>
        </w:rPr>
      </w:pPr>
      <w:r>
        <w:rPr>
          <w:rFonts w:ascii="Arial" w:cs="Arial" w:eastAsia="Arial" w:hAnsi="Arial"/>
          <w:sz w:val="19"/>
          <w:szCs w:val="19"/>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XI DO AIV, L.P.</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XI GP,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198"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SDF III DO AIV, L.P.</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SDF III GP,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Name: Gregory M. Wallace</w:t>
      </w:r>
    </w:p>
    <w:p>
      <w:pPr>
        <w:spacing w:after="0" w:line="10"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MEMBERS:</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ATLANTIC AND PACIFIC VII-A, L.P.</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AP VII GP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198"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INVESTORS IV, L.P.</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SDF II DO AIV, L.P.</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SDF II, L.P.</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198"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SDF II DO AIV II, L.P.</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SDF II, L.P.</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SDF III DO AIV II, L.P.</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SDF III GP,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198"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TA XI DO AIV II, L.P.</w:t>
      </w:r>
    </w:p>
    <w:p>
      <w:pPr>
        <w:spacing w:after="0" w:line="228"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XI GP, L.P., its general partner</w:t>
      </w:r>
    </w:p>
    <w:p>
      <w:pPr>
        <w:spacing w:after="0" w:line="222"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9499"/>
          </w:cols>
          <w:pgMar w:left="960" w:top="1397" w:right="1440" w:bottom="1440" w:gutter="0" w:footer="0" w:header="0"/>
        </w:sectPr>
      </w:pPr>
    </w:p>
    <w:p>
      <w:pPr>
        <w:spacing w:after="0" w:line="245"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MEMBERS:</w:t>
      </w:r>
    </w:p>
    <w:p>
      <w:pPr>
        <w:spacing w:after="0" w:line="222" w:lineRule="exact"/>
        <w:rPr>
          <w:sz w:val="20"/>
          <w:szCs w:val="20"/>
          <w:color w:val="auto"/>
        </w:rPr>
      </w:pPr>
    </w:p>
    <w:p>
      <w:pPr>
        <w:ind w:left="3180" w:right="1399"/>
        <w:spacing w:after="0" w:line="541" w:lineRule="auto"/>
        <w:rPr>
          <w:sz w:val="20"/>
          <w:szCs w:val="20"/>
          <w:color w:val="auto"/>
        </w:rPr>
      </w:pPr>
      <w:r>
        <w:rPr>
          <w:rFonts w:ascii="Arial" w:cs="Arial" w:eastAsia="Arial" w:hAnsi="Arial"/>
          <w:sz w:val="19"/>
          <w:szCs w:val="19"/>
          <w:b w:val="1"/>
          <w:bCs w:val="1"/>
          <w:color w:val="auto"/>
        </w:rPr>
        <w:t xml:space="preserve">TA AP VII-B DO SUBSIDIARY PARTNERSHIP, L.P. </w:t>
      </w:r>
      <w:r>
        <w:rPr>
          <w:rFonts w:ascii="Arial" w:cs="Arial" w:eastAsia="Arial" w:hAnsi="Arial"/>
          <w:sz w:val="19"/>
          <w:szCs w:val="19"/>
          <w:color w:val="auto"/>
        </w:rPr>
        <w:t>By: TA Associates AP VII GP, L.P., its general partner By: TA Associates US Holding Corp., its general partner</w:t>
      </w:r>
    </w:p>
    <w:p>
      <w:pPr>
        <w:spacing w:after="0" w:line="370" w:lineRule="exact"/>
        <w:rPr>
          <w:sz w:val="20"/>
          <w:szCs w:val="20"/>
          <w:color w:val="auto"/>
        </w:rPr>
      </w:pPr>
    </w:p>
    <w:p>
      <w:pPr>
        <w:ind w:left="31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-12700</wp:posOffset>
            </wp:positionV>
            <wp:extent cx="1346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180"/>
        <w:spacing w:after="0"/>
        <w:tabs>
          <w:tab w:leader="none" w:pos="39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Gregory M. Wallace</w:t>
      </w:r>
    </w:p>
    <w:p>
      <w:pPr>
        <w:spacing w:after="0" w:line="10" w:lineRule="exact"/>
        <w:rPr>
          <w:sz w:val="20"/>
          <w:szCs w:val="20"/>
          <w:color w:val="auto"/>
        </w:rPr>
      </w:pPr>
    </w:p>
    <w:p>
      <w:pPr>
        <w:ind w:left="3180"/>
        <w:spacing w:after="0"/>
        <w:tabs>
          <w:tab w:leader="none" w:pos="38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[Signature Page to Amendment No. 1 to Tax Receivable Agreement (Exchanges)]</w:t>
      </w:r>
    </w:p>
    <w:p>
      <w:pPr>
        <w:sectPr>
          <w:pgSz w:w="11900" w:h="16838" w:orient="portrait"/>
          <w:cols w:equalWidth="0" w:num="1">
            <w:col w:w="9499"/>
          </w:cols>
          <w:pgMar w:left="960" w:top="1397" w:right="1440"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240" w:firstLine="6"/>
        <w:spacing w:after="0" w:line="264" w:lineRule="auto"/>
        <w:tabs>
          <w:tab w:leader="none" w:pos="1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640" w:right="60" w:firstLine="2"/>
        <w:spacing w:after="0" w:line="255"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00" w:hanging="258"/>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43" w:lineRule="exact"/>
        <w:rPr>
          <w:rFonts w:ascii="Arial" w:cs="Arial" w:eastAsia="Arial" w:hAnsi="Arial"/>
          <w:sz w:val="18"/>
          <w:szCs w:val="18"/>
          <w:color w:val="auto"/>
        </w:rPr>
      </w:pPr>
    </w:p>
    <w:p>
      <w:pPr>
        <w:ind w:left="640" w:right="840" w:firstLine="2"/>
        <w:spacing w:after="0" w:line="365" w:lineRule="auto"/>
        <w:tabs>
          <w:tab w:leader="none" w:pos="8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640" w:right="300" w:firstLine="2"/>
        <w:spacing w:after="0" w:line="255" w:lineRule="auto"/>
        <w:tabs>
          <w:tab w:leader="none" w:pos="8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294" w:lineRule="auto"/>
        <w:tabs>
          <w:tab w:leader="none" w:pos="957"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960" w:right="120" w:hanging="318"/>
        <w:spacing w:after="0" w:line="264" w:lineRule="auto"/>
        <w:tabs>
          <w:tab w:leader="none" w:pos="9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9" w:right="339" w:bottom="1440" w:gutter="0" w:footer="0" w:header="0"/>
        </w:sectPr>
      </w:pPr>
    </w:p>
    <w:bookmarkStart w:id="108" w:name="page109"/>
    <w:bookmarkEnd w:id="108"/>
    <w:p>
      <w:pPr>
        <w:spacing w:after="0" w:line="200" w:lineRule="exact"/>
        <w:rPr>
          <w:sz w:val="20"/>
          <w:szCs w:val="20"/>
          <w:color w:val="auto"/>
        </w:rPr>
      </w:pPr>
    </w:p>
    <w:p>
      <w:pPr>
        <w:spacing w:after="0" w:line="3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27940</wp:posOffset>
            </wp:positionV>
            <wp:extent cx="3079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38"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 2021</w:t>
      </w:r>
      <w:r>
        <w:rPr>
          <w:sz w:val="20"/>
          <w:szCs w:val="20"/>
          <w:color w:val="auto"/>
        </w:rPr>
        <w:tab/>
      </w:r>
      <w:r>
        <w:rPr>
          <w:rFonts w:ascii="Arial" w:cs="Arial" w:eastAsia="Arial" w:hAnsi="Arial"/>
          <w:sz w:val="15"/>
          <w:szCs w:val="15"/>
          <w:color w:val="auto"/>
        </w:rPr>
        <w:t>Henry Schuck</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P. Cameron Hyzer, certify that:</w:t>
      </w:r>
    </w:p>
    <w:p>
      <w:pPr>
        <w:spacing w:after="0" w:line="244" w:lineRule="exact"/>
        <w:rPr>
          <w:sz w:val="20"/>
          <w:szCs w:val="20"/>
          <w:color w:val="auto"/>
        </w:rPr>
      </w:pPr>
    </w:p>
    <w:p>
      <w:pPr>
        <w:ind w:left="180" w:hanging="174"/>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240" w:firstLine="6"/>
        <w:spacing w:after="0" w:line="264" w:lineRule="auto"/>
        <w:tabs>
          <w:tab w:leader="none" w:pos="1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640" w:right="60" w:firstLine="2"/>
        <w:spacing w:after="0" w:line="255"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00" w:hanging="258"/>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43" w:lineRule="exact"/>
        <w:rPr>
          <w:rFonts w:ascii="Arial" w:cs="Arial" w:eastAsia="Arial" w:hAnsi="Arial"/>
          <w:sz w:val="18"/>
          <w:szCs w:val="18"/>
          <w:color w:val="auto"/>
        </w:rPr>
      </w:pPr>
    </w:p>
    <w:p>
      <w:pPr>
        <w:ind w:left="640" w:right="840" w:firstLine="2"/>
        <w:spacing w:after="0" w:line="365" w:lineRule="auto"/>
        <w:tabs>
          <w:tab w:leader="none" w:pos="88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640" w:right="300" w:firstLine="2"/>
        <w:spacing w:after="0" w:line="255" w:lineRule="auto"/>
        <w:tabs>
          <w:tab w:leader="none" w:pos="8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294" w:lineRule="auto"/>
        <w:tabs>
          <w:tab w:leader="none" w:pos="957"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640" w:right="200" w:firstLine="2"/>
        <w:spacing w:after="0" w:line="264" w:lineRule="auto"/>
        <w:tabs>
          <w:tab w:leader="none" w:pos="8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9" w:right="339" w:bottom="1440" w:gutter="0" w:footer="0" w:header="0"/>
        </w:sectPr>
      </w:pPr>
    </w:p>
    <w:bookmarkStart w:id="110" w:name="page111"/>
    <w:bookmarkEnd w:id="110"/>
    <w:p>
      <w:pPr>
        <w:spacing w:after="0" w:line="200" w:lineRule="exact"/>
        <w:rPr>
          <w:sz w:val="20"/>
          <w:szCs w:val="20"/>
          <w:color w:val="auto"/>
        </w:rPr>
      </w:pPr>
    </w:p>
    <w:p>
      <w:pPr>
        <w:spacing w:after="0" w:line="343"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 2021</w:t>
      </w:r>
      <w:r>
        <w:rPr>
          <w:sz w:val="20"/>
          <w:szCs w:val="20"/>
          <w:color w:val="auto"/>
        </w:rPr>
        <w:tab/>
      </w:r>
      <w:r>
        <w:rPr>
          <w:rFonts w:ascii="Arial" w:cs="Arial" w:eastAsia="Arial" w:hAnsi="Arial"/>
          <w:sz w:val="15"/>
          <w:szCs w:val="15"/>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27940</wp:posOffset>
            </wp:positionV>
            <wp:extent cx="3079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5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 Cameron Hyzer</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32.1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the Quarterly Report on Form 10-Q of ZoomInfo Technologies Inc. (the “Company”) for the quarterly period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2021 as filed with the Securities and Exchange Commission on the date hereof (the “Report”), Henry Schuck, as Chief Executive Officer of the</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Company, and P. Cameron Hyzer, as Chief Financial Officer of the Company, each hereby certifies, pursuant to 18 U.S.C. § 1350, as adopted pursuant to §</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906 of the Sarbanes-Oxley Act of 2002, that, to the best of his knowledge:</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Company.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27940</wp:posOffset>
            </wp:positionV>
            <wp:extent cx="30962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Henry Schuck</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3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27940</wp:posOffset>
            </wp:positionV>
            <wp:extent cx="30962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 Cameron Hyzer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Roman"/>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lowerRoman"/>
      <w:start w:val="10"/>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lowerLetter"/>
      <w:start w:val="4"/>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4"/>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4"/>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lvl w:ilvl="1">
      <w:lvlJc w:val="left"/>
      <w:lvlText w:val="%2"/>
      <w:numFmt w:val="decimal"/>
      <w:start w:val="104"/>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3"/>
    </w:lvl>
  </w:abstractNum>
  <w:abstractNum w:abstractNumId="37">
    <w:nsid w:val="2A487CB0"/>
    <w:multiLevelType w:val="hybridMultilevel"/>
    <w:lvl w:ilvl="0">
      <w:lvlJc w:val="left"/>
      <w:lvlText w:val="(%1)"/>
      <w:numFmt w:val="lowerLetter"/>
      <w:start w:val="4"/>
    </w:lvl>
  </w:abstractNum>
  <w:abstractNum w:abstractNumId="38">
    <w:nsid w:val="1D4ED43B"/>
    <w:multiLevelType w:val="hybridMultilevel"/>
    <w:lvl w:ilvl="0">
      <w:lvlJc w:val="left"/>
      <w:lvlText w:val="(%1)"/>
      <w:numFmt w:val="lowerLetter"/>
      <w:start w:val="5"/>
    </w:lvl>
    <w:lvl w:ilvl="1">
      <w:lvlJc w:val="left"/>
      <w:lvlText w:val="(%2)"/>
      <w:numFmt w:val="lowerLetter"/>
      <w:start w:val="2"/>
    </w:lvl>
  </w:abstractNum>
  <w:abstractNum w:abstractNumId="39">
    <w:nsid w:val="725A06FB"/>
    <w:multiLevelType w:val="hybridMultilevel"/>
    <w:lvl w:ilvl="0">
      <w:lvlJc w:val="left"/>
      <w:lvlText w:val="%1."/>
      <w:numFmt w:val="decimal"/>
      <w:start w:val="2"/>
    </w:lvl>
    <w:lvl w:ilvl="1">
      <w:lvlJc w:val="left"/>
      <w:lvlText w:val="(%2)"/>
      <w:numFmt w:val="lowerLetter"/>
      <w:start w:val="1"/>
    </w:lvl>
  </w:abstractNum>
  <w:abstractNum w:abstractNumId="40">
    <w:nsid w:val="2CD89A32"/>
    <w:multiLevelType w:val="hybridMultilevel"/>
    <w:lvl w:ilvl="0">
      <w:lvlJc w:val="left"/>
      <w:lvlText w:val="%1."/>
      <w:numFmt w:val="decimal"/>
      <w:start w:val="1"/>
    </w:lvl>
    <w:lvl w:ilvl="1">
      <w:lvlJc w:val="left"/>
      <w:lvlText w:val="(%2)"/>
      <w:numFmt w:val="lowerLetter"/>
      <w:start w:val="1"/>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lowerLetter"/>
      <w:start w:val="3"/>
    </w:lvl>
  </w:abstractNum>
  <w:abstractNum w:abstractNumId="43">
    <w:nsid w:val="4B588F54"/>
    <w:multiLevelType w:val="hybridMultilevel"/>
    <w:lvl w:ilvl="0">
      <w:lvlJc w:val="left"/>
      <w:lvlText w:val="(%1)"/>
      <w:numFmt w:val="lowerLetter"/>
      <w:start w:val="4"/>
    </w:lvl>
  </w:abstractNum>
  <w:abstractNum w:abstractNumId="44">
    <w:nsid w:val="542289EC"/>
    <w:multiLevelType w:val="hybridMultilevel"/>
    <w:lvl w:ilvl="0">
      <w:lvlJc w:val="left"/>
      <w:lvlText w:val="(%1)"/>
      <w:numFmt w:val="lowerLetter"/>
      <w:start w:val="5"/>
    </w:lvl>
  </w:abstractNum>
  <w:abstractNum w:abstractNumId="45">
    <w:nsid w:val="6DE91B18"/>
    <w:multiLevelType w:val="hybridMultilevel"/>
    <w:lvl w:ilvl="0">
      <w:lvlJc w:val="left"/>
      <w:lvlText w:val="%1."/>
      <w:numFmt w:val="decimal"/>
      <w:start w:val="2"/>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13" Type="http://schemas.openxmlformats.org/officeDocument/2006/relationships/hyperlink" Target="http://www.sec.gov/Archives/edgar/data/1794515/000162828020009137/exhibit31-closing8xkxchart.htm" TargetMode="External"/><Relationship Id="rId114" Type="http://schemas.openxmlformats.org/officeDocument/2006/relationships/hyperlink" Target="http://www.sec.gov/Archives/edgar/data/1794515/000162828020009137/exhibit32-closing8xkxbylaws.htm" TargetMode="External"/><Relationship Id="rId115" Type="http://schemas.openxmlformats.org/officeDocument/2006/relationships/hyperlink" Target="https://www.sec.gov/Archives/edgar/data/0001794515/000179451521000034/exhibit041xclosingxindent.htm" TargetMode="External"/><Relationship Id="rId116" Type="http://schemas.openxmlformats.org/officeDocument/2006/relationships/hyperlink" Target="https://www.sec.gov/Archives/edgar/data/0001794515/000179451521000174/zi-8kex42x20210715.htm" TargetMode="External"/><Relationship Id="rId117" Type="http://schemas.openxmlformats.org/officeDocument/2006/relationships/hyperlink" Target="https://www.sec.gov/Archives/edgar/data/0001794515/000179451521000183/zi-8kex101x202107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2021-11-01T16:13:29Z</dcterms:created>
  <dcterms:modified xsi:type="dcterms:W3CDTF">2021-11-01T16:13:29Z</dcterms:modified>
</cp:coreProperties>
</file>