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69215</wp:posOffset>
            </wp:positionV>
            <wp:extent cx="1225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101600</wp:posOffset>
            </wp:positionV>
            <wp:extent cx="1225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5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700" w:hanging="368"/>
        <w:spacing w:after="0"/>
        <w:tabs>
          <w:tab w:leader="none" w:pos="7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5" w:lineRule="exact"/>
        <w:rPr>
          <w:sz w:val="24"/>
          <w:szCs w:val="24"/>
          <w:color w:val="auto"/>
        </w:rPr>
      </w:pPr>
    </w:p>
    <w:p>
      <w:pPr>
        <w:ind w:left="700" w:hanging="368"/>
        <w:spacing w:after="0"/>
        <w:tabs>
          <w:tab w:leader="none" w:pos="7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60"/>
          </w:cols>
          <w:pgMar w:left="320" w:top="1436" w:right="319" w:bottom="1440" w:gutter="0" w:footer="0" w:header="0"/>
        </w:sectPr>
      </w:pPr>
    </w:p>
    <w:p>
      <w:pPr>
        <w:spacing w:after="0" w:line="12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3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90170</wp:posOffset>
            </wp:positionV>
            <wp:extent cx="1225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449" w:lineRule="exact"/>
        <w:rPr>
          <w:sz w:val="24"/>
          <w:szCs w:val="24"/>
          <w:color w:val="auto"/>
        </w:rPr>
      </w:pPr>
    </w:p>
    <w:p>
      <w:pPr>
        <w:sectPr>
          <w:pgSz w:w="11900" w:h="16838" w:orient="portrait"/>
          <w:cols w:equalWidth="0" w:num="2">
            <w:col w:w="6840" w:space="40"/>
            <w:col w:w="4380"/>
          </w:cols>
          <w:pgMar w:left="320" w:top="1436" w:right="319" w:bottom="1440" w:gutter="0" w:footer="0" w:header="0"/>
          <w:type w:val="continuous"/>
        </w:sectPr>
      </w:pP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387"/>
        </w:trPr>
        <w:tc>
          <w:tcPr>
            <w:tcW w:w="3520" w:type="dxa"/>
            <w:vAlign w:val="bottom"/>
          </w:tcPr>
          <w:p>
            <w:pPr>
              <w:spacing w:after="0"/>
              <w:rPr>
                <w:sz w:val="24"/>
                <w:szCs w:val="24"/>
                <w:color w:val="auto"/>
              </w:rPr>
            </w:pPr>
          </w:p>
        </w:tc>
        <w:tc>
          <w:tcPr>
            <w:tcW w:w="4360" w:type="dxa"/>
            <w:vAlign w:val="bottom"/>
            <w:gridSpan w:val="5"/>
          </w:tcPr>
          <w:p>
            <w:pPr>
              <w:jc w:val="center"/>
              <w:ind w:right="160"/>
              <w:spacing w:after="0"/>
              <w:rPr>
                <w:sz w:val="20"/>
                <w:szCs w:val="20"/>
                <w:color w:val="auto"/>
              </w:rPr>
            </w:pPr>
            <w:r>
              <w:rPr>
                <w:rFonts w:ascii="Times New Roman" w:cs="Times New Roman" w:eastAsia="Times New Roman" w:hAnsi="Times New Roman"/>
                <w:sz w:val="32"/>
                <w:szCs w:val="32"/>
                <w:b w:val="1"/>
                <w:bCs w:val="1"/>
                <w:color w:val="auto"/>
              </w:rPr>
              <w:t>ZoomInfo Technologies Inc.</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52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380" w:type="dxa"/>
            <w:vAlign w:val="bottom"/>
            <w:vMerge w:val="restart"/>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84-3721253</w:t>
            </w:r>
          </w:p>
        </w:tc>
        <w:tc>
          <w:tcPr>
            <w:tcW w:w="0" w:type="dxa"/>
            <w:vAlign w:val="bottom"/>
          </w:tcPr>
          <w:p>
            <w:pPr>
              <w:spacing w:after="0"/>
              <w:rPr>
                <w:sz w:val="1"/>
                <w:szCs w:val="1"/>
                <w:color w:val="auto"/>
              </w:rPr>
            </w:pPr>
          </w:p>
        </w:tc>
      </w:tr>
      <w:tr>
        <w:trPr>
          <w:trHeight w:val="348"/>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520" w:type="dxa"/>
            <w:vAlign w:val="bottom"/>
          </w:tcPr>
          <w:p>
            <w:pPr>
              <w:jc w:val="center"/>
              <w:ind w:left="169"/>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tcPr>
          <w:p>
            <w:pPr>
              <w:jc w:val="center"/>
              <w:ind w:right="349"/>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2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80" w:type="dxa"/>
            <w:vAlign w:val="bottom"/>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5"/>
        </w:trPr>
        <w:tc>
          <w:tcPr>
            <w:tcW w:w="35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805 Broadway Street, Suite 900</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5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w w:val="99"/>
              </w:rPr>
              <w:t>Vancouver, Washington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jc w:val="right"/>
              <w:ind w:right="1489"/>
              <w:spacing w:after="0"/>
              <w:rPr>
                <w:sz w:val="20"/>
                <w:szCs w:val="20"/>
                <w:color w:val="auto"/>
              </w:rPr>
            </w:pPr>
            <w:r>
              <w:rPr>
                <w:rFonts w:ascii="Times New Roman" w:cs="Times New Roman" w:eastAsia="Times New Roman" w:hAnsi="Times New Roman"/>
                <w:sz w:val="14"/>
                <w:szCs w:val="14"/>
                <w:b w:val="1"/>
                <w:bCs w:val="1"/>
                <w:color w:val="auto"/>
              </w:rPr>
              <w:t>98660</w:t>
            </w:r>
          </w:p>
        </w:tc>
        <w:tc>
          <w:tcPr>
            <w:tcW w:w="0" w:type="dxa"/>
            <w:vAlign w:val="bottom"/>
          </w:tcPr>
          <w:p>
            <w:pPr>
              <w:spacing w:after="0"/>
              <w:rPr>
                <w:sz w:val="1"/>
                <w:szCs w:val="1"/>
                <w:color w:val="auto"/>
              </w:rPr>
            </w:pPr>
          </w:p>
        </w:tc>
      </w:tr>
      <w:tr>
        <w:trPr>
          <w:trHeight w:val="378"/>
        </w:trPr>
        <w:tc>
          <w:tcPr>
            <w:tcW w:w="352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jc w:val="right"/>
              <w:ind w:right="134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3080" w:type="dxa"/>
            <w:vAlign w:val="bottom"/>
            <w:gridSpan w:val="3"/>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(800) 914-1220</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2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4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Borders>
              <w:right w:val="single" w:sz="8" w:color="auto"/>
            </w:tcBorders>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80" w:type="dxa"/>
            <w:vAlign w:val="bottom"/>
          </w:tcPr>
          <w:p>
            <w:pPr>
              <w:spacing w:after="0"/>
              <w:rPr>
                <w:sz w:val="14"/>
                <w:szCs w:val="14"/>
                <w:color w:val="auto"/>
              </w:rPr>
            </w:pPr>
          </w:p>
        </w:tc>
        <w:tc>
          <w:tcPr>
            <w:tcW w:w="3380" w:type="dxa"/>
            <w:vAlign w:val="bottom"/>
            <w:tcBorders>
              <w:right w:val="single" w:sz="8" w:color="auto"/>
            </w:tcBorders>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30"/>
        </w:trPr>
        <w:tc>
          <w:tcPr>
            <w:tcW w:w="352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520" w:type="dxa"/>
            <w:vAlign w:val="bottom"/>
            <w:tcBorders>
              <w:left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color w:val="auto"/>
              </w:rPr>
              <w:t>Class A common stock, par value $0.01 per share</w:t>
            </w:r>
          </w:p>
        </w:tc>
        <w:tc>
          <w:tcPr>
            <w:tcW w:w="24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840" w:type="dxa"/>
            <w:vAlign w:val="bottom"/>
            <w:tcBorders>
              <w:right w:val="single" w:sz="8" w:color="auto"/>
            </w:tcBorders>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3"/>
              </w:rPr>
              <w:t>ZI</w:t>
            </w:r>
          </w:p>
        </w:tc>
        <w:tc>
          <w:tcPr>
            <w:tcW w:w="380" w:type="dxa"/>
            <w:vAlign w:val="bottom"/>
          </w:tcPr>
          <w:p>
            <w:pPr>
              <w:spacing w:after="0"/>
              <w:rPr>
                <w:sz w:val="20"/>
                <w:szCs w:val="20"/>
                <w:color w:val="auto"/>
              </w:rPr>
            </w:pPr>
          </w:p>
        </w:tc>
        <w:tc>
          <w:tcPr>
            <w:tcW w:w="3380" w:type="dxa"/>
            <w:vAlign w:val="bottom"/>
            <w:tcBorders>
              <w:right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2" w:lineRule="exact"/>
        <w:rPr>
          <w:sz w:val="24"/>
          <w:szCs w:val="24"/>
          <w:color w:val="auto"/>
        </w:rPr>
      </w:pPr>
    </w:p>
    <w:p>
      <w:pPr>
        <w:jc w:val="both"/>
        <w:ind w:right="4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right="2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4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300" w:type="dxa"/>
            <w:vAlign w:val="bottom"/>
          </w:tcPr>
          <w:p>
            <w:pPr>
              <w:ind w:left="354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ind w:right="2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340"/>
        <w:spacing w:after="0" w:line="161" w:lineRule="exact"/>
        <w:tabs>
          <w:tab w:leader="none" w:pos="74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107315</wp:posOffset>
            </wp:positionV>
            <wp:extent cx="122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November 11, 2020, the number of outstanding shares of the registrant's common stock was:</w:t>
      </w:r>
    </w:p>
    <w:p>
      <w:pPr>
        <w:spacing w:after="0" w:line="16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69,240,501 shares of Class A common stock.</w:t>
      </w:r>
    </w:p>
    <w:p>
      <w:pPr>
        <w:spacing w:after="0" w:line="16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228,488,162 shares of Class B common stock.</w:t>
      </w:r>
    </w:p>
    <w:p>
      <w:pPr>
        <w:spacing w:after="0" w:line="16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91,582,353 shares of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36" w:right="319" w:bottom="1440" w:gutter="0" w:footer="0" w:header="0"/>
          <w:type w:val="continuous"/>
        </w:sectPr>
      </w:pPr>
    </w:p>
    <w:bookmarkStart w:id="1" w:name="page2"/>
    <w:bookmarkEnd w:id="1"/>
    <w:p>
      <w:pPr>
        <w:spacing w:after="0" w:line="13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40" w:type="dxa"/>
            <w:vAlign w:val="bottom"/>
            <w:vMerge w:val="restart"/>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Glossary</w:t>
              </w:r>
            </w:hyperlink>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0440" w:type="dxa"/>
            <w:vAlign w:val="bottom"/>
            <w:vMerge w:val="continue"/>
          </w:tcPr>
          <w:p>
            <w:pPr>
              <w:spacing w:after="0"/>
              <w:rPr>
                <w:sz w:val="19"/>
                <w:szCs w:val="19"/>
                <w:color w:val="auto"/>
              </w:rPr>
            </w:pPr>
          </w:p>
        </w:tc>
        <w:tc>
          <w:tcPr>
            <w:tcW w:w="780" w:type="dxa"/>
            <w:vAlign w:val="bottom"/>
          </w:tcPr>
          <w:p>
            <w:pPr>
              <w:jc w:val="center"/>
              <w:spacing w:after="0"/>
              <w:rPr>
                <w:rFonts w:ascii="Times New Roman" w:cs="Times New Roman" w:eastAsia="Times New Roman" w:hAnsi="Times New Roman"/>
                <w:sz w:val="14"/>
                <w:szCs w:val="14"/>
                <w:b w:val="1"/>
                <w:bCs w:val="1"/>
                <w:u w:val="single" w:color="auto"/>
                <w:color w:val="0000FF"/>
              </w:rPr>
            </w:pPr>
            <w:hyperlink w:anchor="page2">
              <w:r>
                <w:rPr>
                  <w:rFonts w:ascii="Times New Roman" w:cs="Times New Roman" w:eastAsia="Times New Roman" w:hAnsi="Times New Roman"/>
                  <w:sz w:val="14"/>
                  <w:szCs w:val="14"/>
                  <w:b w:val="1"/>
                  <w:bCs w:val="1"/>
                  <w:u w:val="single" w:color="auto"/>
                  <w:color w:val="0000FF"/>
                </w:rPr>
                <w:t>ii</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Cautionary Statement Regarding Forward-Looking Statements</w:t>
              </w:r>
            </w:hyperlink>
          </w:p>
        </w:tc>
        <w:tc>
          <w:tcPr>
            <w:tcW w:w="780" w:type="dxa"/>
            <w:vAlign w:val="bottom"/>
          </w:tcPr>
          <w:p>
            <w:pPr>
              <w:jc w:val="center"/>
              <w:spacing w:after="0"/>
              <w:rPr>
                <w:rFonts w:ascii="Times New Roman" w:cs="Times New Roman" w:eastAsia="Times New Roman" w:hAnsi="Times New Roman"/>
                <w:sz w:val="14"/>
                <w:szCs w:val="14"/>
                <w:b w:val="1"/>
                <w:bCs w:val="1"/>
                <w:u w:val="single" w:color="auto"/>
                <w:color w:val="0000FF"/>
                <w:w w:val="91"/>
              </w:rPr>
            </w:pPr>
            <w:hyperlink w:anchor="page4">
              <w:r>
                <w:rPr>
                  <w:rFonts w:ascii="Times New Roman" w:cs="Times New Roman" w:eastAsia="Times New Roman" w:hAnsi="Times New Roman"/>
                  <w:sz w:val="14"/>
                  <w:szCs w:val="14"/>
                  <w:b w:val="1"/>
                  <w:bCs w:val="1"/>
                  <w:u w:val="single" w:color="auto"/>
                  <w:color w:val="0000FF"/>
                  <w:w w:val="91"/>
                </w:rPr>
                <w:t>iv</w:t>
              </w:r>
            </w:hyperlink>
          </w:p>
        </w:tc>
        <w:tc>
          <w:tcPr>
            <w:tcW w:w="0" w:type="dxa"/>
            <w:vAlign w:val="bottom"/>
          </w:tcPr>
          <w:p>
            <w:pPr>
              <w:spacing w:after="0"/>
              <w:rPr>
                <w:sz w:val="1"/>
                <w:szCs w:val="1"/>
                <w:color w:val="auto"/>
              </w:rPr>
            </w:pPr>
          </w:p>
        </w:tc>
      </w:tr>
      <w:tr>
        <w:trPr>
          <w:trHeight w:val="483"/>
        </w:trPr>
        <w:tc>
          <w:tcPr>
            <w:tcW w:w="10440" w:type="dxa"/>
            <w:vAlign w:val="bottom"/>
          </w:tcPr>
          <w:p>
            <w:pPr>
              <w:ind w:left="414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PART I - FINANCIAL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Item 1. Financial Statements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1</w:t>
              </w:r>
            </w:hyperlink>
          </w:p>
        </w:tc>
        <w:tc>
          <w:tcPr>
            <w:tcW w:w="0" w:type="dxa"/>
            <w:vAlign w:val="bottom"/>
          </w:tcPr>
          <w:p>
            <w:pPr>
              <w:spacing w:after="0"/>
              <w:rPr>
                <w:sz w:val="1"/>
                <w:szCs w:val="1"/>
                <w:color w:val="auto"/>
              </w:rPr>
            </w:pPr>
          </w:p>
        </w:tc>
      </w:tr>
      <w:tr>
        <w:trPr>
          <w:trHeight w:val="270"/>
        </w:trPr>
        <w:tc>
          <w:tcPr>
            <w:tcW w:w="10440" w:type="dxa"/>
            <w:vAlign w:val="bottom"/>
          </w:tcPr>
          <w:p>
            <w:pPr>
              <w:ind w:left="68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Condensed Consolidated Balance Sheets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270"/>
        </w:trPr>
        <w:tc>
          <w:tcPr>
            <w:tcW w:w="10440" w:type="dxa"/>
            <w:vAlign w:val="bottom"/>
          </w:tcPr>
          <w:p>
            <w:pPr>
              <w:ind w:left="68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Consolidated Statements of Operations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270"/>
        </w:trPr>
        <w:tc>
          <w:tcPr>
            <w:tcW w:w="10440" w:type="dxa"/>
            <w:vAlign w:val="bottom"/>
          </w:tcPr>
          <w:p>
            <w:pPr>
              <w:ind w:left="68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Consolidated Statements of Comprehensive Loss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270"/>
        </w:trPr>
        <w:tc>
          <w:tcPr>
            <w:tcW w:w="10440" w:type="dxa"/>
            <w:vAlign w:val="bottom"/>
          </w:tcPr>
          <w:p>
            <w:pPr>
              <w:ind w:left="680"/>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Consolidated Statements of Changes in Equity (Deficit)</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70"/>
        </w:trPr>
        <w:tc>
          <w:tcPr>
            <w:tcW w:w="10440" w:type="dxa"/>
            <w:vAlign w:val="bottom"/>
          </w:tcPr>
          <w:p>
            <w:pPr>
              <w:ind w:left="68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Consolidated Statements of Cash Flows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8</w:t>
              </w:r>
            </w:hyperlink>
          </w:p>
        </w:tc>
        <w:tc>
          <w:tcPr>
            <w:tcW w:w="0" w:type="dxa"/>
            <w:vAlign w:val="bottom"/>
          </w:tcPr>
          <w:p>
            <w:pPr>
              <w:spacing w:after="0"/>
              <w:rPr>
                <w:sz w:val="1"/>
                <w:szCs w:val="1"/>
                <w:color w:val="auto"/>
              </w:rPr>
            </w:pPr>
          </w:p>
        </w:tc>
      </w:tr>
      <w:tr>
        <w:trPr>
          <w:trHeight w:val="270"/>
        </w:trPr>
        <w:tc>
          <w:tcPr>
            <w:tcW w:w="10440" w:type="dxa"/>
            <w:vAlign w:val="bottom"/>
          </w:tcPr>
          <w:p>
            <w:pPr>
              <w:ind w:left="680"/>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Notes to the Consolidated Financial Statements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9</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Item 2. Management's Discussion and Analysis of Financial Condition and Results of Operations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43</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Item 3. Quantitative and Qualitative Disclosures About Market Risk</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3">
              <w:r>
                <w:rPr>
                  <w:rFonts w:ascii="Times New Roman" w:cs="Times New Roman" w:eastAsia="Times New Roman" w:hAnsi="Times New Roman"/>
                  <w:sz w:val="18"/>
                  <w:szCs w:val="18"/>
                  <w:u w:val="single" w:color="auto"/>
                  <w:color w:val="0000FF"/>
                  <w:w w:val="99"/>
                </w:rPr>
                <w:t>66</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Item 4. Controls and Procedures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4">
              <w:r>
                <w:rPr>
                  <w:rFonts w:ascii="Times New Roman" w:cs="Times New Roman" w:eastAsia="Times New Roman" w:hAnsi="Times New Roman"/>
                  <w:sz w:val="18"/>
                  <w:szCs w:val="18"/>
                  <w:u w:val="single" w:color="auto"/>
                  <w:color w:val="0000FF"/>
                  <w:w w:val="99"/>
                </w:rPr>
                <w:t>67</w:t>
              </w:r>
            </w:hyperlink>
          </w:p>
        </w:tc>
        <w:tc>
          <w:tcPr>
            <w:tcW w:w="0" w:type="dxa"/>
            <w:vAlign w:val="bottom"/>
          </w:tcPr>
          <w:p>
            <w:pPr>
              <w:spacing w:after="0"/>
              <w:rPr>
                <w:sz w:val="1"/>
                <w:szCs w:val="1"/>
                <w:color w:val="auto"/>
              </w:rPr>
            </w:pPr>
          </w:p>
        </w:tc>
      </w:tr>
      <w:tr>
        <w:trPr>
          <w:trHeight w:val="270"/>
        </w:trPr>
        <w:tc>
          <w:tcPr>
            <w:tcW w:w="10440" w:type="dxa"/>
            <w:vAlign w:val="bottom"/>
          </w:tcPr>
          <w:p>
            <w:pPr>
              <w:ind w:left="4280"/>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PART II - OTHER INFORMATION</w:t>
              </w:r>
            </w:hyperlink>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1. Legal Proceedings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68</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1A. Risk Factors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68</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2. Unregistered Sales of Equity Securities and Use of Proceeds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68</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3. Defaults Upon Senior Securities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68</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4. Mine Safety Disclosures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68</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5. Other Information</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68</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Item 6. Exhibits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69</w:t>
              </w:r>
            </w:hyperlink>
          </w:p>
        </w:tc>
        <w:tc>
          <w:tcPr>
            <w:tcW w:w="0" w:type="dxa"/>
            <w:vAlign w:val="bottom"/>
          </w:tcPr>
          <w:p>
            <w:pPr>
              <w:spacing w:after="0"/>
              <w:rPr>
                <w:sz w:val="1"/>
                <w:szCs w:val="1"/>
                <w:color w:val="auto"/>
              </w:rPr>
            </w:pPr>
          </w:p>
        </w:tc>
      </w:tr>
      <w:tr>
        <w:trPr>
          <w:trHeight w:val="270"/>
        </w:trPr>
        <w:tc>
          <w:tcPr>
            <w:tcW w:w="10440" w:type="dxa"/>
            <w:vAlign w:val="bottom"/>
          </w:tcPr>
          <w:p>
            <w:pPr>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Signatures</w:t>
              </w:r>
            </w:hyperlink>
          </w:p>
        </w:tc>
        <w:tc>
          <w:tcPr>
            <w:tcW w:w="7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6">
              <w:r>
                <w:rPr>
                  <w:rFonts w:ascii="Times New Roman" w:cs="Times New Roman" w:eastAsia="Times New Roman" w:hAnsi="Times New Roman"/>
                  <w:sz w:val="18"/>
                  <w:szCs w:val="18"/>
                  <w:u w:val="single" w:color="auto"/>
                  <w:color w:val="0000FF"/>
                  <w:w w:val="99"/>
                </w:rPr>
                <w:t>70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used in this quarterly report on Form 10-Q (this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1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22C Capital</w:t>
      </w:r>
      <w:r>
        <w:rPr>
          <w:rFonts w:ascii="Times New Roman" w:cs="Times New Roman" w:eastAsia="Times New Roman" w:hAnsi="Times New Roman"/>
          <w:sz w:val="18"/>
          <w:szCs w:val="18"/>
          <w:color w:val="auto"/>
        </w:rPr>
        <w:t>” refers to investment funds associated with 22C Capital LLC and its predecessor.</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ACV</w:t>
      </w:r>
      <w:r>
        <w:rPr>
          <w:rFonts w:ascii="Times New Roman" w:cs="Times New Roman" w:eastAsia="Times New Roman" w:hAnsi="Times New Roman"/>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of our Pre-IPO OpCo Unitholders that are taxable as corporations for U.S. federal income tax purposes.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Mergers</w:t>
      </w:r>
      <w:r>
        <w:rPr>
          <w:rFonts w:ascii="Times New Roman" w:cs="Times New Roman" w:eastAsia="Times New Roman" w:hAnsi="Times New Roman"/>
          <w:sz w:val="18"/>
          <w:szCs w:val="18"/>
          <w:color w:val="auto"/>
        </w:rPr>
        <w:t>” refers to the mergers described under “Reorganization Transactions” in Note 1 to our unaudited consolidated financial statements included in Part I, Item 1 of this Form 10-Q.</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w:t>
      </w:r>
      <w:r>
        <w:rPr>
          <w:rFonts w:ascii="Times New Roman" w:cs="Times New Roman" w:eastAsia="Times New Roman" w:hAnsi="Times New Roman"/>
          <w:sz w:val="18"/>
          <w:szCs w:val="18"/>
          <w:color w:val="auto"/>
        </w:rPr>
        <w:t>” refers to investment funds associated with The Carlyle Group.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P Units</w:t>
      </w:r>
      <w:r>
        <w:rPr>
          <w:rFonts w:ascii="Times New Roman" w:cs="Times New Roman" w:eastAsia="Times New Roman" w:hAnsi="Times New Roman"/>
          <w:sz w:val="18"/>
          <w:szCs w:val="18"/>
          <w:color w:val="auto"/>
        </w:rPr>
        <w:t>” refers to Class P Units (including, without limitation, any indirectly held Class P Units) of ZoomInfo OpCo.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Class P Unitholders</w:t>
      </w:r>
      <w:r>
        <w:rPr>
          <w:rFonts w:ascii="Times New Roman" w:cs="Times New Roman" w:eastAsia="Times New Roman" w:hAnsi="Times New Roman"/>
          <w:sz w:val="18"/>
          <w:szCs w:val="18"/>
          <w:color w:val="auto"/>
        </w:rPr>
        <w:t>” refers to certain pre-IPO owners who continued to hold Class P Units following the consummation of the Reorganization Transactions and the IPO.</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members</w:t>
      </w:r>
      <w:r>
        <w:rPr>
          <w:rFonts w:ascii="Times New Roman" w:cs="Times New Roman" w:eastAsia="Times New Roman" w:hAnsi="Times New Roman"/>
          <w:sz w:val="18"/>
          <w:szCs w:val="18"/>
          <w:color w:val="auto"/>
        </w:rPr>
        <w:t>” refers to pre-IPO owners who continue to hold HoldCo Units or OpCo Units following the Reorganization Transactions and the IPO.</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Tax Receivable Agreement</w:t>
      </w:r>
      <w:r>
        <w:rPr>
          <w:rFonts w:ascii="Times New Roman" w:cs="Times New Roman" w:eastAsia="Times New Roman" w:hAnsi="Times New Roman"/>
          <w:sz w:val="18"/>
          <w:szCs w:val="18"/>
          <w:color w:val="auto"/>
        </w:rPr>
        <w:t>” refers to the tax receivable agreement entered into with certain Pre-IPO OpCo Unitholders.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refers to Henry Schuck, our Chief Executive Officer, and Kirk Brown.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HoldCo Units</w:t>
      </w:r>
      <w:r>
        <w:rPr>
          <w:rFonts w:ascii="Times New Roman" w:cs="Times New Roman" w:eastAsia="Times New Roman" w:hAnsi="Times New Roman"/>
          <w:sz w:val="18"/>
          <w:szCs w:val="18"/>
          <w:color w:val="auto"/>
        </w:rPr>
        <w:t>” refers to the class of units of ZoomInfo HoldCo.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HSKB I</w:t>
      </w:r>
      <w:r>
        <w:rPr>
          <w:rFonts w:ascii="Times New Roman" w:cs="Times New Roman" w:eastAsia="Times New Roman" w:hAnsi="Times New Roman"/>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 II</w:t>
      </w:r>
      <w:r>
        <w:rPr>
          <w:rFonts w:ascii="Times New Roman" w:cs="Times New Roman" w:eastAsia="Times New Roman" w:hAnsi="Times New Roman"/>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ZoomInfo Technologies Inc.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Prospectus</w:t>
      </w:r>
      <w:r>
        <w:rPr>
          <w:rFonts w:ascii="Times New Roman" w:cs="Times New Roman" w:eastAsia="Times New Roman" w:hAnsi="Times New Roman"/>
          <w:sz w:val="18"/>
          <w:szCs w:val="18"/>
          <w:color w:val="auto"/>
        </w:rPr>
        <w:t>” refers to ZoomInfo Technologies Inc.’s prospectus dated June 3, 2020 filed with the SEC pursuant to Rule 424(b) of the Securities Act on June 5, 2020.</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LTIP Units</w:t>
      </w:r>
      <w:r>
        <w:rPr>
          <w:rFonts w:ascii="Times New Roman" w:cs="Times New Roman" w:eastAsia="Times New Roman" w:hAnsi="Times New Roman"/>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NeverBounce</w:t>
      </w:r>
      <w:r>
        <w:rPr>
          <w:rFonts w:ascii="Times New Roman" w:cs="Times New Roman" w:eastAsia="Times New Roman" w:hAnsi="Times New Roman"/>
          <w:sz w:val="18"/>
          <w:szCs w:val="18"/>
          <w:color w:val="auto"/>
        </w:rPr>
        <w:t>” refers to Metrics Delivered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 refers to the class of units of ZoomInfo OpCo and does not include Class P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Pre-Acquisition ZI</w:t>
      </w:r>
      <w:r>
        <w:rPr>
          <w:rFonts w:ascii="Times New Roman" w:cs="Times New Roman" w:eastAsia="Times New Roman" w:hAnsi="Times New Roman"/>
          <w:sz w:val="18"/>
          <w:szCs w:val="18"/>
          <w:color w:val="auto"/>
        </w:rPr>
        <w:t>” refers to Zoom Information Inc.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Blocker Holders</w:t>
      </w:r>
      <w:r>
        <w:rPr>
          <w:rFonts w:ascii="Times New Roman" w:cs="Times New Roman" w:eastAsia="Times New Roman" w:hAnsi="Times New Roman"/>
          <w:sz w:val="18"/>
          <w:szCs w:val="18"/>
          <w:color w:val="auto"/>
        </w:rPr>
        <w:t>” refers to the pre-IPO owners that held their interests in us through the Blocker Companies immediately prior to the IPO.</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HoldCo Unitholders</w:t>
      </w:r>
      <w:r>
        <w:rPr>
          <w:rFonts w:ascii="Times New Roman" w:cs="Times New Roman" w:eastAsia="Times New Roman" w:hAnsi="Times New Roman"/>
          <w:sz w:val="18"/>
          <w:szCs w:val="18"/>
          <w:color w:val="auto"/>
        </w:rPr>
        <w:t>” refers to the pre-IPO owners that held HoldCo Units immediately prior to the IPO.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OpCo Unitholders</w:t>
      </w:r>
      <w:r>
        <w:rPr>
          <w:rFonts w:ascii="Times New Roman" w:cs="Times New Roman" w:eastAsia="Times New Roman" w:hAnsi="Times New Roman"/>
          <w:sz w:val="18"/>
          <w:szCs w:val="18"/>
          <w:color w:val="auto"/>
        </w:rPr>
        <w:t>” refers to the pre-IPO owners that held OpCo Units immediately prior to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owners</w:t>
      </w:r>
      <w:r>
        <w:rPr>
          <w:rFonts w:ascii="Times New Roman" w:cs="Times New Roman" w:eastAsia="Times New Roman" w:hAnsi="Times New Roman"/>
          <w:sz w:val="18"/>
          <w:szCs w:val="18"/>
          <w:color w:val="auto"/>
        </w:rPr>
        <w:t>” refers collectively to the Sponsors, the Founders, and the management and other equity holders who were the owners of ZoomInfo OpCo immediately prior to the Reorganization Transactions.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RainKing</w:t>
      </w:r>
      <w:r>
        <w:rPr>
          <w:rFonts w:ascii="Times New Roman" w:cs="Times New Roman" w:eastAsia="Times New Roman" w:hAnsi="Times New Roman"/>
          <w:sz w:val="18"/>
          <w:szCs w:val="18"/>
          <w:color w:val="auto"/>
        </w:rPr>
        <w:t>” refers to Rain King Software,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Tax Receivable Agreement</w:t>
      </w:r>
      <w:r>
        <w:rPr>
          <w:rFonts w:ascii="Times New Roman" w:cs="Times New Roman" w:eastAsia="Times New Roman" w:hAnsi="Times New Roman"/>
          <w:sz w:val="18"/>
          <w:szCs w:val="18"/>
          <w:color w:val="auto"/>
        </w:rPr>
        <w:t>” refers to the tax receivable agreement entered into with the Pre-IPO Blocker Holders.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the transactions described under “Reorganization Transactions” in Note 1 to our unaudited consolidated financial statements included in Part I, Item 1 of this Form 10-Q.</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refers to the Securities and Exchange Commission.</w:t>
      </w:r>
    </w:p>
    <w:p>
      <w:pPr>
        <w:spacing w:after="0" w:line="9" w:lineRule="exact"/>
        <w:rPr>
          <w:rFonts w:ascii="Times New Roman" w:cs="Times New Roman" w:eastAsia="Times New Roman" w:hAnsi="Times New Roman"/>
          <w:sz w:val="18"/>
          <w:szCs w:val="18"/>
          <w:color w:val="auto"/>
        </w:rPr>
      </w:pPr>
    </w:p>
    <w:p>
      <w:pPr>
        <w:ind w:left="660" w:right="100" w:hanging="328"/>
        <w:spacing w:after="0" w:line="23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Secondary Offering</w:t>
      </w:r>
      <w:r>
        <w:rPr>
          <w:rFonts w:ascii="Times New Roman" w:cs="Times New Roman" w:eastAsia="Times New Roman" w:hAnsi="Times New Roman"/>
          <w:sz w:val="18"/>
          <w:szCs w:val="18"/>
          <w:color w:val="auto"/>
        </w:rPr>
        <w:t>” refers to the offering by certain selling stockholders, including entities affiliated with the Sponsors, of 17,179,135 shares of Class A common stock of ZoomInfo Technologies Inc. completed on August 24, 2020.</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refers to the Securities Act of 1933, as amended.</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Units</w:t>
      </w:r>
      <w:r>
        <w:rPr>
          <w:rFonts w:ascii="Times New Roman" w:cs="Times New Roman" w:eastAsia="Times New Roman" w:hAnsi="Times New Roman"/>
          <w:sz w:val="18"/>
          <w:szCs w:val="18"/>
          <w:color w:val="auto"/>
        </w:rPr>
        <w:t>” refers to the Series A preferred units of ZoomInfo OpCo outstanding immediately prior to the IPO.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TA Associates, Carlyle, and 22C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 Associates</w:t>
      </w:r>
      <w:r>
        <w:rPr>
          <w:rFonts w:ascii="Times New Roman" w:cs="Times New Roman" w:eastAsia="Times New Roman" w:hAnsi="Times New Roman"/>
          <w:sz w:val="18"/>
          <w:szCs w:val="18"/>
          <w:color w:val="auto"/>
        </w:rPr>
        <w:t>” refers to investment funds associated with TA Associates.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Agreements</w:t>
      </w:r>
      <w:r>
        <w:rPr>
          <w:rFonts w:ascii="Times New Roman" w:cs="Times New Roman" w:eastAsia="Times New Roman" w:hAnsi="Times New Roman"/>
          <w:sz w:val="18"/>
          <w:szCs w:val="18"/>
          <w:color w:val="auto"/>
        </w:rPr>
        <w:t>” refers collectively to the Exchange Tax Receivable Agreement and the Reorganization Tax Receivable Agreement.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Topic 606</w:t>
      </w:r>
      <w:r>
        <w:rPr>
          <w:rFonts w:ascii="Times New Roman" w:cs="Times New Roman" w:eastAsia="Times New Roman" w:hAnsi="Times New Roman"/>
          <w:sz w:val="18"/>
          <w:szCs w:val="18"/>
          <w:color w:val="auto"/>
        </w:rPr>
        <w:t>” refers to Accounting Standard Update (“</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2014-09, Revenue from Contracts with Customers, later codified as Accounting Standards Codification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Topic 606.</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HoldCo</w:t>
      </w:r>
      <w:r>
        <w:rPr>
          <w:rFonts w:ascii="Times New Roman" w:cs="Times New Roman" w:eastAsia="Times New Roman" w:hAnsi="Times New Roman"/>
          <w:sz w:val="18"/>
          <w:szCs w:val="18"/>
          <w:color w:val="auto"/>
        </w:rPr>
        <w:t>” refers to ZoomInfo Intermediate Holdings LLC, a Delaware limited liability company, and a direct subsidiary of ZoomInfo Technologies Inc.</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OpCo</w:t>
      </w:r>
      <w:r>
        <w:rPr>
          <w:rFonts w:ascii="Times New Roman" w:cs="Times New Roman" w:eastAsia="Times New Roman" w:hAnsi="Times New Roman"/>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 including forward-looking statements contained in this Quarterly Report on Form 10-Q:</w:t>
      </w:r>
    </w:p>
    <w:p>
      <w:pPr>
        <w:spacing w:after="0" w:line="108"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the global economic uncertainty and measures taken in response, could materially impact our business and future results of operations;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shifting their existing business models to become more competitive with us;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or adapt our platform for changes in laws and regulations or public perception, or changes in the enforcement of such laws, relating to data privacy;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companies more effectively catering to our customers by offering more tailored products or platforms at lower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and market conditions reducing spending on sales and marketing;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declining demand for sales and marketing subscription platforms;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technology and keep up with new processes for data collection, organization, and cleansing;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highly accurate, reliable, and comprehensive platform moving forward;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systems that we do not control to integrate with our system and our potential inability to continue to support integration;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fund research and development potentially limiting introduction of new features, integrations, and enhancements;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expand existing subscriptions;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participation in our contributory network or increased opt-out rates impacting the depth, breadth, and accuracy of our platform;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and maintain our brand and our ability to attract and retain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services, databases and technologies into our operations;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“Risk Factors” in Item 1A of Part II of our Quarterly Report on Form 10-Q for the quarterly period ended June 30,2020, and in other reports we file from time to time with the SEC.</w:t>
      </w:r>
    </w:p>
    <w:p>
      <w:pPr>
        <w:spacing w:after="0" w:line="1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4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860" w:type="dxa"/>
            <w:vAlign w:val="bottom"/>
          </w:tcPr>
          <w:p>
            <w:pPr>
              <w:spacing w:after="0"/>
              <w:rPr>
                <w:sz w:val="20"/>
                <w:szCs w:val="20"/>
                <w:color w:val="auto"/>
              </w:rPr>
            </w:pPr>
          </w:p>
        </w:tc>
      </w:tr>
      <w:tr>
        <w:trPr>
          <w:trHeight w:val="378"/>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60" w:type="dxa"/>
            <w:vAlign w:val="bottom"/>
          </w:tcPr>
          <w:p>
            <w:pPr>
              <w:spacing w:after="0"/>
              <w:rPr>
                <w:sz w:val="24"/>
                <w:szCs w:val="24"/>
                <w:color w:val="auto"/>
              </w:rPr>
            </w:pPr>
          </w:p>
        </w:tc>
      </w:tr>
      <w:tr>
        <w:trPr>
          <w:trHeight w:val="783"/>
        </w:trPr>
        <w:tc>
          <w:tcPr>
            <w:tcW w:w="90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860" w:type="dxa"/>
            <w:vAlign w:val="bottom"/>
          </w:tcPr>
          <w:p>
            <w:pPr>
              <w:spacing w:after="0"/>
              <w:rPr>
                <w:sz w:val="24"/>
                <w:szCs w:val="24"/>
                <w:color w:val="auto"/>
              </w:rPr>
            </w:pPr>
          </w:p>
        </w:tc>
      </w:tr>
      <w:tr>
        <w:trPr>
          <w:trHeight w:val="689"/>
        </w:trPr>
        <w:tc>
          <w:tcPr>
            <w:tcW w:w="9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ZoomInfo Technologies Inc. and Subsidiaries</w:t>
            </w:r>
          </w:p>
        </w:tc>
        <w:tc>
          <w:tcPr>
            <w:tcW w:w="1860" w:type="dxa"/>
            <w:vAlign w:val="bottom"/>
          </w:tcPr>
          <w:p>
            <w:pPr>
              <w:spacing w:after="0"/>
              <w:rPr>
                <w:sz w:val="24"/>
                <w:szCs w:val="24"/>
                <w:color w:val="auto"/>
              </w:rPr>
            </w:pPr>
          </w:p>
        </w:tc>
      </w:tr>
      <w:tr>
        <w:trPr>
          <w:trHeight w:val="540"/>
        </w:trPr>
        <w:tc>
          <w:tcPr>
            <w:tcW w:w="9040" w:type="dxa"/>
            <w:vAlign w:val="bottom"/>
          </w:tcPr>
          <w:p>
            <w:pPr>
              <w:ind w:left="24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Condensed Consolidated Balance Sheets</w:t>
              </w:r>
            </w:hyperlink>
          </w:p>
        </w:tc>
        <w:tc>
          <w:tcPr>
            <w:tcW w:w="186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2</w:t>
              </w:r>
            </w:hyperlink>
          </w:p>
        </w:tc>
      </w:tr>
      <w:tr>
        <w:trPr>
          <w:trHeight w:val="270"/>
        </w:trPr>
        <w:tc>
          <w:tcPr>
            <w:tcW w:w="9040" w:type="dxa"/>
            <w:vAlign w:val="bottom"/>
          </w:tcPr>
          <w:p>
            <w:pPr>
              <w:ind w:left="24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Consolidated Statements of Operations</w:t>
              </w:r>
            </w:hyperlink>
          </w:p>
        </w:tc>
        <w:tc>
          <w:tcPr>
            <w:tcW w:w="186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3</w:t>
              </w:r>
            </w:hyperlink>
          </w:p>
        </w:tc>
      </w:tr>
      <w:tr>
        <w:trPr>
          <w:trHeight w:val="270"/>
        </w:trPr>
        <w:tc>
          <w:tcPr>
            <w:tcW w:w="9040" w:type="dxa"/>
            <w:vAlign w:val="bottom"/>
          </w:tcPr>
          <w:p>
            <w:pPr>
              <w:ind w:left="24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Consolidated Statements of Comprehensive Income (Loss)</w:t>
              </w:r>
            </w:hyperlink>
          </w:p>
        </w:tc>
        <w:tc>
          <w:tcPr>
            <w:tcW w:w="1860" w:type="dxa"/>
            <w:vAlign w:val="bottom"/>
          </w:tcPr>
          <w:p>
            <w:pPr>
              <w:jc w:val="right"/>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4</w:t>
              </w:r>
            </w:hyperlink>
          </w:p>
        </w:tc>
      </w:tr>
      <w:tr>
        <w:trPr>
          <w:trHeight w:val="270"/>
        </w:trPr>
        <w:tc>
          <w:tcPr>
            <w:tcW w:w="9040" w:type="dxa"/>
            <w:vAlign w:val="bottom"/>
          </w:tcPr>
          <w:p>
            <w:pPr>
              <w:ind w:left="240"/>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Consolidated Statements of Changes in Equity (Deficit)</w:t>
              </w:r>
            </w:hyperlink>
          </w:p>
        </w:tc>
        <w:tc>
          <w:tcPr>
            <w:tcW w:w="1860" w:type="dxa"/>
            <w:vAlign w:val="bottom"/>
          </w:tcPr>
          <w:p>
            <w:pPr>
              <w:jc w:val="right"/>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5</w:t>
              </w:r>
            </w:hyperlink>
          </w:p>
        </w:tc>
      </w:tr>
      <w:tr>
        <w:trPr>
          <w:trHeight w:val="270"/>
        </w:trPr>
        <w:tc>
          <w:tcPr>
            <w:tcW w:w="9040" w:type="dxa"/>
            <w:vAlign w:val="bottom"/>
          </w:tcPr>
          <w:p>
            <w:pPr>
              <w:ind w:left="24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Consolidated Statements of Cash Flows</w:t>
              </w:r>
            </w:hyperlink>
          </w:p>
        </w:tc>
        <w:tc>
          <w:tcPr>
            <w:tcW w:w="1860" w:type="dxa"/>
            <w:vAlign w:val="bottom"/>
          </w:tcPr>
          <w:p>
            <w:pPr>
              <w:jc w:val="right"/>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8</w:t>
              </w:r>
            </w:hyperlink>
          </w:p>
        </w:tc>
      </w:tr>
      <w:tr>
        <w:trPr>
          <w:trHeight w:val="270"/>
        </w:trPr>
        <w:tc>
          <w:tcPr>
            <w:tcW w:w="9040" w:type="dxa"/>
            <w:vAlign w:val="bottom"/>
          </w:tcPr>
          <w:p>
            <w:pPr>
              <w:ind w:left="240"/>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Notes to the Consolidated Financial Statements</w:t>
              </w:r>
            </w:hyperlink>
          </w:p>
        </w:tc>
        <w:tc>
          <w:tcPr>
            <w:tcW w:w="1860" w:type="dxa"/>
            <w:vAlign w:val="bottom"/>
          </w:tcPr>
          <w:p>
            <w:pPr>
              <w:jc w:val="right"/>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18" w:right="679" w:bottom="1440" w:gutter="0" w:footer="0" w:header="0"/>
        </w:sectPr>
      </w:pPr>
    </w:p>
    <w:bookmarkStart w:id="7" w:name="page8"/>
    <w:bookmarkEnd w:id="7"/>
    <w:p>
      <w:pPr>
        <w:spacing w:after="0" w:line="2"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540" w:type="dxa"/>
            <w:vAlign w:val="bottom"/>
            <w:gridSpan w:val="2"/>
          </w:tcPr>
          <w:p>
            <w:pPr>
              <w:jc w:val="right"/>
              <w:ind w:right="168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 data)</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11"/>
        </w:trPr>
        <w:tc>
          <w:tcPr>
            <w:tcW w:w="4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6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6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46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128"/>
        </w:trPr>
        <w:tc>
          <w:tcPr>
            <w:tcW w:w="46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48"/>
        </w:trPr>
        <w:tc>
          <w:tcPr>
            <w:tcW w:w="468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costs, net of current portion</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46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46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Temporary, and Permanent Equity (Deficit)</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46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4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129"/>
        </w:trPr>
        <w:tc>
          <w:tcPr>
            <w:tcW w:w="46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6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4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r>
      <w:tr>
        <w:trPr>
          <w:trHeight w:val="129"/>
        </w:trPr>
        <w:tc>
          <w:tcPr>
            <w:tcW w:w="46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Units</w:t>
            </w:r>
          </w:p>
        </w:tc>
        <w:tc>
          <w:tcPr>
            <w:tcW w:w="3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49"/>
        </w:trPr>
        <w:tc>
          <w:tcPr>
            <w:tcW w:w="468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Equity (Deficit)</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Members' equity (deficit)</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A common stock, par value $0.01</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B common stock, par value $0.01</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equity (deficit)</w:t>
            </w:r>
          </w:p>
        </w:tc>
        <w:tc>
          <w:tcPr>
            <w:tcW w:w="3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128"/>
        </w:trPr>
        <w:tc>
          <w:tcPr>
            <w:tcW w:w="46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r>
      <w:tr>
        <w:trPr>
          <w:trHeight w:val="290"/>
        </w:trPr>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Total liabilities, temporary, and permanent equity (deficit)</w:t>
            </w:r>
          </w:p>
        </w:tc>
        <w:tc>
          <w:tcPr>
            <w:tcW w:w="3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41" w:orient="portrait"/>
          <w:cols w:equalWidth="0" w:num="1">
            <w:col w:w="11240"/>
          </w:cols>
          <w:pgMar w:left="320" w:top="118" w:right="339" w:bottom="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41" w:orient="portrait"/>
          <w:cols w:equalWidth="0" w:num="1">
            <w:col w:w="11240"/>
          </w:cols>
          <w:pgMar w:left="320" w:top="118" w:right="33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180" w:type="dxa"/>
            <w:vAlign w:val="bottom"/>
            <w:gridSpan w:val="5"/>
          </w:tcPr>
          <w:p>
            <w:pPr>
              <w:ind w:left="394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 unaudited)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620" w:type="dxa"/>
            <w:vAlign w:val="bottom"/>
          </w:tcPr>
          <w:p>
            <w:pPr>
              <w:spacing w:after="0"/>
              <w:rPr>
                <w:sz w:val="24"/>
                <w:szCs w:val="24"/>
                <w:color w:val="auto"/>
              </w:rPr>
            </w:pPr>
          </w:p>
        </w:tc>
        <w:tc>
          <w:tcPr>
            <w:tcW w:w="31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24"/>
                <w:szCs w:val="24"/>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3"/>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(2)</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 related expenses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7"/>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5"/>
        </w:trPr>
        <w:tc>
          <w:tcPr>
            <w:tcW w:w="4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Net income (loss) attributable to ZoomInfo OpCo prior</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Reorganization Transactions</w:t>
            </w:r>
          </w:p>
        </w:tc>
        <w:tc>
          <w:tcPr>
            <w:tcW w:w="94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62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w:t>
            </w:r>
          </w:p>
        </w:tc>
        <w:tc>
          <w:tcPr>
            <w:tcW w:w="940" w:type="dxa"/>
            <w:vAlign w:val="bottom"/>
            <w:tcBorders>
              <w:top w:val="single" w:sz="8" w:color="auto"/>
            </w:tcBorders>
            <w:vMerge w:val="restart"/>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960" w:type="dxa"/>
            <w:vAlign w:val="bottom"/>
            <w:tcBorders>
              <w:top w:val="single" w:sz="8" w:color="auto"/>
            </w:tcBorders>
            <w:vMerge w:val="restart"/>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w:t>
            </w:r>
          </w:p>
        </w:tc>
        <w:tc>
          <w:tcPr>
            <w:tcW w:w="9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and Class C common</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67" w:lineRule="exact"/>
        <w:rPr>
          <w:sz w:val="20"/>
          <w:szCs w:val="20"/>
          <w:color w:val="auto"/>
        </w:rPr>
      </w:pPr>
    </w:p>
    <w:p>
      <w:pPr>
        <w:jc w:val="both"/>
        <w:ind w:left="340" w:hanging="332"/>
        <w:spacing w:after="0" w:line="249"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(loss) per share of Class A and Class C common stock is applicable only for the period from June 4, 2020 through September 30, 2020, which is the period following the initial public offering ("IPO") and related Reorganization Transactions (as defined in Note 1 to the Unaudited Consolidated Financial Statements). See Note 13 for the number of shares used in the computation of net income (loss) per share of Class A and Class C common stock and the basis for the computation of net income (loss) per share.</w:t>
      </w: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equity-based compensation expense, as follows:</w:t>
      </w:r>
    </w:p>
    <w:p>
      <w:pPr>
        <w:spacing w:after="0" w:line="12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4"/>
        </w:trPr>
        <w:tc>
          <w:tcPr>
            <w:tcW w:w="4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
        </w:trPr>
        <w:tc>
          <w:tcPr>
            <w:tcW w:w="49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millions;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7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0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5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42"/>
        </w:trPr>
        <w:tc>
          <w:tcPr>
            <w:tcW w:w="5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loss (gain) on settlement of cash flow hedges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losses related to the dedesignated Interest Rate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5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5"/>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Net income attributable to ZoomInfo OpCo prior to the</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Reorganization Transactions</w:t>
            </w:r>
          </w:p>
        </w:tc>
        <w:tc>
          <w:tcPr>
            <w:tcW w:w="8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7"/>
        </w:trPr>
        <w:tc>
          <w:tcPr>
            <w:tcW w:w="5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ZoomInfo Technologies Inc.</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ZoomInfo</w:t>
            </w:r>
          </w:p>
        </w:tc>
        <w:tc>
          <w:tcPr>
            <w:tcW w:w="8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Holdings LLC</w:t>
            </w:r>
          </w:p>
        </w:tc>
        <w:tc>
          <w:tcPr>
            <w:tcW w:w="8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(Prior to</w:t>
            </w:r>
          </w:p>
        </w:tc>
        <w:tc>
          <w:tcPr>
            <w:tcW w:w="8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Reorganization</w:t>
            </w:r>
          </w:p>
        </w:tc>
        <w:tc>
          <w:tcPr>
            <w:tcW w:w="80" w:type="dxa"/>
            <w:vAlign w:val="bottom"/>
          </w:tcPr>
          <w:p>
            <w:pPr>
              <w:spacing w:after="0"/>
              <w:rPr>
                <w:sz w:val="12"/>
                <w:szCs w:val="12"/>
                <w:color w:val="auto"/>
              </w:rPr>
            </w:pPr>
          </w:p>
        </w:tc>
      </w:tr>
      <w:tr>
        <w:trPr>
          <w:trHeight w:val="166"/>
        </w:trPr>
        <w:tc>
          <w:tcPr>
            <w:tcW w:w="154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Transactions)</w:t>
            </w:r>
          </w:p>
        </w:tc>
        <w:tc>
          <w:tcPr>
            <w:tcW w:w="80" w:type="dxa"/>
            <w:vAlign w:val="bottom"/>
          </w:tcPr>
          <w:p>
            <w:pPr>
              <w:spacing w:after="0"/>
              <w:rPr>
                <w:sz w:val="14"/>
                <w:szCs w:val="14"/>
                <w:color w:val="auto"/>
              </w:rPr>
            </w:pPr>
          </w:p>
        </w:tc>
      </w:tr>
      <w:tr>
        <w:trPr>
          <w:trHeight w:val="29"/>
        </w:trPr>
        <w:tc>
          <w:tcPr>
            <w:tcW w:w="1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320"/>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80" w:type="dxa"/>
            <w:vAlign w:val="bottom"/>
            <w:shd w:val="clear" w:color="auto" w:fill="000000"/>
          </w:tcPr>
          <w:p>
            <w:pPr>
              <w:spacing w:after="0"/>
              <w:rPr>
                <w:sz w:val="24"/>
                <w:szCs w:val="24"/>
                <w:color w:val="auto"/>
              </w:rPr>
            </w:pPr>
          </w:p>
        </w:tc>
      </w:tr>
      <w:tr>
        <w:trPr>
          <w:trHeight w:val="190"/>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shd w:val="clear" w:color="auto" w:fill="000000"/>
          </w:tcPr>
          <w:p>
            <w:pPr>
              <w:spacing w:after="0"/>
              <w:rPr>
                <w:sz w:val="16"/>
                <w:szCs w:val="16"/>
                <w:color w:val="auto"/>
              </w:rPr>
            </w:pPr>
          </w:p>
        </w:tc>
      </w:tr>
      <w:tr>
        <w:trPr>
          <w:trHeight w:val="23"/>
        </w:trPr>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r>
      <w:tr>
        <w:trPr>
          <w:trHeight w:val="146"/>
        </w:trPr>
        <w:tc>
          <w:tcPr>
            <w:tcW w:w="1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Balance, December 31,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r>
      <w:tr>
        <w:trPr>
          <w:trHeight w:val="192"/>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r>
      <w:tr>
        <w:trPr>
          <w:trHeight w:val="193"/>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96"/>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 distributions</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r>
      <w:tr>
        <w:trPr>
          <w:trHeight w:val="16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6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212"/>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000000"/>
          </w:tcPr>
          <w:p>
            <w:pPr>
              <w:spacing w:after="0"/>
              <w:rPr>
                <w:sz w:val="18"/>
                <w:szCs w:val="18"/>
                <w:color w:val="auto"/>
              </w:rPr>
            </w:pPr>
          </w:p>
        </w:tc>
      </w:tr>
      <w:tr>
        <w:trPr>
          <w:trHeight w:val="144"/>
        </w:trPr>
        <w:tc>
          <w:tcPr>
            <w:tcW w:w="1540" w:type="dxa"/>
            <w:vAlign w:val="bottom"/>
          </w:tcPr>
          <w:p>
            <w:pPr>
              <w:ind w:left="240"/>
              <w:spacing w:after="0" w:line="145" w:lineRule="exact"/>
              <w:rPr>
                <w:sz w:val="20"/>
                <w:szCs w:val="20"/>
                <w:color w:val="auto"/>
              </w:rPr>
            </w:pPr>
            <w:r>
              <w:rPr>
                <w:rFonts w:ascii="Times New Roman" w:cs="Times New Roman" w:eastAsia="Times New Roman" w:hAnsi="Times New Roman"/>
                <w:sz w:val="14"/>
                <w:szCs w:val="14"/>
                <w:b w:val="1"/>
                <w:bCs w:val="1"/>
                <w:color w:val="auto"/>
              </w:rPr>
              <w:t>Balance at March</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shd w:val="clear" w:color="auto" w:fill="000000"/>
          </w:tcPr>
          <w:p>
            <w:pPr>
              <w:spacing w:after="0"/>
              <w:rPr>
                <w:sz w:val="12"/>
                <w:szCs w:val="12"/>
                <w:color w:val="auto"/>
              </w:rPr>
            </w:pPr>
          </w:p>
        </w:tc>
      </w:tr>
      <w:tr>
        <w:trPr>
          <w:trHeight w:val="190"/>
        </w:trPr>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6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prior to</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92"/>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r>
      <w:tr>
        <w:trPr>
          <w:trHeight w:val="16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prior to</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Reorganization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 and IPO</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6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 distributions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to Reorganization</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92"/>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r>
      <w:tr>
        <w:trPr>
          <w:trHeight w:val="16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prior to</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Reorganization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Impacts of</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Reorganization</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96"/>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Transactions and IPO</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r>
      <w:tr>
        <w:trPr>
          <w:trHeight w:val="16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Initial effect of the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Reorganization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 and IPO on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6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in IPO,</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92"/>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costs</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r>
      <w:tr>
        <w:trPr>
          <w:trHeight w:val="16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ZoomInfo</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OpCo units in connection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IPO</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6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Class C</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 in connection with</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92"/>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IPO</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r>
      <w:tr>
        <w:trPr>
          <w:trHeight w:val="16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Opco Units exchanged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into Class A shares</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6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 /</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92"/>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cancellations</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r>
      <w:tr>
        <w:trPr>
          <w:trHeight w:val="16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Unit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redemption accretion</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6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deferred tax</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from step-up in tax</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basis under TRA related</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92"/>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unit exchanges</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r>
      <w:tr>
        <w:trPr>
          <w:trHeight w:val="16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subsequent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Reorganization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6"/>
                <w:szCs w:val="16"/>
                <w:color w:val="auto"/>
              </w:rPr>
            </w:pPr>
          </w:p>
        </w:tc>
      </w:tr>
      <w:tr>
        <w:trPr>
          <w:trHeight w:val="24"/>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16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subsequent to</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92"/>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Transactions and IPO</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r>
      <w:tr>
        <w:trPr>
          <w:trHeight w:val="16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subsequent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62"/>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Reorganization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r>
      <w:tr>
        <w:trPr>
          <w:trHeight w:val="188"/>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6"/>
                <w:szCs w:val="16"/>
                <w:color w:val="auto"/>
              </w:rPr>
            </w:pPr>
          </w:p>
        </w:tc>
      </w:tr>
      <w:tr>
        <w:trPr>
          <w:trHeight w:val="24"/>
        </w:trPr>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r>
      <w:tr>
        <w:trPr>
          <w:trHeight w:val="144"/>
        </w:trPr>
        <w:tc>
          <w:tcPr>
            <w:tcW w:w="154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b w:val="1"/>
                <w:bCs w:val="1"/>
                <w:color w:val="auto"/>
              </w:rPr>
              <w:t>Balance at June 30,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000000"/>
          </w:tcPr>
          <w:p>
            <w:pPr>
              <w:spacing w:after="0"/>
              <w:rPr>
                <w:sz w:val="12"/>
                <w:szCs w:val="12"/>
                <w:color w:val="auto"/>
              </w:rPr>
            </w:pPr>
          </w:p>
        </w:tc>
      </w:tr>
      <w:tr>
        <w:trPr>
          <w:trHeight w:val="194"/>
        </w:trPr>
        <w:tc>
          <w:tcPr>
            <w:tcW w:w="1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31" w:lineRule="exact"/>
        <w:rPr>
          <w:sz w:val="20"/>
          <w:szCs w:val="20"/>
          <w:color w:val="auto"/>
        </w:rPr>
      </w:pPr>
    </w:p>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w:t>
      </w:r>
    </w:p>
    <w:p>
      <w:pPr>
        <w:spacing w:after="0" w:line="9" w:lineRule="exact"/>
        <w:rPr>
          <w:sz w:val="20"/>
          <w:szCs w:val="20"/>
          <w:color w:val="auto"/>
        </w:rPr>
      </w:pPr>
    </w:p>
    <w:p>
      <w:pPr>
        <w:jc w:val="center"/>
        <w:ind w:right="256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share data; 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10"/>
          </w:tcPr>
          <w:p>
            <w:pPr>
              <w:ind w:left="200"/>
              <w:spacing w:after="0"/>
              <w:rPr>
                <w:sz w:val="20"/>
                <w:szCs w:val="20"/>
                <w:color w:val="auto"/>
              </w:rPr>
            </w:pPr>
            <w:r>
              <w:rPr>
                <w:rFonts w:ascii="Times New Roman" w:cs="Times New Roman" w:eastAsia="Times New Roman" w:hAnsi="Times New Roman"/>
                <w:sz w:val="14"/>
                <w:szCs w:val="14"/>
                <w:b w:val="1"/>
                <w:bCs w:val="1"/>
                <w:color w:val="auto"/>
              </w:rPr>
              <w:t>ZoomInfo Technologies Inc. Stockholders'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8"/>
        </w:trPr>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2"/>
        </w:trPr>
        <w:tc>
          <w:tcPr>
            <w:tcW w:w="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3"/>
        </w:trPr>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38"/>
        </w:trPr>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(213.8)</w:t>
            </w:r>
          </w:p>
        </w:tc>
      </w:tr>
      <w:tr>
        <w:trPr>
          <w:trHeight w:val="193"/>
        </w:trPr>
        <w:tc>
          <w:tcPr>
            <w:tcW w:w="8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354"/>
        </w:trPr>
        <w:tc>
          <w:tcPr>
            <w:tcW w:w="80" w:type="dxa"/>
            <w:vAlign w:val="bottom"/>
          </w:tcPr>
          <w:p>
            <w:pPr>
              <w:spacing w:after="0"/>
              <w:rPr>
                <w:sz w:val="24"/>
                <w:szCs w:val="2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78"/>
        </w:trPr>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334"/>
        </w:trPr>
        <w:tc>
          <w:tcPr>
            <w:tcW w:w="80" w:type="dxa"/>
            <w:vAlign w:val="bottom"/>
          </w:tcPr>
          <w:p>
            <w:pPr>
              <w:spacing w:after="0"/>
              <w:rPr>
                <w:sz w:val="24"/>
                <w:szCs w:val="24"/>
                <w:color w:val="auto"/>
              </w:rPr>
            </w:pPr>
          </w:p>
        </w:tc>
        <w:tc>
          <w:tcPr>
            <w:tcW w:w="7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520"/>
        </w:trPr>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679"/>
        </w:trPr>
        <w:tc>
          <w:tcPr>
            <w:tcW w:w="80" w:type="dxa"/>
            <w:vAlign w:val="bottom"/>
          </w:tcPr>
          <w:p>
            <w:pPr>
              <w:spacing w:after="0"/>
              <w:rPr>
                <w:sz w:val="24"/>
                <w:szCs w:val="2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520"/>
        </w:trPr>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679"/>
        </w:trPr>
        <w:tc>
          <w:tcPr>
            <w:tcW w:w="80" w:type="dxa"/>
            <w:vAlign w:val="bottom"/>
          </w:tcPr>
          <w:p>
            <w:pPr>
              <w:spacing w:after="0"/>
              <w:rPr>
                <w:sz w:val="24"/>
                <w:szCs w:val="2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540"/>
        </w:trPr>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242,414,027</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98,381,656</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520"/>
        </w:trPr>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48,528,783</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1,016.6</w:t>
            </w:r>
          </w:p>
        </w:tc>
      </w:tr>
      <w:tr>
        <w:trPr>
          <w:trHeight w:val="517"/>
        </w:trPr>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2,370,948</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(2,370,948)</w:t>
            </w:r>
          </w:p>
        </w:tc>
        <w:tc>
          <w:tcPr>
            <w:tcW w:w="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520"/>
        </w:trPr>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275,269</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(275,269)</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355"/>
        </w:trPr>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878,984</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(878,984)</w:t>
            </w:r>
          </w:p>
        </w:tc>
        <w:tc>
          <w:tcPr>
            <w:tcW w:w="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58"/>
        </w:trPr>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(59,693)</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(10,882)</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5"/>
        </w:trPr>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682"/>
        </w:trPr>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516"/>
        </w:trPr>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r>
      <w:tr>
        <w:trPr>
          <w:trHeight w:val="24"/>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682"/>
        </w:trPr>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679"/>
        </w:trPr>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24"/>
        </w:trPr>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38"/>
        </w:trPr>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51,994,291</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239,153,213</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98,106,387</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w:t>
            </w:r>
          </w:p>
        </w:tc>
      </w:tr>
      <w:tr>
        <w:trPr>
          <w:trHeight w:val="20"/>
        </w:trPr>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560" w:space="0"/>
            <w:col w:w="8660"/>
          </w:cols>
          <w:pgMar w:left="320" w:top="118" w:right="359" w:bottom="1159"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159"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ZoomInfo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Holdings LLC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(Prior to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Reorganization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50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Transactions)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0"/>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8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Exchanges</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Forfeitures / cancellations</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Paid and accrued tax</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receivable agreement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 at September 30,</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80" w:type="dxa"/>
            <w:vAlign w:val="bottom"/>
            <w:tcBorders>
              <w:top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31"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share data; unaudited)(continued)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ZoomInfo Technologies Inc. Stockholders'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
        </w:trPr>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8"/>
        </w:trPr>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2"/>
        </w:trPr>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3"/>
        </w:trPr>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9"/>
        </w:trPr>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17,179,135</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(10,655,101)</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(6,524,034)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(6,511)</w:t>
            </w:r>
          </w:p>
        </w:tc>
        <w:tc>
          <w:tcPr>
            <w:tcW w:w="8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328"/>
        </w:trPr>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331"/>
        </w:trPr>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3"/>
        </w:trPr>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23"/>
        </w:trPr>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351"/>
        </w:trPr>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81"/>
        </w:trPr>
        <w:tc>
          <w:tcPr>
            <w:tcW w:w="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69,173,426</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228,491,601</w:t>
            </w:r>
          </w:p>
        </w:tc>
        <w:tc>
          <w:tcPr>
            <w:tcW w:w="80" w:type="dxa"/>
            <w:vAlign w:val="bottom"/>
          </w:tcPr>
          <w:p>
            <w:pPr>
              <w:spacing w:after="0"/>
              <w:rPr>
                <w:sz w:val="24"/>
                <w:szCs w:val="24"/>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91,582,353</w:t>
            </w:r>
          </w:p>
        </w:tc>
        <w:tc>
          <w:tcPr>
            <w:tcW w:w="10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402.1</w:t>
            </w:r>
          </w:p>
        </w:tc>
        <w:tc>
          <w:tcPr>
            <w:tcW w:w="80" w:type="dxa"/>
            <w:vAlign w:val="bottom"/>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(29.5)</w:t>
            </w: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8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820.5</w:t>
            </w:r>
          </w:p>
        </w:tc>
      </w:tr>
      <w:tr>
        <w:trPr>
          <w:trHeight w:val="23"/>
        </w:trPr>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
        </w:trPr>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520" w:space="0"/>
            <w:col w:w="870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millions; 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0"/>
        </w:trPr>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Members' Deficit</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6"/>
                <w:szCs w:val="16"/>
                <w:color w:val="auto"/>
              </w:rPr>
            </w:pP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23"/>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 distributions</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adoption of new accounting standard (ASC 842)</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6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at March 31, 2019</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r>
      <w:tr>
        <w:trPr>
          <w:trHeight w:val="196"/>
        </w:trPr>
        <w:tc>
          <w:tcPr>
            <w:tcW w:w="6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Member distributions</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3"/>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outstanding equity / member units</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3"/>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6"/>
        </w:trPr>
        <w:tc>
          <w:tcPr>
            <w:tcW w:w="68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at June 30, 2019</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w:t>
            </w:r>
          </w:p>
        </w:tc>
      </w:tr>
      <w:tr>
        <w:trPr>
          <w:trHeight w:val="2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3"/>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 distributions</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outstanding equity / member units</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3"/>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6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180" w:type="dxa"/>
            <w:vAlign w:val="bottom"/>
            <w:gridSpan w:val="5"/>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8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53"/>
        </w:trPr>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5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3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3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consideration valuation adjustments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5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3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5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53"/>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5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costs and other assets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5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tax receivable</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3"/>
        </w:trPr>
        <w:tc>
          <w:tcPr>
            <w:tcW w:w="8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5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6"/>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Unearned revenue</w:t>
            </w: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37"/>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189"/>
        </w:trPr>
        <w:tc>
          <w:tcPr>
            <w:tcW w:w="8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and other assets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53"/>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30"/>
        </w:trPr>
        <w:tc>
          <w:tcPr>
            <w:tcW w:w="8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8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(724.2)</w:t>
            </w:r>
          </w:p>
        </w:tc>
      </w:tr>
      <w:tr>
        <w:trPr>
          <w:trHeight w:val="189"/>
        </w:trPr>
        <w:tc>
          <w:tcPr>
            <w:tcW w:w="80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deferred consideration</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debt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w:t>
            </w:r>
          </w:p>
        </w:tc>
      </w:tr>
      <w:tr>
        <w:trPr>
          <w:trHeight w:val="253"/>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debt</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w:t>
            </w:r>
          </w:p>
        </w:tc>
      </w:tr>
      <w:tr>
        <w:trPr>
          <w:trHeight w:val="23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53"/>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outstanding equity / member units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3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equity offering, net of underwriting discounts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r>
      <w:tr>
        <w:trPr>
          <w:trHeight w:val="253"/>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IPO issuance costs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Tax distributions</w:t>
            </w: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37"/>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w:t>
            </w:r>
          </w:p>
        </w:tc>
      </w:tr>
      <w:tr>
        <w:trPr>
          <w:trHeight w:val="189"/>
        </w:trPr>
        <w:tc>
          <w:tcPr>
            <w:tcW w:w="8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36"/>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6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8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paid in cash</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25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taxes</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variable consideration from acquisition of a business</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bl>
    <w:p>
      <w:pPr>
        <w:spacing w:after="0" w:line="200" w:lineRule="exact"/>
        <w:rPr>
          <w:sz w:val="20"/>
          <w:szCs w:val="20"/>
          <w:color w:val="auto"/>
        </w:rPr>
      </w:pPr>
    </w:p>
    <w:p>
      <w:pPr>
        <w:sectPr>
          <w:pgSz w:w="11900" w:h="16838" w:orient="portrait"/>
          <w:cols w:equalWidth="0" w:num="1">
            <w:col w:w="11240"/>
          </w:cols>
          <w:pgMar w:left="320" w:top="118" w:right="339" w:bottom="7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794" w:gutter="0" w:footer="0" w:header="0"/>
          <w:type w:val="continuous"/>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ZoomInfo Technologies Inc.</w:t>
      </w:r>
    </w:p>
    <w:p>
      <w:pPr>
        <w:spacing w:after="0" w:line="23"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(Unaudited)</w:t>
      </w:r>
    </w:p>
    <w:p>
      <w:pPr>
        <w:spacing w:after="0" w:line="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(In millions, except share/unit data and per share/unit amounts, unless otherwise noted)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Note 1</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Organization and Background</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16">
              <w:r>
                <w:rPr>
                  <w:rFonts w:ascii="Times New Roman" w:cs="Times New Roman" w:eastAsia="Times New Roman" w:hAnsi="Times New Roman"/>
                  <w:sz w:val="18"/>
                  <w:szCs w:val="18"/>
                  <w:color w:val="0000FF"/>
                </w:rPr>
                <w:t>10</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Note 2</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Basis of Presentation and Summary of Significant Accounting Policies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11</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Note 3</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Revenue from Contracts with Customers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19</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Note 4</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Business Combinations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20</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Note 5</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Cash and Cash Equivalents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23</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Note 6</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Property and Equipment</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24</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Note 7</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Goodwill and Acquired Intangible Assets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24</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Note 8</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Financing Arrangements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25</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Note 9</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Derivatives and Hedging Activities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27</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Note 10</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Fair Value</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29</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Note 11</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Commitments and Contingencies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30</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Note 12</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Noncontrolling Interest</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31</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Note 13</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Earnings Per Share</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31</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Note 14</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Leases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34</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Note 15</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Redeemable Series A Preferred Units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35</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Note 16</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Equity-Based Compensation</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35</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Note 17</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Income Taxes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41</w:t>
              </w:r>
            </w:hyperlink>
          </w:p>
        </w:tc>
      </w:tr>
      <w:tr>
        <w:trPr>
          <w:trHeight w:val="270"/>
        </w:trPr>
        <w:tc>
          <w:tcPr>
            <w:tcW w:w="900" w:type="dxa"/>
            <w:vAlign w:val="bottom"/>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Note 18</w:t>
              </w:r>
            </w:hyperlink>
          </w:p>
        </w:tc>
        <w:tc>
          <w:tcPr>
            <w:tcW w:w="7640" w:type="dxa"/>
            <w:vAlign w:val="bottom"/>
          </w:tcPr>
          <w:p>
            <w:pPr>
              <w:ind w:left="30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Subsequent Events</w:t>
              </w:r>
            </w:hyperlink>
          </w:p>
        </w:tc>
        <w:tc>
          <w:tcPr>
            <w:tcW w:w="2400" w:type="dxa"/>
            <w:vAlign w:val="bottom"/>
          </w:tcPr>
          <w:p>
            <w:pPr>
              <w:jc w:val="right"/>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provides a go-to-market intelligence platform for sales and marketing teams. The Company’s cloud-based platform provides accurate and comprehensive information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129" w:lineRule="exact"/>
        <w:rPr>
          <w:sz w:val="20"/>
          <w:szCs w:val="20"/>
          <w:color w:val="auto"/>
        </w:rPr>
      </w:pPr>
    </w:p>
    <w:p>
      <w:pPr>
        <w:ind w:right="1360" w:firstLine="324"/>
        <w:spacing w:after="0" w:line="438" w:lineRule="auto"/>
        <w:rPr>
          <w:sz w:val="20"/>
          <w:szCs w:val="20"/>
          <w:color w:val="auto"/>
        </w:rPr>
      </w:pPr>
      <w:r>
        <w:rPr>
          <w:rFonts w:ascii="Times New Roman" w:cs="Times New Roman" w:eastAsia="Times New Roman" w:hAnsi="Times New Roman"/>
          <w:sz w:val="18"/>
          <w:szCs w:val="18"/>
          <w:color w:val="auto"/>
        </w:rPr>
        <w:t xml:space="preserve">The Company headquarters are located in Vancouver, WA, and we operate in six offices throughout the U.S. and one office in Israel. </w:t>
      </w:r>
      <w:r>
        <w:rPr>
          <w:rFonts w:ascii="Times New Roman" w:cs="Times New Roman" w:eastAsia="Times New Roman" w:hAnsi="Times New Roman"/>
          <w:sz w:val="18"/>
          <w:szCs w:val="18"/>
          <w:b w:val="1"/>
          <w:bCs w:val="1"/>
          <w:i w:val="1"/>
          <w:iCs w:val="1"/>
          <w:color w:val="auto"/>
        </w:rPr>
        <w:t>Initial Public Offering</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(“Reorganization Transactions”):</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effected a four—for—one reverse unit split;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13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HoldCo as a result of the merger of an entity that held OpCo Units on behalf of such pre-IPO owners into ZoomInfo HoldCo (the “ZoomInfo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 (continued)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Contributions”) and the redemption of some OpCo Units pursuant to which the holders of such OpCo Units received HoldCo Units; and</w:t>
      </w:r>
    </w:p>
    <w:p>
      <w:pPr>
        <w:spacing w:after="0" w:line="171"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As of September 30, 2020, ZoomInfo Technologies Inc. owned 98% of the outstanding HoldCo Units, and ZoomInfo HoldCo owned 42% of the outstanding OpCo Units.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connection with the Reorganization Transactions and the IPO, ZoomInfo Technologies Inc. entered into two tax receivable agreements. See Note 17.</w:t>
      </w:r>
    </w:p>
    <w:p>
      <w:pPr>
        <w:spacing w:after="0" w:line="287" w:lineRule="exact"/>
        <w:rPr>
          <w:sz w:val="20"/>
          <w:szCs w:val="20"/>
          <w:color w:val="auto"/>
        </w:rPr>
      </w:pPr>
    </w:p>
    <w:p>
      <w:pPr>
        <w:ind w:right="52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2019.</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2020 are not necessarily indicative of the operating results that may be expected for the full fiscal year ending December 31, 2020 or any future period.</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contain all adjustments necessary for a fair statement of financial position as of September 30, 2020, and results of operations for the three and nine months ended September 30, 2020 and 2019, and cash flows for the nine months ended September 30, 2020 and 2019. The Condensed Consolidated Balance Sheet as of December 31, 2019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ZoomInfo Technologies Inc., through our intermediate holding company ZoomInfo Holdco, owns a minority economic interest in, and operates and controls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Accordingly, ZoomInfo Technologies Inc. has prepared these consolidated financial statements in accordance with Accounting Standards Codification (“ASC”) Topic 810, Consolidation (“Topic 810”). Topic 810 requires that if an entity is the primary beneficiary of a VIE, the assets, liabilities, and results of operations of the variable interest entity should be included in the consolidated financial statements of such entity.</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 (i) 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U.S.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71"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Accounting Standard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later codified as Accounting Standards Codification (“ASC”) Topic 606 (collectively with subsequent amendments, “Topic 606”).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these amounts based on historical experience and reduces revenue recognized.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Cash equivalents consist of highly liquid marketable debt securities with remaining maturities of three months or less at the date of purchase. We classify our investments in marketable debt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in our Condensed Consolidated Balance Sheets. Gains and losses are determined using the specific identification method and recognized when realized in our Consolidated Statements of Operations. If we were to determine that an other-than-temporary decline in fair value has occurred, the amount of the decline related to a credit loss shall be recognized in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inputs or methodology used for valuing financial assets and liabilities are not necessarily an indication of the risk associated with investing in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cash concentrations by concentrating its cash deposits in high-quality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nine months ended September 30, 2020 and 2019, or accounted for more than 10% of accounts receivable as of September 30, 2020 and December 31, 2019. Net assets located outside of the United States were immaterial as of September 30, 2020 and December 31, 2019.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doubtful accounts and does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September 30, 2020 and December 31, 2019.</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Times New Roman" w:cs="Times New Roman" w:eastAsia="Times New Roman" w:hAnsi="Times New Roman"/>
          <w:sz w:val="18"/>
          <w:szCs w:val="18"/>
          <w:i w:val="1"/>
          <w:iCs w:val="1"/>
          <w:color w:val="auto"/>
        </w:rPr>
        <w:t>Deferred costs</w:t>
      </w:r>
      <w:r>
        <w:rPr>
          <w:rFonts w:ascii="Times New Roman" w:cs="Times New Roman" w:eastAsia="Times New Roman" w:hAnsi="Times New Roman"/>
          <w:sz w:val="18"/>
          <w:szCs w:val="18"/>
          <w:color w:val="auto"/>
        </w:rPr>
        <w:t xml:space="preserve"> and noncurrent amounts are included in </w:t>
      </w:r>
      <w:r>
        <w:rPr>
          <w:rFonts w:ascii="Times New Roman" w:cs="Times New Roman" w:eastAsia="Times New Roman" w:hAnsi="Times New Roman"/>
          <w:sz w:val="18"/>
          <w:szCs w:val="18"/>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net of current portion </w:t>
      </w:r>
      <w:r>
        <w:rPr>
          <w:rFonts w:ascii="Times New Roman" w:cs="Times New Roman" w:eastAsia="Times New Roman" w:hAnsi="Times New Roman"/>
          <w:sz w:val="18"/>
          <w:szCs w:val="18"/>
          <w:color w:val="auto"/>
        </w:rPr>
        <w:t>in our Condensed Consolidated Balance Sheets. Deferred sales commissions are amortized on a straight-line basis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period of 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Sales and marketing expense on the Consolidated Statements of Operations.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Certain commissions are not capitalized as they do not represent incremental costs of obtaining a contract. Such commissions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advertising costs as incurred in accordance with ASC 720-35, Other Expenses - Advertising Cost. Advertising expenses of $3.4 million and $8.9 million were recorded for the three and nine months ended September 30, 2020. Advertising expenses of $3.5 million and $6.9 million were recorded for the three and nine months ended September 30, 2019. Advertising expenses are included in Sales and marketing on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Transaction-Related Expenses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Acquired technology, customer lists, trade names or brand portfolios, and other intangible assets are related to previous acquisitions (see Note 7). Acquired intangible assets are amortized on a straight-line basis over the estimated period over which we expect to realize economic value related to the intangible asset. The amortization periods range from 2 years to 15 years.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under ASC 350 is necessary. No impairment charges were recorded for the three and nine month periods ended September 30, 2020 and 2019.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in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comprised of two limited liability companies that are treated as partnerships for tax purposes, ten limited liability companies that are single member entities and disregarded for tax purposes, four corporations, and one foreign entity.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incentive units in accordance with ASC 718, Compensation-Stock Compensation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Detail</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comprised the following service offerings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700" w:type="dxa"/>
            <w:vAlign w:val="bottom"/>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Usage-based</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services, which is a service whereby customers can verify that emails are valid prior to sending and can be helpful to avoid wasting resources or being flagged as sending spam.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Of the total revenue recognized in the three and nine months ended September 30, 2020, $26.0 million and $142.8 million were included in the unearned revenue balance as of December 31, 2019, respectively. Of the total revenue recognized in the three and nine months ended September 30, 2019, $7.2 million and $46.6 million were included in the unearned revenue balance as of December 31, 2018, respectively. Revenue recognized from performance obligations satisfied (or partially satisfied) in previous periods was not material for the three and nine months ended September 30, 2020 and 2019.</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derived from customers and partners located outside the United States, as determined based on the address provided by our customers and partners, accounted for approximately 9% and 9% of our total revenues in the three months ended September 30, 2020 and 2019, respectively. Revenues derived from customers and partners located outside the United States accounted for approximately 9% and 8% of our total revenues in the nine months ended September 30, 2020 and 2019, respectively. We have no Company sales offices located in a foreign country as of September 30, 2020, and we contract exclusively with our customers in the United States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Unearned Revenue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2020 and December 31, 2019, the Company had contract assets of $2.1 million and $0.1 million, respectively, which are recorded as current assets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in the Company’s Condensed Consolidated Balance Sheets. As of September 30, 2020 and December 31, 2019, the Company had unearned revenue of $176.0 million and $159.1 million, respectively.</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 within one</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3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6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2020</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7"/>
        </w:trPr>
        <w:tc>
          <w:tcPr>
            <w:tcW w:w="6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Komiko</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9, 2019, through a newly formed wholly-owned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 as it is contingent upon continued employment with the Company by Komiko’s co-founders. During the three and nine months ended September 30, 2020, the Company adjusted the Komiko contingent payment liability by $(0.4) million and $1.3 million,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the date of acquisition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2.4</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2.2</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6.3</w:t>
            </w:r>
          </w:p>
        </w:tc>
      </w:tr>
      <w:tr>
        <w:trPr>
          <w:trHeight w:val="237"/>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8.5</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earn-out payments</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(0.2)</w:t>
            </w:r>
          </w:p>
        </w:tc>
      </w:tr>
      <w:tr>
        <w:trPr>
          <w:trHeight w:val="26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8.3</w:t>
            </w:r>
          </w:p>
        </w:tc>
      </w:tr>
      <w:tr>
        <w:trPr>
          <w:trHeight w:val="21"/>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Developed technology represents the fair value of the Komiko technology portfolio. The goodwill balance is primarily attributed to the expanded market opportunities when integrating Komiko’s technology with ZoomInfo’s technology and the assembled workforce. The goodwill balance is expected to be deductible for U.S.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Pre-Acquisition ZI</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the Company, through a newly formed wholly-owned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included the financial results of Pre-Acquisition ZI in the consolidated financial statements from the date of acquisition. The Company incurred approximately $2.7 million of transactions costs related to this acquisition which are included in </w:t>
      </w:r>
      <w:r>
        <w:rPr>
          <w:rFonts w:ascii="Times New Roman" w:cs="Times New Roman" w:eastAsia="Times New Roman" w:hAnsi="Times New Roman"/>
          <w:sz w:val="18"/>
          <w:szCs w:val="18"/>
          <w:i w:val="1"/>
          <w:iCs w:val="1"/>
          <w:color w:val="auto"/>
        </w:rPr>
        <w:t>Restructuring and transaction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in the Consolidated Statements of Operations.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equity award settlement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 of replacement awards attributable to pre-acquisition service</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purchase consideration liabilities</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consideration</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6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1"/>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purchase agreement, the Company agreed to pay deferred consideration of $25.0 million and $10.0 million on the first and second anniversary of the Pre-Acquisition ZI acquisition, respectively. As of September 30, 2020, $9.9 million was recorded in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on the Company’s Condensed Consolidated Balance Sheets representing the present value of the $10.0 million deferred consideration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in 2021. The fair value of the deferred consideration payments was determined using a present value calculation. The following table summarizes the fair values of the assets acquired and liabilities assumed, as of the date of acquisition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43"/>
        </w:trPr>
        <w:tc>
          <w:tcPr>
            <w:tcW w:w="9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9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37"/>
        </w:trPr>
        <w:tc>
          <w:tcPr>
            <w:tcW w:w="9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consideration</w:t>
            </w: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acquired</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6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the potential value of future payments under the Cash Vesting Payment Program was $5.9 million to be paid to employees through 2022, assuming continued employment for each employee. The Company recognized $1.3 million and $5.3 million of expense under the Cash Vesting Program for the three and nine months ended September 30, 2020, respectively. Based on the requirement for continued service, the cost related to payments under the Cash Vesting Payment Program is recognized as compensation and reflected on the Statement of Operations in the same category as salary expense of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4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 of acquisition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3"/>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68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680" w:type="dxa"/>
            <w:vAlign w:val="bottom"/>
            <w:tcBorders>
              <w:bottom w:val="single" w:sz="8" w:color="CCEEFF"/>
            </w:tcBorders>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15.0</w:t>
            </w:r>
          </w:p>
        </w:tc>
      </w:tr>
      <w:tr>
        <w:trPr>
          <w:trHeight w:val="26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Cash and Cash Equivalents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consisted of the following as of September 30, 2020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20"/>
                <w:szCs w:val="20"/>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23"/>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3"/>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63"/>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consisted of $41.4 million of cash as of December 31, 2019.</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See Note 10 for further information regarding the fair value of our financial instruments.</w:t>
      </w:r>
    </w:p>
    <w:p>
      <w:pPr>
        <w:spacing w:after="0" w:line="2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immaterial gross unrealized losses related to our available-for-sale securities as of September 30, 2020. The following table summarizes the fair value of our available-for-sale securities that have been in a continuous unrealized loss position as of September 30, 2020:</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30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740" w:type="dxa"/>
            <w:vAlign w:val="bottom"/>
          </w:tcPr>
          <w:p>
            <w:pPr>
              <w:jc w:val="center"/>
              <w:ind w:right="84"/>
              <w:spacing w:after="0" w:line="158" w:lineRule="exact"/>
              <w:rPr>
                <w:sz w:val="20"/>
                <w:szCs w:val="20"/>
                <w:color w:val="auto"/>
              </w:rPr>
            </w:pPr>
            <w:r>
              <w:rPr>
                <w:rFonts w:ascii="Times New Roman" w:cs="Times New Roman" w:eastAsia="Times New Roman" w:hAnsi="Times New Roman"/>
                <w:sz w:val="14"/>
                <w:szCs w:val="14"/>
                <w:b w:val="1"/>
                <w:bCs w:val="1"/>
                <w:color w:val="auto"/>
              </w:rPr>
              <w:t>Less Than Twelve</w:t>
            </w:r>
          </w:p>
        </w:tc>
        <w:tc>
          <w:tcPr>
            <w:tcW w:w="16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More Than Twelve</w:t>
            </w:r>
          </w:p>
        </w:tc>
        <w:tc>
          <w:tcPr>
            <w:tcW w:w="170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Less Than Twelve</w:t>
            </w:r>
          </w:p>
        </w:tc>
        <w:tc>
          <w:tcPr>
            <w:tcW w:w="16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More Than Twelve</w:t>
            </w: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7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32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3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(Unaudited)</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5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$17.6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five securities in an unrealized loss position for less than twelve months at September 30, 2020. There were no securities in an unrealized loss position for more than twelve months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fixed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7"/>
        </w:trPr>
        <w:tc>
          <w:tcPr>
            <w:tcW w:w="8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6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$2.4 million and $1.8 million for the three months ended September 30, 2020 and 2019, respectively. Depreciation expense was $6.4 million and $4.2 million for the nine months ended September 30, 2020 and 2019,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Acquired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2020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90"/>
        </w:trPr>
        <w:tc>
          <w:tcPr>
            <w:tcW w:w="4640" w:type="dxa"/>
            <w:vAlign w:val="bottom"/>
            <w:vMerge w:val="continue"/>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$10.1 million and $11.2 million for the three months ended September 30, 2020 and 2019, respectively. Amortization expense was $30.6 million and $32.5 million for the nine months ended September 30, 2020 and 2019,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as of September 30, 2020, was $966.8 million, and there have been no changes since December 31, 2019.</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the results of the Company’s impairment assessment, the Company did not recognize any impairment of goodwill during the nine months ended September 30, 2020 or September 30, 2019.</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and December 31, 2019, the carrying values of the Company’s borrowings were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0" w:type="dxa"/>
            <w:vAlign w:val="bottom"/>
          </w:tcPr>
          <w:p>
            <w:pPr>
              <w:spacing w:after="0"/>
              <w:rPr>
                <w:sz w:val="1"/>
                <w:szCs w:val="1"/>
                <w:color w:val="auto"/>
              </w:rPr>
            </w:pPr>
          </w:p>
        </w:tc>
      </w:tr>
      <w:tr>
        <w:trPr>
          <w:trHeight w:val="23"/>
        </w:trPr>
        <w:tc>
          <w:tcPr>
            <w:tcW w:w="21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Elected Interest Rate</w:t>
            </w: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2026</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LIBOR + 3.75%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2024</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LIBOR + 3.50%</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Term Loan</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2027</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LIBOR + 8.50%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05"/>
        </w:trPr>
        <w:tc>
          <w:tcPr>
            <w:tcW w:w="21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Carrying Value of</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6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 Term Debt</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First Lien Term Loan</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raised $965 million of first lien debt through the First Lien Credit Agreement. In addition to funding the purchase of Pre-Acquisition ZI, the proceeds were used to repay all previously outstanding indebtedness.</w:t>
      </w:r>
    </w:p>
    <w:p>
      <w:pPr>
        <w:spacing w:after="0" w:line="2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first lien debt has a variable interest rate whereby the Company can elect to use a Base Rate or the London Interbank Offer Rate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September 30, 2020, $756.4 million aggregate principal amount of term loans were outstanding under the First Lien Credit Agreement. The interest related portion of the repayment was recorded within </w:t>
      </w: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 its Consolidated Statements of Operations, and represented use of cash from operating activities in the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The quarterly repayment requirement on first lien borrowings has been satisfied for the remainder of the term after the $100.0 million principal payment. The effective interest rate on the first lien debt was 4.3% and 7.5% as of September 30, 2020 and December 31, 2019, respectively.</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Second Lien Term Loan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raised $370 million of second lien debt.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8, 2020, the Company used approximately $380.6 million of the proceeds of the IPO to repay the entire aggregate principal amount outstanding under the Second Lien Credit Agreement, including prepayment premiums of $3.7 million and accrued interest thereon of $6.9 million. The effective interest rate was 10.8%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 (continued)</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repayment date. The Company recognized $7.3 million loss on the extinguishment of debt relating to the write-off of unamortized issuance costs. The company recognized $11.0 million within </w:t>
      </w: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xml:space="preserve"> on the Consolidated Statements of Operations comprised of the write-off of unamortized issuance costs and the prepayment penalty incurred on the payoff. The effective interest rate on the second lien debt was 11.9% as of December 31, 2019.</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First Lien Revolving Credit Facility</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entered into the First Lien Credit Agreement providing a $100.0 million credit facility.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Times New Roman" w:cs="Times New Roman" w:eastAsia="Times New Roman" w:hAnsi="Times New Roman"/>
          <w:sz w:val="18"/>
          <w:szCs w:val="18"/>
          <w:i w:val="1"/>
          <w:iCs w:val="1"/>
          <w:color w:val="auto"/>
        </w:rPr>
        <w:t xml:space="preserve">Deferred costs, net of current portion </w:t>
      </w:r>
      <w:r>
        <w:rPr>
          <w:rFonts w:ascii="Times New Roman" w:cs="Times New Roman" w:eastAsia="Times New Roman" w:hAnsi="Times New Roman"/>
          <w:sz w:val="18"/>
          <w:szCs w:val="18"/>
          <w:color w:val="auto"/>
        </w:rPr>
        <w:t>on the accompanying Condensed Consolidated Balance Sheets were immaterial as of September 30,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First Lien Credit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draws more than $35.0 million of the revolving credit loan, the revolving credit loan is subject to a springing financial covenant pursuant to which the consolidated first lien net leverage ratio must not exceed 7.65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Redeemable Series A Preferred Units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acquisition of Pre-Acquisition ZI on February 1, 2019, ZoomInfo issued 51,750,000 of Series A Preferred Units in exchange for $200.2 million, net of issuance costs. On June 8, 2020,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 (continued)</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redeemed and cancelled all outstanding Series A Preferred Units of ZoomInfo OpCo. Refer to Note 15 for additional discussion regarding Series A Preferred Units and related redemption.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September 30, 2020 is as follows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Discounts and Issuance</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0"/>
        </w:trPr>
        <w:tc>
          <w:tcPr>
            <w:tcW w:w="28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36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16"/>
                <w:szCs w:val="16"/>
                <w:color w:val="auto"/>
              </w:rPr>
            </w:pP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Presented</w:t>
            </w:r>
          </w:p>
        </w:tc>
      </w:tr>
      <w:tr>
        <w:trPr>
          <w:trHeight w:val="23"/>
        </w:trPr>
        <w:tc>
          <w:tcPr>
            <w:tcW w:w="28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2880" w:type="dxa"/>
            <w:vAlign w:val="bottom"/>
          </w:tcPr>
          <w:p>
            <w:pPr>
              <w:spacing w:after="0"/>
              <w:rPr>
                <w:sz w:val="21"/>
                <w:szCs w:val="21"/>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28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2880" w:type="dxa"/>
            <w:vAlign w:val="bottom"/>
          </w:tcPr>
          <w:p>
            <w:pPr>
              <w:spacing w:after="0"/>
              <w:rPr>
                <w:sz w:val="21"/>
                <w:szCs w:val="21"/>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28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2880" w:type="dxa"/>
            <w:vAlign w:val="bottom"/>
          </w:tcPr>
          <w:p>
            <w:pPr>
              <w:spacing w:after="0"/>
              <w:rPr>
                <w:sz w:val="21"/>
                <w:szCs w:val="21"/>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r>
      <w:tr>
        <w:trPr>
          <w:trHeight w:val="27"/>
        </w:trPr>
        <w:tc>
          <w:tcPr>
            <w:tcW w:w="28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2880" w:type="dxa"/>
            <w:vAlign w:val="bottom"/>
            <w:tcBorders>
              <w:bottom w:val="single" w:sz="8" w:color="CCEEFF"/>
            </w:tcBorders>
            <w:shd w:val="clear" w:color="auto" w:fill="CCEEFF"/>
          </w:tcPr>
          <w:p>
            <w:pPr>
              <w:spacing w:after="0"/>
              <w:rPr>
                <w:sz w:val="24"/>
                <w:szCs w:val="24"/>
                <w:color w:val="auto"/>
              </w:rPr>
            </w:pPr>
          </w:p>
        </w:tc>
        <w:tc>
          <w:tcPr>
            <w:tcW w:w="3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 Accounting and Hedging Programs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derivative instruments and hedging activities on a gross basis as either assets or liabilities on the Company’s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2019, the Company entered into two separate interest rate swap agreements to convert a portion of the Company’s floating-rate debt that is based on LIBOR to a fixed-rate, reducing the impact of interest rate changes on future interest expense. The first agreement converts $350.0 million of floating rate debt under our first lien credit facility to fixed rate obligations. The second agreement caps the interest rate applied to $500.0 million of the Company’s floating-rate debt in the event the interest rate should rise above the cap strike rate. Our interest rate swap contracts mature in April 2022, and our interest rate cap contract matures in April of 2024.</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2020, we began to hedge the variability of forecasted interest payments on our first lien debt using forward-starting swaps. The total notional amount of these forward-starting interest rate swaps is $500.0 million as of September 30, 2020. These forward-starting interest rate swaps will fix the benchmark interest rate and hedge the variability of forecasted interest payments from April 2022 through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During the second quarter of 2020, the Company reduced its LIBOR based debt to $756.4 million (refer to Note 8), which is below the total notional amounts of our Derivative Instruments of $850.0 million as of the date of the debt repayment. Consequently, concurrent with the repayment of the entire aggregate principal amount outstanding under the Second Lien Credit Agreement and prepayment of $100.0 million aggregate principal amount of the first lien term loans outstanding under the First Lien Credit Agreement, we dedesignated the Derivative Instruments. As the forecasted interest payments on $93.7 million not redesignated was probable to not occur, the Company reclassified the existing deferred loss on that portion of the derivative of $3.3 million from AOCI into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2020 the Company dedesignated and redesignated certain hedges contemporaneously with the inception of our forward-starting interest rate swaps to achieve optimal interest rate protections. As of September 30, 2020, $243.6 million of the notional amount of the interest rate cap contract is not designated as an accounting hedge.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had the following outstanding interest rate derivatives that were designated as cash flow hedges of interest rate risk ($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 Derivatives</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Notional Aggregate</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90"/>
        </w:trPr>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Cap / Swap Rate</w:t>
            </w:r>
          </w:p>
        </w:tc>
        <w:tc>
          <w:tcPr>
            <w:tcW w:w="17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23"/>
        </w:trPr>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30, 2024</w:t>
            </w:r>
          </w:p>
        </w:tc>
      </w:tr>
      <w:tr>
        <w:trPr>
          <w:trHeight w:val="24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0"/>
              </w:rPr>
              <w:t>Two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29, 2022</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 contracts</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0"/>
              </w:rPr>
              <w:t>Two</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7"/>
        </w:trPr>
        <w:tc>
          <w:tcPr>
            <w:tcW w:w="3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in the Company’s Condensed Consolidated Balance Sheets for derivatives as of September 30, 2020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8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Fair Value of Derivative Liabilities</w:t>
            </w:r>
          </w:p>
        </w:tc>
        <w:tc>
          <w:tcPr>
            <w:tcW w:w="0" w:type="dxa"/>
            <w:vAlign w:val="bottom"/>
          </w:tcPr>
          <w:p>
            <w:pPr>
              <w:spacing w:after="0"/>
              <w:rPr>
                <w:sz w:val="1"/>
                <w:szCs w:val="1"/>
                <w:color w:val="auto"/>
              </w:rPr>
            </w:pPr>
          </w:p>
        </w:tc>
      </w:tr>
      <w:tr>
        <w:trPr>
          <w:trHeight w:val="23"/>
        </w:trPr>
        <w:tc>
          <w:tcPr>
            <w:tcW w:w="416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9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60" w:type="dxa"/>
            <w:vAlign w:val="bottom"/>
            <w:gridSpan w:val="2"/>
            <w:vMerge w:val="continue"/>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80" w:type="dxa"/>
            <w:vAlign w:val="bottom"/>
          </w:tcPr>
          <w:p>
            <w:pPr>
              <w:spacing w:after="0"/>
              <w:rPr>
                <w:sz w:val="16"/>
                <w:szCs w:val="16"/>
                <w:color w:val="auto"/>
              </w:rPr>
            </w:pPr>
          </w:p>
        </w:tc>
        <w:tc>
          <w:tcPr>
            <w:tcW w:w="17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Forward-starting interest rate swap contracts</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designated derivative liabilities</w:t>
            </w:r>
          </w:p>
        </w:tc>
        <w:tc>
          <w:tcPr>
            <w:tcW w:w="2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undesignated derivative liabilities</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change in fair value of any derivative instruments was recorded, net of income tax,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(“AOCI”) on the Company’s Condensed Consolidated Balance Sheets to the extent the agreements were designated as effective hedges. In the period that the hedged item affects earnings, such as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payments are made on the Company’s variable-rate debt, we reclassify the related gain or loss on the interest rate swap cash flow hedges and any receipts on the cap to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and as operating cash flows in our Consolidated Statements of Cash Flows. Over the next 12 months, we expect to reclassify approximately $5.6 million into interest expense from AOCI.</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 of the Company’s cash equivalents, which consist of corporate debt securities and money market mutual funds, approximate fair value and are based on the closing price of these assets as of the reporting date. We classify our corporate debt securities and money market mutual funds as Level 1. The carrying values of the Company's debt instruments approximate their fair value based on Level 2 inputs since the instruments carry variable interest rates based on LIBOR or other applicable reference rates.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(in millions) of our financial assets and (liabilities) was determined using the following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7"/>
        </w:trPr>
        <w:tc>
          <w:tcPr>
            <w:tcW w:w="6320" w:type="dxa"/>
            <w:vAlign w:val="bottom"/>
            <w:gridSpan w:val="2"/>
          </w:tcPr>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9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Fair Value (continued)</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0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September 30, 2020</w:t>
            </w:r>
          </w:p>
        </w:tc>
        <w:tc>
          <w:tcPr>
            <w:tcW w:w="3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4"/>
                <w:szCs w:val="24"/>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6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contract,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8"/>
        </w:trPr>
        <w:tc>
          <w:tcPr>
            <w:tcW w:w="6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2019</w:t>
            </w:r>
          </w:p>
        </w:tc>
        <w:tc>
          <w:tcPr>
            <w:tcW w:w="3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4"/>
                <w:szCs w:val="24"/>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6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contract,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32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right-of-use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transfers between fair value measurements levels during the nine months ended September 30, 2020.</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See Note 5 for further information regarding the fair value of our financial instruments.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Non-cancelable purchase obligations </w:t>
      </w:r>
      <w:r>
        <w:rPr>
          <w:rFonts w:ascii="Times New Roman" w:cs="Times New Roman" w:eastAsia="Times New Roman" w:hAnsi="Times New Roman"/>
          <w:sz w:val="18"/>
          <w:szCs w:val="18"/>
          <w:color w:val="auto"/>
        </w:rPr>
        <w:t>- As of September 30, 2020, we had additional outstanding non-cancelable purchase obligations with a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 months or longer of $10.4 million over the corresponding amount disclosed in our audited financial statements for the year ended December 31, 2019, mainly related to third-party cloud hosting and sales and marketing activities.</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Sales and use tax </w:t>
      </w:r>
      <w:r>
        <w:rPr>
          <w:rFonts w:ascii="Times New Roman" w:cs="Times New Roman" w:eastAsia="Times New Roman" w:hAnsi="Times New Roman"/>
          <w:sz w:val="18"/>
          <w:szCs w:val="18"/>
          <w:color w:val="auto"/>
        </w:rPr>
        <w:t>- The Company has conducted an assessment of sales and use tax exposure in states where the Company has established nexus.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Based on this assessment, the Company has recorded a liability for taxes owed and related penalties and interest in the amount of $2.1 million and $2.1 million at September 30, 2020 and December 31, 2019, respectively. This liability is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in the Company’s Condensed Consolidated Balance Sheets.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Contingent earn-out payments </w:t>
      </w:r>
      <w:r>
        <w:rPr>
          <w:rFonts w:ascii="Times New Roman" w:cs="Times New Roman" w:eastAsia="Times New Roman" w:hAnsi="Times New Roman"/>
          <w:sz w:val="18"/>
          <w:szCs w:val="18"/>
          <w:color w:val="auto"/>
        </w:rPr>
        <w:t>- As of September 30, 2020, the Company is contingently committed to making an earn-out payment of up to $4.0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part of our acquisition of Komiko (refer to Note 4 for additional information).</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acquisition related payments - </w:t>
      </w:r>
      <w:r>
        <w:rPr>
          <w:rFonts w:ascii="Times New Roman" w:cs="Times New Roman" w:eastAsia="Times New Roman" w:hAnsi="Times New Roman"/>
          <w:sz w:val="18"/>
          <w:szCs w:val="18"/>
          <w:color w:val="auto"/>
        </w:rPr>
        <w:t>In accordance with the purchase agreement, the Company will pay deferred consideration of $10.0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2nd anniversary of the </w:t>
      </w:r>
      <w:r>
        <w:rPr>
          <w:rFonts w:ascii="Times New Roman" w:cs="Times New Roman" w:eastAsia="Times New Roman" w:hAnsi="Times New Roman"/>
          <w:sz w:val="18"/>
          <w:szCs w:val="18"/>
          <w:i w:val="1"/>
          <w:iCs w:val="1"/>
          <w:color w:val="auto"/>
        </w:rPr>
        <w:t>Pre-acquisition ZI</w:t>
      </w:r>
      <w:r>
        <w:rPr>
          <w:rFonts w:ascii="Times New Roman" w:cs="Times New Roman" w:eastAsia="Times New Roman" w:hAnsi="Times New Roman"/>
          <w:sz w:val="18"/>
          <w:szCs w:val="18"/>
          <w:color w:val="auto"/>
        </w:rPr>
        <w:t xml:space="preserve"> acquisition. Refer to Note 4.</w:t>
      </w:r>
    </w:p>
    <w:p>
      <w:pPr>
        <w:spacing w:after="0" w:line="10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Legal Matters - </w:t>
      </w: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Times New Roman" w:cs="Times New Roman" w:eastAsia="Times New Roman" w:hAnsi="Times New Roman"/>
          <w:sz w:val="18"/>
          <w:szCs w:val="18"/>
          <w:i w:val="1"/>
          <w:iCs w:val="1"/>
          <w:color w:val="auto"/>
        </w:rPr>
        <w:t>Noncontrolling interests</w:t>
      </w:r>
      <w:r>
        <w:rPr>
          <w:rFonts w:ascii="Times New Roman" w:cs="Times New Roman" w:eastAsia="Times New Roman" w:hAnsi="Times New Roman"/>
          <w:sz w:val="18"/>
          <w:szCs w:val="18"/>
          <w:color w:val="auto"/>
        </w:rPr>
        <w:t xml:space="preserve"> and increase or decrease </w:t>
      </w:r>
      <w:r>
        <w:rPr>
          <w:rFonts w:ascii="Times New Roman" w:cs="Times New Roman" w:eastAsia="Times New Roman" w:hAnsi="Times New Roman"/>
          <w:sz w:val="18"/>
          <w:szCs w:val="18"/>
          <w:i w:val="1"/>
          <w:iCs w:val="1"/>
          <w:color w:val="auto"/>
        </w:rPr>
        <w:t xml:space="preserve">Additional paid-in capital </w:t>
      </w:r>
      <w:r>
        <w:rPr>
          <w:rFonts w:ascii="Times New Roman" w:cs="Times New Roman" w:eastAsia="Times New Roman" w:hAnsi="Times New Roman"/>
          <w:sz w:val="18"/>
          <w:szCs w:val="18"/>
          <w:color w:val="auto"/>
        </w:rPr>
        <w:t>in the Company’s Condensed Consolidated Balance Sheets.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ZoomInfo Technologies Inc. held 160,755,779 HoldCo Units, and ZoomInfo HoldCo held 164,963,877 OpCo Units resulting in an ownership interest of 41% in the consolidated subsidiaries.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42424"/>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42424"/>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and nine months ended September 30, 2019.</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42424"/>
        </w:rPr>
        <w:t>The followin</w:t>
      </w:r>
      <w:r>
        <w:rPr>
          <w:rFonts w:ascii="Times New Roman" w:cs="Times New Roman" w:eastAsia="Times New Roman" w:hAnsi="Times New Roman"/>
          <w:sz w:val="18"/>
          <w:szCs w:val="18"/>
          <w:color w:val="000000"/>
        </w:rPr>
        <w:t>g table sets forth reconciliations of the numerators and denominators used to compute basic and diluted earnings (los</w:t>
      </w:r>
      <w:r>
        <w:rPr>
          <w:rFonts w:ascii="Times New Roman" w:cs="Times New Roman" w:eastAsia="Times New Roman" w:hAnsi="Times New Roman"/>
          <w:sz w:val="18"/>
          <w:szCs w:val="18"/>
          <w:color w:val="242424"/>
        </w:rPr>
        <w:t>s) per share of Class A and Class C common stock for the three and nine months ended September 30, 2020. The basic and diluted earnings per share period for the three and nine months ended September 30, 2020, represents only the period from June 4, 2020 to September 30, 2020, which represents the period wherein we had outstanding Class A and Class C common stock.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00" w:type="dxa"/>
            <w:vAlign w:val="bottom"/>
          </w:tcPr>
          <w:p>
            <w:pPr>
              <w:spacing w:after="0"/>
              <w:rPr>
                <w:sz w:val="14"/>
                <w:szCs w:val="14"/>
                <w:color w:val="auto"/>
              </w:rPr>
            </w:pPr>
          </w:p>
        </w:tc>
        <w:tc>
          <w:tcPr>
            <w:tcW w:w="20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90"/>
        </w:trPr>
        <w:tc>
          <w:tcPr>
            <w:tcW w:w="6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30, 2020</w:t>
            </w:r>
          </w:p>
        </w:tc>
      </w:tr>
      <w:tr>
        <w:trPr>
          <w:trHeight w:val="23"/>
        </w:trPr>
        <w:tc>
          <w:tcPr>
            <w:tcW w:w="68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4"/>
          </w:tcPr>
          <w:p>
            <w:pPr>
              <w:spacing w:after="0"/>
              <w:rPr>
                <w:sz w:val="2"/>
                <w:szCs w:val="2"/>
                <w:color w:val="auto"/>
              </w:rPr>
            </w:pPr>
          </w:p>
        </w:tc>
      </w:tr>
      <w:tr>
        <w:trPr>
          <w:trHeight w:val="186"/>
        </w:trPr>
        <w:tc>
          <w:tcPr>
            <w:tcW w:w="6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40" w:type="dxa"/>
            <w:vAlign w:val="bottom"/>
            <w:gridSpan w:val="4"/>
          </w:tcPr>
          <w:p>
            <w:pPr>
              <w:jc w:val="right"/>
              <w:ind w:right="175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6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7"/>
        </w:trPr>
        <w:tc>
          <w:tcPr>
            <w:tcW w:w="6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ZoomInfo OpCo before Reorganization Transactions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Excess of consideration paid over carrying amount to holders of Series A Preferred</w:t>
            </w: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attributable to common shares</w:t>
            </w:r>
          </w:p>
        </w:tc>
        <w:tc>
          <w:tcPr>
            <w:tcW w:w="48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6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ZoomInfo Technologies Inc.</w:t>
            </w:r>
          </w:p>
        </w:tc>
        <w:tc>
          <w:tcPr>
            <w:tcW w:w="4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68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of Class A and Class C common stock (in millions, except share amounts,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40" w:type="dxa"/>
            <w:vAlign w:val="bottom"/>
          </w:tcPr>
          <w:p>
            <w:pPr>
              <w:spacing w:after="0"/>
              <w:rPr>
                <w:sz w:val="16"/>
                <w:szCs w:val="16"/>
                <w:color w:val="auto"/>
              </w:rPr>
            </w:pPr>
          </w:p>
        </w:tc>
        <w:tc>
          <w:tcPr>
            <w:tcW w:w="278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r>
      <w:tr>
        <w:trPr>
          <w:trHeight w:val="23"/>
        </w:trPr>
        <w:tc>
          <w:tcPr>
            <w:tcW w:w="4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24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16"/>
                <w:szCs w:val="16"/>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Class C</w:t>
            </w:r>
          </w:p>
        </w:tc>
      </w:tr>
      <w:tr>
        <w:trPr>
          <w:trHeight w:val="23"/>
        </w:trPr>
        <w:tc>
          <w:tcPr>
            <w:tcW w:w="4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 attributable to common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Allocation of net income (loss) attributable to ZoomInfo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Technologies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Class A and Class C</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outstanding</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61,153,504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94,631,630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59,075,363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95,420,020</w:t>
            </w:r>
          </w:p>
        </w:tc>
      </w:tr>
      <w:tr>
        <w:trPr>
          <w:trHeight w:val="205"/>
        </w:trPr>
        <w:tc>
          <w:tcPr>
            <w:tcW w:w="48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Basic net income (loss) per share attributable to common</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Undistributed earnings for basic computation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earnings attributable to common shareholders upon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of potentially dilutive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Reallocation of earnings as a result of conversion of potentially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instruments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undistributed earnings as a result of conversion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Class C to Class A shares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240" w:type="dxa"/>
            <w:vAlign w:val="bottom"/>
          </w:tcPr>
          <w:p>
            <w:pPr>
              <w:spacing w:after="0"/>
              <w:rPr>
                <w:sz w:val="16"/>
                <w:szCs w:val="16"/>
                <w:color w:val="auto"/>
              </w:rPr>
            </w:pPr>
          </w:p>
        </w:tc>
        <w:tc>
          <w:tcPr>
            <w:tcW w:w="278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240" w:type="dxa"/>
            <w:vAlign w:val="bottom"/>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16"/>
                <w:szCs w:val="16"/>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61,153,504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94,631,630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59,075,363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95,420,020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Add: weighted-average effect of dilutive securities exchangeable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 Class A 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OpCo Units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213,965,530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P Units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HSKB I Class 1 Units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13,572,783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HSKB II Class 1 Units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HSKB II Phantom Units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HoldCo Units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LTIP Units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Class A Common Stock Options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of Class C to Class A common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94,631,630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95,420,020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82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 average shares of Class A and Class C common</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outstanding used to calculate diluted net income (loss)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 share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397,320,656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94,631,630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154,495,383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95,420,020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Diluted net income (loss) per share attributable to common</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5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34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42424"/>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42424"/>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726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3"/>
        </w:trPr>
        <w:tc>
          <w:tcPr>
            <w:tcW w:w="726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Units</w:t>
            </w:r>
          </w:p>
        </w:tc>
        <w:tc>
          <w:tcPr>
            <w:tcW w:w="2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216,801,480</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12,441,594</w:t>
            </w:r>
          </w:p>
        </w:tc>
      </w:tr>
      <w:tr>
        <w:trPr>
          <w:trHeight w:val="27"/>
        </w:trPr>
        <w:tc>
          <w:tcPr>
            <w:tcW w:w="7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I Class 1 Units</w:t>
            </w:r>
          </w:p>
        </w:tc>
        <w:tc>
          <w:tcPr>
            <w:tcW w:w="2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13,371,074</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II Class 1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1,957,685</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1,891,249</w:t>
            </w:r>
          </w:p>
        </w:tc>
      </w:tr>
      <w:tr>
        <w:trPr>
          <w:trHeight w:val="27"/>
        </w:trPr>
        <w:tc>
          <w:tcPr>
            <w:tcW w:w="7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II Phantom Units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364,281</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369,741</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HoldCo Units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1,231,368</w:t>
            </w:r>
          </w:p>
        </w:tc>
      </w:tr>
      <w:tr>
        <w:trPr>
          <w:trHeight w:val="27"/>
        </w:trPr>
        <w:tc>
          <w:tcPr>
            <w:tcW w:w="7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246,749</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24,706</w:t>
            </w:r>
          </w:p>
        </w:tc>
      </w:tr>
      <w:tr>
        <w:trPr>
          <w:trHeight w:val="27"/>
        </w:trPr>
        <w:tc>
          <w:tcPr>
            <w:tcW w:w="7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Class A Common Stock Options</w:t>
            </w:r>
          </w:p>
        </w:tc>
        <w:tc>
          <w:tcPr>
            <w:tcW w:w="2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256,256</w:t>
            </w:r>
          </w:p>
        </w:tc>
      </w:tr>
      <w:tr>
        <w:trPr>
          <w:trHeight w:val="264"/>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2,321,966</w:t>
            </w:r>
          </w:p>
        </w:tc>
        <w:tc>
          <w:tcPr>
            <w:tcW w:w="12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246,634,217</w:t>
            </w:r>
          </w:p>
        </w:tc>
      </w:tr>
      <w:tr>
        <w:trPr>
          <w:trHeight w:val="20"/>
        </w:trPr>
        <w:tc>
          <w:tcPr>
            <w:tcW w:w="7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also has a sublease of a former corporate office. The sublease has a remaining lease term of less than one year. Sublease income, which is recorded as a reduction of rent expense and allocated to the appropriate financial statement line item to arrive at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in the Consolidated Statements of Operations was immaterial for the three and nine months ended September 30, 2020 and 2019.</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additional details related to leases recorded on our balance sheet as of September 30, 2020 and December 31, 2019:</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5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440" w:type="dxa"/>
            <w:vAlign w:val="bottom"/>
            <w:vMerge w:val="continue"/>
          </w:tcPr>
          <w:p>
            <w:pPr>
              <w:spacing w:after="0"/>
              <w:rPr>
                <w:sz w:val="19"/>
                <w:szCs w:val="19"/>
                <w:color w:val="auto"/>
              </w:rPr>
            </w:pPr>
          </w:p>
        </w:tc>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Rent expense was $1.8 million and $1.8 million for the three months ended September 30, 2020 and 2019, respectively. Rent expense was $5.5 million and $4.3 million for the nine months ended September 30, 2020 and 2019,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(unaudited, in millions)</w:t>
            </w: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20"/>
                <w:szCs w:val="20"/>
                <w:color w:val="auto"/>
              </w:rPr>
            </w:pPr>
          </w:p>
        </w:tc>
        <w:tc>
          <w:tcPr>
            <w:tcW w:w="2880" w:type="dxa"/>
            <w:vAlign w:val="bottom"/>
            <w:gridSpan w:val="6"/>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Zoom Information, Inc. acquisition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652"/>
        </w:trPr>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on the condensed consolidated balance sheets as of September 30, 2020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(excluding nine months ended September 30,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September 30, 2020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63"/>
        </w:trPr>
        <w:tc>
          <w:tcPr>
            <w:tcW w:w="9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above does not include any legally binding minimum lease payments for leases signed but not yet commenced.</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we had additional operating leases for office space that have not yet commenced with undiscounted future lease payments of $2.7 million. These operating leases will commence in the fourth quarter of fiscal year 2020. Expense associated with short term leases and variable lease costs were immaterial for the three and nine months ended September 30, 2020. The expense related to short-term leases reasonably reflects our short-term lease commitments.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Redeemable Series A Preferred Units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June 8, 2020, the Company redeemed and cancelled all outstanding Series A Preferred Units of ZoomInfo OpCo for $274.2 million, the total redemption price, resulting in a $74.0 million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The total redemption price paid included the carrying amount of $200.2 million, accreted but unpaid dividends of $45.4 million, and an excess amount due upon early redemption of $28.6 million. Of the $28.6 million excess amount paid, $17.6 million was attributed to noncontrolling interests and $11.0 million to common stockholders.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27, 2020, the Board of Directors of the Company (the “Board”) adopted the ZoomInfo Technologies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Stock Unit (“RSU”) activity was as follows during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0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7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8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829,348</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43"/>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799,607</w:t>
            </w:r>
          </w:p>
        </w:tc>
        <w:tc>
          <w:tcPr>
            <w:tcW w:w="1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Options</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66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Unvested Options activity was as follows during the periods indicated:</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660" w:type="dxa"/>
            <w:vAlign w:val="bottom"/>
          </w:tcPr>
          <w:p>
            <w:pPr>
              <w:spacing w:after="0"/>
              <w:rPr>
                <w:sz w:val="24"/>
                <w:szCs w:val="24"/>
                <w:color w:val="auto"/>
              </w:rPr>
            </w:pPr>
          </w:p>
        </w:tc>
        <w:tc>
          <w:tcPr>
            <w:tcW w:w="30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7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122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576,708</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6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566,588</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and weighted average remaining contractual terms of Options outstanding and Options exercisable were as follows as of September 30,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3"/>
        </w:trPr>
        <w:tc>
          <w:tcPr>
            <w:tcW w:w="9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(in millions)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 Options outstanding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9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 Options exercisable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life (in years)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 Options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years</w:t>
            </w:r>
          </w:p>
        </w:tc>
      </w:tr>
      <w:tr>
        <w:trPr>
          <w:trHeight w:val="243"/>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 Options exercisable</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Options outstanding were issued at the time of the IPO. No additional options have been issued to date. The fair value of Class A stock options granted at the time of the IPO was determined using the Black-Scholes option pricing model with the following assumption ranges and fair value per unit: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4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3"/>
        </w:trPr>
        <w:tc>
          <w:tcPr>
            <w:tcW w:w="94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39.0% to 39.3%</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 to 5.9 years</w:t>
            </w:r>
          </w:p>
        </w:tc>
      </w:tr>
      <w:tr>
        <w:trPr>
          <w:trHeight w:val="27"/>
        </w:trPr>
        <w:tc>
          <w:tcPr>
            <w:tcW w:w="9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182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$21.00</w:t>
            </w:r>
          </w:p>
        </w:tc>
      </w:tr>
    </w:tbl>
    <w:p>
      <w:pPr>
        <w:spacing w:after="0" w:line="3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HoldCo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Unvested HoldCo Unit activity was as follows during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58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r>
      <w:tr>
        <w:trPr>
          <w:trHeight w:val="23"/>
        </w:trPr>
        <w:tc>
          <w:tcPr>
            <w:tcW w:w="7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158"/>
        </w:trPr>
        <w:tc>
          <w:tcPr>
            <w:tcW w:w="7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right"/>
              <w:ind w:right="13"/>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90"/>
        </w:trPr>
        <w:tc>
          <w:tcPr>
            <w:tcW w:w="7660" w:type="dxa"/>
            <w:vAlign w:val="bottom"/>
          </w:tcPr>
          <w:p>
            <w:pPr>
              <w:spacing w:after="0"/>
              <w:rPr>
                <w:sz w:val="16"/>
                <w:szCs w:val="16"/>
                <w:color w:val="auto"/>
              </w:rPr>
            </w:pPr>
          </w:p>
        </w:tc>
        <w:tc>
          <w:tcPr>
            <w:tcW w:w="17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HoldCo Units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3"/>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1,332,239</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7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(68,587)</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43"/>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7"/>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1,250,879</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OpCo Unit activity was as follows during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820" w:type="dxa"/>
            <w:vAlign w:val="bottom"/>
          </w:tcPr>
          <w:p>
            <w:pPr>
              <w:spacing w:after="0"/>
              <w:rPr>
                <w:sz w:val="16"/>
                <w:szCs w:val="16"/>
                <w:color w:val="auto"/>
              </w:rPr>
            </w:pPr>
          </w:p>
        </w:tc>
        <w:tc>
          <w:tcPr>
            <w:tcW w:w="37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3"/>
        </w:trPr>
        <w:tc>
          <w:tcPr>
            <w:tcW w:w="58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58"/>
        </w:trPr>
        <w:tc>
          <w:tcPr>
            <w:tcW w:w="5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720" w:type="dxa"/>
            <w:vAlign w:val="bottom"/>
          </w:tcPr>
          <w:p>
            <w:pPr>
              <w:spacing w:after="0"/>
              <w:rPr>
                <w:sz w:val="13"/>
                <w:szCs w:val="13"/>
                <w:color w:val="auto"/>
              </w:rPr>
            </w:pPr>
          </w:p>
        </w:tc>
      </w:tr>
      <w:tr>
        <w:trPr>
          <w:trHeight w:val="190"/>
        </w:trPr>
        <w:tc>
          <w:tcPr>
            <w:tcW w:w="5820" w:type="dxa"/>
            <w:vAlign w:val="bottom"/>
          </w:tcPr>
          <w:p>
            <w:pPr>
              <w:spacing w:after="0"/>
              <w:rPr>
                <w:sz w:val="16"/>
                <w:szCs w:val="16"/>
                <w:color w:val="auto"/>
              </w:rPr>
            </w:pPr>
          </w:p>
        </w:tc>
        <w:tc>
          <w:tcPr>
            <w:tcW w:w="17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OpCo Units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OpCo Units</w:t>
            </w:r>
          </w:p>
        </w:tc>
      </w:tr>
      <w:tr>
        <w:trPr>
          <w:trHeight w:val="23"/>
        </w:trPr>
        <w:tc>
          <w:tcPr>
            <w:tcW w:w="58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228,819</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441,681</w:t>
            </w:r>
          </w:p>
        </w:tc>
      </w:tr>
      <w:tr>
        <w:trPr>
          <w:trHeight w:val="24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(162,218)</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r>
      <w:tr>
        <w:trPr>
          <w:trHeight w:val="24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(59,692)</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(93,995)</w:t>
            </w:r>
          </w:p>
        </w:tc>
      </w:tr>
      <w:tr>
        <w:trPr>
          <w:trHeight w:val="27"/>
        </w:trPr>
        <w:tc>
          <w:tcPr>
            <w:tcW w:w="58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P Units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Class P Units were issued under both the prior and current LLC agreement of ZoomInfo OpCo. Class P Unit activity was as follows during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820" w:type="dxa"/>
            <w:vAlign w:val="bottom"/>
          </w:tcPr>
          <w:p>
            <w:pPr>
              <w:spacing w:after="0"/>
              <w:rPr>
                <w:sz w:val="16"/>
                <w:szCs w:val="16"/>
                <w:color w:val="auto"/>
              </w:rPr>
            </w:pPr>
          </w:p>
        </w:tc>
        <w:tc>
          <w:tcPr>
            <w:tcW w:w="37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3"/>
        </w:trPr>
        <w:tc>
          <w:tcPr>
            <w:tcW w:w="58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58"/>
        </w:trPr>
        <w:tc>
          <w:tcPr>
            <w:tcW w:w="5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720" w:type="dxa"/>
            <w:vAlign w:val="bottom"/>
          </w:tcPr>
          <w:p>
            <w:pPr>
              <w:spacing w:after="0"/>
              <w:rPr>
                <w:sz w:val="13"/>
                <w:szCs w:val="13"/>
                <w:color w:val="auto"/>
              </w:rPr>
            </w:pPr>
          </w:p>
        </w:tc>
      </w:tr>
      <w:tr>
        <w:trPr>
          <w:trHeight w:val="190"/>
        </w:trPr>
        <w:tc>
          <w:tcPr>
            <w:tcW w:w="5820" w:type="dxa"/>
            <w:vAlign w:val="bottom"/>
          </w:tcPr>
          <w:p>
            <w:pPr>
              <w:spacing w:after="0"/>
              <w:rPr>
                <w:sz w:val="16"/>
                <w:szCs w:val="16"/>
                <w:color w:val="auto"/>
              </w:rPr>
            </w:pPr>
          </w:p>
        </w:tc>
        <w:tc>
          <w:tcPr>
            <w:tcW w:w="17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P Units</w:t>
            </w:r>
          </w:p>
        </w:tc>
      </w:tr>
      <w:tr>
        <w:trPr>
          <w:trHeight w:val="23"/>
        </w:trPr>
        <w:tc>
          <w:tcPr>
            <w:tcW w:w="5820" w:type="dxa"/>
            <w:vAlign w:val="bottom"/>
            <w:tcBorders>
              <w:bottom w:val="single" w:sz="8" w:color="BFE4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16,893,603</w:t>
            </w:r>
          </w:p>
        </w:tc>
        <w:tc>
          <w:tcPr>
            <w:tcW w:w="24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5,716,467</w:t>
            </w:r>
          </w:p>
        </w:tc>
      </w:tr>
      <w:tr>
        <w:trPr>
          <w:trHeight w:val="24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Reorganization Transactions and IPO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820" w:type="dxa"/>
            <w:vAlign w:val="bottom"/>
            <w:tcBorders>
              <w:bottom w:val="single" w:sz="8" w:color="BFE4FF"/>
            </w:tcBorders>
            <w:shd w:val="clear" w:color="auto" w:fill="BFE4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642,500</w:t>
            </w:r>
          </w:p>
        </w:tc>
        <w:tc>
          <w:tcPr>
            <w:tcW w:w="24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10,831,275</w:t>
            </w:r>
          </w:p>
        </w:tc>
      </w:tr>
      <w:tr>
        <w:trPr>
          <w:trHeight w:val="24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(5,078,777)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820" w:type="dxa"/>
            <w:vAlign w:val="bottom"/>
            <w:tcBorders>
              <w:bottom w:val="single" w:sz="8" w:color="BFE4FF"/>
            </w:tcBorders>
            <w:shd w:val="clear" w:color="auto" w:fill="BFE4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(430,965)</w:t>
            </w:r>
          </w:p>
        </w:tc>
        <w:tc>
          <w:tcPr>
            <w:tcW w:w="24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BFE4FF"/>
            </w:tcBorders>
            <w:shd w:val="clear" w:color="auto" w:fill="BFE4FF"/>
          </w:tcPr>
          <w:p>
            <w:pPr>
              <w:spacing w:after="0"/>
              <w:rPr>
                <w:sz w:val="23"/>
                <w:szCs w:val="23"/>
                <w:color w:val="auto"/>
              </w:rPr>
            </w:pPr>
          </w:p>
        </w:tc>
        <w:tc>
          <w:tcPr>
            <w:tcW w:w="17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(1,571,151)</w:t>
            </w:r>
          </w:p>
        </w:tc>
      </w:tr>
      <w:tr>
        <w:trPr>
          <w:trHeight w:val="26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10,075,431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14,976,591</w:t>
            </w:r>
          </w:p>
        </w:tc>
      </w:tr>
      <w:tr>
        <w:trPr>
          <w:trHeight w:val="21"/>
        </w:trPr>
        <w:tc>
          <w:tcPr>
            <w:tcW w:w="58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 Holdings’ Class P Units automatically results in a cancellation of an equal number of ZoomInfo OpCo’s Class P Units. Management Holdings was subsequently merged with and into ZoomInfo HoldCo in connection with the Reorganization Transactions and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3, 2020 concurrent with the pricing of the IPO, the Company granted additional Class P Units. The fair value of these Class P Units was determined using the Black-Scholes option pricing model with the following assumption ranges and fair value per unit: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5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6"/>
        </w:trPr>
        <w:tc>
          <w:tcPr>
            <w:tcW w:w="76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 to 41.2%</w:t>
            </w: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6.5 to 6.8 years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years</w:t>
            </w:r>
          </w:p>
        </w:tc>
      </w:tr>
      <w:tr>
        <w:trPr>
          <w:trHeight w:val="27"/>
        </w:trPr>
        <w:tc>
          <w:tcPr>
            <w:tcW w:w="7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to 2.5%</w:t>
            </w: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$5.20 to $9.04</w:t>
            </w:r>
          </w:p>
        </w:tc>
      </w:tr>
    </w:tbl>
    <w:p>
      <w:pPr>
        <w:spacing w:after="0" w:line="3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w:t>
      </w:r>
    </w:p>
    <w:p>
      <w:pPr>
        <w:sectPr>
          <w:pgSz w:w="11900" w:h="16838" w:orient="portrait"/>
          <w:cols w:equalWidth="0" w:num="1">
            <w:col w:w="11240"/>
          </w:cols>
          <w:pgMar w:left="320" w:top="118" w:right="339" w:bottom="1440" w:gutter="0" w:footer="0" w:header="0"/>
        </w:sect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LTIP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LTIP Unit activity was as follows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Incentive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22713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17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LTIP Units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r>
      <w:tr>
        <w:trPr>
          <w:trHeight w:val="23"/>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7"/>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683" w:lineRule="exact"/>
        <w:rPr>
          <w:sz w:val="20"/>
          <w:szCs w:val="20"/>
          <w:color w:val="auto"/>
        </w:rPr>
      </w:pPr>
    </w:p>
    <w:p>
      <w:pPr>
        <w:sectPr>
          <w:pgSz w:w="11900" w:h="16838" w:orient="portrait"/>
          <w:cols w:equalWidth="0" w:num="2">
            <w:col w:w="6940" w:space="720"/>
            <w:col w:w="3580"/>
          </w:cols>
          <w:pgMar w:left="320" w:top="118" w:right="339" w:bottom="1440" w:gutter="0" w:footer="0" w:header="0"/>
          <w:type w:val="continuous"/>
        </w:sect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founders of the Company previously contributed membership units of ZoomInfo OpCo into an upper tier entity, HSKB Funds, LLC, which is controlled by the co-founder and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 and the Company will begin to recognize compensation cost under these awards on a straight-line basis in the same manner as if the Company had paid cash in lieu of awarding the HSKB Grants, per the requirements of ASC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nine months ended September 30, 2020, HSKB paid $11.3 million from allocated funds and has $12.2 million remaining that it has allocated to be paid through 2023.</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HSKB Phantom Units </w:t>
      </w:r>
      <w:r>
        <w:rPr>
          <w:rFonts w:ascii="Times New Roman" w:cs="Times New Roman" w:eastAsia="Times New Roman" w:hAnsi="Times New Roman"/>
          <w:sz w:val="18"/>
          <w:szCs w:val="18"/>
          <w:color w:val="auto"/>
        </w:rPr>
        <w:t>- In December 2019, HSKB I adopted the HSKB Funds, LLC 2019 Phantom Unit Plan wherein HSKB may grant Phantom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(“HSKB Phantom Units”) to employees of the Company. 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 Common Stock as determined by the HSKB Manager, in each case, equal to the fair market value of such Common Unit at the time of such exchange.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HSKB Incentive Units and HSKB Phantom Units both have time-based vesting conditions that were conditional upon the completion of an IPO. In addition, there were four Class P Unit grants with vesting that accelerated upon completion of an IPO. As a result, in the quarter ended June 30, 2020, the Company recognized an additional $57.6 million of expense attributable to the service period already elapsed on HSKB Incentive Units and HSKB Phantom Units, plus the acceleration of vesting on select Class P Units. Including this extra charge as a result of completing the IPO, compensation expense incurred from all the equity-based incentive awards described above was the following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7"/>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0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9"/>
                <w:szCs w:val="19"/>
                <w:color w:val="auto"/>
              </w:rPr>
            </w:pPr>
          </w:p>
        </w:tc>
      </w:tr>
      <w:tr>
        <w:trPr>
          <w:trHeight w:val="23"/>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and Operating expenses include equity-based</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expenses as follows:</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4"/>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unamortized equity-based compensation costs related to each equity-based incentive award described above is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2"/>
        </w:trPr>
        <w:tc>
          <w:tcPr>
            <w:tcW w:w="7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Service Period</w:t>
            </w:r>
          </w:p>
        </w:tc>
      </w:tr>
      <w:tr>
        <w:trPr>
          <w:trHeight w:val="190"/>
        </w:trPr>
        <w:tc>
          <w:tcPr>
            <w:tcW w:w="76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Options</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HoldCo Units</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LTIP Units</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Incentive Units</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$1.4 million of income tax expense and $1.0 million of income tax benefit for the three months ended September 30, 2020 and 2019, respectively, and $9.8 million of income tax expense and $5.7 million of income tax benefit for the nine months ended September 30, 2020 and 2019, respectively. The Company’s estimated effective tax rate for the nine months ended September 30, 2020 was (15.5)%. The Company’s estimated annual effective tax rate differs from the statutory rate of 21.0% primarily due to certain compensation expenses that will not have a corresponding deduction for tax, and because the Company is not liable for income taxes on the portion of earnings that are attributable to non-controlling interest.</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IPO, the Company recorded a change in the net deferred tax asset position, net of valuation allowance, of $224.4 million, which primarily consisted of the Company’s outside basis differences in its partnership subsidiaries.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Secondary Offering, the Company recorded an additional deferred tax asset, net of valuation allowance, of $92.9 million, which primarily consists of the Company’s outside basis differences in its partnership subsidiaries.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including the deferred tax assets recorded as a result of the IPO, Secondary Offering, and current year operations, management determined that it was more likely than not that the deferred tax assets will be realized. In addition, the Company has assessed the need for valuation allowances on indefinite lived assets recorded at its lower tier subsidiaries. As of the result, the Company has recorded a valuation allowance of $207.4 million related to the indefinite outside basis in the corporate stock of its wholly owned subsidiary.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 period of enactment. The Act did not have a material impact on the income tax benefit or the deferred taxes of the Company for the three and nine months ended September 30, 2020.</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believe it has any significant uncertain tax positions and therefore has no unrecognized tax benefits as of September 30, 2020, that if recognized, would affect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expects to obtain an increase in its share of the tax basis in the net assets of ZoomInfo HoldCo when OpCo Units and HoldCo Units are exchanged by Pre-IPO OpCo Unitholders and Pre-IPO OpCo Unitholders, respectively. The Company intends to treat any redemptions and exchanges of HoldCo Units and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In connection with the Reorganization Transactions and the IPO, the Company entered into (i) the Exchange Tax Receivable Agreement with certain of our Pre-IPO OpCo Unitholders and (ii) the Reorganization Tax Receivable Agreement with the Pre-IPO Blocker Holder (collectively, the “Tax Receivable Agreements”). The Tax Receivable Agreements provide for the payment by ZoomInfo Technologies Inc. of 85.0% of the amount of any tax benefits that ZoomInfo Technologies Inc. actually realizes, or in some cases is deemed to realize, as a result of (i) increases in ZoomInfo Technologies Inc.’s share of the tax basis in the net assets of ZoomInfo HoldCo resulting from any redemptions or exchanges of HoldCo Units or OpCo Units, (ii) tax basis increases attributable to payments made under the Tax Receivable Agreements, and (iii) deductions attributable to imputed interest pursuant to the Tax Receivable Agreements (the ‘‘TRA Payments”). The Company expects to benefit from the remaining 15.0% of any of cash savings, if any, that it realizes.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2020, the Company had a liability of $182.6 million related to its projected obligations under the Tax Receivable Agreements. Tax Receivable Agreements related liabilities are classified as current or noncurrent based on the expected date of payment and are included in the Company’s Condensed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liability, net of current portion</w:t>
      </w:r>
      <w:r>
        <w:rPr>
          <w:rFonts w:ascii="Times New Roman" w:cs="Times New Roman" w:eastAsia="Times New Roman" w:hAnsi="Times New Roman"/>
          <w:sz w:val="18"/>
          <w:szCs w:val="18"/>
          <w:color w:val="auto"/>
        </w:rPr>
        <w:t>,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2020, the Company acquired substantially all the assets, and certain specified liabilities, of Clickagy, LLC, a leading provider of artificial intelligence-powered buyer intent data. In November 2020, the Company acquired EverString Technology, LLC, a leading artificial intelligence-powered, business-to-business (B2B) data solutions provider. In connection with these acquisitions, the Company has agreed to pay an aggregate cash consideration, inclusive of vesting cash retention payments, of approximately $71.5 million, subject to working capital and other customary adjustments, and issued 67,075 shares of unregistered Class A common stock of the Company. We funded cash payments made at closing with cash on hand. Neither acquisition is expected to be material to the Company’s results of operations for the three months or year ended December 31, 2020 or the Company’s financial position as of December 31, 2020. The initial accounting of the business combinations is incomplete as of the issuance date of these financial statements. The Company has not yet determined the acquisition date fair value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related notes included in the IPO Prospectus, the information included under “Management’s Discussion and Analysis of Financial Condition and Results of Operations” in the IPO Prospectus,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II, Item 1A of our Quarterly Report on Form 10-Q for the quarterly period ended June 30, 2020.</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access to our platform on a subscription basis and we generate substantially all our revenue from sales of subscriptions. Our subscription fees include the use of our platform and access to customer support. Subscriptions generally range from one to three years in length with over 25% of our ACV being under multi-year agreements. We typically bill our customers at the beginning of each annual, semi-annual, or quarterly period and recognize revenue ratably over the term of the subscription period.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ZoomInfo Technologies Inc. was incorporated in November 2019 with no operating assets or operations for the purposes of facilitating an initial public offering of its Class A common stock (the “IPO”) and other related transactions in order to carry on the business of the operating entity ZoomInfo Holdings LLC (“ZoomInfo OpCo”) (formerly known as DiscoverOrg Holdings, LLC) following the consummation of the transactions described under “Reorganization Transactions” in Note 1 to our unaudited consolidated financial statements included in Part I, Item 1 of this Form 10-Q (the “Reorganization Transactions”).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consummation of the Reorganization Transactions on June 3, 2020, ZoomInfo Technologies Inc. became a holding company, with its sole material asset being a controlling equity interest in ZoomInfo Intermediate Holdings LLC (“ZoomInfo HoldCo”), which is a holding company with its sole material asset being a controlling equity interest in ZoomInfo OpCo. ZoomInfo Technologies Inc. operates and controls all of our business and affairs, and consolidates the financial results of ZoomInfo OpCo through ZoomInfo HoldCo. Accordingly, ZoomInfo Technologies Inc. reports a non-controlling interest related to the OpCo Units or HoldCo Units held by our Continuing Members in our consolidated financial statements.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OpCo Units, HoldCo Units, and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Reorganization Transactions, the limited liability company agreement of ZoomInfo OpCo was amended and restated to, among other things, reclassify its outstanding preferred and common units into a new class of units that we refer to as “OpCo Units.” A portion of the Class P Units that are held by the Continuing Class P Unitholders remain as Class P Units.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ZoomInfo Technologies Inc.’s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Pre-IPO OpCo Unitholders and the Pre-IPO HoldCo Unitholders that held voting units before the Offering Transactions and that continue to hold OpCo Units or HoldCo Units, as applicable,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Holders of outstanding shares of our Class A common stock, Class B common stock, and Class C common stock vote as a single class on all matters on which stockholders are entitled to vote generally, except as otherwise required by law.</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2019, a novel strain of Coronavirus disease (“COVID-19”) was reported, and in March 2020, the WHO characterized COVID-19 as a pandemic. The ongoing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has triggered a period of global economic slowdown.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full impact of the COVID-19 pandemic on the global economy is not currently known and the extent to which the COVID-19 pandemic may impact our financial condition or results of operations remain uncertain. Furthermore, because of our largely subscription-based business model, the effect of the COVID-19 pandemic may not be fully reflected in our results of operations and overall financial condition until future periods, if at all.</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we expect we may experience slowed growth or decline in new customer demand for our platform or lower demand from our existing customers for upgrades within our platform. We have experienced and may to continue to experience an increase in potential customers seeking lower prices or other more favorable contract terms and current customers attempting to obtain concessions on the terms of existing contracts, including requests for quarterly billing,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remained in effect in the second and third quarters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in Part II, Item 1A of our Quarterly Report on Form 10-Q for the quarterly period ended June 30, 2020.</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2020, the Company acquired substantially all the assets, and certain specified liabilities, of Clickagy, LLC, a leading provider of artificial intelligence-powered buyer intent data. In November 2020, the Company acquired EverString Technology, LLC, a leading artificial intelligence-powered, business-to-business (B2B) data solutions provider. In connection with these acquisitions, the Company has agreed to pay an aggregate cash consideration, inclusive of vesting cash retention payments, of approximately $71.5 million, subject to working capital and other customary adjustments, and issued 67,075 shares of unregistered Class A common stock of the Company. We funded cash payments made at closing with cash on hand. Neither acquisition is expected to be material to the Company’s results of operations for the three months or year ended December 31, 2020 or the Company’s financial position as of December 31, 2020. The initial accounting of the business combinations is incomplete as of the issuance date of these financial statements. The Company has not yet determined the acquisition date fair value of the assets acquired and liabilities assumed.</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Acquire New Customers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The majority of revenue growth when comparing the three months ending September 30, 2020 to the three months ending September 30, 2019 was the result of new customers added over the last 12 months. Our operating results and growth prospects will depend in part on our ability to continue to attract new customers. Additionally, acquiring new customers strengthens the power of our contributory network. We will need to continue to invest in our efficient go-to-market effort to acquire new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Delivering Additional High-Value Solutions to Our Existing Customers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expand relationships with existing customers and deliver additional high-value solutions is demonstrated by our net annual retention rate. We measure our retention rate on an annual basis and define annual net revenue retention as the total ACV generated by our customers and customers of Pre-Acquisition ZI at the end of the year divided by the ACV generated by the same group of customers at the end of the prior year. Our net annual retention rate for the year ended December 31, 2019 was 109%. We also measure our success in expanding relationships with existing customers by the number of customers that contract for more than $100,000 in ACV. As of September 30, 2020, we had more than 720 customers with over $100,000 in ACV.</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Adjusted EBITDA, Adjusted Net Income, and Adjusted EPS which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view Allocated Combined Receipts, Adjusted Operating Income, Adjusted Operating Income Margin, Adjusted EBITDA, and Adjusted Net Income as operating performance measures. We believe that the most directly comparable GAAP financial measure to Allocated Combined Receipts is GAAP revenue. We believe that the most directly comparable GAAP financial measure to Adjusted Operating Income is GAAP operating income. We believe that the most directly comparable GAAP finance measure to Adjusted Operating Income Margin is GAAP operating income divided by GAAP revenue. We believe that the most directly comparable GAAP financial measure to Adjusted EBITDA and Adjusted Net Income is GAAP Net Income, and the most directly comparable GAAP financial measure to Adjusted Net Income per diluted share is net earnings per diluted share.</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Allocated Combined Receipts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 Since our Allocated Combined Receipts has converged over time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GAAP revenue, we do not expect to continue reporting Allocated Combined Receipts following the third quarter of 2020.</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Allocated Combined Receipts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4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1"/>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23"/>
                <w:szCs w:val="23"/>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Pre-Acquisition ZI revenue</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1"/>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revenue recorded by Pre-Acquisition ZI</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23"/>
                <w:szCs w:val="23"/>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Pre-acquisition revenue of other acquired companies</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6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Allocated Combined Receipts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41" w:lineRule="auto"/>
        <w:tabs>
          <w:tab w:leader="none" w:pos="3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include revenue recognized by Pre-Acquisition ZI for the periods prior to our acquisition of Pre-Acquisition ZI.</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Komiko in October 2019. Figures include revenue recognized by Komiko for the periods presented prior to its acquisition.</w:t>
      </w:r>
    </w:p>
    <w:p>
      <w:pPr>
        <w:spacing w:after="0" w:line="1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Allocated Combined Receipts for the three months ended September 30, 2020 was $123.6, which represented an increase of $36.2 million, or 41%, relative to the three months ended September 30, 2019. Allocated Combined Receipts for the nine months ended September 30, 2020 was $338.4 million, which represented an increase of $98.5 million, or 41%, relative to the nine months ended September 30,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Adjusted Operating Income should not be considered as an alternative to operating income as an indicator of operating performance.</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13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to Adjusted Net Income and </w:t>
      </w: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transaction related expenses</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Integration costs and acquisition-related expenses</w:t>
            </w:r>
            <w:r>
              <w:rPr>
                <w:rFonts w:ascii="Times New Roman" w:cs="Times New Roman" w:eastAsia="Times New Roman" w:hAnsi="Times New Roman"/>
                <w:sz w:val="23"/>
                <w:szCs w:val="23"/>
                <w:color w:val="auto"/>
                <w:vertAlign w:val="superscript"/>
              </w:rPr>
              <w:t>(d)</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7"/>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 excluding TRA liability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remeasurement (benefit) expense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impacts of adjustments to net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3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three and nine months ended September 30, 2020, this expense related primarily to professional fees for the preparation for an initial public offering and deferred acquisition cost revaluations. For the three and nine months ended September 30, 2019, this expense related primarily to the acquisition of Pre-Acquisition ZI, including professional fees, severance, and acceleration of payments for terminated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40" w:hanging="332"/>
        <w:spacing w:after="0" w:line="247"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three months ended September 30, 2020, this expense related primarily to cash vesting payments from the acquisition of Pre-Acquisition ZI. For the three months ended September 30, 2019, this expense related primarily to activities resulting from the acquisition of Pre-Acquisition ZI, including cash vesting payments and transaction bonuses. For the nine months ended September 30, 2020, this expense related primarily to cash vesting payments from the acquisition of Pre-Acquisition ZI.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(see Note 4 to our unaudited consolidated financial statements included elsewhere in this document for additional 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78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vMerge w:val="continue"/>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1080" w:type="dxa"/>
            <w:vAlign w:val="bottom"/>
            <w:tcBorders>
              <w:bottom w:val="single" w:sz="8" w:color="CCEEFF"/>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Operating Income Margin as Adjusted Operating Income divided by the sum of revenue and the impact of fair value adjustments to acquired unearned 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30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4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5"/>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20"/>
                <w:szCs w:val="20"/>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for adjusted operating margin calculation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338.4</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Operating Income for the three months ended September 30, 2020 was $58.5 million and represented an Adjusted Operating Income Margin of 47%. Adjusted Operating Income for the three months ended September 30, 2019 was $47.0 million and represented an Adjusted Operating Income Margin of 54%. The increase of $11.5 million, or 24%, was driven primarily from the growth in revenue driven by additional customers and increasing revenue from existing customers. Adjusted Operating Income Margin decreased to 47% in the three months ended September 30, 2020 from 54% in the three months ended September 30, 2019 due to incremental sales and marketing expenses related to signing new customers and retaining and upselling existing customers, and general and administration costs to support incremental public company related requirements.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Operating Income for the nine months ended September 30, 2020 was $162.6 million and represented an Adjusted Operating Income Margin of 48%. Adjusted Operating Income for the nine months ended September 30, 2019 was $120.0 million and represented an Adjusted Operating Income Margin of 52%. The increase in Adjusted Operating Income of $42.6 million, or 35%, was driven primarily from the growth in revenue that resulted from the acquisition of Pre-Acquisition ZI and additional customers in 2020 and 2019. Adjusted Operating Income Margin decreased due to incremental sales and marketing expenses related to signing new customers and retaining and upselling existing customers, and general and administration costs to support incremental public company related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EBITDA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vMerge w:val="continue"/>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(a)</w:t>
            </w:r>
          </w:p>
        </w:tc>
        <w:tc>
          <w:tcPr>
            <w:tcW w:w="10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 of fair value adjustments to acquired unearned</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and transaction related expenses</w:t>
            </w:r>
            <w:r>
              <w:rPr>
                <w:rFonts w:ascii="Times New Roman" w:cs="Times New Roman" w:eastAsia="Times New Roman" w:hAnsi="Times New Roman"/>
                <w:sz w:val="23"/>
                <w:szCs w:val="23"/>
                <w:color w:val="auto"/>
                <w:vertAlign w:val="superscript"/>
              </w:rPr>
              <w:t>(c)</w:t>
            </w:r>
          </w:p>
        </w:tc>
        <w:tc>
          <w:tcPr>
            <w:tcW w:w="10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Integration costs and acquisition-related expenses</w:t>
            </w:r>
            <w:r>
              <w:rPr>
                <w:rFonts w:ascii="Times New Roman" w:cs="Times New Roman" w:eastAsia="Times New Roman" w:hAnsi="Times New Roman"/>
                <w:sz w:val="23"/>
                <w:szCs w:val="23"/>
                <w:color w:val="auto"/>
                <w:vertAlign w:val="superscript"/>
              </w:rPr>
              <w:t>(d)</w:t>
            </w:r>
          </w:p>
        </w:tc>
        <w:tc>
          <w:tcPr>
            <w:tcW w:w="10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6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22"/>
                <w:szCs w:val="22"/>
                <w:color w:val="auto"/>
              </w:rPr>
            </w:pP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124.1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three and nine months ended September 30, 2020, this expense related primarily to professional fees for the preparation for an initial public offering and deferred acquisition cost revaluations. For the three and nine months ended September 30, 2019, this expense related primarily to the acquisition of Pre-Acquisition ZI, including professional fees, severance, and acceleration of payments for terminated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40" w:hanging="332"/>
        <w:spacing w:after="0" w:line="247"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three months ended September 30, 2020, this expense related primarily to cash vesting payments from the acquisition of Pre-Acquisition ZI. For the three months ended September 30, 2019, this expense related primarily to activities resulting from the acquisition of Pre-Acquisition ZI, including cash vesting payments and transaction bonuses. For the nine months ended September 30, 2020, this expense related primarily to cash vesting payments from the acquisition of Pre-Acquisition ZI.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(see Note 4 to our unaudited consolidated financial statements included elsewhere in this document for additional 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2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080" w:type="dxa"/>
            <w:vAlign w:val="bottom"/>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90"/>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Pr>
          <w:p>
            <w:pPr>
              <w:spacing w:after="0"/>
              <w:rPr>
                <w:sz w:val="16"/>
                <w:szCs w:val="16"/>
                <w:color w:val="auto"/>
              </w:rPr>
            </w:pPr>
          </w:p>
        </w:tc>
      </w:tr>
      <w:tr>
        <w:trPr>
          <w:trHeight w:val="23"/>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20" w:type="dxa"/>
            <w:vAlign w:val="bottom"/>
          </w:tcPr>
          <w:p>
            <w:pPr>
              <w:spacing w:after="0"/>
              <w:rPr>
                <w:sz w:val="18"/>
                <w:szCs w:val="18"/>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r>
      <w:tr>
        <w:trPr>
          <w:trHeight w:val="23"/>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6"/>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r>
      <w:tr>
        <w:trPr>
          <w:trHeight w:val="23"/>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4000" w:type="dxa"/>
            <w:vAlign w:val="bottom"/>
            <w:gridSpan w:val="2"/>
            <w:shd w:val="clear" w:color="auto" w:fill="CCEEFF"/>
          </w:tcPr>
          <w:p>
            <w:pPr>
              <w:jc w:val="right"/>
              <w:ind w:right="48"/>
              <w:spacing w:after="0" w:line="210" w:lineRule="exact"/>
              <w:rPr>
                <w:sz w:val="20"/>
                <w:szCs w:val="20"/>
                <w:color w:val="auto"/>
              </w:rPr>
            </w:pPr>
            <w:r>
              <w:rPr>
                <w:rFonts w:ascii="Times New Roman" w:cs="Times New Roman" w:eastAsia="Times New Roman" w:hAnsi="Times New Roman"/>
                <w:sz w:val="13"/>
                <w:szCs w:val="13"/>
                <w:color w:val="auto"/>
              </w:rPr>
              <w:t xml:space="preserve">Total integration costs and acquisition-related compensation </w:t>
            </w:r>
            <w:r>
              <w:rPr>
                <w:rFonts w:ascii="Times New Roman" w:cs="Times New Roman" w:eastAsia="Times New Roman" w:hAnsi="Times New Roman"/>
                <w:sz w:val="24"/>
                <w:szCs w:val="24"/>
                <w:color w:val="auto"/>
                <w:vertAlign w:val="superscript"/>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2020 was $60.9 million, an increase of $12.2 million, or 25%, relative to the three months ended September 30, 2019. This increase was driven primarily from the growth in revenue and additional customers in 2020 and 2019.</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for the nine months ended September 30, 2020 was $169.0 million, an increase of $44.8 million, or 36%, relative to the nine months ended September 30, 2019. This increase was driven primarily from the growth in revenue that resulted from the acquisition of Pre-Acquisition ZI and additional customers in 2020 and 2019.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Reorganization Transactions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Form 10-Q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Reorganization Transactions and the IPO, we entered into the tax receivable agreements described in Note 17 to our unaudited consolidated financial statements included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 We expect these debt repayments to drive future reductions in our interest expense compared to historical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grow through both internal development and the acquisition of businesses that broaden and strengthen our platform. Our recent acquisitions include Pre-Acquisition ZI in February 2019, and Komiko in October 2019.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Zoom Information Acquisition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drove a significant impact to our interest expense from the date of the acquisition. We would have expected interest expense for the three and nine months ended September 30, 2020 to be greater than that of the three and nine months ended September 30, 2019 due to the debt being outstanding for the entire period in 2020. However, this increase was mitigated and offset by (a) a reduction in interest rates period over period, and (b) the debt repayments and prepayments referenced above and in Note 8 to our unaudited consolidated financial statements included in Part I, Item 1 of this Form 10-Q.</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 Expenses relating to severance paid were recorded as restructuring and transaction expenses on the statement of operations with the majority of those expenses being recognized in the three months ended March, 31, 2019, and not recurring in the three months ended September 30, 2019 nor in 2020. Expenses relating to any accelerated payments under the Cash Vesting Payment Program (see Note 4 to our unaudited consolidated financial statements included in Part I, Item 1 of this Form 10-Q) were recorded as operating expense according to the functional area aligning to the employee’s salary and is included in integration and transaction-related compensation expenses when calculating non-GAAP metrics.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new customers are sold the ZoomInfo platform that we released in September 2019. We continue to support pre-existing customers on the legacy DiscoverOrg and Pre-Acquisition ZI platforms, although many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incurred expenses related to the integration of Pre-Acquisition ZI during 2019. Additionally,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the revaluation of the awards in accordance with GAAP. Through the date of modification, no equity-based compensation had been recognized for these awards as the qualifying event (i.e., IPO) was not probable. Upon completion of the IPO, the Company recognized $57.6 million of additional compensation expense attributable to service periods already elapsed on HSKB awards and the acceleration of vesting select Class P Units. The remaining unamortized fair value as of the modification date will be recognized as equity-based compensation over the remaining service period of the awards. In addition to the impact of the modified HSKB awards, new awards and modifications that took place as part of the Reorganization Transactions and the IPO will contribute to higher equity-based compensation expense in 2020 and 2021. See Note 16 for unamortized equity-based compensation costs related to each type of equity-based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ranging from one to three years and are non-cancellable. We typically bill for services in advance annually, semi-annually, or quarterly, and we typically require payment at the beginning of each annual, semi-annual, or quarterly period.</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Service, excluding amortization of acquired technology. </w:t>
      </w:r>
      <w:r>
        <w:rPr>
          <w:rFonts w:ascii="Times New Roman" w:cs="Times New Roman" w:eastAsia="Times New Roman" w:hAnsi="Times New Roman"/>
          <w:sz w:val="18"/>
          <w:szCs w:val="18"/>
          <w:color w:val="auto"/>
        </w:rPr>
        <w:t>Cost of service, excluding amortization of acquired technology includes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2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06"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6" w:lineRule="exact"/>
        <w:rPr>
          <w:sz w:val="20"/>
          <w:szCs w:val="20"/>
          <w:color w:val="auto"/>
        </w:rPr>
      </w:pPr>
    </w:p>
    <w:p>
      <w:pPr>
        <w:ind w:right="21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We anticipate that amortization of acquired technology will only increase if we make additional acquisitions in the future. </w:t>
      </w:r>
      <w:r>
        <w:rPr>
          <w:rFonts w:ascii="Times New Roman" w:cs="Times New Roman" w:eastAsia="Times New Roman" w:hAnsi="Times New Roman"/>
          <w:sz w:val="18"/>
          <w:szCs w:val="18"/>
          <w:b w:val="1"/>
          <w:bCs w:val="1"/>
          <w:i w:val="1"/>
          <w:iCs w:val="1"/>
          <w:color w:val="auto"/>
        </w:rPr>
        <w:t>Gross Profit and Gross Margin</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and amortization,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stock-based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12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Research and development expenses primarily consist of employee 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3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2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as a percentage of revenue to increase in 2020 and then stay consistent or modestly decrease thereafter, as we realize operating leverage in the business.</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other acquired intangibles</w:t>
      </w:r>
      <w:r>
        <w:rPr>
          <w:rFonts w:ascii="Times New Roman" w:cs="Times New Roman" w:eastAsia="Times New Roman" w:hAnsi="Times New Roman"/>
          <w:sz w:val="18"/>
          <w:szCs w:val="18"/>
          <w:color w:val="auto"/>
        </w:rPr>
        <w:t>. Amortization of acquired intangibles primarily consists of amortization of customer relationships,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and brand portfolios.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only increase if we make additional acquisitions in the future.</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and transaction expenses. </w:t>
      </w:r>
      <w:r>
        <w:rPr>
          <w:rFonts w:ascii="Times New Roman" w:cs="Times New Roman" w:eastAsia="Times New Roman" w:hAnsi="Times New Roman"/>
          <w:sz w:val="18"/>
          <w:szCs w:val="18"/>
          <w:color w:val="auto"/>
        </w:rPr>
        <w:t>Restructuring and transaction expenses primarily consist of various restructuring and acquisition activities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represents the interest payable on our debt obligations and the amortization of debt discounts and debt issuance costs, less interest income.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realized, and will continue to realize, a reduction in our interest expense during the three months ended September 30, 2020 over prior periods as a result of the repayment of a portion of our outstanding indebtedness with the proceeds from IPO during June 2020. While our hedging programs are effective at hedging a significant portion of our variable interest rate risk, interest expense could increase in the future based on changes in variable interest rates or the incurrence of additional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Loss on debt extinguishment consists of prepayment penalties and impairment of deferred financing costs associated with the extinguishment of debt.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anticipate that losses related to debt extinguishment will only occur if we extinguish indebtedness before the contractual repayment 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foreign currency realized and unrealized gains and losses related to the impact of transactions denominated in a foreign currency.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the magnitude of other income and expenses may increase as we expand operations internationally and add complexity to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(expense) from Income Taxes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ZoomInfo OpCo is currently treated as a pass-through entity for U.S. federal income tax purposes and most applicable state and local income tax purposes. Benefit (expense) from income taxes, Deferred tax assets, Deferred tax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both the United States and foreign jurisdictions and hold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to our unaudited consolidated financial statements included in Part I, Item 1 of this Form 10-Q for additional information.</w:t>
      </w:r>
    </w:p>
    <w:p>
      <w:pPr>
        <w:spacing w:after="0" w:line="13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After consummation of the Reorganization Transactions, ZoomInfo Technologies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provides that certain distributions to cover the taxes of the ZoomInfo Tax Group and ZoomInfo Technologies Inc.’s obligations under the tax receivable agreements will be made. See Note 17 to our unaudited consolidated financial statements included in Part I, Item 1 of this Form 10-Q. However, our ability to make such distributions may be limited due to, among other things, restrictive covenants in our 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 - Risks Related to Our Organizational Structure” in Part II, Item 1A of our Quarterly Report on Form 10-Q for the quarterly period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three and nine months ended September 30, 2020 and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94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7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transaction 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Less: Net income (loss) attributable to ZoomInfo OpCo prior</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the Reorganization Transactions</w:t>
            </w: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w:t>
            </w:r>
          </w:p>
        </w:tc>
        <w:tc>
          <w:tcPr>
            <w:tcW w:w="300" w:type="dxa"/>
            <w:vAlign w:val="bottom"/>
            <w:vMerge w:val="continue"/>
            <w:shd w:val="clear" w:color="auto" w:fill="CCEEFF"/>
          </w:tcPr>
          <w:p>
            <w:pPr>
              <w:spacing w:after="0"/>
              <w:rPr>
                <w:sz w:val="22"/>
                <w:szCs w:val="22"/>
                <w:color w:val="auto"/>
              </w:rPr>
            </w:pPr>
          </w:p>
        </w:tc>
        <w:tc>
          <w:tcPr>
            <w:tcW w:w="12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vMerge w:val="continue"/>
            <w:shd w:val="clear" w:color="auto" w:fill="CCEEFF"/>
          </w:tcPr>
          <w:p>
            <w:pPr>
              <w:spacing w:after="0"/>
              <w:rPr>
                <w:sz w:val="22"/>
                <w:szCs w:val="22"/>
                <w:color w:val="auto"/>
              </w:rPr>
            </w:pPr>
          </w:p>
        </w:tc>
        <w:tc>
          <w:tcPr>
            <w:tcW w:w="1280" w:type="dxa"/>
            <w:vAlign w:val="bottom"/>
            <w:gridSpan w:val="2"/>
            <w:vMerge w:val="continue"/>
            <w:shd w:val="clear" w:color="auto" w:fill="CCEEFF"/>
          </w:tcPr>
          <w:p>
            <w:pPr>
              <w:spacing w:after="0"/>
              <w:rPr>
                <w:sz w:val="22"/>
                <w:szCs w:val="22"/>
                <w:color w:val="auto"/>
              </w:rPr>
            </w:pPr>
          </w:p>
        </w:tc>
        <w:tc>
          <w:tcPr>
            <w:tcW w:w="300" w:type="dxa"/>
            <w:vAlign w:val="bottom"/>
            <w:vMerge w:val="continue"/>
            <w:shd w:val="clear" w:color="auto" w:fill="CCEEFF"/>
          </w:tcPr>
          <w:p>
            <w:pPr>
              <w:spacing w:after="0"/>
              <w:rPr>
                <w:sz w:val="22"/>
                <w:szCs w:val="22"/>
                <w:color w:val="auto"/>
              </w:rPr>
            </w:pPr>
          </w:p>
        </w:tc>
        <w:tc>
          <w:tcPr>
            <w:tcW w:w="12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vMerge w:val="continue"/>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equity-based compensation expense as follows:</w:t>
      </w:r>
    </w:p>
    <w:p>
      <w:pPr>
        <w:spacing w:after="0" w:line="11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6"/>
                <w:szCs w:val="16"/>
                <w:color w:val="auto"/>
              </w:rPr>
            </w:pPr>
          </w:p>
        </w:tc>
        <w:tc>
          <w:tcPr>
            <w:tcW w:w="12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
        </w:trPr>
        <w:tc>
          <w:tcPr>
            <w:tcW w:w="2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3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5" w:name="page66"/>
    <w:bookmarkEnd w:id="6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and Three Months Ended September 30, 2019</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$123.4 million for the three months ended September 30, 2020, an increase of $44.3 million, or 56%,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$79.1 million for the three months ended September 30, 2019. This increase was primarily due to the addition 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$26.7 million for the three months ended September 30, 2020, an increase of $8.9 million, or 50%,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$17.8 million for the three months ended September 30, 2019. The increase was primarily due to additional stock-based compensation expense related to grants previously made by HSKB, modified in December 2019, and triggered by the IPO. Additional expense increases primarily related to additional headcount and hosting expense to support new and growing customers.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$78.3 million for the three months ended September 30, 2020, an increase of $30.1 million, or 62%,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$48.2 million for the three months ended September 30, 2019. The increase was primarily due to additional stock-based compensation expense related to grants previously made by HSKB, modified in December 2019, and triggered by the IPO. Excluding stock-based compensation expenses, operating expenses were $56.7 million for the three months ended September 30, 2020, an increase of $13.0 million, or 30%, as compared to $43.7 million for the three months ended September 30, 2019. The increase was primarily due to:</w:t>
      </w:r>
    </w:p>
    <w:p>
      <w:pPr>
        <w:spacing w:after="0" w:line="131" w:lineRule="exact"/>
        <w:rPr>
          <w:sz w:val="20"/>
          <w:szCs w:val="20"/>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(excluding stock-based compensation) of $9.8 million, or 46%, to $30.9 million for the three months ended September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(excluding stock-based compensation) of $1.8 million, or 26%, to $8.8 million for the three months ended September 30, 2020, due primarily to additional headcount and related salaries and benefits expenses added to support continued innovation of our services;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(excluding stock-based compensation) of $4.3 million, or 52%, to $12.5 million for the three months ended September 30, 2020, due primarily to additional professional services and corporate insurance costs related to operating as a public company, as well as additional headcount and related salaries and benefits expenses to support the larger organization, which were partially offset by a decrease in integration-related expenses in the three months ended September 30, 2019, which did not recur in the three months ended September 30, 2020; and</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restructuring and transaction-related expense of $(0.1) million for the three months ended September 30, 2020, primarily related to the revaluation of expected earn-out payments for prior acquisitions. This represented a decrease of $2.9 million, or 104%, as compared to expense of $2.8 million for the three months ended September 30, 2019, due primarily to restructuring expenses related to the integration of Pre-Acquisition ZI that did not recur in 2020.</w:t>
      </w:r>
    </w:p>
    <w:p>
      <w:pPr>
        <w:spacing w:after="0" w:line="12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$9.7 million for the three months ended September 30, 2020, a decrease of $16.8 million, or 63%,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$26.5 million for the three months ended September 30, 2019. The decrease was primarily due to interest savings as a result of repayment of the second lien debt and $100.0 million first lien debt principal repayment in June 2020.</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Benefit (expense) from Income Taxes</w:t>
      </w:r>
      <w:r>
        <w:rPr>
          <w:rFonts w:ascii="Times New Roman" w:cs="Times New Roman" w:eastAsia="Times New Roman" w:hAnsi="Times New Roman"/>
          <w:sz w:val="18"/>
          <w:szCs w:val="18"/>
          <w:color w:val="auto"/>
        </w:rPr>
        <w:t>. Benefit (expense) from income taxes was $(1.4) million for the three months ended September 30, 2020,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$2.4 million, or 240%, as compared to $1.0 million for the three months ended September 30, 2019. The decrease in the income tax benefit was primarily due to the company recording increased pre-tax book income adjusted for certain compensation expenses that will not have a corresponding deduction for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and Nine months ended September 30, 2019</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$336.5 million for the nine months ended September 30, 2020, an increase of $134.3 million, or 66%,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2019. This increase was primarily due to the addition 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 or recognized by Pre-Acquisition ZI before the acquisition on February 1, 2019.</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$80.9 million for the nine months ended September 30, 2020, an increase of $30.8 million, or 61%,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$50.1 million for the nine months ended September 30, 2019. The increase was primarily due to additional stock-based compensation expense related to grants previously made by HSKB, modified in December 2019, and triggered by the IPO. Additional expenses related to additional headcount and hosting expense to support new and growing customers were largely offset by reductions in amortization of acquired technology.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$248.1 million for the nine months ended September 30, 2020, an increase of $112.9 million, or 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$135.2 million for the nine months ended September 30, 2019. The increase was primarily due to additional stock-based compensation expense related to grants previously made by HSKB, modified in December 2019, and triggered by the IPO. Excluding stock-based compensation expenses, operating expenses were $167.7 million for the nine months ended September 30, 2020, an increase of $46.7 million, or 39%, as compared to $121.0 million for the nine months ended September 30, 2019. The increase was primarily due to:</w:t>
      </w:r>
    </w:p>
    <w:p>
      <w:pPr>
        <w:spacing w:after="0" w:line="131"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(excluding stock-based compensation) of $30.3 million, or 54%, to $86.1 million for the nine months ended September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(excluding stock-based compensation) of $6.8 million, or 37%, to $25.0 million for the nine months ended September 30, 2020, due primarily to additional engineering and product management resources added to support continued innovation of our services;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increase in general and administrative expense (excluding stock-based compensation) of $8.1 million, or 36%, to $30.4 million for the nine months ended September 30, 2020, due primarily to additional headcount and related salaries and benefits expenses to support the larger organization, which were offset by a decrease in integration-related expenses in the nine months ended September 30, 2019, which did not recur in the nine months ended September 30, 2020;</w:t>
      </w:r>
    </w:p>
    <w:p>
      <w:pPr>
        <w:spacing w:after="0" w:line="125"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of acquired intangibles expense of $1.0 million, or 8%, to $13.9 million for the nine months ended September 30, 2020, due to amortization expense related to intangible assets acquired in the Zoom Information Acquisition during the full period for the current year;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restructuring and transaction-related expense of $12.3 million for the nine months ended September 30, 2020, primarily related to the IPO. This represented an increase of $0.5 million, or 4%, as compared to expense of $11.8 million for the nine months ended September 30, 2019, related to acquisition of Pre-Acquisition ZI.</w:t>
      </w:r>
    </w:p>
    <w:p>
      <w:pPr>
        <w:spacing w:after="0" w:line="1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$59.3 million for the nine months ended September 30, 2020, a decrease of $17.6 million, or 23%,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compared to $76.9 million for the nine months ended September 30, 2019. The decrease was primarily due to interest savings as a result of the repayment of our second lien debt in full and $100.0 million of first lien debt, offset by nonrecurring interest expense recognized upon partial dedesignation of cash flow hedges resulting from reclassification from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Loss on debt extinguishment was $14.9 million for the nine months ended September 30, 2020, related to penalties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derecognition of deferred and unamortized debt issuance costs resulting from the repayment of the second lien debt and $100.0 million first lien debt principal repayment after the IPO. This represented a decrease of $3.3 million, or 18%, as compared to expense of $18.2 million for the nine months ended September 30, 2019, related to costs incurred with respect to prior debt instruments that were repaid in conjunction with the acquisition of Pre-Acquisition ZI in February 2019.</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Benefit (expense) from Income Tax. </w:t>
      </w:r>
      <w:r>
        <w:rPr>
          <w:rFonts w:ascii="Times New Roman" w:cs="Times New Roman" w:eastAsia="Times New Roman" w:hAnsi="Times New Roman"/>
          <w:sz w:val="18"/>
          <w:szCs w:val="18"/>
          <w:color w:val="auto"/>
        </w:rPr>
        <w:t>Benefit (expense) from income taxes was $(9.8) million for the nine months ended September 30, 2020,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$15.5 million, or 271%, as compared to $5.7 million for the nine months ended September 30, 2019. The decrease in the income tax benefit was primarily due to the company recording increased pre-tax book income adjusted for certain compensation expenses that will not have a corresponding deduction for tax.</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we had $304.9 million of cash and cash equivalents and $100.0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generally invoice our subscription customers annually, semi-annually, or quarterly in advance of our subscription services. Therefore, a substantial source of our cash is from such prepayments, which are included in the Condensed Consolidated Balance Sheet as unearned revenue. Unearned revenue consists of billed fees for our subscriptions, prior to satisfying the criteria for revenue recognition, which are subsequently recognized as revenue in accordance with our revenue recognition policy. As of September 30, 2020, we had unearned revenue of $176.0 million, of which $175.3 million was recorded as a current liability and is expected to be recorded as revenue in the next 12 months, provided all other revenue recognition criteria have been met.</w:t>
      </w:r>
    </w:p>
    <w:p>
      <w:pPr>
        <w:spacing w:after="0" w:line="13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After the consummation of the Restructuring Transactions, ZoomInfo Technologies Inc. became a holding company with no material assets other than its ownership of HoldCo Units, and ZoomInfo HoldCo became a holding company with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“Risk Factors - Risks Related to Our Organizational Structure” in Part II, Item 1A of our quarterly report on Form 10-Q for the quarterly period ended June 30, 2020.</w:t>
      </w:r>
    </w:p>
    <w:p>
      <w:pPr>
        <w:spacing w:after="0" w:line="14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II, Item 1A of this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Operating Activities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operations was $102.7 million for the nine months ended September 30, 2020 as a result of a net loss of $72.7 million, adjusted by non-cash charges of $179.7 million and partially offset by the change in our operating assets net of operating liabilities of $4.3 million. The non-cash charges are primarily comprised of depreciation and amortization of $37.0 million, equity-based compensation of $104.2 million, loss on early extinguishment of debt of $14.9 million, amortization of deferred commission costs of $17.5 million, and a decrease in deferred tax assets net of deferred tax liabilities of $4.5 million. The change in operating assets net of operating liabilities was primarily the result of an increase in deferred costs and other assets of $22.3 million and an increase in accounts receivable of $4.6 million, partially offset by an increase in unearned revenue of $16.8 million and an increase in accrued expenses and other liabilities of $6.9 million.</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operations was $27.4 million for the nine months ended September 30, 2019 as a result of a net loss of $72.5 million, adjusted by non-cash charges of $66.6 million and the change in our operating assets net of operating liabilities of $33.3 million. The non-cash charges are primarily comprised of depreciation and amortization of $36.7 million, equity-based compensation of $17.1 million, loss on early extinguishment of debt of $9.4 million, and amortization of deferred commission costs of $4.5 million, offset by an increase in deferred tax assets net of deferred tax liabilities of $6.1 million. The change in operating assets net of operating liabilities was primarily the result of an increase in unearned revenue of $46.2 million and an increase in accrued expenses and other liabilities of $6.2 million, partially offset by an increase in deferred costs and other assets of $13.2 million and an increase in accounts receivable of $7.4 million.</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Restructuring and transaction-related cash costs for the nine months ended September 30, 2020 primarily related to cash IPO costs and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nine months ended September 30, 2020, and 2019, we incurred the following cash expenditures: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24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80" w:type="dxa"/>
            <w:vAlign w:val="bottom"/>
            <w:vMerge w:val="continue"/>
          </w:tcPr>
          <w:p>
            <w:pPr>
              <w:spacing w:after="0"/>
              <w:rPr>
                <w:sz w:val="16"/>
                <w:szCs w:val="16"/>
                <w:color w:val="auto"/>
              </w:rPr>
            </w:pPr>
          </w:p>
        </w:tc>
        <w:tc>
          <w:tcPr>
            <w:tcW w:w="15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expense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3"/>
                <w:szCs w:val="23"/>
                <w:color w:val="auto"/>
                <w:vertAlign w:val="superscript"/>
              </w:rPr>
              <w:t>(a)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costs and acquisition-related compensation paid in cash</w:t>
            </w:r>
            <w:r>
              <w:rPr>
                <w:rFonts w:ascii="Times New Roman" w:cs="Times New Roman" w:eastAsia="Times New Roman" w:hAnsi="Times New Roman"/>
                <w:sz w:val="23"/>
                <w:szCs w:val="23"/>
                <w:color w:val="auto"/>
                <w:vertAlign w:val="superscript"/>
              </w:rPr>
              <w:t>(b)</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282" w:lineRule="auto"/>
        <w:tabs>
          <w:tab w:leader="none" w:pos="33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acquisition or disposal activities, including employee severance and termination benefits, contract termination fees and penalties, and other exit or disposal costs. For the nine months ended September 30, 2020, these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4"/>
          <w:szCs w:val="14"/>
          <w:color w:val="auto"/>
        </w:rPr>
        <w:t>related primarily to the IPO, including professional fees, severance and acceleration of payments for terminated employees, and deferred consideration. For the nine months ended September 30, 2019, these payments related primarily to the acquisition of Pre-Acquisition ZI, including professional fees, severance, and acceleration of payments for terminated employees.</w:t>
      </w:r>
    </w:p>
    <w:p>
      <w:pPr>
        <w:spacing w:after="0" w:line="156" w:lineRule="exact"/>
        <w:rPr>
          <w:sz w:val="20"/>
          <w:szCs w:val="20"/>
          <w:color w:val="auto"/>
        </w:rPr>
      </w:pPr>
    </w:p>
    <w:p>
      <w:pPr>
        <w:jc w:val="both"/>
        <w:ind w:left="340" w:hanging="332"/>
        <w:spacing w:after="0" w:line="247"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integration activities for acquisitions and acquisition-related compensation, which includes transaction bonuses and retention awards. For the nine months ended September 30, 2020, these payments related primarily to cash vesting payments from the acquisition of Pre-Acquisition ZI. For the nine months ended September 30, 2019, these payments related primarily to activities resulting from the acquisition of Pre-Acquisition ZI, including cash vesting payments and transaction bonuses, as well as payments of retention awards granted upon the Company’s acquisition of RainKing.</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Investing Activities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2020 was $11.8 million, consisting of purchases of property and equipment and other assets.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2019 was $724.2 million, consisting of cash payments for the acquisition of Pre-Acquisition ZI of $714.9 million and purchases of property and equipment and other assets of $9.3 million.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we continue to grow and invest in our business, we expect to continue to invest in property and equipment and opportunistically pursue acquisitions.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Financing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from financing activities for the nine months ended September 30, 2020 was $172.6 million, consisting of the IPO proceeds, net of underwriter discount, of $1,023.7 million, partially offset by the redemption of Series A Preferred Units of $274.2 million, payments on long-term debt of $510.9 million, purchase of OpCo Units from Pre-IPO Unitholders for $47.2 million, payments of deferred consideration of $24.7 million, the payment of debt issuance costs of $7.2 million, and distributions to equity partners of $9.9 million.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from financing activities for the nine months ended September 30, 2019 was $728.0 million, consisting of the proceeds from long-term debt of $1,220.8 million, and equity offering, net of transaction costs of $200.2 million, partially offset by the payments on long-term debt of $647.6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8 of our consolidated financial statements for additional information related to each of our borrowings.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the aggregate remaining balance of $756.4 million of first lien term loans is due, in its entirety, at the contractual maturity date of February 1, 2026, which represents the only existing required future debt principal repayment obligations that will require future uses of the Company’s cash.</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first lien debt has a variable interest rate whereby the Company can elect to use a Base Rate or the London Interbank Offer Rate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September 30, 2020, $756.4 million aggregate principal amount of term loans were outstanding under the First Lien Credit Agreement. The interest related portion of the repayment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recorded within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its Consolidated Statements of Operations, and represented use of cash from operating activities in the Consolidated Statements of Cash Flows. The quarterly repayment requirement on first lien borrowings has been satisfied for the remainder of the term after the $100.0 million principal payment. The effective interest rate on the first lien debt was 4.3% and 7.5% as of September 30, 2020 and December 31, 2019, respectively.</w:t>
      </w:r>
    </w:p>
    <w:p>
      <w:pPr>
        <w:spacing w:after="0" w:line="1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September 30, 2020 was $256.6 million. Our consolidated first lien net leverage ratio as of September 30, 2020 was 1.8x.</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credit agreement governing our first lien term loan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7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4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 (together with a corresponding number of shares of Class B common stock) for shares of Class A common stock on September 30, 2020) is approximately $344.8 million (assuming a price of $42.99 per share of Class A common stock, which is the last reported sale price of our Class A common stock on the Nasdaq on September 30, 2020). The payments under the tax receivable agreements are not conditioned upon continued ownership of us by the exchanging holders of OpCo Units. See Note 17 in our unaudited consolidated financial statements included in Part I, Item 1 of this Form 10-Q.</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there were “no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Management's Discussion and Analysis of Financial Condition and Results of Operations, set forth in our IPO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2 - Basis of Presentation and Summary of Significant Accounting Policies of our consolidated financial statements included in Part I, Item 1 of this Form 10-Q regarding recently issued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First Lien Term Loan, which bears a variable interest rate based on LIBOR. As of September 30, 2020, the total principal balance outstanding was $756.4 million. We have implemented a hedging strategy to mitigate the interest rate risk by entering into certain derivative instruments (refer to Note 8 of our consolidated financial statements included in Part I, Item 1 of this Form 10-Q). Based on the outstanding balances and interest rates of our debt as of September 30, 2020, a hypothetical 1% relative increase or decrease in our effective interest rate would cause a corresponding change in interest expense of approximately $4.1 million over the next 12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institutions and periodically evaluating the credit quality of those institutions. The carrying value of cash approximates fair value.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previously reported, in connection with the audit of our consolidated financial statements for the year ended December 31, 2019, our management and auditors determined that a material weakness existed in our internal control over financial reporting due to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continue to take remediation steps, including hiring additional personnel around and subsequent to December 31, 2019, we have not concluded that the material weakness has been remediated as of September 30, 2020, and therefore have concluded that our disclosure controls and procedures were not effective as of September 30,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2020,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firstLine="261"/>
        <w:spacing w:after="0" w:line="258"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our Quarterly Report on Form 10-Q for the quarterly period ended June 30, 2020. Additional risks and uncertainties not currently known to us or that we currently deem to be immaterial may also materially adversely affect our financial position, results of operations or cash flows. There have been no material changes to the risk factors included in our Quarterly Report on Form 10-Q for the period ended June 30, 2020.</w:t>
      </w:r>
    </w:p>
    <w:p>
      <w:pPr>
        <w:spacing w:after="0" w:line="200" w:lineRule="exact"/>
        <w:rPr>
          <w:sz w:val="20"/>
          <w:szCs w:val="20"/>
          <w:color w:val="auto"/>
        </w:rPr>
      </w:pPr>
    </w:p>
    <w:p>
      <w:pPr>
        <w:spacing w:after="0" w:line="30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jc w:val="both"/>
        <w:ind w:left="340" w:firstLine="648"/>
        <w:spacing w:after="0" w:line="258"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Report or Registration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 File or</w:t>
            </w:r>
          </w:p>
        </w:tc>
        <w:tc>
          <w:tcPr>
            <w:tcW w:w="960" w:type="dxa"/>
            <w:vAlign w:val="bottom"/>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0" w:type="dxa"/>
            <w:vAlign w:val="bottom"/>
          </w:tcPr>
          <w:p>
            <w:pPr>
              <w:spacing w:after="0"/>
              <w:rPr>
                <w:sz w:val="1"/>
                <w:szCs w:val="1"/>
                <w:color w:val="auto"/>
              </w:rPr>
            </w:pPr>
          </w:p>
        </w:tc>
      </w:tr>
      <w:tr>
        <w:trPr>
          <w:trHeight w:val="216"/>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760" w:type="dxa"/>
            <w:vAlign w:val="bottom"/>
            <w:gridSpan w:val="7"/>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960" w:type="dxa"/>
            <w:vAlign w:val="bottom"/>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5760" w:type="dxa"/>
            <w:vAlign w:val="bottom"/>
            <w:gridSpan w:val="7"/>
            <w:vMerge w:val="continue"/>
          </w:tcPr>
          <w:p>
            <w:pPr>
              <w:spacing w:after="0"/>
              <w:rPr>
                <w:sz w:val="20"/>
                <w:szCs w:val="20"/>
                <w:color w:val="auto"/>
              </w:rPr>
            </w:pPr>
          </w:p>
        </w:tc>
        <w:tc>
          <w:tcPr>
            <w:tcW w:w="20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82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3.1</w:t>
            </w:r>
          </w:p>
        </w:tc>
        <w:tc>
          <w:tcPr>
            <w:tcW w:w="5760" w:type="dxa"/>
            <w:vAlign w:val="bottom"/>
            <w:gridSpan w:val="7"/>
          </w:tcPr>
          <w:p>
            <w:pPr>
              <w:spacing w:after="0"/>
              <w:rPr>
                <w:rFonts w:ascii="Times New Roman" w:cs="Times New Roman" w:eastAsia="Times New Roman" w:hAnsi="Times New Roman"/>
                <w:sz w:val="14"/>
                <w:szCs w:val="14"/>
                <w:u w:val="single" w:color="auto"/>
                <w:color w:val="0000FF"/>
              </w:rPr>
            </w:pPr>
            <w:hyperlink r:id="rId92">
              <w:r>
                <w:rPr>
                  <w:rFonts w:ascii="Times New Roman" w:cs="Times New Roman" w:eastAsia="Times New Roman" w:hAnsi="Times New Roman"/>
                  <w:sz w:val="14"/>
                  <w:szCs w:val="14"/>
                  <w:u w:val="single" w:color="auto"/>
                  <w:color w:val="0000FF"/>
                </w:rPr>
                <w:t>Amended and Restated Certificate of Incorporation of ZoomInfo Technologies Inc.</w:t>
              </w:r>
            </w:hyperlink>
          </w:p>
        </w:tc>
        <w:tc>
          <w:tcPr>
            <w:tcW w:w="2040" w:type="dxa"/>
            <w:vAlign w:val="bottom"/>
          </w:tcPr>
          <w:p>
            <w:pPr>
              <w:jc w:val="center"/>
              <w:ind w:right="1"/>
              <w:spacing w:after="0"/>
              <w:rPr>
                <w:sz w:val="20"/>
                <w:szCs w:val="20"/>
                <w:color w:val="auto"/>
              </w:rPr>
            </w:pPr>
            <w:r>
              <w:rPr>
                <w:rFonts w:ascii="Times New Roman" w:cs="Times New Roman" w:eastAsia="Times New Roman" w:hAnsi="Times New Roman"/>
                <w:sz w:val="14"/>
                <w:szCs w:val="14"/>
                <w:color w:val="auto"/>
              </w:rPr>
              <w:t>8-K filed June 8, 2020</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6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6"/>
        </w:trPr>
        <w:tc>
          <w:tcPr>
            <w:tcW w:w="82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3.2</w:t>
            </w:r>
          </w:p>
        </w:tc>
        <w:tc>
          <w:tcPr>
            <w:tcW w:w="5760" w:type="dxa"/>
            <w:vAlign w:val="bottom"/>
            <w:gridSpan w:val="7"/>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u w:val="single" w:color="auto"/>
                  <w:color w:val="0000FF"/>
                </w:rPr>
                <w:t>Amended and Restated Bylaws of ZoomInfo Technologies Inc</w:t>
              </w:r>
              <w:r>
                <w:rPr>
                  <w:rFonts w:ascii="Times New Roman" w:cs="Times New Roman" w:eastAsia="Times New Roman" w:hAnsi="Times New Roman"/>
                  <w:sz w:val="14"/>
                  <w:szCs w:val="14"/>
                  <w:color w:val="0000FF"/>
                </w:rPr>
                <w:t>.</w:t>
              </w:r>
            </w:hyperlink>
          </w:p>
        </w:tc>
        <w:tc>
          <w:tcPr>
            <w:tcW w:w="2040" w:type="dxa"/>
            <w:vAlign w:val="bottom"/>
          </w:tcPr>
          <w:p>
            <w:pPr>
              <w:jc w:val="center"/>
              <w:ind w:right="1"/>
              <w:spacing w:after="0"/>
              <w:rPr>
                <w:sz w:val="20"/>
                <w:szCs w:val="20"/>
                <w:color w:val="auto"/>
              </w:rPr>
            </w:pPr>
            <w:r>
              <w:rPr>
                <w:rFonts w:ascii="Times New Roman" w:cs="Times New Roman" w:eastAsia="Times New Roman" w:hAnsi="Times New Roman"/>
                <w:sz w:val="14"/>
                <w:szCs w:val="14"/>
                <w:color w:val="auto"/>
              </w:rPr>
              <w:t>8-K filed June 8, 2020</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6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5"/>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10.1†</w:t>
            </w:r>
          </w:p>
        </w:tc>
        <w:tc>
          <w:tcPr>
            <w:tcW w:w="5760" w:type="dxa"/>
            <w:vAlign w:val="bottom"/>
            <w:gridSpan w:val="7"/>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Employment Agreement, dated as of August 10, 2020, between ZoomInfo Technologies Inc.,</w:t>
              </w:r>
            </w:hyperlink>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 filed August 11, 2020</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001-39310</w:t>
            </w:r>
          </w:p>
        </w:tc>
        <w:tc>
          <w:tcPr>
            <w:tcW w:w="960" w:type="dxa"/>
            <w:vAlign w:val="bottom"/>
          </w:tcPr>
          <w:p>
            <w:pPr>
              <w:jc w:val="center"/>
              <w:ind w:left="121"/>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360" w:type="dxa"/>
            <w:vAlign w:val="bottom"/>
            <w:tcBorders>
              <w:top w:val="single" w:sz="8" w:color="0000FF"/>
            </w:tcBorders>
            <w:gridSpan w:val="3"/>
          </w:tcPr>
          <w:p>
            <w:pPr>
              <w:spacing w:after="0" w:line="142"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ZoomInfo Technologies LLC and Joseph Christopher Hays</w:t>
              </w:r>
            </w:hyperlink>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w w:val="98"/>
              </w:rPr>
              <w:t>+31.1</w:t>
            </w:r>
          </w:p>
        </w:tc>
        <w:tc>
          <w:tcPr>
            <w:tcW w:w="5760" w:type="dxa"/>
            <w:vAlign w:val="bottom"/>
            <w:gridSpan w:val="7"/>
          </w:tcPr>
          <w:p>
            <w:pPr>
              <w:spacing w:after="0"/>
              <w:rPr>
                <w:rFonts w:ascii="Times New Roman" w:cs="Times New Roman" w:eastAsia="Times New Roman" w:hAnsi="Times New Roman"/>
                <w:sz w:val="14"/>
                <w:szCs w:val="14"/>
                <w:color w:val="0000FF"/>
              </w:rPr>
            </w:pPr>
            <w:hyperlink w:anchor="page78">
              <w:r>
                <w:rPr>
                  <w:rFonts w:ascii="Times New Roman" w:cs="Times New Roman" w:eastAsia="Times New Roman" w:hAnsi="Times New Roman"/>
                  <w:sz w:val="14"/>
                  <w:szCs w:val="14"/>
                  <w:color w:val="0000FF"/>
                </w:rPr>
                <w:t>Certification of Principal Executive Officer pursuant to Exchange Act Rules 13a-14(a) and 15d-</w:t>
              </w:r>
            </w:hyperlink>
          </w:p>
        </w:tc>
        <w:tc>
          <w:tcPr>
            <w:tcW w:w="2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4"/>
                <w:szCs w:val="14"/>
                <w:color w:val="0000FF"/>
              </w:rPr>
            </w:pPr>
            <w:hyperlink w:anchor="page78">
              <w:r>
                <w:rPr>
                  <w:rFonts w:ascii="Times New Roman" w:cs="Times New Roman" w:eastAsia="Times New Roman" w:hAnsi="Times New Roman"/>
                  <w:sz w:val="14"/>
                  <w:szCs w:val="14"/>
                  <w:color w:val="0000FF"/>
                </w:rPr>
                <w:t>14(a), as adopted pursuant to Section 302 of the Sarbanes-Oxley Act of 2002.</w:t>
              </w:r>
            </w:hyperlink>
          </w:p>
        </w:tc>
        <w:tc>
          <w:tcPr>
            <w:tcW w:w="1060" w:type="dxa"/>
            <w:vAlign w:val="bottom"/>
            <w:tcBorders>
              <w:top w:val="single" w:sz="8" w:color="0000FF"/>
            </w:tcBorders>
            <w:gridSpan w:val="3"/>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w w:val="98"/>
              </w:rPr>
              <w:t>+31.2</w:t>
            </w:r>
          </w:p>
        </w:tc>
        <w:tc>
          <w:tcPr>
            <w:tcW w:w="5760" w:type="dxa"/>
            <w:vAlign w:val="bottom"/>
            <w:gridSpan w:val="7"/>
          </w:tcPr>
          <w:p>
            <w:pPr>
              <w:spacing w:after="0"/>
              <w:rPr>
                <w:rFonts w:ascii="Times New Roman" w:cs="Times New Roman" w:eastAsia="Times New Roman" w:hAnsi="Times New Roman"/>
                <w:sz w:val="14"/>
                <w:szCs w:val="14"/>
                <w:color w:val="0000FF"/>
              </w:rPr>
            </w:pPr>
            <w:hyperlink w:anchor="page80">
              <w:r>
                <w:rPr>
                  <w:rFonts w:ascii="Times New Roman" w:cs="Times New Roman" w:eastAsia="Times New Roman" w:hAnsi="Times New Roman"/>
                  <w:sz w:val="14"/>
                  <w:szCs w:val="14"/>
                  <w:color w:val="0000FF"/>
                </w:rPr>
                <w:t>Certification of Principal Financial Officer pursuant to Exchange Act Rules 13a-14(a) and 15d-</w:t>
              </w:r>
            </w:hyperlink>
          </w:p>
        </w:tc>
        <w:tc>
          <w:tcPr>
            <w:tcW w:w="2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4"/>
                <w:szCs w:val="14"/>
                <w:color w:val="0000FF"/>
              </w:rPr>
            </w:pPr>
            <w:hyperlink w:anchor="page80">
              <w:r>
                <w:rPr>
                  <w:rFonts w:ascii="Times New Roman" w:cs="Times New Roman" w:eastAsia="Times New Roman" w:hAnsi="Times New Roman"/>
                  <w:sz w:val="14"/>
                  <w:szCs w:val="14"/>
                  <w:color w:val="0000FF"/>
                </w:rPr>
                <w:t>14(a), as adopted pursuant to Section 302 of the Sarbanes-Oxley Act of 2002.</w:t>
              </w:r>
            </w:hyperlink>
          </w:p>
        </w:tc>
        <w:tc>
          <w:tcPr>
            <w:tcW w:w="1020" w:type="dxa"/>
            <w:vAlign w:val="bottom"/>
            <w:tcBorders>
              <w:top w:val="single" w:sz="8" w:color="0000FF"/>
            </w:tcBorders>
            <w:gridSpan w:val="2"/>
          </w:tcPr>
          <w:p>
            <w:pPr>
              <w:spacing w:after="0"/>
              <w:rPr>
                <w:sz w:val="12"/>
                <w:szCs w:val="12"/>
                <w:color w:val="auto"/>
              </w:rPr>
            </w:pPr>
          </w:p>
        </w:tc>
        <w:tc>
          <w:tcPr>
            <w:tcW w:w="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+32.1*</w:t>
            </w:r>
          </w:p>
        </w:tc>
        <w:tc>
          <w:tcPr>
            <w:tcW w:w="5760" w:type="dxa"/>
            <w:vAlign w:val="bottom"/>
            <w:gridSpan w:val="7"/>
          </w:tcPr>
          <w:p>
            <w:pPr>
              <w:spacing w:after="0"/>
              <w:rPr>
                <w:rFonts w:ascii="Times New Roman" w:cs="Times New Roman" w:eastAsia="Times New Roman" w:hAnsi="Times New Roman"/>
                <w:sz w:val="14"/>
                <w:szCs w:val="14"/>
                <w:color w:val="0000FF"/>
              </w:rPr>
            </w:pPr>
            <w:hyperlink w:anchor="page82">
              <w:r>
                <w:rPr>
                  <w:rFonts w:ascii="Times New Roman" w:cs="Times New Roman" w:eastAsia="Times New Roman" w:hAnsi="Times New Roman"/>
                  <w:sz w:val="14"/>
                  <w:szCs w:val="14"/>
                  <w:color w:val="0000FF"/>
                </w:rPr>
                <w:t>Certifications of Principal Executive Officer and Principal Financial Officer pursuant to 18 U.S.C.</w:t>
              </w:r>
            </w:hyperlink>
          </w:p>
        </w:tc>
        <w:tc>
          <w:tcPr>
            <w:tcW w:w="2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5640" w:type="dxa"/>
            <w:vAlign w:val="bottom"/>
            <w:tcBorders>
              <w:top w:val="single" w:sz="8" w:color="0000FF"/>
            </w:tcBorders>
            <w:gridSpan w:val="6"/>
          </w:tcPr>
          <w:p>
            <w:pPr>
              <w:spacing w:after="0"/>
              <w:rPr>
                <w:rFonts w:ascii="Times New Roman" w:cs="Times New Roman" w:eastAsia="Times New Roman" w:hAnsi="Times New Roman"/>
                <w:sz w:val="14"/>
                <w:szCs w:val="14"/>
                <w:u w:val="single" w:color="auto"/>
                <w:color w:val="0000FF"/>
              </w:rPr>
            </w:pPr>
            <w:hyperlink w:anchor="page82">
              <w:r>
                <w:rPr>
                  <w:rFonts w:ascii="Times New Roman" w:cs="Times New Roman" w:eastAsia="Times New Roman" w:hAnsi="Times New Roman"/>
                  <w:sz w:val="14"/>
                  <w:szCs w:val="14"/>
                  <w:u w:val="single" w:color="auto"/>
                  <w:color w:val="0000FF"/>
                </w:rPr>
                <w:t>Section 1350, as adopted pursuant to Section 906 of the Sarbanes-Oxley Act of 2002.</w:t>
              </w:r>
            </w:hyperlink>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+101.INS</w:t>
            </w:r>
          </w:p>
        </w:tc>
        <w:tc>
          <w:tcPr>
            <w:tcW w:w="5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2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+101.SCH</w:t>
            </w:r>
          </w:p>
        </w:tc>
        <w:tc>
          <w:tcPr>
            <w:tcW w:w="5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+101.CAL</w:t>
            </w:r>
          </w:p>
        </w:tc>
        <w:tc>
          <w:tcPr>
            <w:tcW w:w="5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+101.DEF</w:t>
            </w:r>
          </w:p>
        </w:tc>
        <w:tc>
          <w:tcPr>
            <w:tcW w:w="5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85"/>
              <w:spacing w:after="0"/>
              <w:rPr>
                <w:sz w:val="20"/>
                <w:szCs w:val="20"/>
                <w:color w:val="auto"/>
              </w:rPr>
            </w:pPr>
            <w:r>
              <w:rPr>
                <w:rFonts w:ascii="Times New Roman" w:cs="Times New Roman" w:eastAsia="Times New Roman" w:hAnsi="Times New Roman"/>
                <w:sz w:val="14"/>
                <w:szCs w:val="14"/>
                <w:color w:val="auto"/>
              </w:rPr>
              <w:t>+101.LAB</w:t>
            </w:r>
          </w:p>
        </w:tc>
        <w:tc>
          <w:tcPr>
            <w:tcW w:w="5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+101.PRE</w:t>
            </w:r>
          </w:p>
        </w:tc>
        <w:tc>
          <w:tcPr>
            <w:tcW w:w="5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163" w:lineRule="exact"/>
        <w:rPr>
          <w:sz w:val="20"/>
          <w:szCs w:val="20"/>
          <w:color w:val="auto"/>
        </w:rPr>
      </w:pPr>
    </w:p>
    <w:p>
      <w:pPr>
        <w:jc w:val="both"/>
        <w:ind w:firstLine="8"/>
        <w:spacing w:after="0" w:line="261" w:lineRule="auto"/>
        <w:tabs>
          <w:tab w:leader="none" w:pos="1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66" w:lineRule="exact"/>
        <w:rPr>
          <w:sz w:val="20"/>
          <w:szCs w:val="20"/>
          <w:color w:val="auto"/>
        </w:rPr>
      </w:pPr>
    </w:p>
    <w:p>
      <w:pPr>
        <w:ind w:left="692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Name: P. Cameron Hyzer</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November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18"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52"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ind w:left="660" w:right="140" w:hanging="4"/>
        <w:spacing w:after="0" w:line="266" w:lineRule="auto"/>
        <w:tabs>
          <w:tab w:leader="none" w:pos="90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52" w:lineRule="exact"/>
        <w:rPr>
          <w:rFonts w:ascii="Times New Roman" w:cs="Times New Roman" w:eastAsia="Times New Roman" w:hAnsi="Times New Roman"/>
          <w:sz w:val="18"/>
          <w:szCs w:val="18"/>
          <w:color w:val="auto"/>
        </w:rPr>
      </w:pPr>
    </w:p>
    <w:p>
      <w:pPr>
        <w:ind w:left="660" w:right="640" w:hanging="4"/>
        <w:spacing w:after="0" w:line="312" w:lineRule="auto"/>
        <w:tabs>
          <w:tab w:leader="none" w:pos="90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jc w:val="both"/>
        <w:ind w:left="660" w:right="80" w:hanging="4"/>
        <w:spacing w:after="0" w:line="266" w:lineRule="auto"/>
        <w:tabs>
          <w:tab w:leader="none" w:pos="9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17" w:right="339" w:bottom="1440" w:gutter="0" w:footer="0" w:header="0"/>
        </w:sectPr>
      </w:pPr>
    </w:p>
    <w:bookmarkStart w:id="78" w:name="page79"/>
    <w:bookmarkEnd w:id="78"/>
    <w:p>
      <w:pPr>
        <w:spacing w:after="0" w:line="200" w:lineRule="exact"/>
        <w:rPr>
          <w:sz w:val="20"/>
          <w:szCs w:val="20"/>
          <w:color w:val="auto"/>
        </w:rPr>
      </w:pPr>
    </w:p>
    <w:p>
      <w:pPr>
        <w:spacing w:after="0" w:line="37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34290</wp:posOffset>
            </wp:positionV>
            <wp:extent cx="3077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13, 2020</w:t>
      </w:r>
      <w:r>
        <w:rPr>
          <w:sz w:val="20"/>
          <w:szCs w:val="20"/>
          <w:color w:val="auto"/>
        </w:rPr>
        <w:tab/>
      </w:r>
      <w:r>
        <w:rPr>
          <w:rFonts w:ascii="Times New Roman" w:cs="Times New Roman" w:eastAsia="Times New Roman" w:hAnsi="Times New Roman"/>
          <w:sz w:val="18"/>
          <w:szCs w:val="18"/>
          <w:color w:val="auto"/>
        </w:rPr>
        <w:t>Henry Schuck</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Cameron Hyzer, certify that:</w:t>
      </w:r>
    </w:p>
    <w:p>
      <w:pPr>
        <w:spacing w:after="0" w:line="252"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ind w:left="660" w:right="140" w:hanging="4"/>
        <w:spacing w:after="0" w:line="266" w:lineRule="auto"/>
        <w:tabs>
          <w:tab w:leader="none" w:pos="9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52" w:lineRule="exact"/>
        <w:rPr>
          <w:rFonts w:ascii="Times New Roman" w:cs="Times New Roman" w:eastAsia="Times New Roman" w:hAnsi="Times New Roman"/>
          <w:sz w:val="18"/>
          <w:szCs w:val="18"/>
          <w:color w:val="auto"/>
        </w:rPr>
      </w:pPr>
    </w:p>
    <w:p>
      <w:pPr>
        <w:ind w:left="660" w:right="640" w:hanging="4"/>
        <w:spacing w:after="0" w:line="312" w:lineRule="auto"/>
        <w:tabs>
          <w:tab w:leader="none" w:pos="90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jc w:val="both"/>
        <w:ind w:left="660" w:right="80" w:hanging="4"/>
        <w:spacing w:after="0" w:line="266" w:lineRule="auto"/>
        <w:tabs>
          <w:tab w:leader="none" w:pos="9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540" w:hanging="4"/>
        <w:spacing w:after="0" w:line="282" w:lineRule="auto"/>
        <w:tabs>
          <w:tab w:leader="none" w:pos="9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17" w:right="339" w:bottom="1440" w:gutter="0" w:footer="0" w:header="0"/>
        </w:sectPr>
      </w:pPr>
    </w:p>
    <w:bookmarkStart w:id="80" w:name="page81"/>
    <w:bookmarkEnd w:id="80"/>
    <w:p>
      <w:pPr>
        <w:spacing w:after="0" w:line="200" w:lineRule="exact"/>
        <w:rPr>
          <w:sz w:val="20"/>
          <w:szCs w:val="20"/>
          <w:color w:val="auto"/>
        </w:rPr>
      </w:pPr>
    </w:p>
    <w:p>
      <w:pPr>
        <w:spacing w:after="0" w:line="37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13, 2020</w:t>
      </w:r>
      <w:r>
        <w:rPr>
          <w:sz w:val="20"/>
          <w:szCs w:val="20"/>
          <w:color w:val="auto"/>
        </w:rPr>
        <w:tab/>
      </w:r>
      <w:r>
        <w:rPr>
          <w:rFonts w:ascii="Times New Roman" w:cs="Times New Roman" w:eastAsia="Times New Roman" w:hAnsi="Times New Roman"/>
          <w:sz w:val="17"/>
          <w:szCs w:val="17"/>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34290</wp:posOffset>
            </wp:positionV>
            <wp:extent cx="3077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 Cameron Hyzer</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7" w:lineRule="exact"/>
        <w:rPr>
          <w:sz w:val="20"/>
          <w:szCs w:val="20"/>
          <w:color w:val="auto"/>
        </w:rPr>
      </w:pPr>
    </w:p>
    <w:p>
      <w:pPr>
        <w:ind w:right="40" w:firstLine="648"/>
        <w:spacing w:after="0" w:line="292" w:lineRule="auto"/>
        <w:rPr>
          <w:sz w:val="20"/>
          <w:szCs w:val="20"/>
          <w:color w:val="auto"/>
        </w:rPr>
      </w:pPr>
      <w:r>
        <w:rPr>
          <w:rFonts w:ascii="Times New Roman" w:cs="Times New Roman" w:eastAsia="Times New Roman" w:hAnsi="Times New Roman"/>
          <w:sz w:val="18"/>
          <w:szCs w:val="18"/>
          <w:color w:val="auto"/>
        </w:rPr>
        <w:t>In connection with the Quarterly Report on Form 10-Q of ZoomInfo Technologies Inc. (the “Company”) for the quarterly period ended September 30, 2020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(1)The Report fully complies with the requirements of Section 13(a) or 15(d) of the Securities Exchange Act of 1934; and</w:t>
      </w:r>
    </w:p>
    <w:p>
      <w:pPr>
        <w:spacing w:after="0" w:line="279" w:lineRule="exact"/>
        <w:rPr>
          <w:sz w:val="20"/>
          <w:szCs w:val="20"/>
          <w:color w:val="auto"/>
        </w:rPr>
      </w:pPr>
    </w:p>
    <w:p>
      <w:pPr>
        <w:ind w:right="720" w:firstLine="648"/>
        <w:spacing w:after="0" w:line="313" w:lineRule="auto"/>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0943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0943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 Cameron Hyzer</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4"/>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4"/>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92" Type="http://schemas.openxmlformats.org/officeDocument/2006/relationships/hyperlink" Target="http://www.sec.gov/Archives/edgar/data/1794515/000162828020009137/exhibit31-closing8xkxchart.htm" TargetMode="External"/><Relationship Id="rId93" Type="http://schemas.openxmlformats.org/officeDocument/2006/relationships/hyperlink" Target="http://www.sec.gov/Archives/edgar/data/1794515/000162828020009137/exhibit32-closing8xkxbylaws.htm" TargetMode="External"/><Relationship Id="rId94" Type="http://schemas.openxmlformats.org/officeDocument/2006/relationships/hyperlink" Target="http://www.sec.gov/Archives/edgar/data/1794515/000179451520000019/zi-ex1020x202008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2020-11-20T05:50:06Z</dcterms:created>
  <dcterms:modified xsi:type="dcterms:W3CDTF">2020-11-20T05:50:06Z</dcterms:modified>
</cp:coreProperties>
</file>