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4170.xml.htm"/>
      <w:bookmarkStart w:id="1" w:name="kswkform4_17858741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McGrane Ashley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124,331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3.5636</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123,334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withheld to cover the Reporting Person's tax liability in connection with the vesting of the restricted stock units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$3.560 to $3.575,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received an original grant of restricted stock units on October 22, 2024, which vest as follows: (a) 25% on November 1, 2025; and (b) the remainder of the award in equal quarterly installments during the 36 months following November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7389"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4168</Characters>
  <CharactersWithSpaces>4844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